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F34CC">
      <w:pPr>
        <w:jc w:val="left"/>
        <w:rPr>
          <w:rFonts w:ascii="仿宋" w:hAnsi="仿宋"/>
          <w:bCs/>
          <w:sz w:val="28"/>
          <w:szCs w:val="28"/>
          <w:highlight w:val="none"/>
        </w:rPr>
      </w:pPr>
    </w:p>
    <w:p w14:paraId="38AA1519">
      <w:pPr>
        <w:jc w:val="center"/>
        <w:outlineLvl w:val="9"/>
        <w:rPr>
          <w:rFonts w:hint="eastAsia" w:ascii="宋体" w:hAnsi="宋体" w:eastAsia="宋体" w:cs="宋体"/>
          <w:b/>
          <w:bCs/>
          <w:sz w:val="32"/>
          <w:szCs w:val="32"/>
          <w:highlight w:val="none"/>
        </w:rPr>
      </w:pPr>
      <w:bookmarkStart w:id="0" w:name="_Toc12146"/>
      <w:bookmarkStart w:id="1" w:name="_Toc8830"/>
      <w:bookmarkStart w:id="2" w:name="_Toc26943"/>
      <w:r>
        <w:rPr>
          <w:rFonts w:hint="eastAsia" w:ascii="宋体" w:hAnsi="宋体" w:eastAsia="宋体" w:cs="宋体"/>
          <w:b/>
          <w:bCs/>
          <w:sz w:val="32"/>
          <w:szCs w:val="32"/>
          <w:highlight w:val="none"/>
        </w:rPr>
        <w:t>桂林-恭城-贺州公路（桂林至钟山段）№7</w:t>
      </w:r>
      <w:bookmarkEnd w:id="0"/>
      <w:r>
        <w:rPr>
          <w:rFonts w:hint="eastAsia" w:ascii="宋体" w:hAnsi="宋体" w:eastAsia="宋体" w:cs="宋体"/>
          <w:b/>
          <w:bCs/>
          <w:sz w:val="32"/>
          <w:szCs w:val="32"/>
          <w:highlight w:val="none"/>
        </w:rPr>
        <w:t>合同段</w:t>
      </w:r>
      <w:bookmarkEnd w:id="1"/>
      <w:bookmarkEnd w:id="2"/>
    </w:p>
    <w:p w14:paraId="35D76337">
      <w:pPr>
        <w:jc w:val="center"/>
        <w:rPr>
          <w:rFonts w:hint="eastAsia" w:ascii="宋体" w:hAnsi="宋体" w:eastAsia="宋体" w:cs="宋体"/>
          <w:b/>
          <w:bCs/>
          <w:sz w:val="32"/>
          <w:szCs w:val="32"/>
          <w:highlight w:val="none"/>
          <w:lang w:val="en-US" w:eastAsia="zh-CN"/>
        </w:rPr>
      </w:pPr>
      <w:bookmarkStart w:id="3" w:name="_Toc9816"/>
    </w:p>
    <w:bookmarkEnd w:id="3"/>
    <w:p w14:paraId="770C77E4">
      <w:pPr>
        <w:jc w:val="center"/>
        <w:rPr>
          <w:rFonts w:ascii="仿宋" w:hAnsi="仿宋" w:cs="仿宋"/>
          <w:b/>
          <w:bCs/>
          <w:sz w:val="32"/>
          <w:szCs w:val="32"/>
          <w:highlight w:val="none"/>
        </w:rPr>
      </w:pPr>
      <w:r>
        <w:rPr>
          <w:rFonts w:hint="eastAsia" w:ascii="仿宋" w:hAnsi="仿宋"/>
          <w:b/>
          <w:bCs/>
          <w:sz w:val="32"/>
          <w:szCs w:val="32"/>
          <w:highlight w:val="none"/>
          <w:lang w:val="en-US" w:eastAsia="zh-CN"/>
        </w:rPr>
        <w:t>XGT7026-12S1</w:t>
      </w:r>
      <w:r>
        <w:rPr>
          <w:rFonts w:hint="eastAsia" w:ascii="仿宋" w:hAnsi="仿宋"/>
          <w:b/>
          <w:bCs/>
          <w:sz w:val="32"/>
          <w:szCs w:val="32"/>
          <w:highlight w:val="none"/>
        </w:rPr>
        <w:t>塔式起重机</w:t>
      </w:r>
      <w:r>
        <w:rPr>
          <w:rFonts w:hint="eastAsia" w:ascii="仿宋" w:hAnsi="仿宋"/>
          <w:b/>
          <w:bCs/>
          <w:sz w:val="32"/>
          <w:szCs w:val="32"/>
          <w:highlight w:val="none"/>
          <w:lang w:eastAsia="zh-CN"/>
        </w:rPr>
        <w:t>安装</w:t>
      </w:r>
      <w:r>
        <w:rPr>
          <w:rFonts w:hint="eastAsia" w:ascii="仿宋" w:hAnsi="仿宋"/>
          <w:b/>
          <w:bCs/>
          <w:sz w:val="32"/>
          <w:szCs w:val="32"/>
          <w:highlight w:val="none"/>
        </w:rPr>
        <w:t>专项施工</w:t>
      </w:r>
      <w:r>
        <w:rPr>
          <w:rFonts w:hint="eastAsia" w:ascii="仿宋" w:hAnsi="仿宋" w:cs="仿宋"/>
          <w:b/>
          <w:bCs/>
          <w:sz w:val="32"/>
          <w:szCs w:val="32"/>
          <w:highlight w:val="none"/>
        </w:rPr>
        <w:t>方案</w:t>
      </w:r>
    </w:p>
    <w:p w14:paraId="7EFD6EF1">
      <w:pPr>
        <w:jc w:val="center"/>
        <w:rPr>
          <w:rFonts w:hint="eastAsia" w:ascii="宋体" w:hAnsi="宋体" w:eastAsia="宋体" w:cs="宋体"/>
          <w:b/>
          <w:bCs/>
          <w:sz w:val="32"/>
          <w:szCs w:val="32"/>
          <w:highlight w:val="none"/>
        </w:rPr>
      </w:pPr>
    </w:p>
    <w:p w14:paraId="0F6C1F8C">
      <w:pPr>
        <w:ind w:firstLine="562" w:firstLineChars="201"/>
        <w:jc w:val="left"/>
        <w:rPr>
          <w:rFonts w:ascii="仿宋" w:hAnsi="仿宋"/>
          <w:sz w:val="28"/>
          <w:szCs w:val="28"/>
          <w:highlight w:val="none"/>
        </w:rPr>
      </w:pPr>
    </w:p>
    <w:p w14:paraId="1506E44E">
      <w:pPr>
        <w:bidi w:val="0"/>
        <w:rPr>
          <w:highlight w:val="none"/>
        </w:rPr>
      </w:pPr>
    </w:p>
    <w:p w14:paraId="63AFCDF3">
      <w:pPr>
        <w:ind w:firstLine="562" w:firstLineChars="201"/>
        <w:jc w:val="center"/>
        <w:rPr>
          <w:rFonts w:ascii="仿宋" w:hAnsi="仿宋"/>
          <w:sz w:val="28"/>
          <w:szCs w:val="28"/>
          <w:highlight w:val="none"/>
        </w:rPr>
      </w:pPr>
      <w:r>
        <w:rPr>
          <w:rFonts w:hint="eastAsia" w:eastAsia="宋体"/>
          <w:bCs/>
          <w:color w:val="000000" w:themeColor="text1"/>
          <w:sz w:val="28"/>
          <w:szCs w:val="28"/>
          <w:highlight w:val="none"/>
          <w:lang w:eastAsia="zh-CN"/>
          <w14:textFill>
            <w14:solidFill>
              <w14:schemeClr w14:val="tx1"/>
            </w14:solidFill>
          </w14:textFill>
        </w:rPr>
        <w:drawing>
          <wp:inline distT="0" distB="0" distL="114300" distR="114300">
            <wp:extent cx="2338070" cy="3043555"/>
            <wp:effectExtent l="0" t="0" r="5080"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0"/>
                    <a:stretch>
                      <a:fillRect/>
                    </a:stretch>
                  </pic:blipFill>
                  <pic:spPr>
                    <a:xfrm>
                      <a:off x="0" y="0"/>
                      <a:ext cx="2338070" cy="3043555"/>
                    </a:xfrm>
                    <a:prstGeom prst="rect">
                      <a:avLst/>
                    </a:prstGeom>
                  </pic:spPr>
                </pic:pic>
              </a:graphicData>
            </a:graphic>
          </wp:inline>
        </w:drawing>
      </w:r>
    </w:p>
    <w:p w14:paraId="213308BF">
      <w:pPr>
        <w:ind w:firstLine="565" w:firstLineChars="201"/>
        <w:jc w:val="left"/>
        <w:rPr>
          <w:rFonts w:ascii="仿宋" w:hAnsi="仿宋"/>
          <w:b/>
          <w:sz w:val="28"/>
          <w:szCs w:val="28"/>
          <w:highlight w:val="none"/>
        </w:rPr>
      </w:pPr>
    </w:p>
    <w:p w14:paraId="642F567F">
      <w:pPr>
        <w:pStyle w:val="12"/>
        <w:rPr>
          <w:rFonts w:ascii="仿宋" w:hAnsi="仿宋"/>
          <w:b/>
          <w:sz w:val="28"/>
          <w:szCs w:val="28"/>
          <w:highlight w:val="none"/>
        </w:rPr>
      </w:pPr>
    </w:p>
    <w:p w14:paraId="10E6BFDB">
      <w:pPr>
        <w:jc w:val="left"/>
        <w:rPr>
          <w:rFonts w:ascii="仿宋" w:hAnsi="仿宋"/>
          <w:b/>
          <w:sz w:val="28"/>
          <w:szCs w:val="28"/>
          <w:highlight w:val="none"/>
        </w:rPr>
      </w:pPr>
    </w:p>
    <w:p w14:paraId="1DFB1846">
      <w:pPr>
        <w:jc w:val="center"/>
        <w:rPr>
          <w:rFonts w:hint="eastAsia"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rPr>
        <w:t>中交第二航务工程局有限公司</w:t>
      </w:r>
    </w:p>
    <w:p w14:paraId="2F88C1BD">
      <w:pPr>
        <w:jc w:val="center"/>
        <w:rPr>
          <w:rFonts w:ascii="Times New Roman" w:hAnsi="Times New Roman" w:cs="Times New Roman"/>
          <w:b/>
          <w:color w:val="000000"/>
          <w:sz w:val="28"/>
          <w:szCs w:val="28"/>
          <w:highlight w:val="none"/>
        </w:rPr>
      </w:pPr>
      <w:bookmarkStart w:id="4" w:name="_Hlk51263647"/>
      <w:r>
        <w:rPr>
          <w:rFonts w:hint="eastAsia" w:ascii="Times New Roman" w:hAnsi="Times New Roman" w:cs="Times New Roman"/>
          <w:b/>
          <w:color w:val="000000"/>
          <w:sz w:val="28"/>
          <w:szCs w:val="28"/>
          <w:highlight w:val="none"/>
        </w:rPr>
        <w:t>桂林-恭城-贺州公路（桂林</w:t>
      </w:r>
      <w:r>
        <w:rPr>
          <w:rFonts w:hint="eastAsia" w:ascii="Times New Roman" w:hAnsi="Times New Roman" w:eastAsia="宋体" w:cs="Times New Roman"/>
          <w:b/>
          <w:color w:val="000000"/>
          <w:sz w:val="28"/>
          <w:szCs w:val="28"/>
          <w:highlight w:val="none"/>
        </w:rPr>
        <w:t>至钟山段）</w:t>
      </w:r>
      <w:bookmarkEnd w:id="4"/>
      <w:r>
        <w:rPr>
          <w:rFonts w:hint="eastAsia" w:ascii="Times New Roman" w:hAnsi="Times New Roman" w:eastAsia="宋体" w:cs="Times New Roman"/>
          <w:b/>
          <w:color w:val="000000"/>
          <w:sz w:val="28"/>
          <w:szCs w:val="28"/>
          <w:highlight w:val="none"/>
        </w:rPr>
        <w:t>№7</w:t>
      </w:r>
      <w:r>
        <w:rPr>
          <w:rFonts w:hint="eastAsia" w:ascii="Times New Roman" w:hAnsi="Times New Roman" w:eastAsia="宋体" w:cs="Times New Roman"/>
          <w:b/>
          <w:color w:val="000000"/>
          <w:sz w:val="28"/>
          <w:szCs w:val="28"/>
          <w:highlight w:val="none"/>
          <w:lang w:val="en-US" w:eastAsia="zh-CN"/>
        </w:rPr>
        <w:t>合同段工程总</w:t>
      </w:r>
      <w:r>
        <w:rPr>
          <w:rFonts w:hint="eastAsia" w:ascii="Times New Roman" w:hAnsi="Times New Roman" w:cs="Times New Roman"/>
          <w:b/>
          <w:color w:val="000000"/>
          <w:sz w:val="28"/>
          <w:szCs w:val="28"/>
          <w:highlight w:val="none"/>
          <w:lang w:val="en-US" w:eastAsia="zh-CN"/>
        </w:rPr>
        <w:t>承包</w:t>
      </w:r>
      <w:r>
        <w:rPr>
          <w:rFonts w:ascii="Times New Roman" w:hAnsi="Times New Roman" w:cs="Times New Roman"/>
          <w:b/>
          <w:color w:val="000000"/>
          <w:sz w:val="28"/>
          <w:szCs w:val="28"/>
          <w:highlight w:val="none"/>
        </w:rPr>
        <w:t>部</w:t>
      </w:r>
    </w:p>
    <w:p w14:paraId="66FB938B">
      <w:pPr>
        <w:jc w:val="center"/>
        <w:rPr>
          <w:rFonts w:hint="eastAsia" w:ascii="Times New Roman" w:hAnsi="Times New Roman" w:cs="Times New Roman"/>
          <w:b/>
          <w:color w:val="000000"/>
          <w:sz w:val="28"/>
          <w:szCs w:val="28"/>
          <w:highlight w:val="none"/>
        </w:rPr>
      </w:pPr>
      <w:r>
        <w:rPr>
          <w:rFonts w:hint="eastAsia" w:ascii="Times New Roman" w:hAnsi="Times New Roman" w:cs="Times New Roman"/>
          <w:b/>
          <w:color w:val="000000"/>
          <w:sz w:val="28"/>
          <w:szCs w:val="28"/>
          <w:highlight w:val="none"/>
        </w:rPr>
        <w:t>二〇二</w:t>
      </w:r>
      <w:r>
        <w:rPr>
          <w:rFonts w:hint="eastAsia" w:ascii="Times New Roman" w:hAnsi="Times New Roman" w:cs="Times New Roman"/>
          <w:b/>
          <w:color w:val="000000"/>
          <w:sz w:val="28"/>
          <w:szCs w:val="28"/>
          <w:highlight w:val="none"/>
          <w:lang w:val="en-US" w:eastAsia="zh-CN"/>
        </w:rPr>
        <w:t>五</w:t>
      </w:r>
      <w:r>
        <w:rPr>
          <w:rFonts w:hint="eastAsia" w:ascii="Times New Roman" w:hAnsi="Times New Roman" w:cs="Times New Roman"/>
          <w:b/>
          <w:color w:val="000000"/>
          <w:sz w:val="28"/>
          <w:szCs w:val="28"/>
          <w:highlight w:val="none"/>
        </w:rPr>
        <w:t>年</w:t>
      </w:r>
      <w:r>
        <w:rPr>
          <w:rFonts w:hint="eastAsia" w:ascii="Times New Roman" w:hAnsi="Times New Roman" w:cs="Times New Roman"/>
          <w:b/>
          <w:color w:val="000000"/>
          <w:sz w:val="28"/>
          <w:szCs w:val="28"/>
          <w:highlight w:val="none"/>
          <w:lang w:val="en-US" w:eastAsia="zh-CN"/>
        </w:rPr>
        <w:t>六</w:t>
      </w:r>
      <w:r>
        <w:rPr>
          <w:rFonts w:hint="eastAsia" w:ascii="Times New Roman" w:hAnsi="Times New Roman" w:cs="Times New Roman"/>
          <w:b/>
          <w:color w:val="000000"/>
          <w:sz w:val="28"/>
          <w:szCs w:val="28"/>
          <w:highlight w:val="none"/>
        </w:rPr>
        <w:t>月</w:t>
      </w:r>
    </w:p>
    <w:p w14:paraId="03278FD4">
      <w:pPr>
        <w:jc w:val="center"/>
        <w:rPr>
          <w:rFonts w:hint="eastAsia" w:ascii="Times New Roman" w:hAnsi="Times New Roman" w:cs="Times New Roman"/>
          <w:b/>
          <w:color w:val="000000"/>
          <w:sz w:val="28"/>
          <w:szCs w:val="28"/>
          <w:highlight w:val="none"/>
        </w:rPr>
      </w:pPr>
    </w:p>
    <w:p w14:paraId="6B1F31D2">
      <w:pPr>
        <w:rPr>
          <w:rFonts w:ascii="仿宋" w:hAnsi="仿宋"/>
          <w:sz w:val="28"/>
          <w:szCs w:val="28"/>
          <w:highlight w:val="none"/>
        </w:rPr>
      </w:pPr>
      <w:r>
        <w:rPr>
          <w:rFonts w:ascii="仿宋" w:hAnsi="仿宋"/>
          <w:sz w:val="28"/>
          <w:szCs w:val="28"/>
          <w:highlight w:val="none"/>
        </w:rPr>
        <w:br w:type="page"/>
      </w:r>
    </w:p>
    <w:p w14:paraId="1EEBF986">
      <w:pPr>
        <w:pStyle w:val="29"/>
        <w:ind w:left="610" w:hanging="70"/>
        <w:rPr>
          <w:rFonts w:ascii="仿宋" w:hAnsi="仿宋"/>
          <w:szCs w:val="28"/>
          <w:highlight w:val="none"/>
        </w:rPr>
      </w:pPr>
    </w:p>
    <w:p w14:paraId="5D99695D">
      <w:pPr>
        <w:pStyle w:val="21"/>
        <w:rPr>
          <w:highlight w:val="none"/>
        </w:rPr>
      </w:pPr>
    </w:p>
    <w:p w14:paraId="47FDA561">
      <w:pPr>
        <w:pStyle w:val="21"/>
        <w:rPr>
          <w:highlight w:val="none"/>
        </w:rPr>
      </w:pPr>
    </w:p>
    <w:p w14:paraId="0864AF9E">
      <w:pPr>
        <w:bidi w:val="0"/>
        <w:rPr>
          <w:highlight w:val="none"/>
        </w:rPr>
      </w:pPr>
    </w:p>
    <w:p w14:paraId="02BA5FDE">
      <w:pPr>
        <w:ind w:firstLine="646" w:firstLineChars="201"/>
        <w:jc w:val="center"/>
        <w:rPr>
          <w:rFonts w:ascii="仿宋" w:hAnsi="仿宋"/>
          <w:b/>
          <w:bCs/>
          <w:sz w:val="32"/>
          <w:szCs w:val="32"/>
          <w:highlight w:val="none"/>
        </w:rPr>
      </w:pPr>
    </w:p>
    <w:p w14:paraId="50A755E9">
      <w:pPr>
        <w:jc w:val="center"/>
        <w:outlineLvl w:val="9"/>
        <w:rPr>
          <w:rFonts w:ascii="仿宋" w:hAnsi="仿宋" w:cs="仿宋"/>
          <w:b/>
          <w:bCs/>
          <w:sz w:val="32"/>
          <w:szCs w:val="32"/>
          <w:highlight w:val="none"/>
        </w:rPr>
      </w:pPr>
      <w:bookmarkStart w:id="5" w:name="_Toc27374"/>
      <w:bookmarkStart w:id="6" w:name="_Toc32098"/>
      <w:r>
        <w:rPr>
          <w:rFonts w:hint="eastAsia"/>
          <w:b/>
          <w:bCs/>
          <w:sz w:val="36"/>
          <w:szCs w:val="36"/>
          <w:highlight w:val="none"/>
        </w:rPr>
        <w:t>桂林-恭城-贺州公路（桂林至钟山段）№</w:t>
      </w:r>
      <w:r>
        <w:rPr>
          <w:b/>
          <w:bCs/>
          <w:sz w:val="36"/>
          <w:szCs w:val="36"/>
          <w:highlight w:val="none"/>
        </w:rPr>
        <w:t>7</w:t>
      </w:r>
      <w:r>
        <w:rPr>
          <w:rFonts w:hint="eastAsia"/>
          <w:b/>
          <w:bCs/>
          <w:sz w:val="36"/>
          <w:szCs w:val="36"/>
          <w:highlight w:val="none"/>
        </w:rPr>
        <w:t>合同段</w:t>
      </w:r>
      <w:bookmarkEnd w:id="5"/>
      <w:bookmarkEnd w:id="6"/>
    </w:p>
    <w:p w14:paraId="21DCE8B9">
      <w:pPr>
        <w:jc w:val="center"/>
        <w:rPr>
          <w:rFonts w:ascii="仿宋" w:hAnsi="仿宋" w:cs="仿宋"/>
          <w:b/>
          <w:bCs/>
          <w:sz w:val="32"/>
          <w:szCs w:val="32"/>
          <w:highlight w:val="none"/>
        </w:rPr>
      </w:pPr>
      <w:r>
        <w:rPr>
          <w:rFonts w:hint="eastAsia" w:ascii="仿宋" w:hAnsi="仿宋"/>
          <w:b/>
          <w:bCs/>
          <w:sz w:val="32"/>
          <w:szCs w:val="32"/>
          <w:highlight w:val="none"/>
          <w:lang w:val="en-US" w:eastAsia="zh-CN"/>
        </w:rPr>
        <w:t>XGT7026-12S1</w:t>
      </w:r>
      <w:r>
        <w:rPr>
          <w:rFonts w:hint="eastAsia" w:ascii="仿宋" w:hAnsi="仿宋"/>
          <w:b/>
          <w:bCs/>
          <w:sz w:val="32"/>
          <w:szCs w:val="32"/>
          <w:highlight w:val="none"/>
        </w:rPr>
        <w:t>塔式起重机</w:t>
      </w:r>
      <w:r>
        <w:rPr>
          <w:rFonts w:hint="eastAsia" w:ascii="仿宋" w:hAnsi="仿宋"/>
          <w:b/>
          <w:bCs/>
          <w:sz w:val="32"/>
          <w:szCs w:val="32"/>
          <w:highlight w:val="none"/>
          <w:lang w:eastAsia="zh-CN"/>
        </w:rPr>
        <w:t>安装</w:t>
      </w:r>
      <w:r>
        <w:rPr>
          <w:rFonts w:hint="eastAsia" w:ascii="仿宋" w:hAnsi="仿宋"/>
          <w:b/>
          <w:bCs/>
          <w:sz w:val="32"/>
          <w:szCs w:val="32"/>
          <w:highlight w:val="none"/>
        </w:rPr>
        <w:t>专项施工</w:t>
      </w:r>
      <w:r>
        <w:rPr>
          <w:rFonts w:hint="eastAsia" w:ascii="仿宋" w:hAnsi="仿宋" w:cs="仿宋"/>
          <w:b/>
          <w:bCs/>
          <w:sz w:val="32"/>
          <w:szCs w:val="32"/>
          <w:highlight w:val="none"/>
        </w:rPr>
        <w:t>方案</w:t>
      </w:r>
    </w:p>
    <w:p w14:paraId="2003144A">
      <w:pPr>
        <w:jc w:val="center"/>
        <w:rPr>
          <w:rFonts w:ascii="仿宋" w:hAnsi="仿宋" w:cs="仿宋"/>
          <w:b/>
          <w:bCs/>
          <w:sz w:val="32"/>
          <w:szCs w:val="32"/>
          <w:highlight w:val="none"/>
        </w:rPr>
      </w:pPr>
    </w:p>
    <w:p w14:paraId="53B125E6">
      <w:pPr>
        <w:ind w:firstLine="565" w:firstLineChars="201"/>
        <w:jc w:val="left"/>
        <w:rPr>
          <w:rFonts w:ascii="仿宋" w:hAnsi="仿宋"/>
          <w:b/>
          <w:sz w:val="28"/>
          <w:szCs w:val="28"/>
          <w:highlight w:val="none"/>
        </w:rPr>
      </w:pPr>
    </w:p>
    <w:p w14:paraId="4B6FE8E3">
      <w:pPr>
        <w:ind w:firstLine="565" w:firstLineChars="201"/>
        <w:jc w:val="left"/>
        <w:rPr>
          <w:rFonts w:ascii="仿宋" w:hAnsi="仿宋"/>
          <w:b/>
          <w:sz w:val="28"/>
          <w:szCs w:val="28"/>
          <w:highlight w:val="none"/>
        </w:rPr>
      </w:pPr>
    </w:p>
    <w:p w14:paraId="0D6D5D28">
      <w:pPr>
        <w:ind w:firstLine="565" w:firstLineChars="201"/>
        <w:jc w:val="left"/>
        <w:rPr>
          <w:rFonts w:ascii="仿宋" w:hAnsi="仿宋"/>
          <w:b/>
          <w:sz w:val="28"/>
          <w:szCs w:val="28"/>
          <w:highlight w:val="none"/>
        </w:rPr>
      </w:pPr>
    </w:p>
    <w:p w14:paraId="3D091463">
      <w:pPr>
        <w:ind w:firstLine="565" w:firstLineChars="201"/>
        <w:jc w:val="left"/>
        <w:rPr>
          <w:rFonts w:ascii="仿宋" w:hAnsi="仿宋"/>
          <w:b/>
          <w:sz w:val="28"/>
          <w:szCs w:val="28"/>
          <w:highlight w:val="none"/>
        </w:rPr>
      </w:pPr>
    </w:p>
    <w:p w14:paraId="3F78C170">
      <w:pPr>
        <w:jc w:val="left"/>
        <w:rPr>
          <w:rFonts w:ascii="仿宋" w:hAnsi="仿宋"/>
          <w:b/>
          <w:sz w:val="28"/>
          <w:szCs w:val="28"/>
          <w:highlight w:val="none"/>
        </w:rPr>
      </w:pPr>
    </w:p>
    <w:p w14:paraId="32D04BD0">
      <w:pPr>
        <w:pStyle w:val="29"/>
        <w:ind w:left="610" w:hanging="70"/>
        <w:rPr>
          <w:rFonts w:ascii="仿宋" w:hAnsi="仿宋"/>
          <w:b/>
          <w:szCs w:val="28"/>
          <w:highlight w:val="none"/>
        </w:rPr>
      </w:pPr>
    </w:p>
    <w:p w14:paraId="0BF5B7DD">
      <w:pPr>
        <w:pStyle w:val="14"/>
        <w:rPr>
          <w:highlight w:val="none"/>
        </w:rPr>
      </w:pPr>
    </w:p>
    <w:p w14:paraId="1AC58708">
      <w:pPr>
        <w:ind w:firstLine="565" w:firstLineChars="201"/>
        <w:jc w:val="left"/>
        <w:rPr>
          <w:rFonts w:ascii="仿宋" w:hAnsi="仿宋"/>
          <w:b/>
          <w:sz w:val="28"/>
          <w:szCs w:val="28"/>
          <w:highlight w:val="none"/>
        </w:rPr>
      </w:pPr>
    </w:p>
    <w:p w14:paraId="767334B5">
      <w:pPr>
        <w:ind w:firstLine="565" w:firstLineChars="201"/>
        <w:jc w:val="left"/>
        <w:outlineLvl w:val="9"/>
        <w:rPr>
          <w:rFonts w:ascii="仿宋" w:hAnsi="仿宋"/>
          <w:b/>
          <w:sz w:val="28"/>
          <w:szCs w:val="28"/>
          <w:highlight w:val="none"/>
        </w:rPr>
      </w:pPr>
      <w:r>
        <w:rPr>
          <w:rFonts w:hint="eastAsia" w:ascii="仿宋" w:hAnsi="仿宋"/>
          <w:b/>
          <w:sz w:val="28"/>
          <w:szCs w:val="28"/>
          <w:highlight w:val="none"/>
        </w:rPr>
        <w:t xml:space="preserve">          </w:t>
      </w:r>
      <w:bookmarkStart w:id="7" w:name="_Toc26573"/>
      <w:bookmarkStart w:id="8" w:name="_Toc10865"/>
      <w:r>
        <w:rPr>
          <w:rFonts w:hint="eastAsia" w:ascii="仿宋" w:hAnsi="仿宋"/>
          <w:b/>
          <w:sz w:val="28"/>
          <w:szCs w:val="28"/>
          <w:highlight w:val="none"/>
        </w:rPr>
        <w:t xml:space="preserve">编制： </w:t>
      </w:r>
      <w:bookmarkEnd w:id="7"/>
      <w:bookmarkEnd w:id="8"/>
      <w:r>
        <w:rPr>
          <w:rFonts w:hint="eastAsia" w:ascii="仿宋" w:hAnsi="仿宋"/>
          <w:b/>
          <w:sz w:val="28"/>
          <w:szCs w:val="28"/>
          <w:highlight w:val="none"/>
          <w:u w:val="single"/>
        </w:rPr>
        <w:t xml:space="preserve">                      </w:t>
      </w:r>
    </w:p>
    <w:p w14:paraId="0C5565F7">
      <w:pPr>
        <w:ind w:firstLine="565" w:firstLineChars="201"/>
        <w:jc w:val="left"/>
        <w:rPr>
          <w:rFonts w:ascii="仿宋" w:hAnsi="仿宋"/>
          <w:sz w:val="28"/>
          <w:szCs w:val="28"/>
          <w:highlight w:val="none"/>
          <w:u w:val="single"/>
        </w:rPr>
      </w:pPr>
      <w:r>
        <w:rPr>
          <w:rFonts w:hint="eastAsia" w:ascii="仿宋" w:hAnsi="仿宋"/>
          <w:b/>
          <w:sz w:val="28"/>
          <w:szCs w:val="28"/>
          <w:highlight w:val="none"/>
        </w:rPr>
        <w:t xml:space="preserve">          </w:t>
      </w:r>
      <w:r>
        <w:rPr>
          <w:rFonts w:hint="eastAsia" w:ascii="仿宋" w:hAnsi="仿宋"/>
          <w:b/>
          <w:sz w:val="28"/>
          <w:szCs w:val="28"/>
          <w:highlight w:val="none"/>
          <w:lang w:val="en-US" w:eastAsia="zh-CN"/>
        </w:rPr>
        <w:t>审核</w:t>
      </w:r>
      <w:r>
        <w:rPr>
          <w:rFonts w:hint="eastAsia" w:ascii="仿宋" w:hAnsi="仿宋"/>
          <w:b/>
          <w:sz w:val="28"/>
          <w:szCs w:val="28"/>
          <w:highlight w:val="none"/>
        </w:rPr>
        <w:t xml:space="preserve">： </w:t>
      </w:r>
      <w:r>
        <w:rPr>
          <w:rFonts w:hint="eastAsia" w:ascii="仿宋" w:hAnsi="仿宋"/>
          <w:b/>
          <w:sz w:val="28"/>
          <w:szCs w:val="28"/>
          <w:highlight w:val="none"/>
          <w:u w:val="single"/>
        </w:rPr>
        <w:t xml:space="preserve">                      </w:t>
      </w:r>
    </w:p>
    <w:p w14:paraId="19C65362">
      <w:pPr>
        <w:ind w:firstLine="565" w:firstLineChars="201"/>
        <w:jc w:val="left"/>
        <w:rPr>
          <w:rFonts w:ascii="仿宋" w:hAnsi="仿宋"/>
          <w:sz w:val="28"/>
          <w:szCs w:val="28"/>
          <w:highlight w:val="none"/>
          <w:u w:val="single"/>
        </w:rPr>
      </w:pPr>
      <w:r>
        <w:rPr>
          <w:rFonts w:hint="eastAsia" w:ascii="仿宋" w:hAnsi="仿宋"/>
          <w:b/>
          <w:sz w:val="28"/>
          <w:szCs w:val="28"/>
          <w:highlight w:val="none"/>
        </w:rPr>
        <w:t xml:space="preserve">          </w:t>
      </w:r>
      <w:r>
        <w:rPr>
          <w:rFonts w:hint="eastAsia" w:ascii="仿宋" w:hAnsi="仿宋"/>
          <w:b/>
          <w:sz w:val="28"/>
          <w:szCs w:val="28"/>
          <w:highlight w:val="none"/>
          <w:lang w:val="en-US" w:eastAsia="zh-CN"/>
        </w:rPr>
        <w:t>批准</w:t>
      </w:r>
      <w:r>
        <w:rPr>
          <w:rFonts w:hint="eastAsia" w:ascii="仿宋" w:hAnsi="仿宋"/>
          <w:b/>
          <w:sz w:val="28"/>
          <w:szCs w:val="28"/>
          <w:highlight w:val="none"/>
        </w:rPr>
        <w:t xml:space="preserve">： </w:t>
      </w:r>
      <w:r>
        <w:rPr>
          <w:rFonts w:hint="eastAsia" w:ascii="仿宋" w:hAnsi="仿宋"/>
          <w:b/>
          <w:sz w:val="28"/>
          <w:szCs w:val="28"/>
          <w:highlight w:val="none"/>
          <w:u w:val="single"/>
        </w:rPr>
        <w:t xml:space="preserve">                      </w:t>
      </w:r>
    </w:p>
    <w:p w14:paraId="4B538B9D">
      <w:pPr>
        <w:ind w:firstLine="482" w:firstLineChars="201"/>
        <w:jc w:val="left"/>
        <w:rPr>
          <w:rFonts w:ascii="仿宋" w:hAnsi="仿宋"/>
          <w:sz w:val="28"/>
          <w:szCs w:val="28"/>
          <w:highlight w:val="none"/>
        </w:rPr>
      </w:pPr>
      <w:r>
        <w:rPr>
          <w:rFonts w:hint="eastAsia"/>
          <w:highlight w:val="none"/>
        </w:rPr>
        <w:t xml:space="preserve">                                      </w:t>
      </w:r>
    </w:p>
    <w:p w14:paraId="3CF83C43">
      <w:pPr>
        <w:ind w:firstLine="562" w:firstLineChars="201"/>
        <w:jc w:val="center"/>
        <w:rPr>
          <w:rFonts w:ascii="仿宋" w:hAnsi="仿宋"/>
          <w:sz w:val="28"/>
          <w:szCs w:val="28"/>
          <w:highlight w:val="none"/>
        </w:rPr>
      </w:pPr>
    </w:p>
    <w:p w14:paraId="03D647E0">
      <w:pPr>
        <w:pStyle w:val="2"/>
      </w:pPr>
    </w:p>
    <w:p w14:paraId="59FCD416">
      <w:pPr>
        <w:jc w:val="center"/>
        <w:rPr>
          <w:highlight w:val="none"/>
        </w:rPr>
      </w:pPr>
      <w:r>
        <w:rPr>
          <w:rFonts w:hint="eastAsia" w:ascii="仿宋" w:hAnsi="仿宋"/>
          <w:b/>
          <w:bCs/>
          <w:sz w:val="32"/>
          <w:szCs w:val="32"/>
          <w:highlight w:val="none"/>
          <w:lang w:val="en-US" w:eastAsia="zh-CN"/>
        </w:rPr>
        <w:t>四川科斗文智能装备有限公司</w:t>
      </w:r>
      <w:r>
        <w:rPr>
          <w:highlight w:val="none"/>
        </w:rPr>
        <w:fldChar w:fldCharType="begin"/>
      </w:r>
      <w:r>
        <w:rPr>
          <w:highlight w:val="none"/>
        </w:rPr>
        <w:instrText xml:space="preserve"> TOC \o "1-2" \h \z \u </w:instrText>
      </w:r>
      <w:r>
        <w:rPr>
          <w:highlight w:val="none"/>
        </w:rPr>
        <w:fldChar w:fldCharType="separate"/>
      </w:r>
      <w:r>
        <w:rPr>
          <w:highlight w:val="none"/>
        </w:rPr>
        <w:fldChar w:fldCharType="end"/>
      </w:r>
    </w:p>
    <w:p w14:paraId="451F1290">
      <w:pPr>
        <w:tabs>
          <w:tab w:val="left" w:pos="1050"/>
          <w:tab w:val="right" w:leader="dot" w:pos="8296"/>
        </w:tabs>
        <w:jc w:val="center"/>
        <w:rPr>
          <w:b/>
          <w:bCs/>
          <w:sz w:val="36"/>
          <w:szCs w:val="32"/>
          <w:highlight w:val="none"/>
        </w:rPr>
      </w:pPr>
      <w:r>
        <w:rPr>
          <w:rFonts w:ascii="宋体" w:hAnsi="宋体" w:eastAsia="宋体"/>
          <w:b/>
          <w:bCs/>
          <w:sz w:val="28"/>
          <w:szCs w:val="32"/>
          <w:highlight w:val="none"/>
        </w:rPr>
        <w:t>目录</w:t>
      </w:r>
    </w:p>
    <w:p w14:paraId="43B41B51">
      <w:pPr>
        <w:pStyle w:val="25"/>
        <w:tabs>
          <w:tab w:val="right" w:leader="dot" w:pos="8306"/>
        </w:tabs>
      </w:pPr>
      <w:r>
        <w:rPr>
          <w:highlight w:val="none"/>
        </w:rPr>
        <w:fldChar w:fldCharType="begin"/>
      </w:r>
      <w:r>
        <w:rPr>
          <w:highlight w:val="none"/>
        </w:rPr>
        <w:instrText xml:space="preserve">TOC \o "1-2" \h \u </w:instrText>
      </w:r>
      <w:r>
        <w:rPr>
          <w:highlight w:val="none"/>
        </w:rPr>
        <w:fldChar w:fldCharType="separate"/>
      </w:r>
      <w:r>
        <w:rPr>
          <w:highlight w:val="none"/>
        </w:rPr>
        <w:fldChar w:fldCharType="begin"/>
      </w:r>
      <w:r>
        <w:rPr>
          <w:highlight w:val="none"/>
        </w:rPr>
        <w:instrText xml:space="preserve"> HYPERLINK \l _Toc3699 </w:instrText>
      </w:r>
      <w:r>
        <w:rPr>
          <w:highlight w:val="none"/>
        </w:rPr>
        <w:fldChar w:fldCharType="separate"/>
      </w:r>
      <w:r>
        <w:rPr>
          <w:rFonts w:hint="eastAsia"/>
          <w:highlight w:val="none"/>
          <w:lang w:val="en-US" w:eastAsia="zh-CN"/>
        </w:rPr>
        <w:t>1</w:t>
      </w:r>
      <w:r>
        <w:rPr>
          <w:rFonts w:hint="eastAsia"/>
          <w:highlight w:val="none"/>
        </w:rPr>
        <w:t>编制依据</w:t>
      </w:r>
      <w:r>
        <w:tab/>
      </w:r>
      <w:r>
        <w:fldChar w:fldCharType="begin"/>
      </w:r>
      <w:r>
        <w:instrText xml:space="preserve"> PAGEREF _Toc3699 \h </w:instrText>
      </w:r>
      <w:r>
        <w:fldChar w:fldCharType="separate"/>
      </w:r>
      <w:r>
        <w:t>5</w:t>
      </w:r>
      <w:r>
        <w:fldChar w:fldCharType="end"/>
      </w:r>
      <w:r>
        <w:rPr>
          <w:highlight w:val="none"/>
        </w:rPr>
        <w:fldChar w:fldCharType="end"/>
      </w:r>
    </w:p>
    <w:p w14:paraId="6DF3C9E4">
      <w:pPr>
        <w:pStyle w:val="26"/>
        <w:tabs>
          <w:tab w:val="right" w:leader="dot" w:pos="8306"/>
        </w:tabs>
      </w:pPr>
      <w:r>
        <w:rPr>
          <w:highlight w:val="none"/>
        </w:rPr>
        <w:fldChar w:fldCharType="begin"/>
      </w:r>
      <w:r>
        <w:rPr>
          <w:highlight w:val="none"/>
        </w:rPr>
        <w:instrText xml:space="preserve"> HYPERLINK \l _Toc20844 </w:instrText>
      </w:r>
      <w:r>
        <w:rPr>
          <w:highlight w:val="none"/>
        </w:rPr>
        <w:fldChar w:fldCharType="separate"/>
      </w:r>
      <w:r>
        <w:rPr>
          <w:rFonts w:hint="eastAsia"/>
          <w:highlight w:val="none"/>
          <w:lang w:val="en-US" w:eastAsia="zh-CN"/>
        </w:rPr>
        <w:t>1</w:t>
      </w:r>
      <w:r>
        <w:rPr>
          <w:highlight w:val="none"/>
        </w:rPr>
        <w:t>.1</w:t>
      </w:r>
      <w:r>
        <w:rPr>
          <w:rFonts w:hint="eastAsia"/>
          <w:highlight w:val="none"/>
        </w:rPr>
        <w:t xml:space="preserve"> 编制</w:t>
      </w:r>
      <w:r>
        <w:rPr>
          <w:rFonts w:hint="eastAsia"/>
          <w:highlight w:val="none"/>
          <w:lang w:val="en-US" w:eastAsia="zh-CN"/>
        </w:rPr>
        <w:t>说明</w:t>
      </w:r>
      <w:r>
        <w:tab/>
      </w:r>
      <w:r>
        <w:fldChar w:fldCharType="begin"/>
      </w:r>
      <w:r>
        <w:instrText xml:space="preserve"> PAGEREF _Toc20844 \h </w:instrText>
      </w:r>
      <w:r>
        <w:fldChar w:fldCharType="separate"/>
      </w:r>
      <w:r>
        <w:t>5</w:t>
      </w:r>
      <w:r>
        <w:fldChar w:fldCharType="end"/>
      </w:r>
      <w:r>
        <w:rPr>
          <w:highlight w:val="none"/>
        </w:rPr>
        <w:fldChar w:fldCharType="end"/>
      </w:r>
    </w:p>
    <w:p w14:paraId="1205050B">
      <w:pPr>
        <w:pStyle w:val="26"/>
        <w:tabs>
          <w:tab w:val="right" w:leader="dot" w:pos="8306"/>
        </w:tabs>
      </w:pPr>
      <w:r>
        <w:rPr>
          <w:highlight w:val="none"/>
        </w:rPr>
        <w:fldChar w:fldCharType="begin"/>
      </w:r>
      <w:r>
        <w:rPr>
          <w:highlight w:val="none"/>
        </w:rPr>
        <w:instrText xml:space="preserve"> HYPERLINK \l _Toc1384 </w:instrText>
      </w:r>
      <w:r>
        <w:rPr>
          <w:highlight w:val="none"/>
        </w:rPr>
        <w:fldChar w:fldCharType="separate"/>
      </w:r>
      <w:r>
        <w:rPr>
          <w:rFonts w:hint="eastAsia"/>
          <w:highlight w:val="none"/>
          <w:lang w:val="en-US" w:eastAsia="zh-CN"/>
        </w:rPr>
        <w:t>1</w:t>
      </w:r>
      <w:r>
        <w:rPr>
          <w:highlight w:val="none"/>
        </w:rPr>
        <w:t>.2</w:t>
      </w:r>
      <w:r>
        <w:rPr>
          <w:rFonts w:hint="eastAsia"/>
          <w:highlight w:val="none"/>
        </w:rPr>
        <w:t xml:space="preserve"> </w:t>
      </w:r>
      <w:r>
        <w:rPr>
          <w:rFonts w:hint="eastAsia"/>
          <w:highlight w:val="none"/>
          <w:lang w:val="en-US" w:eastAsia="zh-CN"/>
        </w:rPr>
        <w:t>引用文件</w:t>
      </w:r>
      <w:r>
        <w:tab/>
      </w:r>
      <w:r>
        <w:fldChar w:fldCharType="begin"/>
      </w:r>
      <w:r>
        <w:instrText xml:space="preserve"> PAGEREF _Toc1384 \h </w:instrText>
      </w:r>
      <w:r>
        <w:fldChar w:fldCharType="separate"/>
      </w:r>
      <w:r>
        <w:t>5</w:t>
      </w:r>
      <w:r>
        <w:fldChar w:fldCharType="end"/>
      </w:r>
      <w:r>
        <w:rPr>
          <w:highlight w:val="none"/>
        </w:rPr>
        <w:fldChar w:fldCharType="end"/>
      </w:r>
    </w:p>
    <w:p w14:paraId="3F84C32C">
      <w:pPr>
        <w:pStyle w:val="26"/>
        <w:tabs>
          <w:tab w:val="right" w:leader="dot" w:pos="8306"/>
        </w:tabs>
      </w:pPr>
      <w:r>
        <w:rPr>
          <w:highlight w:val="none"/>
        </w:rPr>
        <w:fldChar w:fldCharType="begin"/>
      </w:r>
      <w:r>
        <w:rPr>
          <w:highlight w:val="none"/>
        </w:rPr>
        <w:instrText xml:space="preserve"> HYPERLINK \l _Toc22831 </w:instrText>
      </w:r>
      <w:r>
        <w:rPr>
          <w:highlight w:val="none"/>
        </w:rPr>
        <w:fldChar w:fldCharType="separate"/>
      </w:r>
      <w:r>
        <w:rPr>
          <w:rFonts w:hint="eastAsia"/>
          <w:highlight w:val="none"/>
          <w:lang w:val="en-US" w:eastAsia="zh-CN"/>
        </w:rPr>
        <w:t>1</w:t>
      </w:r>
      <w:r>
        <w:rPr>
          <w:rFonts w:hint="eastAsia"/>
          <w:highlight w:val="none"/>
        </w:rPr>
        <w:t>.3 编制原则</w:t>
      </w:r>
      <w:r>
        <w:tab/>
      </w:r>
      <w:r>
        <w:fldChar w:fldCharType="begin"/>
      </w:r>
      <w:r>
        <w:instrText xml:space="preserve"> PAGEREF _Toc22831 \h </w:instrText>
      </w:r>
      <w:r>
        <w:fldChar w:fldCharType="separate"/>
      </w:r>
      <w:r>
        <w:t>6</w:t>
      </w:r>
      <w:r>
        <w:fldChar w:fldCharType="end"/>
      </w:r>
      <w:r>
        <w:rPr>
          <w:highlight w:val="none"/>
        </w:rPr>
        <w:fldChar w:fldCharType="end"/>
      </w:r>
    </w:p>
    <w:p w14:paraId="70F5066C">
      <w:pPr>
        <w:pStyle w:val="26"/>
        <w:tabs>
          <w:tab w:val="right" w:leader="dot" w:pos="8306"/>
        </w:tabs>
      </w:pPr>
      <w:r>
        <w:rPr>
          <w:highlight w:val="none"/>
        </w:rPr>
        <w:fldChar w:fldCharType="begin"/>
      </w:r>
      <w:r>
        <w:rPr>
          <w:highlight w:val="none"/>
        </w:rPr>
        <w:instrText xml:space="preserve"> HYPERLINK \l _Toc6999 </w:instrText>
      </w:r>
      <w:r>
        <w:rPr>
          <w:highlight w:val="none"/>
        </w:rPr>
        <w:fldChar w:fldCharType="separate"/>
      </w:r>
      <w:r>
        <w:rPr>
          <w:rFonts w:hint="eastAsia"/>
          <w:highlight w:val="none"/>
          <w:lang w:val="en-US" w:eastAsia="zh-CN"/>
        </w:rPr>
        <w:t>1</w:t>
      </w:r>
      <w:r>
        <w:rPr>
          <w:highlight w:val="none"/>
        </w:rPr>
        <w:t>.4</w:t>
      </w:r>
      <w:r>
        <w:rPr>
          <w:rFonts w:hint="eastAsia"/>
          <w:highlight w:val="none"/>
        </w:rPr>
        <w:t xml:space="preserve"> 隶属关系</w:t>
      </w:r>
      <w:r>
        <w:tab/>
      </w:r>
      <w:r>
        <w:fldChar w:fldCharType="begin"/>
      </w:r>
      <w:r>
        <w:instrText xml:space="preserve"> PAGEREF _Toc6999 \h </w:instrText>
      </w:r>
      <w:r>
        <w:fldChar w:fldCharType="separate"/>
      </w:r>
      <w:r>
        <w:t>6</w:t>
      </w:r>
      <w:r>
        <w:fldChar w:fldCharType="end"/>
      </w:r>
      <w:r>
        <w:rPr>
          <w:highlight w:val="none"/>
        </w:rPr>
        <w:fldChar w:fldCharType="end"/>
      </w:r>
    </w:p>
    <w:p w14:paraId="4298AAB5">
      <w:pPr>
        <w:pStyle w:val="26"/>
        <w:tabs>
          <w:tab w:val="right" w:leader="dot" w:pos="8306"/>
        </w:tabs>
      </w:pPr>
      <w:r>
        <w:rPr>
          <w:highlight w:val="none"/>
        </w:rPr>
        <w:fldChar w:fldCharType="begin"/>
      </w:r>
      <w:r>
        <w:rPr>
          <w:highlight w:val="none"/>
        </w:rPr>
        <w:instrText xml:space="preserve"> HYPERLINK \l _Toc13911 </w:instrText>
      </w:r>
      <w:r>
        <w:rPr>
          <w:highlight w:val="none"/>
        </w:rPr>
        <w:fldChar w:fldCharType="separate"/>
      </w:r>
      <w:r>
        <w:rPr>
          <w:rFonts w:hint="eastAsia"/>
          <w:highlight w:val="none"/>
          <w:lang w:val="en-US" w:eastAsia="zh-CN"/>
        </w:rPr>
        <w:t>1</w:t>
      </w:r>
      <w:r>
        <w:rPr>
          <w:rFonts w:hint="eastAsia"/>
          <w:highlight w:val="none"/>
        </w:rPr>
        <w:t>.5 适用范围</w:t>
      </w:r>
      <w:r>
        <w:tab/>
      </w:r>
      <w:r>
        <w:fldChar w:fldCharType="begin"/>
      </w:r>
      <w:r>
        <w:instrText xml:space="preserve"> PAGEREF _Toc13911 \h </w:instrText>
      </w:r>
      <w:r>
        <w:fldChar w:fldCharType="separate"/>
      </w:r>
      <w:r>
        <w:t>6</w:t>
      </w:r>
      <w:r>
        <w:fldChar w:fldCharType="end"/>
      </w:r>
      <w:r>
        <w:rPr>
          <w:highlight w:val="none"/>
        </w:rPr>
        <w:fldChar w:fldCharType="end"/>
      </w:r>
    </w:p>
    <w:p w14:paraId="2D0E2C32">
      <w:pPr>
        <w:pStyle w:val="25"/>
        <w:tabs>
          <w:tab w:val="right" w:leader="dot" w:pos="8306"/>
        </w:tabs>
      </w:pPr>
      <w:r>
        <w:rPr>
          <w:highlight w:val="none"/>
        </w:rPr>
        <w:fldChar w:fldCharType="begin"/>
      </w:r>
      <w:r>
        <w:rPr>
          <w:highlight w:val="none"/>
        </w:rPr>
        <w:instrText xml:space="preserve"> HYPERLINK \l _Toc13089 </w:instrText>
      </w:r>
      <w:r>
        <w:rPr>
          <w:highlight w:val="none"/>
        </w:rPr>
        <w:fldChar w:fldCharType="separate"/>
      </w:r>
      <w:r>
        <w:rPr>
          <w:rFonts w:hint="eastAsia"/>
          <w:highlight w:val="none"/>
          <w:lang w:val="en-US" w:eastAsia="zh-CN"/>
        </w:rPr>
        <w:t>2</w:t>
      </w:r>
      <w:r>
        <w:rPr>
          <w:rFonts w:hint="eastAsia"/>
          <w:highlight w:val="none"/>
        </w:rPr>
        <w:t>工程概况</w:t>
      </w:r>
      <w:r>
        <w:tab/>
      </w:r>
      <w:r>
        <w:fldChar w:fldCharType="begin"/>
      </w:r>
      <w:r>
        <w:instrText xml:space="preserve"> PAGEREF _Toc13089 \h </w:instrText>
      </w:r>
      <w:r>
        <w:fldChar w:fldCharType="separate"/>
      </w:r>
      <w:r>
        <w:t>7</w:t>
      </w:r>
      <w:r>
        <w:fldChar w:fldCharType="end"/>
      </w:r>
      <w:r>
        <w:rPr>
          <w:highlight w:val="none"/>
        </w:rPr>
        <w:fldChar w:fldCharType="end"/>
      </w:r>
    </w:p>
    <w:p w14:paraId="489E71AB">
      <w:pPr>
        <w:pStyle w:val="26"/>
        <w:tabs>
          <w:tab w:val="right" w:leader="dot" w:pos="8306"/>
        </w:tabs>
      </w:pPr>
      <w:r>
        <w:rPr>
          <w:highlight w:val="none"/>
        </w:rPr>
        <w:fldChar w:fldCharType="begin"/>
      </w:r>
      <w:r>
        <w:rPr>
          <w:highlight w:val="none"/>
        </w:rPr>
        <w:instrText xml:space="preserve"> HYPERLINK \l _Toc15567 </w:instrText>
      </w:r>
      <w:r>
        <w:rPr>
          <w:highlight w:val="none"/>
        </w:rPr>
        <w:fldChar w:fldCharType="separate"/>
      </w:r>
      <w:r>
        <w:rPr>
          <w:rFonts w:hint="eastAsia"/>
          <w:highlight w:val="none"/>
          <w:lang w:val="en-US" w:eastAsia="zh-CN"/>
        </w:rPr>
        <w:t>2</w:t>
      </w:r>
      <w:r>
        <w:rPr>
          <w:rFonts w:hint="eastAsia"/>
          <w:highlight w:val="none"/>
        </w:rPr>
        <w:t>.1 工程概况</w:t>
      </w:r>
      <w:r>
        <w:tab/>
      </w:r>
      <w:r>
        <w:fldChar w:fldCharType="begin"/>
      </w:r>
      <w:r>
        <w:instrText xml:space="preserve"> PAGEREF _Toc15567 \h </w:instrText>
      </w:r>
      <w:r>
        <w:fldChar w:fldCharType="separate"/>
      </w:r>
      <w:r>
        <w:t>7</w:t>
      </w:r>
      <w:r>
        <w:fldChar w:fldCharType="end"/>
      </w:r>
      <w:r>
        <w:rPr>
          <w:highlight w:val="none"/>
        </w:rPr>
        <w:fldChar w:fldCharType="end"/>
      </w:r>
    </w:p>
    <w:p w14:paraId="3A63E5D5">
      <w:pPr>
        <w:pStyle w:val="26"/>
        <w:tabs>
          <w:tab w:val="right" w:leader="dot" w:pos="8306"/>
        </w:tabs>
      </w:pPr>
      <w:r>
        <w:rPr>
          <w:highlight w:val="none"/>
        </w:rPr>
        <w:fldChar w:fldCharType="begin"/>
      </w:r>
      <w:r>
        <w:rPr>
          <w:highlight w:val="none"/>
        </w:rPr>
        <w:instrText xml:space="preserve"> HYPERLINK \l _Toc9038 </w:instrText>
      </w:r>
      <w:r>
        <w:rPr>
          <w:highlight w:val="none"/>
        </w:rPr>
        <w:fldChar w:fldCharType="separate"/>
      </w:r>
      <w:r>
        <w:rPr>
          <w:rFonts w:hint="eastAsia"/>
          <w:bCs/>
          <w:highlight w:val="none"/>
          <w:lang w:val="en-US" w:eastAsia="zh-CN"/>
        </w:rPr>
        <w:t>2</w:t>
      </w:r>
      <w:r>
        <w:rPr>
          <w:rFonts w:hint="eastAsia"/>
          <w:bCs/>
          <w:highlight w:val="none"/>
        </w:rPr>
        <w:t>.2 自然条件</w:t>
      </w:r>
      <w:r>
        <w:tab/>
      </w:r>
      <w:r>
        <w:fldChar w:fldCharType="begin"/>
      </w:r>
      <w:r>
        <w:instrText xml:space="preserve"> PAGEREF _Toc9038 \h </w:instrText>
      </w:r>
      <w:r>
        <w:fldChar w:fldCharType="separate"/>
      </w:r>
      <w:r>
        <w:t>7</w:t>
      </w:r>
      <w:r>
        <w:fldChar w:fldCharType="end"/>
      </w:r>
      <w:r>
        <w:rPr>
          <w:highlight w:val="none"/>
        </w:rPr>
        <w:fldChar w:fldCharType="end"/>
      </w:r>
    </w:p>
    <w:p w14:paraId="2E767907">
      <w:pPr>
        <w:pStyle w:val="26"/>
        <w:tabs>
          <w:tab w:val="right" w:leader="dot" w:pos="8306"/>
        </w:tabs>
      </w:pPr>
      <w:r>
        <w:rPr>
          <w:highlight w:val="none"/>
        </w:rPr>
        <w:fldChar w:fldCharType="begin"/>
      </w:r>
      <w:r>
        <w:rPr>
          <w:highlight w:val="none"/>
        </w:rPr>
        <w:instrText xml:space="preserve"> HYPERLINK \l _Toc6697 </w:instrText>
      </w:r>
      <w:r>
        <w:rPr>
          <w:highlight w:val="none"/>
        </w:rPr>
        <w:fldChar w:fldCharType="separate"/>
      </w:r>
      <w:r>
        <w:rPr>
          <w:rFonts w:hint="eastAsia"/>
          <w:highlight w:val="none"/>
          <w:lang w:val="en-US" w:eastAsia="zh-CN"/>
        </w:rPr>
        <w:t>2</w:t>
      </w:r>
      <w:r>
        <w:rPr>
          <w:rFonts w:hint="eastAsia"/>
          <w:highlight w:val="none"/>
        </w:rPr>
        <w:t>.3 安装现场工作环境及条件</w:t>
      </w:r>
      <w:r>
        <w:tab/>
      </w:r>
      <w:r>
        <w:fldChar w:fldCharType="begin"/>
      </w:r>
      <w:r>
        <w:instrText xml:space="preserve"> PAGEREF _Toc6697 \h </w:instrText>
      </w:r>
      <w:r>
        <w:fldChar w:fldCharType="separate"/>
      </w:r>
      <w:r>
        <w:t>9</w:t>
      </w:r>
      <w:r>
        <w:fldChar w:fldCharType="end"/>
      </w:r>
      <w:r>
        <w:rPr>
          <w:highlight w:val="none"/>
        </w:rPr>
        <w:fldChar w:fldCharType="end"/>
      </w:r>
    </w:p>
    <w:p w14:paraId="58BBBD05">
      <w:pPr>
        <w:pStyle w:val="26"/>
        <w:tabs>
          <w:tab w:val="right" w:leader="dot" w:pos="8306"/>
        </w:tabs>
      </w:pPr>
      <w:r>
        <w:rPr>
          <w:highlight w:val="none"/>
        </w:rPr>
        <w:fldChar w:fldCharType="begin"/>
      </w:r>
      <w:r>
        <w:rPr>
          <w:highlight w:val="none"/>
        </w:rPr>
        <w:instrText xml:space="preserve"> HYPERLINK \l _Toc22469 </w:instrText>
      </w:r>
      <w:r>
        <w:rPr>
          <w:highlight w:val="none"/>
        </w:rPr>
        <w:fldChar w:fldCharType="separate"/>
      </w:r>
      <w:r>
        <w:rPr>
          <w:rFonts w:hint="eastAsia"/>
          <w:highlight w:val="none"/>
          <w:lang w:val="en-US" w:eastAsia="zh-CN"/>
        </w:rPr>
        <w:t>2</w:t>
      </w:r>
      <w:r>
        <w:rPr>
          <w:rFonts w:hint="eastAsia"/>
          <w:highlight w:val="none"/>
        </w:rPr>
        <w:t>.4 塔式起重机概况</w:t>
      </w:r>
      <w:r>
        <w:tab/>
      </w:r>
      <w:r>
        <w:fldChar w:fldCharType="begin"/>
      </w:r>
      <w:r>
        <w:instrText xml:space="preserve"> PAGEREF _Toc22469 \h </w:instrText>
      </w:r>
      <w:r>
        <w:fldChar w:fldCharType="separate"/>
      </w:r>
      <w:r>
        <w:t>11</w:t>
      </w:r>
      <w:r>
        <w:fldChar w:fldCharType="end"/>
      </w:r>
      <w:r>
        <w:rPr>
          <w:highlight w:val="none"/>
        </w:rPr>
        <w:fldChar w:fldCharType="end"/>
      </w:r>
    </w:p>
    <w:p w14:paraId="2A9BA0C2">
      <w:pPr>
        <w:pStyle w:val="26"/>
        <w:tabs>
          <w:tab w:val="right" w:leader="dot" w:pos="8306"/>
        </w:tabs>
      </w:pPr>
      <w:r>
        <w:rPr>
          <w:highlight w:val="none"/>
        </w:rPr>
        <w:fldChar w:fldCharType="begin"/>
      </w:r>
      <w:r>
        <w:rPr>
          <w:highlight w:val="none"/>
        </w:rPr>
        <w:instrText xml:space="preserve"> HYPERLINK \l _Toc5338 </w:instrText>
      </w:r>
      <w:r>
        <w:rPr>
          <w:highlight w:val="none"/>
        </w:rPr>
        <w:fldChar w:fldCharType="separate"/>
      </w:r>
      <w:r>
        <w:rPr>
          <w:rFonts w:hint="eastAsia"/>
          <w:highlight w:val="none"/>
          <w:lang w:val="en-US" w:eastAsia="zh-CN"/>
        </w:rPr>
        <w:t>2</w:t>
      </w:r>
      <w:r>
        <w:rPr>
          <w:highlight w:val="none"/>
        </w:rPr>
        <w:t>.5</w:t>
      </w:r>
      <w:r>
        <w:rPr>
          <w:rFonts w:hint="eastAsia"/>
          <w:highlight w:val="none"/>
        </w:rPr>
        <w:t xml:space="preserve"> 施工要求和技术保证条件</w:t>
      </w:r>
      <w:r>
        <w:tab/>
      </w:r>
      <w:r>
        <w:fldChar w:fldCharType="begin"/>
      </w:r>
      <w:r>
        <w:instrText xml:space="preserve"> PAGEREF _Toc5338 \h </w:instrText>
      </w:r>
      <w:r>
        <w:fldChar w:fldCharType="separate"/>
      </w:r>
      <w:r>
        <w:t>15</w:t>
      </w:r>
      <w:r>
        <w:fldChar w:fldCharType="end"/>
      </w:r>
      <w:r>
        <w:rPr>
          <w:highlight w:val="none"/>
        </w:rPr>
        <w:fldChar w:fldCharType="end"/>
      </w:r>
    </w:p>
    <w:p w14:paraId="3BF7EC72">
      <w:pPr>
        <w:pStyle w:val="25"/>
        <w:tabs>
          <w:tab w:val="right" w:leader="dot" w:pos="8306"/>
        </w:tabs>
      </w:pPr>
      <w:r>
        <w:rPr>
          <w:highlight w:val="none"/>
        </w:rPr>
        <w:fldChar w:fldCharType="begin"/>
      </w:r>
      <w:r>
        <w:rPr>
          <w:highlight w:val="none"/>
        </w:rPr>
        <w:instrText xml:space="preserve"> HYPERLINK \l _Toc9867 </w:instrText>
      </w:r>
      <w:r>
        <w:rPr>
          <w:highlight w:val="none"/>
        </w:rPr>
        <w:fldChar w:fldCharType="separate"/>
      </w:r>
      <w:r>
        <w:rPr>
          <w:rFonts w:hint="eastAsia"/>
          <w:highlight w:val="none"/>
          <w:lang w:val="en-US" w:eastAsia="zh-CN"/>
        </w:rPr>
        <w:t>3</w:t>
      </w:r>
      <w:r>
        <w:rPr>
          <w:rFonts w:hint="eastAsia"/>
          <w:highlight w:val="none"/>
        </w:rPr>
        <w:t>施工计划</w:t>
      </w:r>
      <w:r>
        <w:tab/>
      </w:r>
      <w:r>
        <w:fldChar w:fldCharType="begin"/>
      </w:r>
      <w:r>
        <w:instrText xml:space="preserve"> PAGEREF _Toc9867 \h </w:instrText>
      </w:r>
      <w:r>
        <w:fldChar w:fldCharType="separate"/>
      </w:r>
      <w:r>
        <w:t>17</w:t>
      </w:r>
      <w:r>
        <w:fldChar w:fldCharType="end"/>
      </w:r>
      <w:r>
        <w:rPr>
          <w:highlight w:val="none"/>
        </w:rPr>
        <w:fldChar w:fldCharType="end"/>
      </w:r>
    </w:p>
    <w:p w14:paraId="5565413A">
      <w:pPr>
        <w:pStyle w:val="26"/>
        <w:tabs>
          <w:tab w:val="right" w:leader="dot" w:pos="8306"/>
        </w:tabs>
      </w:pPr>
      <w:r>
        <w:rPr>
          <w:highlight w:val="none"/>
        </w:rPr>
        <w:fldChar w:fldCharType="begin"/>
      </w:r>
      <w:r>
        <w:rPr>
          <w:highlight w:val="none"/>
        </w:rPr>
        <w:instrText xml:space="preserve"> HYPERLINK \l _Toc22169 </w:instrText>
      </w:r>
      <w:r>
        <w:rPr>
          <w:highlight w:val="none"/>
        </w:rPr>
        <w:fldChar w:fldCharType="separate"/>
      </w:r>
      <w:r>
        <w:rPr>
          <w:rFonts w:hint="eastAsia"/>
          <w:highlight w:val="none"/>
          <w:lang w:val="en-US" w:eastAsia="zh-CN"/>
        </w:rPr>
        <w:t>3.1施工总体部署</w:t>
      </w:r>
      <w:r>
        <w:tab/>
      </w:r>
      <w:r>
        <w:fldChar w:fldCharType="begin"/>
      </w:r>
      <w:r>
        <w:instrText xml:space="preserve"> PAGEREF _Toc22169 \h </w:instrText>
      </w:r>
      <w:r>
        <w:fldChar w:fldCharType="separate"/>
      </w:r>
      <w:r>
        <w:t>17</w:t>
      </w:r>
      <w:r>
        <w:fldChar w:fldCharType="end"/>
      </w:r>
      <w:r>
        <w:rPr>
          <w:highlight w:val="none"/>
        </w:rPr>
        <w:fldChar w:fldCharType="end"/>
      </w:r>
    </w:p>
    <w:p w14:paraId="4A67C85A">
      <w:pPr>
        <w:pStyle w:val="26"/>
        <w:tabs>
          <w:tab w:val="right" w:leader="dot" w:pos="8306"/>
        </w:tabs>
      </w:pPr>
      <w:r>
        <w:rPr>
          <w:highlight w:val="none"/>
        </w:rPr>
        <w:fldChar w:fldCharType="begin"/>
      </w:r>
      <w:r>
        <w:rPr>
          <w:highlight w:val="none"/>
        </w:rPr>
        <w:instrText xml:space="preserve"> HYPERLINK \l _Toc5944 </w:instrText>
      </w:r>
      <w:r>
        <w:rPr>
          <w:highlight w:val="none"/>
        </w:rPr>
        <w:fldChar w:fldCharType="separate"/>
      </w:r>
      <w:r>
        <w:rPr>
          <w:rFonts w:hint="eastAsia"/>
          <w:highlight w:val="none"/>
        </w:rPr>
        <w:t>3.</w:t>
      </w:r>
      <w:r>
        <w:rPr>
          <w:rFonts w:hint="eastAsia"/>
          <w:highlight w:val="none"/>
          <w:lang w:val="en-US" w:eastAsia="zh-CN"/>
        </w:rPr>
        <w:t>2</w:t>
      </w:r>
      <w:r>
        <w:rPr>
          <w:rFonts w:hint="eastAsia"/>
          <w:highlight w:val="none"/>
        </w:rPr>
        <w:t xml:space="preserve"> </w:t>
      </w:r>
      <w:r>
        <w:rPr>
          <w:rFonts w:hint="eastAsia"/>
          <w:highlight w:val="none"/>
          <w:lang w:val="en-US" w:eastAsia="zh-CN"/>
        </w:rPr>
        <w:t>施工进度计划</w:t>
      </w:r>
      <w:r>
        <w:tab/>
      </w:r>
      <w:r>
        <w:fldChar w:fldCharType="begin"/>
      </w:r>
      <w:r>
        <w:instrText xml:space="preserve"> PAGEREF _Toc5944 \h </w:instrText>
      </w:r>
      <w:r>
        <w:fldChar w:fldCharType="separate"/>
      </w:r>
      <w:r>
        <w:t>18</w:t>
      </w:r>
      <w:r>
        <w:fldChar w:fldCharType="end"/>
      </w:r>
      <w:r>
        <w:rPr>
          <w:highlight w:val="none"/>
        </w:rPr>
        <w:fldChar w:fldCharType="end"/>
      </w:r>
    </w:p>
    <w:p w14:paraId="3A766EBA">
      <w:pPr>
        <w:pStyle w:val="26"/>
        <w:tabs>
          <w:tab w:val="right" w:leader="dot" w:pos="8306"/>
        </w:tabs>
      </w:pPr>
      <w:r>
        <w:rPr>
          <w:highlight w:val="none"/>
        </w:rPr>
        <w:fldChar w:fldCharType="begin"/>
      </w:r>
      <w:r>
        <w:rPr>
          <w:highlight w:val="none"/>
        </w:rPr>
        <w:instrText xml:space="preserve"> HYPERLINK \l _Toc8816 </w:instrText>
      </w:r>
      <w:r>
        <w:rPr>
          <w:highlight w:val="none"/>
        </w:rPr>
        <w:fldChar w:fldCharType="separate"/>
      </w:r>
      <w:r>
        <w:rPr>
          <w:rFonts w:hint="eastAsia"/>
          <w:highlight w:val="none"/>
        </w:rPr>
        <w:t>3</w:t>
      </w:r>
      <w:r>
        <w:rPr>
          <w:highlight w:val="none"/>
        </w:rPr>
        <w:t>.</w:t>
      </w:r>
      <w:r>
        <w:rPr>
          <w:rFonts w:hint="eastAsia"/>
          <w:highlight w:val="none"/>
          <w:lang w:val="en-US" w:eastAsia="zh-CN"/>
        </w:rPr>
        <w:t>3</w:t>
      </w:r>
      <w:r>
        <w:rPr>
          <w:highlight w:val="none"/>
        </w:rPr>
        <w:t xml:space="preserve"> </w:t>
      </w:r>
      <w:r>
        <w:rPr>
          <w:rFonts w:hint="eastAsia"/>
          <w:highlight w:val="none"/>
          <w:lang w:val="en-US" w:eastAsia="zh-CN"/>
        </w:rPr>
        <w:t>施工设备计划</w:t>
      </w:r>
      <w:r>
        <w:tab/>
      </w:r>
      <w:r>
        <w:fldChar w:fldCharType="begin"/>
      </w:r>
      <w:r>
        <w:instrText xml:space="preserve"> PAGEREF _Toc8816 \h </w:instrText>
      </w:r>
      <w:r>
        <w:fldChar w:fldCharType="separate"/>
      </w:r>
      <w:r>
        <w:t>19</w:t>
      </w:r>
      <w:r>
        <w:fldChar w:fldCharType="end"/>
      </w:r>
      <w:r>
        <w:rPr>
          <w:highlight w:val="none"/>
        </w:rPr>
        <w:fldChar w:fldCharType="end"/>
      </w:r>
    </w:p>
    <w:p w14:paraId="54E3C800">
      <w:pPr>
        <w:pStyle w:val="26"/>
        <w:tabs>
          <w:tab w:val="right" w:leader="dot" w:pos="8306"/>
        </w:tabs>
      </w:pPr>
      <w:r>
        <w:rPr>
          <w:highlight w:val="none"/>
        </w:rPr>
        <w:fldChar w:fldCharType="begin"/>
      </w:r>
      <w:r>
        <w:rPr>
          <w:highlight w:val="none"/>
        </w:rPr>
        <w:instrText xml:space="preserve"> HYPERLINK \l _Toc6971 </w:instrText>
      </w:r>
      <w:r>
        <w:rPr>
          <w:highlight w:val="none"/>
        </w:rPr>
        <w:fldChar w:fldCharType="separate"/>
      </w:r>
      <w:r>
        <w:rPr>
          <w:rFonts w:hint="eastAsia"/>
          <w:highlight w:val="none"/>
        </w:rPr>
        <w:t>3.</w:t>
      </w:r>
      <w:r>
        <w:rPr>
          <w:rFonts w:hint="eastAsia"/>
          <w:highlight w:val="none"/>
          <w:lang w:val="en-US" w:eastAsia="zh-CN"/>
        </w:rPr>
        <w:t>4施工</w:t>
      </w:r>
      <w:r>
        <w:rPr>
          <w:rFonts w:hint="eastAsia"/>
          <w:highlight w:val="none"/>
        </w:rPr>
        <w:t>材料</w:t>
      </w:r>
      <w:r>
        <w:rPr>
          <w:rFonts w:hint="eastAsia"/>
          <w:highlight w:val="none"/>
          <w:lang w:val="en-US" w:eastAsia="zh-CN"/>
        </w:rPr>
        <w:t>与安全工机具</w:t>
      </w:r>
      <w:r>
        <w:tab/>
      </w:r>
      <w:r>
        <w:fldChar w:fldCharType="begin"/>
      </w:r>
      <w:r>
        <w:instrText xml:space="preserve"> PAGEREF _Toc6971 \h </w:instrText>
      </w:r>
      <w:r>
        <w:fldChar w:fldCharType="separate"/>
      </w:r>
      <w:r>
        <w:t>20</w:t>
      </w:r>
      <w:r>
        <w:fldChar w:fldCharType="end"/>
      </w:r>
      <w:r>
        <w:rPr>
          <w:highlight w:val="none"/>
        </w:rPr>
        <w:fldChar w:fldCharType="end"/>
      </w:r>
    </w:p>
    <w:p w14:paraId="5F00FE38">
      <w:pPr>
        <w:pStyle w:val="25"/>
        <w:tabs>
          <w:tab w:val="right" w:leader="dot" w:pos="8306"/>
        </w:tabs>
      </w:pPr>
      <w:r>
        <w:rPr>
          <w:highlight w:val="none"/>
        </w:rPr>
        <w:fldChar w:fldCharType="begin"/>
      </w:r>
      <w:r>
        <w:rPr>
          <w:highlight w:val="none"/>
        </w:rPr>
        <w:instrText xml:space="preserve"> HYPERLINK \l _Toc7284 </w:instrText>
      </w:r>
      <w:r>
        <w:rPr>
          <w:highlight w:val="none"/>
        </w:rPr>
        <w:fldChar w:fldCharType="separate"/>
      </w:r>
      <w:r>
        <w:rPr>
          <w:rFonts w:hint="eastAsia"/>
          <w:highlight w:val="none"/>
          <w:lang w:val="en-US" w:eastAsia="zh-CN"/>
        </w:rPr>
        <w:t>4</w:t>
      </w:r>
      <w:r>
        <w:rPr>
          <w:rFonts w:hint="eastAsia"/>
          <w:highlight w:val="none"/>
        </w:rPr>
        <w:t>施工工艺</w:t>
      </w:r>
      <w:r>
        <w:tab/>
      </w:r>
      <w:r>
        <w:fldChar w:fldCharType="begin"/>
      </w:r>
      <w:r>
        <w:instrText xml:space="preserve"> PAGEREF _Toc7284 \h </w:instrText>
      </w:r>
      <w:r>
        <w:fldChar w:fldCharType="separate"/>
      </w:r>
      <w:r>
        <w:t>22</w:t>
      </w:r>
      <w:r>
        <w:fldChar w:fldCharType="end"/>
      </w:r>
      <w:r>
        <w:rPr>
          <w:highlight w:val="none"/>
        </w:rPr>
        <w:fldChar w:fldCharType="end"/>
      </w:r>
    </w:p>
    <w:p w14:paraId="502B39C4">
      <w:pPr>
        <w:pStyle w:val="26"/>
        <w:tabs>
          <w:tab w:val="right" w:leader="dot" w:pos="8306"/>
        </w:tabs>
      </w:pPr>
      <w:r>
        <w:rPr>
          <w:highlight w:val="none"/>
        </w:rPr>
        <w:fldChar w:fldCharType="begin"/>
      </w:r>
      <w:r>
        <w:rPr>
          <w:highlight w:val="none"/>
        </w:rPr>
        <w:instrText xml:space="preserve"> HYPERLINK \l _Toc25900 </w:instrText>
      </w:r>
      <w:r>
        <w:rPr>
          <w:highlight w:val="none"/>
        </w:rPr>
        <w:fldChar w:fldCharType="separate"/>
      </w:r>
      <w:r>
        <w:rPr>
          <w:rFonts w:hint="eastAsia"/>
          <w:highlight w:val="none"/>
          <w:lang w:val="en-US" w:eastAsia="zh-CN"/>
        </w:rPr>
        <w:t>4.1</w:t>
      </w:r>
      <w:r>
        <w:rPr>
          <w:rFonts w:hint="eastAsia"/>
          <w:highlight w:val="none"/>
        </w:rPr>
        <w:t>塔机安装施工工艺流程</w:t>
      </w:r>
      <w:r>
        <w:tab/>
      </w:r>
      <w:r>
        <w:fldChar w:fldCharType="begin"/>
      </w:r>
      <w:r>
        <w:instrText xml:space="preserve"> PAGEREF _Toc25900 \h </w:instrText>
      </w:r>
      <w:r>
        <w:fldChar w:fldCharType="separate"/>
      </w:r>
      <w:r>
        <w:t>22</w:t>
      </w:r>
      <w:r>
        <w:fldChar w:fldCharType="end"/>
      </w:r>
      <w:r>
        <w:rPr>
          <w:highlight w:val="none"/>
        </w:rPr>
        <w:fldChar w:fldCharType="end"/>
      </w:r>
    </w:p>
    <w:p w14:paraId="2F2C7BC2">
      <w:pPr>
        <w:pStyle w:val="26"/>
        <w:tabs>
          <w:tab w:val="right" w:leader="dot" w:pos="8306"/>
        </w:tabs>
      </w:pPr>
      <w:r>
        <w:rPr>
          <w:highlight w:val="none"/>
        </w:rPr>
        <w:fldChar w:fldCharType="begin"/>
      </w:r>
      <w:r>
        <w:rPr>
          <w:highlight w:val="none"/>
        </w:rPr>
        <w:instrText xml:space="preserve"> HYPERLINK \l _Toc14414 </w:instrText>
      </w:r>
      <w:r>
        <w:rPr>
          <w:highlight w:val="none"/>
        </w:rPr>
        <w:fldChar w:fldCharType="separate"/>
      </w:r>
      <w:r>
        <w:rPr>
          <w:rFonts w:hint="eastAsia"/>
          <w:highlight w:val="none"/>
          <w:lang w:val="en-US" w:eastAsia="zh-CN"/>
        </w:rPr>
        <w:t>4.2主要设备选型</w:t>
      </w:r>
      <w:r>
        <w:tab/>
      </w:r>
      <w:r>
        <w:fldChar w:fldCharType="begin"/>
      </w:r>
      <w:r>
        <w:instrText xml:space="preserve"> PAGEREF _Toc14414 \h </w:instrText>
      </w:r>
      <w:r>
        <w:fldChar w:fldCharType="separate"/>
      </w:r>
      <w:r>
        <w:t>22</w:t>
      </w:r>
      <w:r>
        <w:fldChar w:fldCharType="end"/>
      </w:r>
      <w:r>
        <w:rPr>
          <w:highlight w:val="none"/>
        </w:rPr>
        <w:fldChar w:fldCharType="end"/>
      </w:r>
    </w:p>
    <w:p w14:paraId="5C9B13DE">
      <w:pPr>
        <w:pStyle w:val="26"/>
        <w:tabs>
          <w:tab w:val="right" w:leader="dot" w:pos="8306"/>
        </w:tabs>
      </w:pPr>
      <w:r>
        <w:rPr>
          <w:highlight w:val="none"/>
        </w:rPr>
        <w:fldChar w:fldCharType="begin"/>
      </w:r>
      <w:r>
        <w:rPr>
          <w:highlight w:val="none"/>
        </w:rPr>
        <w:instrText xml:space="preserve"> HYPERLINK \l _Toc16312 </w:instrText>
      </w:r>
      <w:r>
        <w:rPr>
          <w:highlight w:val="none"/>
        </w:rPr>
        <w:fldChar w:fldCharType="separate"/>
      </w:r>
      <w:r>
        <w:rPr>
          <w:rFonts w:hint="eastAsia"/>
          <w:highlight w:val="none"/>
          <w:lang w:val="en-US" w:eastAsia="zh-CN"/>
        </w:rPr>
        <w:t>4.3 塔机安装前施工准备</w:t>
      </w:r>
      <w:r>
        <w:tab/>
      </w:r>
      <w:r>
        <w:fldChar w:fldCharType="begin"/>
      </w:r>
      <w:r>
        <w:instrText xml:space="preserve"> PAGEREF _Toc16312 \h </w:instrText>
      </w:r>
      <w:r>
        <w:fldChar w:fldCharType="separate"/>
      </w:r>
      <w:r>
        <w:t>27</w:t>
      </w:r>
      <w:r>
        <w:fldChar w:fldCharType="end"/>
      </w:r>
      <w:r>
        <w:rPr>
          <w:highlight w:val="none"/>
        </w:rPr>
        <w:fldChar w:fldCharType="end"/>
      </w:r>
    </w:p>
    <w:p w14:paraId="58F7F1E3">
      <w:pPr>
        <w:pStyle w:val="26"/>
        <w:tabs>
          <w:tab w:val="right" w:leader="dot" w:pos="8306"/>
        </w:tabs>
      </w:pPr>
      <w:r>
        <w:rPr>
          <w:highlight w:val="none"/>
        </w:rPr>
        <w:fldChar w:fldCharType="begin"/>
      </w:r>
      <w:r>
        <w:rPr>
          <w:highlight w:val="none"/>
        </w:rPr>
        <w:instrText xml:space="preserve"> HYPERLINK \l _Toc19703 </w:instrText>
      </w:r>
      <w:r>
        <w:rPr>
          <w:highlight w:val="none"/>
        </w:rPr>
        <w:fldChar w:fldCharType="separate"/>
      </w:r>
      <w:r>
        <w:rPr>
          <w:rFonts w:hint="eastAsia"/>
          <w:highlight w:val="none"/>
        </w:rPr>
        <w:t>4.</w:t>
      </w:r>
      <w:r>
        <w:rPr>
          <w:rFonts w:hint="eastAsia"/>
          <w:highlight w:val="none"/>
          <w:lang w:val="en-US" w:eastAsia="zh-CN"/>
        </w:rPr>
        <w:t>4</w:t>
      </w:r>
      <w:r>
        <w:rPr>
          <w:rFonts w:hint="eastAsia"/>
          <w:highlight w:val="none"/>
        </w:rPr>
        <w:t xml:space="preserve"> 塔机安装具体步骤</w:t>
      </w:r>
      <w:r>
        <w:tab/>
      </w:r>
      <w:r>
        <w:fldChar w:fldCharType="begin"/>
      </w:r>
      <w:r>
        <w:instrText xml:space="preserve"> PAGEREF _Toc19703 \h </w:instrText>
      </w:r>
      <w:r>
        <w:fldChar w:fldCharType="separate"/>
      </w:r>
      <w:r>
        <w:t>29</w:t>
      </w:r>
      <w:r>
        <w:fldChar w:fldCharType="end"/>
      </w:r>
      <w:r>
        <w:rPr>
          <w:highlight w:val="none"/>
        </w:rPr>
        <w:fldChar w:fldCharType="end"/>
      </w:r>
    </w:p>
    <w:p w14:paraId="389D3537">
      <w:pPr>
        <w:pStyle w:val="26"/>
        <w:tabs>
          <w:tab w:val="right" w:leader="dot" w:pos="8306"/>
        </w:tabs>
      </w:pPr>
      <w:r>
        <w:rPr>
          <w:highlight w:val="none"/>
        </w:rPr>
        <w:fldChar w:fldCharType="begin"/>
      </w:r>
      <w:r>
        <w:rPr>
          <w:highlight w:val="none"/>
        </w:rPr>
        <w:instrText xml:space="preserve"> HYPERLINK \l _Toc2289 </w:instrText>
      </w:r>
      <w:r>
        <w:rPr>
          <w:highlight w:val="none"/>
        </w:rPr>
        <w:fldChar w:fldCharType="separate"/>
      </w:r>
      <w:r>
        <w:rPr>
          <w:rFonts w:hint="eastAsia"/>
          <w:highlight w:val="none"/>
          <w:lang w:val="en-US" w:eastAsia="zh-CN"/>
        </w:rPr>
        <w:t>4.5检查要求</w:t>
      </w:r>
      <w:r>
        <w:tab/>
      </w:r>
      <w:r>
        <w:fldChar w:fldCharType="begin"/>
      </w:r>
      <w:r>
        <w:instrText xml:space="preserve"> PAGEREF _Toc2289 \h </w:instrText>
      </w:r>
      <w:r>
        <w:fldChar w:fldCharType="separate"/>
      </w:r>
      <w:r>
        <w:t>62</w:t>
      </w:r>
      <w:r>
        <w:fldChar w:fldCharType="end"/>
      </w:r>
      <w:r>
        <w:rPr>
          <w:highlight w:val="none"/>
        </w:rPr>
        <w:fldChar w:fldCharType="end"/>
      </w:r>
    </w:p>
    <w:p w14:paraId="0D3D1028">
      <w:pPr>
        <w:pStyle w:val="25"/>
        <w:tabs>
          <w:tab w:val="right" w:leader="dot" w:pos="8306"/>
        </w:tabs>
      </w:pPr>
      <w:r>
        <w:rPr>
          <w:highlight w:val="none"/>
        </w:rPr>
        <w:fldChar w:fldCharType="begin"/>
      </w:r>
      <w:r>
        <w:rPr>
          <w:highlight w:val="none"/>
        </w:rPr>
        <w:instrText xml:space="preserve"> HYPERLINK \l _Toc32592 </w:instrText>
      </w:r>
      <w:r>
        <w:rPr>
          <w:highlight w:val="none"/>
        </w:rPr>
        <w:fldChar w:fldCharType="separate"/>
      </w:r>
      <w:r>
        <w:rPr>
          <w:rFonts w:hint="eastAsia"/>
          <w:highlight w:val="none"/>
          <w:lang w:val="en-US" w:eastAsia="zh-CN"/>
        </w:rPr>
        <w:t>5质量控制措施</w:t>
      </w:r>
      <w:r>
        <w:tab/>
      </w:r>
      <w:r>
        <w:fldChar w:fldCharType="begin"/>
      </w:r>
      <w:r>
        <w:instrText xml:space="preserve"> PAGEREF _Toc32592 \h </w:instrText>
      </w:r>
      <w:r>
        <w:fldChar w:fldCharType="separate"/>
      </w:r>
      <w:r>
        <w:t>66</w:t>
      </w:r>
      <w:r>
        <w:fldChar w:fldCharType="end"/>
      </w:r>
      <w:r>
        <w:rPr>
          <w:highlight w:val="none"/>
        </w:rPr>
        <w:fldChar w:fldCharType="end"/>
      </w:r>
    </w:p>
    <w:p w14:paraId="39F3B198">
      <w:pPr>
        <w:pStyle w:val="26"/>
        <w:tabs>
          <w:tab w:val="right" w:leader="dot" w:pos="8306"/>
        </w:tabs>
      </w:pPr>
      <w:r>
        <w:rPr>
          <w:highlight w:val="none"/>
        </w:rPr>
        <w:fldChar w:fldCharType="begin"/>
      </w:r>
      <w:r>
        <w:rPr>
          <w:highlight w:val="none"/>
        </w:rPr>
        <w:instrText xml:space="preserve"> HYPERLINK \l _Toc23808 </w:instrText>
      </w:r>
      <w:r>
        <w:rPr>
          <w:highlight w:val="none"/>
        </w:rPr>
        <w:fldChar w:fldCharType="separate"/>
      </w:r>
      <w:r>
        <w:rPr>
          <w:rFonts w:hint="eastAsia"/>
          <w:highlight w:val="none"/>
          <w:lang w:val="en-US" w:eastAsia="zh-CN"/>
        </w:rPr>
        <w:t>5.1</w:t>
      </w:r>
      <w:r>
        <w:rPr>
          <w:rFonts w:hint="eastAsia"/>
          <w:highlight w:val="none"/>
        </w:rPr>
        <w:t>质量管理组织机构</w:t>
      </w:r>
      <w:r>
        <w:tab/>
      </w:r>
      <w:r>
        <w:fldChar w:fldCharType="begin"/>
      </w:r>
      <w:r>
        <w:instrText xml:space="preserve"> PAGEREF _Toc23808 \h </w:instrText>
      </w:r>
      <w:r>
        <w:fldChar w:fldCharType="separate"/>
      </w:r>
      <w:r>
        <w:t>66</w:t>
      </w:r>
      <w:r>
        <w:fldChar w:fldCharType="end"/>
      </w:r>
      <w:r>
        <w:rPr>
          <w:highlight w:val="none"/>
        </w:rPr>
        <w:fldChar w:fldCharType="end"/>
      </w:r>
    </w:p>
    <w:p w14:paraId="3F85BB72">
      <w:pPr>
        <w:pStyle w:val="26"/>
        <w:tabs>
          <w:tab w:val="right" w:leader="dot" w:pos="8306"/>
        </w:tabs>
      </w:pPr>
      <w:r>
        <w:rPr>
          <w:highlight w:val="none"/>
        </w:rPr>
        <w:fldChar w:fldCharType="begin"/>
      </w:r>
      <w:r>
        <w:rPr>
          <w:highlight w:val="none"/>
        </w:rPr>
        <w:instrText xml:space="preserve"> HYPERLINK \l _Toc636 </w:instrText>
      </w:r>
      <w:r>
        <w:rPr>
          <w:highlight w:val="none"/>
        </w:rPr>
        <w:fldChar w:fldCharType="separate"/>
      </w:r>
      <w:r>
        <w:rPr>
          <w:rFonts w:hint="eastAsia"/>
          <w:highlight w:val="none"/>
          <w:lang w:val="en-US" w:eastAsia="zh-CN"/>
        </w:rPr>
        <w:t>5.2</w:t>
      </w:r>
      <w:r>
        <w:rPr>
          <w:rFonts w:hint="eastAsia"/>
          <w:highlight w:val="none"/>
        </w:rPr>
        <w:t>质量通病及质量通病预防</w:t>
      </w:r>
      <w:r>
        <w:tab/>
      </w:r>
      <w:r>
        <w:fldChar w:fldCharType="begin"/>
      </w:r>
      <w:r>
        <w:instrText xml:space="preserve"> PAGEREF _Toc636 \h </w:instrText>
      </w:r>
      <w:r>
        <w:fldChar w:fldCharType="separate"/>
      </w:r>
      <w:r>
        <w:t>66</w:t>
      </w:r>
      <w:r>
        <w:fldChar w:fldCharType="end"/>
      </w:r>
      <w:r>
        <w:rPr>
          <w:highlight w:val="none"/>
        </w:rPr>
        <w:fldChar w:fldCharType="end"/>
      </w:r>
    </w:p>
    <w:p w14:paraId="535FF8DD">
      <w:pPr>
        <w:pStyle w:val="26"/>
        <w:tabs>
          <w:tab w:val="right" w:leader="dot" w:pos="8306"/>
        </w:tabs>
      </w:pPr>
      <w:r>
        <w:rPr>
          <w:highlight w:val="none"/>
        </w:rPr>
        <w:fldChar w:fldCharType="begin"/>
      </w:r>
      <w:r>
        <w:rPr>
          <w:highlight w:val="none"/>
        </w:rPr>
        <w:instrText xml:space="preserve"> HYPERLINK \l _Toc5006 </w:instrText>
      </w:r>
      <w:r>
        <w:rPr>
          <w:highlight w:val="none"/>
        </w:rPr>
        <w:fldChar w:fldCharType="separate"/>
      </w:r>
      <w:r>
        <w:rPr>
          <w:rFonts w:hint="eastAsia"/>
          <w:highlight w:val="none"/>
          <w:lang w:val="en-US" w:eastAsia="zh-CN"/>
        </w:rPr>
        <w:t>5.3</w:t>
      </w:r>
      <w:r>
        <w:rPr>
          <w:rFonts w:hint="eastAsia"/>
          <w:highlight w:val="none"/>
        </w:rPr>
        <w:t>质量保证措施</w:t>
      </w:r>
      <w:r>
        <w:tab/>
      </w:r>
      <w:r>
        <w:fldChar w:fldCharType="begin"/>
      </w:r>
      <w:r>
        <w:instrText xml:space="preserve"> PAGEREF _Toc5006 \h </w:instrText>
      </w:r>
      <w:r>
        <w:fldChar w:fldCharType="separate"/>
      </w:r>
      <w:r>
        <w:t>67</w:t>
      </w:r>
      <w:r>
        <w:fldChar w:fldCharType="end"/>
      </w:r>
      <w:r>
        <w:rPr>
          <w:highlight w:val="none"/>
        </w:rPr>
        <w:fldChar w:fldCharType="end"/>
      </w:r>
    </w:p>
    <w:p w14:paraId="61FC80A0">
      <w:pPr>
        <w:pStyle w:val="26"/>
        <w:tabs>
          <w:tab w:val="right" w:leader="dot" w:pos="8306"/>
        </w:tabs>
      </w:pPr>
      <w:r>
        <w:rPr>
          <w:highlight w:val="none"/>
        </w:rPr>
        <w:fldChar w:fldCharType="begin"/>
      </w:r>
      <w:r>
        <w:rPr>
          <w:highlight w:val="none"/>
        </w:rPr>
        <w:instrText xml:space="preserve"> HYPERLINK \l _Toc25651 </w:instrText>
      </w:r>
      <w:r>
        <w:rPr>
          <w:highlight w:val="none"/>
        </w:rPr>
        <w:fldChar w:fldCharType="separate"/>
      </w:r>
      <w:r>
        <w:rPr>
          <w:rFonts w:hint="eastAsia"/>
          <w:highlight w:val="none"/>
          <w:lang w:val="en-US" w:eastAsia="zh-CN"/>
        </w:rPr>
        <w:t>5.4</w:t>
      </w:r>
      <w:r>
        <w:rPr>
          <w:rFonts w:hint="eastAsia"/>
          <w:highlight w:val="none"/>
        </w:rPr>
        <w:t>作业过程中控制点的设置</w:t>
      </w:r>
      <w:r>
        <w:tab/>
      </w:r>
      <w:r>
        <w:fldChar w:fldCharType="begin"/>
      </w:r>
      <w:r>
        <w:instrText xml:space="preserve"> PAGEREF _Toc25651 \h </w:instrText>
      </w:r>
      <w:r>
        <w:fldChar w:fldCharType="separate"/>
      </w:r>
      <w:r>
        <w:t>69</w:t>
      </w:r>
      <w:r>
        <w:fldChar w:fldCharType="end"/>
      </w:r>
      <w:r>
        <w:rPr>
          <w:highlight w:val="none"/>
        </w:rPr>
        <w:fldChar w:fldCharType="end"/>
      </w:r>
    </w:p>
    <w:p w14:paraId="2F6FD120">
      <w:pPr>
        <w:pStyle w:val="25"/>
        <w:tabs>
          <w:tab w:val="right" w:leader="dot" w:pos="8306"/>
        </w:tabs>
      </w:pPr>
      <w:r>
        <w:rPr>
          <w:highlight w:val="none"/>
        </w:rPr>
        <w:fldChar w:fldCharType="begin"/>
      </w:r>
      <w:r>
        <w:rPr>
          <w:highlight w:val="none"/>
        </w:rPr>
        <w:instrText xml:space="preserve"> HYPERLINK \l _Toc3429 </w:instrText>
      </w:r>
      <w:r>
        <w:rPr>
          <w:highlight w:val="none"/>
        </w:rPr>
        <w:fldChar w:fldCharType="separate"/>
      </w:r>
      <w:r>
        <w:rPr>
          <w:rFonts w:hint="eastAsia"/>
          <w:highlight w:val="none"/>
          <w:lang w:val="en-US" w:eastAsia="zh-CN"/>
        </w:rPr>
        <w:t>6</w:t>
      </w:r>
      <w:r>
        <w:rPr>
          <w:rFonts w:hint="eastAsia"/>
          <w:highlight w:val="none"/>
        </w:rPr>
        <w:t>施工安全保障措施</w:t>
      </w:r>
      <w:r>
        <w:tab/>
      </w:r>
      <w:r>
        <w:fldChar w:fldCharType="begin"/>
      </w:r>
      <w:r>
        <w:instrText xml:space="preserve"> PAGEREF _Toc3429 \h </w:instrText>
      </w:r>
      <w:r>
        <w:fldChar w:fldCharType="separate"/>
      </w:r>
      <w:r>
        <w:t>70</w:t>
      </w:r>
      <w:r>
        <w:fldChar w:fldCharType="end"/>
      </w:r>
      <w:r>
        <w:rPr>
          <w:highlight w:val="none"/>
        </w:rPr>
        <w:fldChar w:fldCharType="end"/>
      </w:r>
    </w:p>
    <w:p w14:paraId="782EC4B3">
      <w:pPr>
        <w:pStyle w:val="26"/>
        <w:tabs>
          <w:tab w:val="right" w:leader="dot" w:pos="8306"/>
        </w:tabs>
      </w:pPr>
      <w:r>
        <w:rPr>
          <w:highlight w:val="none"/>
        </w:rPr>
        <w:fldChar w:fldCharType="begin"/>
      </w:r>
      <w:r>
        <w:rPr>
          <w:highlight w:val="none"/>
        </w:rPr>
        <w:instrText xml:space="preserve"> HYPERLINK \l _Toc3162 </w:instrText>
      </w:r>
      <w:r>
        <w:rPr>
          <w:highlight w:val="none"/>
        </w:rPr>
        <w:fldChar w:fldCharType="separate"/>
      </w:r>
      <w:r>
        <w:rPr>
          <w:rFonts w:hint="eastAsia"/>
          <w:highlight w:val="none"/>
          <w:lang w:val="en-US" w:eastAsia="zh-CN"/>
        </w:rPr>
        <w:t>6</w:t>
      </w:r>
      <w:r>
        <w:rPr>
          <w:rFonts w:hint="eastAsia"/>
          <w:highlight w:val="none"/>
        </w:rPr>
        <w:t>.1 组织保障措施</w:t>
      </w:r>
      <w:r>
        <w:tab/>
      </w:r>
      <w:r>
        <w:fldChar w:fldCharType="begin"/>
      </w:r>
      <w:r>
        <w:instrText xml:space="preserve"> PAGEREF _Toc3162 \h </w:instrText>
      </w:r>
      <w:r>
        <w:fldChar w:fldCharType="separate"/>
      </w:r>
      <w:r>
        <w:t>70</w:t>
      </w:r>
      <w:r>
        <w:fldChar w:fldCharType="end"/>
      </w:r>
      <w:r>
        <w:rPr>
          <w:highlight w:val="none"/>
        </w:rPr>
        <w:fldChar w:fldCharType="end"/>
      </w:r>
    </w:p>
    <w:p w14:paraId="66EF7B8B">
      <w:pPr>
        <w:pStyle w:val="26"/>
        <w:tabs>
          <w:tab w:val="right" w:leader="dot" w:pos="8306"/>
        </w:tabs>
      </w:pPr>
      <w:r>
        <w:rPr>
          <w:highlight w:val="none"/>
        </w:rPr>
        <w:fldChar w:fldCharType="begin"/>
      </w:r>
      <w:r>
        <w:rPr>
          <w:highlight w:val="none"/>
        </w:rPr>
        <w:instrText xml:space="preserve"> HYPERLINK \l _Toc31760 </w:instrText>
      </w:r>
      <w:r>
        <w:rPr>
          <w:highlight w:val="none"/>
        </w:rPr>
        <w:fldChar w:fldCharType="separate"/>
      </w:r>
      <w:r>
        <w:rPr>
          <w:rFonts w:hint="eastAsia"/>
          <w:highlight w:val="none"/>
          <w:lang w:val="en-US" w:eastAsia="zh-CN"/>
        </w:rPr>
        <w:t>6</w:t>
      </w:r>
      <w:r>
        <w:rPr>
          <w:rFonts w:hint="eastAsia"/>
          <w:highlight w:val="none"/>
        </w:rPr>
        <w:t>.2 制度保障措施</w:t>
      </w:r>
      <w:r>
        <w:tab/>
      </w:r>
      <w:r>
        <w:fldChar w:fldCharType="begin"/>
      </w:r>
      <w:r>
        <w:instrText xml:space="preserve"> PAGEREF _Toc31760 \h </w:instrText>
      </w:r>
      <w:r>
        <w:fldChar w:fldCharType="separate"/>
      </w:r>
      <w:r>
        <w:t>77</w:t>
      </w:r>
      <w:r>
        <w:fldChar w:fldCharType="end"/>
      </w:r>
      <w:r>
        <w:rPr>
          <w:highlight w:val="none"/>
        </w:rPr>
        <w:fldChar w:fldCharType="end"/>
      </w:r>
    </w:p>
    <w:p w14:paraId="398A850C">
      <w:pPr>
        <w:pStyle w:val="26"/>
        <w:tabs>
          <w:tab w:val="right" w:leader="dot" w:pos="8306"/>
        </w:tabs>
      </w:pPr>
      <w:r>
        <w:rPr>
          <w:highlight w:val="none"/>
        </w:rPr>
        <w:fldChar w:fldCharType="begin"/>
      </w:r>
      <w:r>
        <w:rPr>
          <w:highlight w:val="none"/>
        </w:rPr>
        <w:instrText xml:space="preserve"> HYPERLINK \l _Toc4768 </w:instrText>
      </w:r>
      <w:r>
        <w:rPr>
          <w:highlight w:val="none"/>
        </w:rPr>
        <w:fldChar w:fldCharType="separate"/>
      </w:r>
      <w:r>
        <w:rPr>
          <w:rFonts w:hint="eastAsia"/>
          <w:highlight w:val="none"/>
          <w:lang w:val="en-US" w:eastAsia="zh-CN"/>
        </w:rPr>
        <w:t>6</w:t>
      </w:r>
      <w:r>
        <w:rPr>
          <w:rFonts w:hint="eastAsia"/>
          <w:highlight w:val="none"/>
        </w:rPr>
        <w:t>.3 监管措施</w:t>
      </w:r>
      <w:r>
        <w:tab/>
      </w:r>
      <w:r>
        <w:fldChar w:fldCharType="begin"/>
      </w:r>
      <w:r>
        <w:instrText xml:space="preserve"> PAGEREF _Toc4768 \h </w:instrText>
      </w:r>
      <w:r>
        <w:fldChar w:fldCharType="separate"/>
      </w:r>
      <w:r>
        <w:t>80</w:t>
      </w:r>
      <w:r>
        <w:fldChar w:fldCharType="end"/>
      </w:r>
      <w:r>
        <w:rPr>
          <w:highlight w:val="none"/>
        </w:rPr>
        <w:fldChar w:fldCharType="end"/>
      </w:r>
    </w:p>
    <w:p w14:paraId="1989A89E">
      <w:pPr>
        <w:pStyle w:val="26"/>
        <w:tabs>
          <w:tab w:val="right" w:leader="dot" w:pos="8306"/>
        </w:tabs>
      </w:pPr>
      <w:r>
        <w:rPr>
          <w:highlight w:val="none"/>
        </w:rPr>
        <w:fldChar w:fldCharType="begin"/>
      </w:r>
      <w:r>
        <w:rPr>
          <w:highlight w:val="none"/>
        </w:rPr>
        <w:instrText xml:space="preserve"> HYPERLINK \l _Toc23430 </w:instrText>
      </w:r>
      <w:r>
        <w:rPr>
          <w:highlight w:val="none"/>
        </w:rPr>
        <w:fldChar w:fldCharType="separate"/>
      </w:r>
      <w:r>
        <w:rPr>
          <w:rFonts w:hint="eastAsia"/>
          <w:highlight w:val="none"/>
          <w:lang w:val="en-US" w:eastAsia="zh-CN"/>
        </w:rPr>
        <w:t>6</w:t>
      </w:r>
      <w:r>
        <w:rPr>
          <w:rFonts w:hint="eastAsia"/>
          <w:highlight w:val="none"/>
        </w:rPr>
        <w:t>.4 施工安全技术控制措施</w:t>
      </w:r>
      <w:r>
        <w:tab/>
      </w:r>
      <w:r>
        <w:fldChar w:fldCharType="begin"/>
      </w:r>
      <w:r>
        <w:instrText xml:space="preserve"> PAGEREF _Toc23430 \h </w:instrText>
      </w:r>
      <w:r>
        <w:fldChar w:fldCharType="separate"/>
      </w:r>
      <w:r>
        <w:t>80</w:t>
      </w:r>
      <w:r>
        <w:fldChar w:fldCharType="end"/>
      </w:r>
      <w:r>
        <w:rPr>
          <w:highlight w:val="none"/>
        </w:rPr>
        <w:fldChar w:fldCharType="end"/>
      </w:r>
    </w:p>
    <w:p w14:paraId="0D165FFF">
      <w:pPr>
        <w:pStyle w:val="25"/>
        <w:tabs>
          <w:tab w:val="right" w:leader="dot" w:pos="8306"/>
        </w:tabs>
      </w:pPr>
      <w:r>
        <w:rPr>
          <w:highlight w:val="none"/>
        </w:rPr>
        <w:fldChar w:fldCharType="begin"/>
      </w:r>
      <w:r>
        <w:rPr>
          <w:highlight w:val="none"/>
        </w:rPr>
        <w:instrText xml:space="preserve"> HYPERLINK \l _Toc25094 </w:instrText>
      </w:r>
      <w:r>
        <w:rPr>
          <w:highlight w:val="none"/>
        </w:rPr>
        <w:fldChar w:fldCharType="separate"/>
      </w:r>
      <w:r>
        <w:rPr>
          <w:rFonts w:hint="eastAsia"/>
          <w:highlight w:val="none"/>
          <w:lang w:val="en-US" w:eastAsia="zh-CN"/>
        </w:rPr>
        <w:t>7</w:t>
      </w:r>
      <w:r>
        <w:rPr>
          <w:highlight w:val="none"/>
        </w:rPr>
        <w:t>施工管理及作业人员配备和分工</w:t>
      </w:r>
      <w:r>
        <w:tab/>
      </w:r>
      <w:r>
        <w:fldChar w:fldCharType="begin"/>
      </w:r>
      <w:r>
        <w:instrText xml:space="preserve"> PAGEREF _Toc25094 \h </w:instrText>
      </w:r>
      <w:r>
        <w:fldChar w:fldCharType="separate"/>
      </w:r>
      <w:r>
        <w:t>92</w:t>
      </w:r>
      <w:r>
        <w:fldChar w:fldCharType="end"/>
      </w:r>
      <w:r>
        <w:rPr>
          <w:highlight w:val="none"/>
        </w:rPr>
        <w:fldChar w:fldCharType="end"/>
      </w:r>
    </w:p>
    <w:p w14:paraId="51D7C9F0">
      <w:pPr>
        <w:pStyle w:val="26"/>
        <w:tabs>
          <w:tab w:val="right" w:leader="dot" w:pos="8306"/>
        </w:tabs>
      </w:pPr>
      <w:r>
        <w:rPr>
          <w:highlight w:val="none"/>
        </w:rPr>
        <w:fldChar w:fldCharType="begin"/>
      </w:r>
      <w:r>
        <w:rPr>
          <w:highlight w:val="none"/>
        </w:rPr>
        <w:instrText xml:space="preserve"> HYPERLINK \l _Toc22050 </w:instrText>
      </w:r>
      <w:r>
        <w:rPr>
          <w:highlight w:val="none"/>
        </w:rPr>
        <w:fldChar w:fldCharType="separate"/>
      </w:r>
      <w:r>
        <w:rPr>
          <w:rFonts w:hint="eastAsia"/>
          <w:highlight w:val="none"/>
          <w:lang w:val="en-US" w:eastAsia="zh-CN"/>
        </w:rPr>
        <w:t>7.1</w:t>
      </w:r>
      <w:r>
        <w:rPr>
          <w:rFonts w:hint="eastAsia"/>
          <w:highlight w:val="none"/>
        </w:rPr>
        <w:t>施工组织机构</w:t>
      </w:r>
      <w:r>
        <w:tab/>
      </w:r>
      <w:r>
        <w:fldChar w:fldCharType="begin"/>
      </w:r>
      <w:r>
        <w:instrText xml:space="preserve"> PAGEREF _Toc22050 \h </w:instrText>
      </w:r>
      <w:r>
        <w:fldChar w:fldCharType="separate"/>
      </w:r>
      <w:r>
        <w:t>92</w:t>
      </w:r>
      <w:r>
        <w:fldChar w:fldCharType="end"/>
      </w:r>
      <w:r>
        <w:rPr>
          <w:highlight w:val="none"/>
        </w:rPr>
        <w:fldChar w:fldCharType="end"/>
      </w:r>
    </w:p>
    <w:p w14:paraId="390AE9DA">
      <w:pPr>
        <w:pStyle w:val="26"/>
        <w:tabs>
          <w:tab w:val="right" w:leader="dot" w:pos="8306"/>
        </w:tabs>
      </w:pPr>
      <w:r>
        <w:rPr>
          <w:highlight w:val="none"/>
        </w:rPr>
        <w:fldChar w:fldCharType="begin"/>
      </w:r>
      <w:r>
        <w:rPr>
          <w:highlight w:val="none"/>
        </w:rPr>
        <w:instrText xml:space="preserve"> HYPERLINK \l _Toc8550 </w:instrText>
      </w:r>
      <w:r>
        <w:rPr>
          <w:highlight w:val="none"/>
        </w:rPr>
        <w:fldChar w:fldCharType="separate"/>
      </w:r>
      <w:r>
        <w:rPr>
          <w:rFonts w:hint="eastAsia"/>
          <w:highlight w:val="none"/>
          <w:lang w:val="en-US" w:eastAsia="zh-CN"/>
        </w:rPr>
        <w:t>7.2</w:t>
      </w:r>
      <w:r>
        <w:rPr>
          <w:rFonts w:hint="eastAsia"/>
          <w:highlight w:val="none"/>
        </w:rPr>
        <w:t>人员配置</w:t>
      </w:r>
      <w:r>
        <w:tab/>
      </w:r>
      <w:r>
        <w:fldChar w:fldCharType="begin"/>
      </w:r>
      <w:r>
        <w:instrText xml:space="preserve"> PAGEREF _Toc8550 \h </w:instrText>
      </w:r>
      <w:r>
        <w:fldChar w:fldCharType="separate"/>
      </w:r>
      <w:r>
        <w:t>92</w:t>
      </w:r>
      <w:r>
        <w:fldChar w:fldCharType="end"/>
      </w:r>
      <w:r>
        <w:rPr>
          <w:highlight w:val="none"/>
        </w:rPr>
        <w:fldChar w:fldCharType="end"/>
      </w:r>
    </w:p>
    <w:p w14:paraId="7AA4D7A1">
      <w:pPr>
        <w:pStyle w:val="25"/>
        <w:tabs>
          <w:tab w:val="right" w:leader="dot" w:pos="8306"/>
        </w:tabs>
      </w:pPr>
      <w:r>
        <w:rPr>
          <w:highlight w:val="none"/>
        </w:rPr>
        <w:fldChar w:fldCharType="begin"/>
      </w:r>
      <w:r>
        <w:rPr>
          <w:highlight w:val="none"/>
        </w:rPr>
        <w:instrText xml:space="preserve"> HYPERLINK \l _Toc19837 </w:instrText>
      </w:r>
      <w:r>
        <w:rPr>
          <w:highlight w:val="none"/>
        </w:rPr>
        <w:fldChar w:fldCharType="separate"/>
      </w:r>
      <w:r>
        <w:rPr>
          <w:rFonts w:hint="eastAsia"/>
          <w:highlight w:val="none"/>
          <w:lang w:val="en-US" w:eastAsia="zh-CN"/>
        </w:rPr>
        <w:t>8验收要求</w:t>
      </w:r>
      <w:r>
        <w:tab/>
      </w:r>
      <w:r>
        <w:fldChar w:fldCharType="begin"/>
      </w:r>
      <w:r>
        <w:instrText xml:space="preserve"> PAGEREF _Toc19837 \h </w:instrText>
      </w:r>
      <w:r>
        <w:fldChar w:fldCharType="separate"/>
      </w:r>
      <w:r>
        <w:t>95</w:t>
      </w:r>
      <w:r>
        <w:fldChar w:fldCharType="end"/>
      </w:r>
      <w:r>
        <w:rPr>
          <w:highlight w:val="none"/>
        </w:rPr>
        <w:fldChar w:fldCharType="end"/>
      </w:r>
    </w:p>
    <w:p w14:paraId="6398E33A">
      <w:pPr>
        <w:pStyle w:val="26"/>
        <w:tabs>
          <w:tab w:val="right" w:leader="dot" w:pos="8306"/>
        </w:tabs>
      </w:pPr>
      <w:r>
        <w:rPr>
          <w:highlight w:val="none"/>
        </w:rPr>
        <w:fldChar w:fldCharType="begin"/>
      </w:r>
      <w:r>
        <w:rPr>
          <w:highlight w:val="none"/>
        </w:rPr>
        <w:instrText xml:space="preserve"> HYPERLINK \l _Toc20862 </w:instrText>
      </w:r>
      <w:r>
        <w:rPr>
          <w:highlight w:val="none"/>
        </w:rPr>
        <w:fldChar w:fldCharType="separate"/>
      </w:r>
      <w:r>
        <w:rPr>
          <w:rFonts w:hint="eastAsia"/>
          <w:highlight w:val="none"/>
          <w:lang w:val="en-US" w:eastAsia="zh-CN"/>
        </w:rPr>
        <w:t>8.1 验收标准</w:t>
      </w:r>
      <w:r>
        <w:tab/>
      </w:r>
      <w:r>
        <w:fldChar w:fldCharType="begin"/>
      </w:r>
      <w:r>
        <w:instrText xml:space="preserve"> PAGEREF _Toc20862 \h </w:instrText>
      </w:r>
      <w:r>
        <w:fldChar w:fldCharType="separate"/>
      </w:r>
      <w:r>
        <w:t>95</w:t>
      </w:r>
      <w:r>
        <w:fldChar w:fldCharType="end"/>
      </w:r>
      <w:r>
        <w:rPr>
          <w:highlight w:val="none"/>
        </w:rPr>
        <w:fldChar w:fldCharType="end"/>
      </w:r>
    </w:p>
    <w:p w14:paraId="502436E3">
      <w:pPr>
        <w:pStyle w:val="26"/>
        <w:tabs>
          <w:tab w:val="right" w:leader="dot" w:pos="8306"/>
        </w:tabs>
      </w:pPr>
      <w:r>
        <w:rPr>
          <w:highlight w:val="none"/>
        </w:rPr>
        <w:fldChar w:fldCharType="begin"/>
      </w:r>
      <w:r>
        <w:rPr>
          <w:highlight w:val="none"/>
        </w:rPr>
        <w:instrText xml:space="preserve"> HYPERLINK \l _Toc22238 </w:instrText>
      </w:r>
      <w:r>
        <w:rPr>
          <w:highlight w:val="none"/>
        </w:rPr>
        <w:fldChar w:fldCharType="separate"/>
      </w:r>
      <w:r>
        <w:rPr>
          <w:rFonts w:hint="eastAsia"/>
          <w:highlight w:val="none"/>
          <w:lang w:val="en-US" w:eastAsia="zh-CN"/>
        </w:rPr>
        <w:t>8.2 验收程序和验收人员</w:t>
      </w:r>
      <w:r>
        <w:tab/>
      </w:r>
      <w:r>
        <w:fldChar w:fldCharType="begin"/>
      </w:r>
      <w:r>
        <w:instrText xml:space="preserve"> PAGEREF _Toc22238 \h </w:instrText>
      </w:r>
      <w:r>
        <w:fldChar w:fldCharType="separate"/>
      </w:r>
      <w:r>
        <w:t>98</w:t>
      </w:r>
      <w:r>
        <w:fldChar w:fldCharType="end"/>
      </w:r>
      <w:r>
        <w:rPr>
          <w:highlight w:val="none"/>
        </w:rPr>
        <w:fldChar w:fldCharType="end"/>
      </w:r>
    </w:p>
    <w:p w14:paraId="5D0C6A0E">
      <w:pPr>
        <w:pStyle w:val="26"/>
        <w:tabs>
          <w:tab w:val="right" w:leader="dot" w:pos="8306"/>
        </w:tabs>
      </w:pPr>
      <w:r>
        <w:rPr>
          <w:highlight w:val="none"/>
        </w:rPr>
        <w:fldChar w:fldCharType="begin"/>
      </w:r>
      <w:r>
        <w:rPr>
          <w:highlight w:val="none"/>
        </w:rPr>
        <w:instrText xml:space="preserve"> HYPERLINK \l _Toc21512 </w:instrText>
      </w:r>
      <w:r>
        <w:rPr>
          <w:highlight w:val="none"/>
        </w:rPr>
        <w:fldChar w:fldCharType="separate"/>
      </w:r>
      <w:r>
        <w:rPr>
          <w:rFonts w:hint="eastAsia" w:cs="Times New Roman"/>
          <w:highlight w:val="none"/>
          <w:lang w:val="en-US" w:eastAsia="zh-CN"/>
        </w:rPr>
        <w:t>8</w:t>
      </w:r>
      <w:r>
        <w:rPr>
          <w:rFonts w:hint="eastAsia" w:ascii="Arial" w:hAnsi="Arial" w:cs="Times New Roman"/>
          <w:highlight w:val="none"/>
          <w:lang w:val="en-US" w:eastAsia="zh-CN"/>
        </w:rPr>
        <w:t>.</w:t>
      </w:r>
      <w:r>
        <w:rPr>
          <w:rFonts w:hint="eastAsia" w:cs="Times New Roman"/>
          <w:highlight w:val="none"/>
          <w:lang w:val="en-US" w:eastAsia="zh-CN"/>
        </w:rPr>
        <w:t>3</w:t>
      </w:r>
      <w:r>
        <w:rPr>
          <w:rFonts w:hint="eastAsia" w:ascii="Arial" w:hAnsi="Arial" w:cs="Times New Roman"/>
          <w:highlight w:val="none"/>
          <w:lang w:val="en-US" w:eastAsia="zh-CN"/>
        </w:rPr>
        <w:t>验收</w:t>
      </w:r>
      <w:r>
        <w:rPr>
          <w:rFonts w:hint="eastAsia" w:cs="Times New Roman"/>
          <w:highlight w:val="none"/>
          <w:lang w:val="en-US" w:eastAsia="zh-CN"/>
        </w:rPr>
        <w:t>内容</w:t>
      </w:r>
      <w:r>
        <w:tab/>
      </w:r>
      <w:r>
        <w:fldChar w:fldCharType="begin"/>
      </w:r>
      <w:r>
        <w:instrText xml:space="preserve"> PAGEREF _Toc21512 \h </w:instrText>
      </w:r>
      <w:r>
        <w:fldChar w:fldCharType="separate"/>
      </w:r>
      <w:r>
        <w:t>101</w:t>
      </w:r>
      <w:r>
        <w:fldChar w:fldCharType="end"/>
      </w:r>
      <w:r>
        <w:rPr>
          <w:highlight w:val="none"/>
        </w:rPr>
        <w:fldChar w:fldCharType="end"/>
      </w:r>
    </w:p>
    <w:p w14:paraId="46597AC6">
      <w:pPr>
        <w:pStyle w:val="25"/>
        <w:tabs>
          <w:tab w:val="right" w:leader="dot" w:pos="8306"/>
        </w:tabs>
      </w:pPr>
      <w:r>
        <w:rPr>
          <w:highlight w:val="none"/>
        </w:rPr>
        <w:fldChar w:fldCharType="begin"/>
      </w:r>
      <w:r>
        <w:rPr>
          <w:highlight w:val="none"/>
        </w:rPr>
        <w:instrText xml:space="preserve"> HYPERLINK \l _Toc12378 </w:instrText>
      </w:r>
      <w:r>
        <w:rPr>
          <w:highlight w:val="none"/>
        </w:rPr>
        <w:fldChar w:fldCharType="separate"/>
      </w:r>
      <w:r>
        <w:rPr>
          <w:rFonts w:hint="eastAsia"/>
          <w:highlight w:val="none"/>
          <w:lang w:val="en-US" w:eastAsia="zh-CN"/>
        </w:rPr>
        <w:t>9</w:t>
      </w:r>
      <w:r>
        <w:rPr>
          <w:rFonts w:hint="eastAsia"/>
          <w:highlight w:val="none"/>
        </w:rPr>
        <w:t>应急处置</w:t>
      </w:r>
      <w:r>
        <w:rPr>
          <w:rFonts w:hint="eastAsia"/>
          <w:highlight w:val="none"/>
          <w:lang w:eastAsia="zh-CN"/>
        </w:rPr>
        <w:t>措施</w:t>
      </w:r>
      <w:r>
        <w:tab/>
      </w:r>
      <w:r>
        <w:fldChar w:fldCharType="begin"/>
      </w:r>
      <w:r>
        <w:instrText xml:space="preserve"> PAGEREF _Toc12378 \h </w:instrText>
      </w:r>
      <w:r>
        <w:fldChar w:fldCharType="separate"/>
      </w:r>
      <w:r>
        <w:t>105</w:t>
      </w:r>
      <w:r>
        <w:fldChar w:fldCharType="end"/>
      </w:r>
      <w:r>
        <w:rPr>
          <w:highlight w:val="none"/>
        </w:rPr>
        <w:fldChar w:fldCharType="end"/>
      </w:r>
    </w:p>
    <w:p w14:paraId="41D292F2">
      <w:pPr>
        <w:pStyle w:val="26"/>
        <w:tabs>
          <w:tab w:val="right" w:leader="dot" w:pos="8306"/>
        </w:tabs>
      </w:pPr>
      <w:r>
        <w:rPr>
          <w:highlight w:val="none"/>
        </w:rPr>
        <w:fldChar w:fldCharType="begin"/>
      </w:r>
      <w:r>
        <w:rPr>
          <w:highlight w:val="none"/>
        </w:rPr>
        <w:instrText xml:space="preserve"> HYPERLINK \l _Toc27879 </w:instrText>
      </w:r>
      <w:r>
        <w:rPr>
          <w:highlight w:val="none"/>
        </w:rPr>
        <w:fldChar w:fldCharType="separate"/>
      </w:r>
      <w:r>
        <w:rPr>
          <w:rFonts w:hint="eastAsia"/>
          <w:highlight w:val="none"/>
          <w:lang w:val="en-US" w:eastAsia="zh-CN"/>
        </w:rPr>
        <w:t xml:space="preserve">9.1 </w:t>
      </w:r>
      <w:r>
        <w:rPr>
          <w:rFonts w:hint="eastAsia"/>
          <w:highlight w:val="none"/>
        </w:rPr>
        <w:t>危险源辨识</w:t>
      </w:r>
      <w:r>
        <w:tab/>
      </w:r>
      <w:r>
        <w:fldChar w:fldCharType="begin"/>
      </w:r>
      <w:r>
        <w:instrText xml:space="preserve"> PAGEREF _Toc27879 \h </w:instrText>
      </w:r>
      <w:r>
        <w:fldChar w:fldCharType="separate"/>
      </w:r>
      <w:r>
        <w:t>105</w:t>
      </w:r>
      <w:r>
        <w:fldChar w:fldCharType="end"/>
      </w:r>
      <w:r>
        <w:rPr>
          <w:highlight w:val="none"/>
        </w:rPr>
        <w:fldChar w:fldCharType="end"/>
      </w:r>
    </w:p>
    <w:p w14:paraId="283052D7">
      <w:pPr>
        <w:pStyle w:val="26"/>
        <w:tabs>
          <w:tab w:val="right" w:leader="dot" w:pos="8306"/>
        </w:tabs>
      </w:pPr>
      <w:r>
        <w:rPr>
          <w:highlight w:val="none"/>
        </w:rPr>
        <w:fldChar w:fldCharType="begin"/>
      </w:r>
      <w:r>
        <w:rPr>
          <w:highlight w:val="none"/>
        </w:rPr>
        <w:instrText xml:space="preserve"> HYPERLINK \l _Toc7139 </w:instrText>
      </w:r>
      <w:r>
        <w:rPr>
          <w:highlight w:val="none"/>
        </w:rPr>
        <w:fldChar w:fldCharType="separate"/>
      </w:r>
      <w:r>
        <w:rPr>
          <w:rFonts w:hint="eastAsia"/>
          <w:highlight w:val="none"/>
          <w:lang w:val="en-US" w:eastAsia="zh-CN"/>
        </w:rPr>
        <w:t>9.2</w:t>
      </w:r>
      <w:r>
        <w:rPr>
          <w:rFonts w:hint="eastAsia"/>
          <w:highlight w:val="none"/>
        </w:rPr>
        <w:t>组织</w:t>
      </w:r>
      <w:r>
        <w:rPr>
          <w:rFonts w:hint="eastAsia"/>
          <w:highlight w:val="none"/>
          <w:lang w:val="en-US" w:eastAsia="zh-CN"/>
        </w:rPr>
        <w:t>机</w:t>
      </w:r>
      <w:r>
        <w:rPr>
          <w:rFonts w:hint="eastAsia"/>
          <w:highlight w:val="none"/>
        </w:rPr>
        <w:t>构及职责</w:t>
      </w:r>
      <w:r>
        <w:tab/>
      </w:r>
      <w:r>
        <w:fldChar w:fldCharType="begin"/>
      </w:r>
      <w:r>
        <w:instrText xml:space="preserve"> PAGEREF _Toc7139 \h </w:instrText>
      </w:r>
      <w:r>
        <w:fldChar w:fldCharType="separate"/>
      </w:r>
      <w:r>
        <w:t>114</w:t>
      </w:r>
      <w:r>
        <w:fldChar w:fldCharType="end"/>
      </w:r>
      <w:r>
        <w:rPr>
          <w:highlight w:val="none"/>
        </w:rPr>
        <w:fldChar w:fldCharType="end"/>
      </w:r>
    </w:p>
    <w:p w14:paraId="33F7E89F">
      <w:pPr>
        <w:pStyle w:val="26"/>
        <w:tabs>
          <w:tab w:val="right" w:leader="dot" w:pos="8306"/>
        </w:tabs>
      </w:pPr>
      <w:r>
        <w:rPr>
          <w:highlight w:val="none"/>
        </w:rPr>
        <w:fldChar w:fldCharType="begin"/>
      </w:r>
      <w:r>
        <w:rPr>
          <w:highlight w:val="none"/>
        </w:rPr>
        <w:instrText xml:space="preserve"> HYPERLINK \l _Toc5495 </w:instrText>
      </w:r>
      <w:r>
        <w:rPr>
          <w:highlight w:val="none"/>
        </w:rPr>
        <w:fldChar w:fldCharType="separate"/>
      </w:r>
      <w:r>
        <w:rPr>
          <w:rFonts w:hint="eastAsia"/>
          <w:highlight w:val="none"/>
          <w:lang w:val="en-US" w:eastAsia="zh-CN"/>
        </w:rPr>
        <w:t xml:space="preserve">9.3 </w:t>
      </w:r>
      <w:r>
        <w:rPr>
          <w:rFonts w:hint="eastAsia"/>
          <w:highlight w:val="none"/>
        </w:rPr>
        <w:t>预防与预警</w:t>
      </w:r>
      <w:r>
        <w:tab/>
      </w:r>
      <w:r>
        <w:fldChar w:fldCharType="begin"/>
      </w:r>
      <w:r>
        <w:instrText xml:space="preserve"> PAGEREF _Toc5495 \h </w:instrText>
      </w:r>
      <w:r>
        <w:fldChar w:fldCharType="separate"/>
      </w:r>
      <w:r>
        <w:t>115</w:t>
      </w:r>
      <w:r>
        <w:fldChar w:fldCharType="end"/>
      </w:r>
      <w:r>
        <w:rPr>
          <w:highlight w:val="none"/>
        </w:rPr>
        <w:fldChar w:fldCharType="end"/>
      </w:r>
    </w:p>
    <w:p w14:paraId="37B2A8F0">
      <w:pPr>
        <w:pStyle w:val="26"/>
        <w:tabs>
          <w:tab w:val="right" w:leader="dot" w:pos="8306"/>
        </w:tabs>
      </w:pPr>
      <w:r>
        <w:rPr>
          <w:highlight w:val="none"/>
        </w:rPr>
        <w:fldChar w:fldCharType="begin"/>
      </w:r>
      <w:r>
        <w:rPr>
          <w:highlight w:val="none"/>
        </w:rPr>
        <w:instrText xml:space="preserve"> HYPERLINK \l _Toc14289 </w:instrText>
      </w:r>
      <w:r>
        <w:rPr>
          <w:highlight w:val="none"/>
        </w:rPr>
        <w:fldChar w:fldCharType="separate"/>
      </w:r>
      <w:r>
        <w:rPr>
          <w:rFonts w:hint="eastAsia"/>
          <w:highlight w:val="none"/>
          <w:lang w:val="en-US" w:eastAsia="zh-CN"/>
        </w:rPr>
        <w:t xml:space="preserve">9.4 </w:t>
      </w:r>
      <w:r>
        <w:rPr>
          <w:rFonts w:hint="eastAsia"/>
          <w:highlight w:val="none"/>
        </w:rPr>
        <w:t>处置流程</w:t>
      </w:r>
      <w:r>
        <w:tab/>
      </w:r>
      <w:r>
        <w:fldChar w:fldCharType="begin"/>
      </w:r>
      <w:r>
        <w:instrText xml:space="preserve"> PAGEREF _Toc14289 \h </w:instrText>
      </w:r>
      <w:r>
        <w:fldChar w:fldCharType="separate"/>
      </w:r>
      <w:r>
        <w:t>116</w:t>
      </w:r>
      <w:r>
        <w:fldChar w:fldCharType="end"/>
      </w:r>
      <w:r>
        <w:rPr>
          <w:highlight w:val="none"/>
        </w:rPr>
        <w:fldChar w:fldCharType="end"/>
      </w:r>
    </w:p>
    <w:p w14:paraId="5BA3007E">
      <w:pPr>
        <w:pStyle w:val="26"/>
        <w:tabs>
          <w:tab w:val="right" w:leader="dot" w:pos="8306"/>
        </w:tabs>
      </w:pPr>
      <w:r>
        <w:rPr>
          <w:highlight w:val="none"/>
        </w:rPr>
        <w:fldChar w:fldCharType="begin"/>
      </w:r>
      <w:r>
        <w:rPr>
          <w:highlight w:val="none"/>
        </w:rPr>
        <w:instrText xml:space="preserve"> HYPERLINK \l _Toc31604 </w:instrText>
      </w:r>
      <w:r>
        <w:rPr>
          <w:highlight w:val="none"/>
        </w:rPr>
        <w:fldChar w:fldCharType="separate"/>
      </w:r>
      <w:r>
        <w:rPr>
          <w:rFonts w:hint="eastAsia"/>
          <w:highlight w:val="none"/>
          <w:lang w:val="en-US" w:eastAsia="zh-CN"/>
        </w:rPr>
        <w:t xml:space="preserve">9.5 </w:t>
      </w:r>
      <w:r>
        <w:rPr>
          <w:rFonts w:hint="eastAsia"/>
          <w:highlight w:val="none"/>
        </w:rPr>
        <w:t>突发事件应急</w:t>
      </w:r>
      <w:r>
        <w:rPr>
          <w:rFonts w:hint="eastAsia"/>
          <w:highlight w:val="none"/>
          <w:lang w:val="en-US" w:eastAsia="zh-CN"/>
        </w:rPr>
        <w:t>处置措施和</w:t>
      </w:r>
      <w:r>
        <w:rPr>
          <w:rFonts w:hint="eastAsia"/>
          <w:highlight w:val="none"/>
        </w:rPr>
        <w:t>预案</w:t>
      </w:r>
      <w:r>
        <w:tab/>
      </w:r>
      <w:r>
        <w:fldChar w:fldCharType="begin"/>
      </w:r>
      <w:r>
        <w:instrText xml:space="preserve"> PAGEREF _Toc31604 \h </w:instrText>
      </w:r>
      <w:r>
        <w:fldChar w:fldCharType="separate"/>
      </w:r>
      <w:r>
        <w:t>119</w:t>
      </w:r>
      <w:r>
        <w:fldChar w:fldCharType="end"/>
      </w:r>
      <w:r>
        <w:rPr>
          <w:highlight w:val="none"/>
        </w:rPr>
        <w:fldChar w:fldCharType="end"/>
      </w:r>
    </w:p>
    <w:p w14:paraId="68A6DC0D">
      <w:pPr>
        <w:pStyle w:val="26"/>
        <w:tabs>
          <w:tab w:val="right" w:leader="dot" w:pos="8306"/>
        </w:tabs>
      </w:pPr>
      <w:r>
        <w:rPr>
          <w:highlight w:val="none"/>
        </w:rPr>
        <w:fldChar w:fldCharType="begin"/>
      </w:r>
      <w:r>
        <w:rPr>
          <w:highlight w:val="none"/>
        </w:rPr>
        <w:instrText xml:space="preserve"> HYPERLINK \l _Toc26792 </w:instrText>
      </w:r>
      <w:r>
        <w:rPr>
          <w:highlight w:val="none"/>
        </w:rPr>
        <w:fldChar w:fldCharType="separate"/>
      </w:r>
      <w:r>
        <w:rPr>
          <w:rFonts w:hint="eastAsia"/>
          <w:highlight w:val="none"/>
          <w:lang w:val="en-US" w:eastAsia="zh-CN"/>
        </w:rPr>
        <w:t xml:space="preserve">9.6 </w:t>
      </w:r>
      <w:r>
        <w:rPr>
          <w:rFonts w:hint="eastAsia"/>
          <w:highlight w:val="none"/>
        </w:rPr>
        <w:t>应急保障</w:t>
      </w:r>
      <w:r>
        <w:tab/>
      </w:r>
      <w:r>
        <w:fldChar w:fldCharType="begin"/>
      </w:r>
      <w:r>
        <w:instrText xml:space="preserve"> PAGEREF _Toc26792 \h </w:instrText>
      </w:r>
      <w:r>
        <w:fldChar w:fldCharType="separate"/>
      </w:r>
      <w:r>
        <w:t>124</w:t>
      </w:r>
      <w:r>
        <w:fldChar w:fldCharType="end"/>
      </w:r>
      <w:r>
        <w:rPr>
          <w:highlight w:val="none"/>
        </w:rPr>
        <w:fldChar w:fldCharType="end"/>
      </w:r>
    </w:p>
    <w:p w14:paraId="4263D076">
      <w:pPr>
        <w:pStyle w:val="26"/>
        <w:tabs>
          <w:tab w:val="right" w:leader="dot" w:pos="8306"/>
        </w:tabs>
      </w:pPr>
      <w:r>
        <w:rPr>
          <w:highlight w:val="none"/>
        </w:rPr>
        <w:fldChar w:fldCharType="begin"/>
      </w:r>
      <w:r>
        <w:rPr>
          <w:highlight w:val="none"/>
        </w:rPr>
        <w:instrText xml:space="preserve"> HYPERLINK \l _Toc4128 </w:instrText>
      </w:r>
      <w:r>
        <w:rPr>
          <w:highlight w:val="none"/>
        </w:rPr>
        <w:fldChar w:fldCharType="separate"/>
      </w:r>
      <w:r>
        <w:rPr>
          <w:rFonts w:hint="eastAsia"/>
          <w:highlight w:val="none"/>
          <w:lang w:val="en-US" w:eastAsia="zh-CN"/>
        </w:rPr>
        <w:t>9.7</w:t>
      </w:r>
      <w:r>
        <w:rPr>
          <w:rFonts w:hint="eastAsia"/>
          <w:highlight w:val="none"/>
        </w:rPr>
        <w:t>事故善后及恢复生产</w:t>
      </w:r>
      <w:r>
        <w:tab/>
      </w:r>
      <w:r>
        <w:fldChar w:fldCharType="begin"/>
      </w:r>
      <w:r>
        <w:instrText xml:space="preserve"> PAGEREF _Toc4128 \h </w:instrText>
      </w:r>
      <w:r>
        <w:fldChar w:fldCharType="separate"/>
      </w:r>
      <w:r>
        <w:t>125</w:t>
      </w:r>
      <w:r>
        <w:fldChar w:fldCharType="end"/>
      </w:r>
      <w:r>
        <w:rPr>
          <w:highlight w:val="none"/>
        </w:rPr>
        <w:fldChar w:fldCharType="end"/>
      </w:r>
    </w:p>
    <w:p w14:paraId="2C562856">
      <w:pPr>
        <w:pStyle w:val="25"/>
        <w:tabs>
          <w:tab w:val="right" w:leader="dot" w:pos="8306"/>
        </w:tabs>
      </w:pPr>
      <w:r>
        <w:rPr>
          <w:highlight w:val="none"/>
        </w:rPr>
        <w:fldChar w:fldCharType="begin"/>
      </w:r>
      <w:r>
        <w:rPr>
          <w:highlight w:val="none"/>
        </w:rPr>
        <w:instrText xml:space="preserve"> HYPERLINK \l _Toc17967 </w:instrText>
      </w:r>
      <w:r>
        <w:rPr>
          <w:highlight w:val="none"/>
        </w:rPr>
        <w:fldChar w:fldCharType="separate"/>
      </w:r>
      <w:r>
        <w:rPr>
          <w:rFonts w:hint="eastAsia"/>
          <w:highlight w:val="none"/>
          <w:lang w:val="en-US" w:eastAsia="zh-CN"/>
        </w:rPr>
        <w:t>10</w:t>
      </w:r>
      <w:r>
        <w:rPr>
          <w:rFonts w:hint="eastAsia"/>
          <w:highlight w:val="none"/>
        </w:rPr>
        <w:t>绿色及文明施工</w:t>
      </w:r>
      <w:r>
        <w:tab/>
      </w:r>
      <w:r>
        <w:fldChar w:fldCharType="begin"/>
      </w:r>
      <w:r>
        <w:instrText xml:space="preserve"> PAGEREF _Toc17967 \h </w:instrText>
      </w:r>
      <w:r>
        <w:fldChar w:fldCharType="separate"/>
      </w:r>
      <w:r>
        <w:t>126</w:t>
      </w:r>
      <w:r>
        <w:fldChar w:fldCharType="end"/>
      </w:r>
      <w:r>
        <w:rPr>
          <w:highlight w:val="none"/>
        </w:rPr>
        <w:fldChar w:fldCharType="end"/>
      </w:r>
    </w:p>
    <w:p w14:paraId="1FC7C4A1">
      <w:pPr>
        <w:pStyle w:val="26"/>
        <w:tabs>
          <w:tab w:val="right" w:leader="dot" w:pos="8306"/>
        </w:tabs>
      </w:pPr>
      <w:r>
        <w:rPr>
          <w:highlight w:val="none"/>
        </w:rPr>
        <w:fldChar w:fldCharType="begin"/>
      </w:r>
      <w:r>
        <w:rPr>
          <w:highlight w:val="none"/>
        </w:rPr>
        <w:instrText xml:space="preserve"> HYPERLINK \l _Toc29067 </w:instrText>
      </w:r>
      <w:r>
        <w:rPr>
          <w:highlight w:val="none"/>
        </w:rPr>
        <w:fldChar w:fldCharType="separate"/>
      </w:r>
      <w:r>
        <w:rPr>
          <w:rFonts w:hint="eastAsia"/>
          <w:highlight w:val="none"/>
          <w:lang w:val="en-US" w:eastAsia="zh-CN"/>
        </w:rPr>
        <w:t>10.1绿色施工</w:t>
      </w:r>
      <w:r>
        <w:tab/>
      </w:r>
      <w:r>
        <w:fldChar w:fldCharType="begin"/>
      </w:r>
      <w:r>
        <w:instrText xml:space="preserve"> PAGEREF _Toc29067 \h </w:instrText>
      </w:r>
      <w:r>
        <w:fldChar w:fldCharType="separate"/>
      </w:r>
      <w:r>
        <w:t>126</w:t>
      </w:r>
      <w:r>
        <w:fldChar w:fldCharType="end"/>
      </w:r>
      <w:r>
        <w:rPr>
          <w:highlight w:val="none"/>
        </w:rPr>
        <w:fldChar w:fldCharType="end"/>
      </w:r>
    </w:p>
    <w:p w14:paraId="2A17936C">
      <w:pPr>
        <w:pStyle w:val="26"/>
        <w:tabs>
          <w:tab w:val="right" w:leader="dot" w:pos="8306"/>
        </w:tabs>
      </w:pPr>
      <w:r>
        <w:rPr>
          <w:highlight w:val="none"/>
        </w:rPr>
        <w:fldChar w:fldCharType="begin"/>
      </w:r>
      <w:r>
        <w:rPr>
          <w:highlight w:val="none"/>
        </w:rPr>
        <w:instrText xml:space="preserve"> HYPERLINK \l _Toc19984 </w:instrText>
      </w:r>
      <w:r>
        <w:rPr>
          <w:highlight w:val="none"/>
        </w:rPr>
        <w:fldChar w:fldCharType="separate"/>
      </w:r>
      <w:r>
        <w:rPr>
          <w:rFonts w:hint="eastAsia"/>
          <w:highlight w:val="none"/>
          <w:lang w:val="en-US" w:eastAsia="zh-CN"/>
        </w:rPr>
        <w:t>10.2文明施工</w:t>
      </w:r>
      <w:r>
        <w:tab/>
      </w:r>
      <w:r>
        <w:fldChar w:fldCharType="begin"/>
      </w:r>
      <w:r>
        <w:instrText xml:space="preserve"> PAGEREF _Toc19984 \h </w:instrText>
      </w:r>
      <w:r>
        <w:fldChar w:fldCharType="separate"/>
      </w:r>
      <w:r>
        <w:t>132</w:t>
      </w:r>
      <w:r>
        <w:fldChar w:fldCharType="end"/>
      </w:r>
      <w:r>
        <w:rPr>
          <w:highlight w:val="none"/>
        </w:rPr>
        <w:fldChar w:fldCharType="end"/>
      </w:r>
    </w:p>
    <w:p w14:paraId="1DAF2FEF">
      <w:pPr>
        <w:pStyle w:val="25"/>
        <w:tabs>
          <w:tab w:val="right" w:leader="dot" w:pos="8306"/>
        </w:tabs>
      </w:pPr>
      <w:r>
        <w:rPr>
          <w:highlight w:val="none"/>
        </w:rPr>
        <w:fldChar w:fldCharType="begin"/>
      </w:r>
      <w:r>
        <w:rPr>
          <w:highlight w:val="none"/>
        </w:rPr>
        <w:instrText xml:space="preserve"> HYPERLINK \l _Toc1833 </w:instrText>
      </w:r>
      <w:r>
        <w:rPr>
          <w:highlight w:val="none"/>
        </w:rPr>
        <w:fldChar w:fldCharType="separate"/>
      </w:r>
      <w:r>
        <w:rPr>
          <w:rFonts w:hint="eastAsia"/>
          <w:highlight w:val="none"/>
          <w:lang w:val="en-US" w:eastAsia="zh-CN"/>
        </w:rPr>
        <w:t>11相关附件</w:t>
      </w:r>
      <w:r>
        <w:tab/>
      </w:r>
      <w:r>
        <w:fldChar w:fldCharType="begin"/>
      </w:r>
      <w:r>
        <w:instrText xml:space="preserve"> PAGEREF _Toc1833 \h </w:instrText>
      </w:r>
      <w:r>
        <w:fldChar w:fldCharType="separate"/>
      </w:r>
      <w:r>
        <w:t>143</w:t>
      </w:r>
      <w:r>
        <w:fldChar w:fldCharType="end"/>
      </w:r>
      <w:r>
        <w:rPr>
          <w:highlight w:val="none"/>
        </w:rPr>
        <w:fldChar w:fldCharType="end"/>
      </w:r>
    </w:p>
    <w:p w14:paraId="3C013670">
      <w:pPr>
        <w:pStyle w:val="26"/>
        <w:tabs>
          <w:tab w:val="right" w:leader="dot" w:pos="8306"/>
        </w:tabs>
      </w:pPr>
      <w:r>
        <w:rPr>
          <w:highlight w:val="none"/>
        </w:rPr>
        <w:fldChar w:fldCharType="begin"/>
      </w:r>
      <w:r>
        <w:rPr>
          <w:highlight w:val="none"/>
        </w:rPr>
        <w:instrText xml:space="preserve"> HYPERLINK \l _Toc28818 </w:instrText>
      </w:r>
      <w:r>
        <w:rPr>
          <w:highlight w:val="none"/>
        </w:rPr>
        <w:fldChar w:fldCharType="separate"/>
      </w:r>
      <w:r>
        <w:rPr>
          <w:rFonts w:hint="eastAsia" w:ascii="宋体" w:hAnsi="宋体" w:eastAsia="宋体"/>
          <w:highlight w:val="none"/>
          <w:lang w:val="en-US" w:eastAsia="zh-CN"/>
        </w:rPr>
        <w:t>附件1：</w:t>
      </w:r>
      <w:r>
        <w:rPr>
          <w:rFonts w:hint="eastAsia"/>
          <w:highlight w:val="none"/>
          <w:lang w:val="en-US" w:eastAsia="zh-CN"/>
        </w:rPr>
        <w:t>XGT7026-12S1</w:t>
      </w:r>
      <w:r>
        <w:rPr>
          <w:rFonts w:hint="eastAsia" w:ascii="宋体" w:hAnsi="宋体" w:eastAsia="宋体"/>
          <w:highlight w:val="none"/>
          <w:lang w:val="en-US" w:eastAsia="zh-CN"/>
        </w:rPr>
        <w:t>塔机立面图</w:t>
      </w:r>
      <w:r>
        <w:tab/>
      </w:r>
      <w:r>
        <w:fldChar w:fldCharType="begin"/>
      </w:r>
      <w:r>
        <w:instrText xml:space="preserve"> PAGEREF _Toc28818 \h </w:instrText>
      </w:r>
      <w:r>
        <w:fldChar w:fldCharType="separate"/>
      </w:r>
      <w:r>
        <w:t>143</w:t>
      </w:r>
      <w:r>
        <w:fldChar w:fldCharType="end"/>
      </w:r>
      <w:r>
        <w:rPr>
          <w:highlight w:val="none"/>
        </w:rPr>
        <w:fldChar w:fldCharType="end"/>
      </w:r>
    </w:p>
    <w:p w14:paraId="2030EE2F">
      <w:pPr>
        <w:pStyle w:val="26"/>
        <w:tabs>
          <w:tab w:val="right" w:leader="dot" w:pos="8306"/>
        </w:tabs>
      </w:pPr>
      <w:r>
        <w:rPr>
          <w:highlight w:val="none"/>
        </w:rPr>
        <w:fldChar w:fldCharType="begin"/>
      </w:r>
      <w:r>
        <w:rPr>
          <w:highlight w:val="none"/>
        </w:rPr>
        <w:instrText xml:space="preserve"> HYPERLINK \l _Toc13347 </w:instrText>
      </w:r>
      <w:r>
        <w:rPr>
          <w:highlight w:val="none"/>
        </w:rPr>
        <w:fldChar w:fldCharType="separate"/>
      </w:r>
      <w:r>
        <w:rPr>
          <w:rFonts w:hint="eastAsia" w:ascii="宋体" w:hAnsi="宋体" w:eastAsia="宋体"/>
          <w:highlight w:val="none"/>
          <w:lang w:val="en-US" w:eastAsia="zh-CN"/>
        </w:rPr>
        <w:t>附件2：</w:t>
      </w:r>
      <w:r>
        <w:rPr>
          <w:rFonts w:hint="eastAsia"/>
          <w:highlight w:val="none"/>
          <w:lang w:val="en-US" w:eastAsia="zh-CN"/>
        </w:rPr>
        <w:t>XGT7026-12S1</w:t>
      </w:r>
      <w:r>
        <w:rPr>
          <w:rFonts w:hint="eastAsia" w:ascii="宋体" w:hAnsi="宋体" w:eastAsia="宋体"/>
          <w:highlight w:val="none"/>
          <w:lang w:val="en-US" w:eastAsia="zh-CN"/>
        </w:rPr>
        <w:t>型塔吊平面布置示意图</w:t>
      </w:r>
      <w:r>
        <w:tab/>
      </w:r>
      <w:r>
        <w:fldChar w:fldCharType="begin"/>
      </w:r>
      <w:r>
        <w:instrText xml:space="preserve"> PAGEREF _Toc13347 \h </w:instrText>
      </w:r>
      <w:r>
        <w:fldChar w:fldCharType="separate"/>
      </w:r>
      <w:r>
        <w:t>144</w:t>
      </w:r>
      <w:r>
        <w:fldChar w:fldCharType="end"/>
      </w:r>
      <w:r>
        <w:rPr>
          <w:highlight w:val="none"/>
        </w:rPr>
        <w:fldChar w:fldCharType="end"/>
      </w:r>
    </w:p>
    <w:p w14:paraId="43D4E0D0">
      <w:pPr>
        <w:pStyle w:val="26"/>
        <w:tabs>
          <w:tab w:val="right" w:leader="dot" w:pos="8306"/>
        </w:tabs>
      </w:pPr>
      <w:r>
        <w:rPr>
          <w:highlight w:val="none"/>
        </w:rPr>
        <w:fldChar w:fldCharType="begin"/>
      </w:r>
      <w:r>
        <w:rPr>
          <w:highlight w:val="none"/>
        </w:rPr>
        <w:instrText xml:space="preserve"> HYPERLINK \l _Toc28734 </w:instrText>
      </w:r>
      <w:r>
        <w:rPr>
          <w:highlight w:val="none"/>
        </w:rPr>
        <w:fldChar w:fldCharType="separate"/>
      </w:r>
      <w:r>
        <w:rPr>
          <w:rFonts w:hint="eastAsia" w:ascii="宋体" w:hAnsi="宋体" w:eastAsia="宋体"/>
          <w:highlight w:val="none"/>
          <w:lang w:val="en-US" w:eastAsia="zh-CN"/>
        </w:rPr>
        <w:t>附件</w:t>
      </w:r>
      <w:r>
        <w:rPr>
          <w:rFonts w:hint="eastAsia"/>
          <w:highlight w:val="none"/>
          <w:lang w:val="en-US" w:eastAsia="zh-CN"/>
        </w:rPr>
        <w:t>3</w:t>
      </w:r>
      <w:r>
        <w:rPr>
          <w:rFonts w:hint="eastAsia" w:ascii="宋体" w:hAnsi="宋体" w:eastAsia="宋体"/>
          <w:highlight w:val="none"/>
          <w:lang w:val="en-US" w:eastAsia="zh-CN"/>
        </w:rPr>
        <w:t>：相关人员、资质文件</w:t>
      </w:r>
      <w:r>
        <w:tab/>
      </w:r>
      <w:r>
        <w:fldChar w:fldCharType="begin"/>
      </w:r>
      <w:r>
        <w:instrText xml:space="preserve"> PAGEREF _Toc28734 \h </w:instrText>
      </w:r>
      <w:r>
        <w:fldChar w:fldCharType="separate"/>
      </w:r>
      <w:r>
        <w:t>145</w:t>
      </w:r>
      <w:r>
        <w:fldChar w:fldCharType="end"/>
      </w:r>
      <w:r>
        <w:rPr>
          <w:highlight w:val="none"/>
        </w:rPr>
        <w:fldChar w:fldCharType="end"/>
      </w:r>
    </w:p>
    <w:p w14:paraId="6F9A0B6D">
      <w:pPr>
        <w:pStyle w:val="12"/>
        <w:rPr>
          <w:rFonts w:ascii="宋体" w:hAnsi="宋体" w:eastAsia="宋体" w:cs="Times New Roman"/>
          <w:b/>
          <w:kern w:val="2"/>
          <w:sz w:val="21"/>
          <w:szCs w:val="22"/>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highlight w:val="none"/>
        </w:rPr>
        <w:fldChar w:fldCharType="end"/>
      </w:r>
    </w:p>
    <w:p w14:paraId="5D66614D">
      <w:pPr>
        <w:pStyle w:val="2"/>
        <w:numPr>
          <w:ilvl w:val="0"/>
          <w:numId w:val="0"/>
        </w:numPr>
        <w:ind w:leftChars="0"/>
        <w:rPr>
          <w:highlight w:val="none"/>
        </w:rPr>
      </w:pPr>
      <w:bookmarkStart w:id="9" w:name="_Toc12526"/>
      <w:bookmarkStart w:id="10" w:name="_Toc15972"/>
      <w:bookmarkStart w:id="11" w:name="_Toc3699"/>
      <w:bookmarkStart w:id="12" w:name="_Toc10409763"/>
      <w:bookmarkStart w:id="13" w:name="_Toc10409769"/>
      <w:r>
        <w:rPr>
          <w:rFonts w:hint="eastAsia"/>
          <w:highlight w:val="none"/>
          <w:lang w:val="en-US" w:eastAsia="zh-CN"/>
        </w:rPr>
        <w:t>1</w:t>
      </w:r>
      <w:r>
        <w:rPr>
          <w:rFonts w:hint="eastAsia"/>
          <w:highlight w:val="none"/>
        </w:rPr>
        <w:t>编制依据</w:t>
      </w:r>
      <w:bookmarkEnd w:id="9"/>
      <w:bookmarkEnd w:id="10"/>
      <w:bookmarkEnd w:id="11"/>
      <w:bookmarkEnd w:id="12"/>
    </w:p>
    <w:p w14:paraId="40FA6556">
      <w:pPr>
        <w:pStyle w:val="3"/>
        <w:rPr>
          <w:rFonts w:hint="eastAsia" w:eastAsia="宋体"/>
          <w:highlight w:val="none"/>
          <w:lang w:val="en-US" w:eastAsia="zh-CN"/>
        </w:rPr>
      </w:pPr>
      <w:bookmarkStart w:id="14" w:name="_Toc10409764"/>
      <w:bookmarkStart w:id="15" w:name="_Toc4543"/>
      <w:bookmarkStart w:id="16" w:name="_Toc20844"/>
      <w:bookmarkStart w:id="17" w:name="_Toc10283"/>
      <w:r>
        <w:rPr>
          <w:rFonts w:hint="eastAsia"/>
          <w:highlight w:val="none"/>
          <w:lang w:val="en-US" w:eastAsia="zh-CN"/>
        </w:rPr>
        <w:t>1</w:t>
      </w:r>
      <w:r>
        <w:rPr>
          <w:highlight w:val="none"/>
        </w:rPr>
        <w:t>.1</w:t>
      </w:r>
      <w:r>
        <w:rPr>
          <w:rFonts w:hint="eastAsia"/>
          <w:highlight w:val="none"/>
        </w:rPr>
        <w:t xml:space="preserve"> 编制</w:t>
      </w:r>
      <w:bookmarkEnd w:id="14"/>
      <w:r>
        <w:rPr>
          <w:rFonts w:hint="eastAsia"/>
          <w:highlight w:val="none"/>
          <w:lang w:val="en-US" w:eastAsia="zh-CN"/>
        </w:rPr>
        <w:t>说明</w:t>
      </w:r>
      <w:bookmarkEnd w:id="15"/>
      <w:bookmarkEnd w:id="16"/>
      <w:bookmarkEnd w:id="17"/>
    </w:p>
    <w:p w14:paraId="3B2EA34F">
      <w:pPr>
        <w:bidi w:val="0"/>
        <w:ind w:firstLine="480" w:firstLineChars="200"/>
        <w:rPr>
          <w:highlight w:val="none"/>
        </w:rPr>
      </w:pPr>
      <w:r>
        <w:rPr>
          <w:rFonts w:hint="eastAsia"/>
          <w:highlight w:val="none"/>
        </w:rPr>
        <w:t>中交二航局桂林-恭城-贺州公路（桂林至钟山段）№7合同段项目需采用</w:t>
      </w:r>
      <w:r>
        <w:rPr>
          <w:rFonts w:hint="eastAsia"/>
          <w:highlight w:val="none"/>
          <w:lang w:val="en-US" w:eastAsia="zh-CN"/>
        </w:rPr>
        <w:t>XGT7026-12S1</w:t>
      </w:r>
      <w:r>
        <w:rPr>
          <w:highlight w:val="none"/>
        </w:rPr>
        <w:t>塔式起重机进行桥梁施工吊装作业，为认真、全面、系统地做好起重机的安装作业，确保过程质量和安全，合理安排施工工期，</w:t>
      </w:r>
      <w:r>
        <w:rPr>
          <w:rFonts w:hint="eastAsia"/>
          <w:highlight w:val="none"/>
          <w:lang w:eastAsia="zh-CN"/>
        </w:rPr>
        <w:t>四川科斗文智能装备有限公司</w:t>
      </w:r>
      <w:r>
        <w:rPr>
          <w:highlight w:val="none"/>
        </w:rPr>
        <w:t>受项目部委托</w:t>
      </w:r>
      <w:r>
        <w:rPr>
          <w:rFonts w:hint="eastAsia"/>
          <w:highlight w:val="none"/>
        </w:rPr>
        <w:t>特编制本塔式起重机</w:t>
      </w:r>
      <w:r>
        <w:rPr>
          <w:highlight w:val="none"/>
        </w:rPr>
        <w:t>安装专项施工方案。</w:t>
      </w:r>
    </w:p>
    <w:p w14:paraId="43173BD4">
      <w:pPr>
        <w:pStyle w:val="3"/>
        <w:rPr>
          <w:rFonts w:hint="default" w:eastAsia="宋体"/>
          <w:highlight w:val="none"/>
          <w:lang w:val="en-US" w:eastAsia="zh-CN"/>
        </w:rPr>
      </w:pPr>
      <w:bookmarkStart w:id="18" w:name="_Toc10409765"/>
      <w:bookmarkStart w:id="19" w:name="_Toc1384"/>
      <w:bookmarkStart w:id="20" w:name="_Toc7022"/>
      <w:bookmarkStart w:id="21" w:name="_Toc934"/>
      <w:r>
        <w:rPr>
          <w:rFonts w:hint="eastAsia"/>
          <w:highlight w:val="none"/>
          <w:lang w:val="en-US" w:eastAsia="zh-CN"/>
        </w:rPr>
        <w:t>1</w:t>
      </w:r>
      <w:r>
        <w:rPr>
          <w:highlight w:val="none"/>
        </w:rPr>
        <w:t>.2</w:t>
      </w:r>
      <w:r>
        <w:rPr>
          <w:rFonts w:hint="eastAsia"/>
          <w:highlight w:val="none"/>
        </w:rPr>
        <w:t xml:space="preserve"> </w:t>
      </w:r>
      <w:bookmarkEnd w:id="18"/>
      <w:r>
        <w:rPr>
          <w:rFonts w:hint="eastAsia"/>
          <w:highlight w:val="none"/>
          <w:lang w:val="en-US" w:eastAsia="zh-CN"/>
        </w:rPr>
        <w:t>引用文件</w:t>
      </w:r>
      <w:bookmarkEnd w:id="19"/>
      <w:bookmarkEnd w:id="20"/>
      <w:bookmarkEnd w:id="21"/>
    </w:p>
    <w:p w14:paraId="192ACC68">
      <w:pPr>
        <w:pStyle w:val="4"/>
        <w:bidi w:val="0"/>
        <w:rPr>
          <w:highlight w:val="none"/>
        </w:rPr>
      </w:pPr>
      <w:bookmarkStart w:id="22" w:name="_Hlk42526096"/>
      <w:bookmarkStart w:id="23" w:name="_Toc6806"/>
      <w:r>
        <w:rPr>
          <w:rFonts w:hint="eastAsia"/>
          <w:highlight w:val="none"/>
          <w:lang w:val="en-US" w:eastAsia="zh-CN"/>
        </w:rPr>
        <w:t>1</w:t>
      </w:r>
      <w:r>
        <w:rPr>
          <w:highlight w:val="none"/>
        </w:rPr>
        <w:t>.2.1</w:t>
      </w:r>
      <w:r>
        <w:rPr>
          <w:rFonts w:hint="eastAsia"/>
          <w:highlight w:val="none"/>
        </w:rPr>
        <w:t>主要法律法规</w:t>
      </w:r>
    </w:p>
    <w:p w14:paraId="350CC49F">
      <w:pPr>
        <w:pStyle w:val="48"/>
        <w:numPr>
          <w:ilvl w:val="0"/>
          <w:numId w:val="4"/>
        </w:numPr>
        <w:ind w:firstLineChars="0"/>
        <w:rPr>
          <w:rFonts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w:t>
      </w:r>
      <w:r>
        <w:rPr>
          <w:rFonts w:ascii="宋体" w:hAnsi="宋体" w:eastAsia="宋体" w:cs="Times New Roman"/>
          <w:color w:val="auto"/>
          <w:kern w:val="2"/>
          <w:sz w:val="24"/>
          <w:szCs w:val="22"/>
          <w:highlight w:val="none"/>
          <w:lang w:val="en-US" w:eastAsia="zh-CN" w:bidi="ar-SA"/>
        </w:rPr>
        <w:t>中华人民共和国特种设备安全法</w:t>
      </w:r>
      <w:r>
        <w:rPr>
          <w:rFonts w:hint="eastAsia" w:ascii="宋体" w:hAnsi="宋体" w:eastAsia="宋体" w:cs="Times New Roman"/>
          <w:color w:val="auto"/>
          <w:kern w:val="2"/>
          <w:sz w:val="24"/>
          <w:szCs w:val="22"/>
          <w:highlight w:val="none"/>
          <w:lang w:val="en-US" w:eastAsia="zh-CN" w:bidi="ar-SA"/>
        </w:rPr>
        <w:t>》（中华人民共和国主席令第</w:t>
      </w:r>
      <w:r>
        <w:rPr>
          <w:rFonts w:ascii="宋体" w:hAnsi="宋体" w:eastAsia="宋体" w:cs="Times New Roman"/>
          <w:color w:val="auto"/>
          <w:kern w:val="2"/>
          <w:sz w:val="24"/>
          <w:szCs w:val="22"/>
          <w:highlight w:val="none"/>
          <w:lang w:val="en-US" w:eastAsia="zh-CN" w:bidi="ar-SA"/>
        </w:rPr>
        <w:t>4</w:t>
      </w:r>
      <w:r>
        <w:rPr>
          <w:rFonts w:hint="eastAsia" w:ascii="宋体" w:hAnsi="宋体" w:eastAsia="宋体" w:cs="Times New Roman"/>
          <w:color w:val="auto"/>
          <w:kern w:val="2"/>
          <w:sz w:val="24"/>
          <w:szCs w:val="22"/>
          <w:highlight w:val="none"/>
          <w:lang w:val="en-US" w:eastAsia="zh-CN" w:bidi="ar-SA"/>
        </w:rPr>
        <w:t>号）</w:t>
      </w:r>
    </w:p>
    <w:p w14:paraId="4776883D">
      <w:pPr>
        <w:pStyle w:val="48"/>
        <w:numPr>
          <w:ilvl w:val="0"/>
          <w:numId w:val="4"/>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《中华人民共和国安全生产法》（中华人民共和国主席令第88号）</w:t>
      </w:r>
    </w:p>
    <w:p w14:paraId="4F5BA8EB">
      <w:pPr>
        <w:pStyle w:val="48"/>
        <w:numPr>
          <w:ilvl w:val="0"/>
          <w:numId w:val="4"/>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《特种设备安全监察条例》（国务院令第549号）</w:t>
      </w:r>
    </w:p>
    <w:p w14:paraId="7691DF19">
      <w:pPr>
        <w:pStyle w:val="48"/>
        <w:numPr>
          <w:ilvl w:val="0"/>
          <w:numId w:val="4"/>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《起重机械安全监察规定》（质监总局令第92号）</w:t>
      </w:r>
    </w:p>
    <w:p w14:paraId="42988A1D">
      <w:pPr>
        <w:pStyle w:val="48"/>
        <w:numPr>
          <w:ilvl w:val="0"/>
          <w:numId w:val="4"/>
        </w:numPr>
        <w:ind w:firstLineChars="0"/>
        <w:rPr>
          <w:rFonts w:hint="eastAsia" w:ascii="宋体" w:hAnsi="宋体" w:eastAsia="宋体" w:cs="Times New Roman"/>
          <w:color w:val="auto"/>
          <w:kern w:val="2"/>
          <w:sz w:val="24"/>
          <w:szCs w:val="22"/>
          <w:highlight w:val="none"/>
          <w:lang w:val="en-US" w:eastAsia="zh-CN" w:bidi="ar-SA"/>
        </w:rPr>
      </w:pPr>
      <w:r>
        <w:rPr>
          <w:rFonts w:hint="eastAsia" w:ascii="宋体" w:hAnsi="宋体" w:eastAsia="宋体" w:cs="Times New Roman"/>
          <w:color w:val="auto"/>
          <w:kern w:val="2"/>
          <w:sz w:val="24"/>
          <w:szCs w:val="22"/>
          <w:highlight w:val="none"/>
          <w:lang w:val="en-US" w:eastAsia="zh-CN" w:bidi="ar-SA"/>
        </w:rPr>
        <w:t>《特种设备作业人员监督管理办法》（质监总局令第140号）</w:t>
      </w:r>
    </w:p>
    <w:p w14:paraId="74DA5BF9">
      <w:pPr>
        <w:pStyle w:val="4"/>
        <w:bidi w:val="0"/>
        <w:rPr>
          <w:highlight w:val="none"/>
        </w:rPr>
      </w:pPr>
      <w:r>
        <w:rPr>
          <w:rFonts w:hint="eastAsia"/>
          <w:highlight w:val="none"/>
          <w:lang w:val="en-US" w:eastAsia="zh-CN"/>
        </w:rPr>
        <w:t>1</w:t>
      </w:r>
      <w:r>
        <w:rPr>
          <w:highlight w:val="none"/>
        </w:rPr>
        <w:t>.2.2</w:t>
      </w:r>
      <w:r>
        <w:rPr>
          <w:rFonts w:hint="eastAsia"/>
          <w:highlight w:val="none"/>
        </w:rPr>
        <w:t>主要规范、规程</w:t>
      </w:r>
    </w:p>
    <w:p w14:paraId="03D1184B">
      <w:pPr>
        <w:numPr>
          <w:ilvl w:val="0"/>
          <w:numId w:val="5"/>
        </w:numPr>
        <w:bidi w:val="0"/>
        <w:rPr>
          <w:rFonts w:hint="eastAsia"/>
          <w:highlight w:val="none"/>
        </w:rPr>
      </w:pPr>
      <w:r>
        <w:rPr>
          <w:rFonts w:hint="eastAsia"/>
          <w:highlight w:val="none"/>
        </w:rPr>
        <w:t>《塔式起重机安全规程》（GB 5144-20</w:t>
      </w:r>
      <w:r>
        <w:rPr>
          <w:rFonts w:hint="eastAsia"/>
          <w:highlight w:val="none"/>
          <w:lang w:val="en-US" w:eastAsia="zh-CN"/>
        </w:rPr>
        <w:t>06</w:t>
      </w:r>
      <w:r>
        <w:rPr>
          <w:rFonts w:hint="eastAsia"/>
          <w:highlight w:val="none"/>
        </w:rPr>
        <w:t>）</w:t>
      </w:r>
    </w:p>
    <w:p w14:paraId="2E74DFF8">
      <w:pPr>
        <w:numPr>
          <w:ilvl w:val="0"/>
          <w:numId w:val="5"/>
        </w:numPr>
        <w:bidi w:val="0"/>
        <w:rPr>
          <w:rFonts w:hint="eastAsia"/>
          <w:highlight w:val="none"/>
        </w:rPr>
      </w:pPr>
      <w:r>
        <w:rPr>
          <w:rFonts w:hint="eastAsia"/>
          <w:highlight w:val="none"/>
        </w:rPr>
        <w:t>《重要用途钢丝绳》（GB 8918-2006）</w:t>
      </w:r>
    </w:p>
    <w:p w14:paraId="2466DE2B">
      <w:pPr>
        <w:numPr>
          <w:ilvl w:val="0"/>
          <w:numId w:val="5"/>
        </w:numPr>
        <w:bidi w:val="0"/>
        <w:rPr>
          <w:rFonts w:hint="eastAsia"/>
          <w:highlight w:val="none"/>
        </w:rPr>
      </w:pPr>
      <w:r>
        <w:rPr>
          <w:rFonts w:hint="eastAsia"/>
          <w:highlight w:val="none"/>
        </w:rPr>
        <w:t>《起重设备安装工程施工及验收规范》（GB 50278-2010）</w:t>
      </w:r>
    </w:p>
    <w:p w14:paraId="484FB711">
      <w:pPr>
        <w:numPr>
          <w:ilvl w:val="0"/>
          <w:numId w:val="5"/>
        </w:numPr>
        <w:bidi w:val="0"/>
        <w:rPr>
          <w:rFonts w:hint="eastAsia"/>
          <w:highlight w:val="none"/>
        </w:rPr>
      </w:pPr>
      <w:r>
        <w:rPr>
          <w:rFonts w:hint="eastAsia"/>
          <w:highlight w:val="none"/>
        </w:rPr>
        <w:t>《起重机 安全使用 第3部分：塔式起重机》（GB/T 23723.3-2010）</w:t>
      </w:r>
    </w:p>
    <w:p w14:paraId="41A457B3">
      <w:pPr>
        <w:numPr>
          <w:ilvl w:val="0"/>
          <w:numId w:val="5"/>
        </w:numPr>
        <w:bidi w:val="0"/>
        <w:rPr>
          <w:rFonts w:hint="eastAsia"/>
          <w:highlight w:val="none"/>
        </w:rPr>
      </w:pPr>
      <w:r>
        <w:rPr>
          <w:rFonts w:hint="eastAsia"/>
          <w:highlight w:val="none"/>
        </w:rPr>
        <w:t>《塔式起重机》（GB/T 5031-20</w:t>
      </w:r>
      <w:r>
        <w:rPr>
          <w:rFonts w:hint="eastAsia"/>
          <w:highlight w:val="none"/>
          <w:lang w:val="en-US" w:eastAsia="zh-CN"/>
        </w:rPr>
        <w:t>19</w:t>
      </w:r>
      <w:r>
        <w:rPr>
          <w:rFonts w:hint="eastAsia"/>
          <w:highlight w:val="none"/>
        </w:rPr>
        <w:t>）</w:t>
      </w:r>
    </w:p>
    <w:p w14:paraId="3A8AAC8E">
      <w:pPr>
        <w:numPr>
          <w:ilvl w:val="0"/>
          <w:numId w:val="5"/>
        </w:numPr>
        <w:bidi w:val="0"/>
        <w:rPr>
          <w:rFonts w:hint="eastAsia"/>
          <w:highlight w:val="none"/>
        </w:rPr>
      </w:pPr>
      <w:r>
        <w:rPr>
          <w:rFonts w:hint="eastAsia"/>
          <w:highlight w:val="none"/>
        </w:rPr>
        <w:t>《塔式起重机安装与拆卸规则》（GB/T 26471-2011）</w:t>
      </w:r>
    </w:p>
    <w:p w14:paraId="06212778">
      <w:pPr>
        <w:numPr>
          <w:ilvl w:val="0"/>
          <w:numId w:val="5"/>
        </w:numPr>
        <w:bidi w:val="0"/>
        <w:rPr>
          <w:rFonts w:hint="eastAsia"/>
          <w:highlight w:val="none"/>
        </w:rPr>
      </w:pPr>
      <w:r>
        <w:rPr>
          <w:rFonts w:hint="eastAsia"/>
          <w:highlight w:val="none"/>
        </w:rPr>
        <w:t>《塔式起重机设计规范》（GB/T 13752-2017）</w:t>
      </w:r>
    </w:p>
    <w:p w14:paraId="10A56D2C">
      <w:pPr>
        <w:numPr>
          <w:ilvl w:val="0"/>
          <w:numId w:val="5"/>
        </w:numPr>
        <w:bidi w:val="0"/>
        <w:rPr>
          <w:rFonts w:hint="eastAsia"/>
          <w:highlight w:val="none"/>
        </w:rPr>
      </w:pPr>
      <w:r>
        <w:rPr>
          <w:rFonts w:hint="eastAsia"/>
          <w:highlight w:val="none"/>
        </w:rPr>
        <w:t>《起重机械定期检验规则》（TSG Q7015-2016）</w:t>
      </w:r>
    </w:p>
    <w:p w14:paraId="5271DA3E">
      <w:pPr>
        <w:numPr>
          <w:ilvl w:val="0"/>
          <w:numId w:val="5"/>
        </w:numPr>
        <w:bidi w:val="0"/>
        <w:rPr>
          <w:rFonts w:hint="eastAsia"/>
          <w:highlight w:val="none"/>
        </w:rPr>
      </w:pPr>
      <w:r>
        <w:rPr>
          <w:rFonts w:hint="eastAsia"/>
          <w:highlight w:val="none"/>
        </w:rPr>
        <w:t>《起重机械定期检验规则》（TSG Q7015-2016）</w:t>
      </w:r>
    </w:p>
    <w:p w14:paraId="50D8031C">
      <w:pPr>
        <w:numPr>
          <w:ilvl w:val="0"/>
          <w:numId w:val="5"/>
        </w:numPr>
        <w:bidi w:val="0"/>
        <w:rPr>
          <w:rFonts w:hint="eastAsia"/>
          <w:highlight w:val="none"/>
        </w:rPr>
      </w:pPr>
      <w:r>
        <w:rPr>
          <w:rFonts w:hint="eastAsia"/>
          <w:highlight w:val="none"/>
        </w:rPr>
        <w:t>《起重机械安装改造重大修理监督检验规则》（TSG Q7016-2016）</w:t>
      </w:r>
    </w:p>
    <w:p w14:paraId="6BBB67E6">
      <w:pPr>
        <w:numPr>
          <w:ilvl w:val="0"/>
          <w:numId w:val="5"/>
        </w:numPr>
        <w:bidi w:val="0"/>
        <w:rPr>
          <w:rFonts w:hint="eastAsia"/>
          <w:highlight w:val="none"/>
        </w:rPr>
      </w:pPr>
      <w:r>
        <w:rPr>
          <w:rFonts w:hint="eastAsia"/>
          <w:highlight w:val="none"/>
        </w:rPr>
        <w:t>《焊缝无损检测 超声检测 技术、检测等级和评定》GB/T11345－20</w:t>
      </w:r>
      <w:r>
        <w:rPr>
          <w:rFonts w:hint="eastAsia"/>
          <w:highlight w:val="none"/>
          <w:lang w:val="en-US" w:eastAsia="zh-CN"/>
        </w:rPr>
        <w:t>23</w:t>
      </w:r>
    </w:p>
    <w:p w14:paraId="652F3C6E">
      <w:pPr>
        <w:numPr>
          <w:ilvl w:val="0"/>
          <w:numId w:val="5"/>
        </w:numPr>
        <w:bidi w:val="0"/>
        <w:rPr>
          <w:rFonts w:hint="eastAsia"/>
          <w:highlight w:val="none"/>
        </w:rPr>
      </w:pPr>
      <w:r>
        <w:rPr>
          <w:rFonts w:hint="eastAsia"/>
          <w:highlight w:val="none"/>
        </w:rPr>
        <w:t>《起重机 检验与试验规范 第1部分：通则》GB/T5905-20</w:t>
      </w:r>
      <w:r>
        <w:rPr>
          <w:rFonts w:hint="eastAsia"/>
          <w:highlight w:val="none"/>
          <w:lang w:val="en-US" w:eastAsia="zh-CN"/>
        </w:rPr>
        <w:t>23</w:t>
      </w:r>
    </w:p>
    <w:p w14:paraId="4B78FF8D">
      <w:pPr>
        <w:numPr>
          <w:ilvl w:val="0"/>
          <w:numId w:val="5"/>
        </w:numPr>
        <w:bidi w:val="0"/>
        <w:rPr>
          <w:rFonts w:hint="eastAsia"/>
          <w:highlight w:val="none"/>
        </w:rPr>
      </w:pPr>
      <w:r>
        <w:rPr>
          <w:rFonts w:hint="eastAsia"/>
          <w:highlight w:val="none"/>
        </w:rPr>
        <w:t>《危险性较大的分部分项工程安全管理规定》住房城乡建设部令第</w:t>
      </w:r>
      <w:r>
        <w:rPr>
          <w:rFonts w:hint="eastAsia"/>
          <w:highlight w:val="none"/>
          <w:lang w:val="en-US" w:eastAsia="zh-CN"/>
        </w:rPr>
        <w:t>4</w:t>
      </w:r>
      <w:r>
        <w:rPr>
          <w:rFonts w:hint="eastAsia"/>
          <w:highlight w:val="none"/>
        </w:rPr>
        <w:t>7</w:t>
      </w:r>
      <w:r>
        <w:rPr>
          <w:rFonts w:hint="eastAsia"/>
          <w:highlight w:val="none"/>
          <w:lang w:eastAsia="zh-CN"/>
        </w:rPr>
        <w:t>号令</w:t>
      </w:r>
      <w:r>
        <w:rPr>
          <w:rFonts w:hint="eastAsia"/>
          <w:highlight w:val="none"/>
        </w:rPr>
        <w:t>号</w:t>
      </w:r>
    </w:p>
    <w:p w14:paraId="73E2704F">
      <w:pPr>
        <w:numPr>
          <w:ilvl w:val="0"/>
          <w:numId w:val="5"/>
        </w:numPr>
        <w:bidi w:val="0"/>
        <w:rPr>
          <w:rFonts w:hint="eastAsia"/>
          <w:highlight w:val="none"/>
        </w:rPr>
      </w:pPr>
      <w:r>
        <w:rPr>
          <w:rFonts w:hint="eastAsia"/>
          <w:highlight w:val="none"/>
        </w:rPr>
        <w:t>《住房城乡建设部办公厅关于实施&lt;危险性较大分部分项工程安全管理规定&gt;有关问题的通知》建办质[2018]31号文件</w:t>
      </w:r>
    </w:p>
    <w:p w14:paraId="22C9707E">
      <w:pPr>
        <w:pStyle w:val="4"/>
        <w:bidi w:val="0"/>
        <w:rPr>
          <w:highlight w:val="none"/>
        </w:rPr>
      </w:pPr>
      <w:r>
        <w:rPr>
          <w:rFonts w:hint="eastAsia"/>
          <w:highlight w:val="none"/>
          <w:lang w:val="en-US" w:eastAsia="zh-CN"/>
        </w:rPr>
        <w:t>1</w:t>
      </w:r>
      <w:r>
        <w:rPr>
          <w:highlight w:val="none"/>
        </w:rPr>
        <w:t>.2.3</w:t>
      </w:r>
      <w:r>
        <w:rPr>
          <w:rFonts w:hint="eastAsia"/>
          <w:highlight w:val="none"/>
        </w:rPr>
        <w:t>其他</w:t>
      </w:r>
    </w:p>
    <w:p w14:paraId="509CE369">
      <w:pPr>
        <w:numPr>
          <w:ilvl w:val="0"/>
          <w:numId w:val="6"/>
        </w:numPr>
        <w:bidi w:val="0"/>
        <w:rPr>
          <w:rFonts w:hint="eastAsia"/>
          <w:highlight w:val="none"/>
        </w:rPr>
      </w:pPr>
      <w:r>
        <w:rPr>
          <w:rFonts w:hint="eastAsia"/>
          <w:highlight w:val="none"/>
        </w:rPr>
        <w:t>中交二航局桂林-恭城-贺州公路（桂林至钟山段）№7合同段施工组织设计</w:t>
      </w:r>
    </w:p>
    <w:p w14:paraId="4C7BA662">
      <w:pPr>
        <w:numPr>
          <w:ilvl w:val="0"/>
          <w:numId w:val="6"/>
        </w:numPr>
        <w:bidi w:val="0"/>
        <w:rPr>
          <w:rFonts w:hint="eastAsia"/>
          <w:highlight w:val="none"/>
        </w:rPr>
      </w:pPr>
      <w:r>
        <w:rPr>
          <w:rFonts w:hint="eastAsia"/>
          <w:highlight w:val="none"/>
        </w:rPr>
        <w:t>桂林-恭城-贺州公路（桂林至钟山段）№7合同段施工图</w:t>
      </w:r>
    </w:p>
    <w:p w14:paraId="2C9C0EE1">
      <w:pPr>
        <w:numPr>
          <w:ilvl w:val="0"/>
          <w:numId w:val="6"/>
        </w:numPr>
        <w:bidi w:val="0"/>
        <w:rPr>
          <w:rFonts w:hint="eastAsia"/>
          <w:highlight w:val="none"/>
        </w:rPr>
      </w:pPr>
      <w:r>
        <w:rPr>
          <w:rFonts w:hint="eastAsia"/>
          <w:highlight w:val="none"/>
        </w:rPr>
        <w:t>桂林-恭城-贺州公路（桂林至钟山段）№7合同段</w:t>
      </w:r>
      <w:r>
        <w:rPr>
          <w:rFonts w:hint="eastAsia"/>
          <w:highlight w:val="none"/>
          <w:lang w:val="en-US" w:eastAsia="zh-CN"/>
        </w:rPr>
        <w:t>高墩身</w:t>
      </w:r>
      <w:r>
        <w:rPr>
          <w:rFonts w:hint="eastAsia"/>
          <w:highlight w:val="none"/>
        </w:rPr>
        <w:t>专项施工方案</w:t>
      </w:r>
    </w:p>
    <w:p w14:paraId="148459CB">
      <w:pPr>
        <w:numPr>
          <w:ilvl w:val="0"/>
          <w:numId w:val="6"/>
        </w:numPr>
        <w:tabs>
          <w:tab w:val="left" w:pos="920"/>
        </w:tabs>
        <w:bidi w:val="0"/>
        <w:rPr>
          <w:rFonts w:hint="eastAsia"/>
          <w:highlight w:val="none"/>
        </w:rPr>
      </w:pPr>
      <w:r>
        <w:rPr>
          <w:rFonts w:hint="eastAsia"/>
          <w:highlight w:val="none"/>
        </w:rPr>
        <w:t>桂林-恭城-贺州公路（桂林至钟山段）</w:t>
      </w:r>
      <w:r>
        <w:rPr>
          <w:rFonts w:hint="eastAsia"/>
          <w:highlight w:val="none"/>
          <w:lang w:eastAsia="zh-CN"/>
        </w:rPr>
        <w:t>№7合同段</w:t>
      </w:r>
      <w:r>
        <w:rPr>
          <w:rFonts w:hint="eastAsia"/>
          <w:highlight w:val="none"/>
          <w:lang w:val="en-US" w:eastAsia="zh-CN"/>
        </w:rPr>
        <w:t>桥梁工程施工安全专项风险评估报告</w:t>
      </w:r>
    </w:p>
    <w:p w14:paraId="79851205">
      <w:pPr>
        <w:numPr>
          <w:ilvl w:val="0"/>
          <w:numId w:val="6"/>
        </w:numPr>
        <w:tabs>
          <w:tab w:val="left" w:pos="920"/>
        </w:tabs>
        <w:bidi w:val="0"/>
        <w:rPr>
          <w:rFonts w:hint="eastAsia"/>
          <w:highlight w:val="none"/>
        </w:rPr>
      </w:pPr>
      <w:r>
        <w:rPr>
          <w:rFonts w:hint="eastAsia"/>
          <w:highlight w:val="none"/>
        </w:rPr>
        <w:t>桂林-恭城-贺州公路</w:t>
      </w:r>
      <w:r>
        <w:rPr>
          <w:rFonts w:hint="eastAsia" w:ascii="宋体" w:hAnsi="宋体" w:eastAsia="宋体" w:cs="Times New Roman"/>
          <w:highlight w:val="none"/>
        </w:rPr>
        <w:t>（桂林至钟山段）</w:t>
      </w:r>
      <w:r>
        <w:rPr>
          <w:rFonts w:hint="eastAsia" w:ascii="宋体" w:hAnsi="宋体" w:eastAsia="宋体" w:cs="Times New Roman"/>
          <w:highlight w:val="none"/>
          <w:lang w:eastAsia="zh-CN"/>
        </w:rPr>
        <w:t>№7合同段</w:t>
      </w:r>
      <w:r>
        <w:rPr>
          <w:rFonts w:hint="eastAsia" w:ascii="宋体" w:hAnsi="宋体" w:eastAsia="宋体" w:cs="Times New Roman"/>
          <w:highlight w:val="none"/>
          <w:lang w:val="en-US" w:eastAsia="zh-CN"/>
        </w:rPr>
        <w:t>专项应急预案、现场处置方案</w:t>
      </w:r>
    </w:p>
    <w:p w14:paraId="14CFB6FC">
      <w:pPr>
        <w:numPr>
          <w:ilvl w:val="0"/>
          <w:numId w:val="6"/>
        </w:numPr>
        <w:tabs>
          <w:tab w:val="left" w:pos="920"/>
        </w:tabs>
        <w:bidi w:val="0"/>
        <w:rPr>
          <w:rFonts w:hint="eastAsia"/>
          <w:highlight w:val="none"/>
        </w:rPr>
      </w:pPr>
      <w:r>
        <w:rPr>
          <w:rFonts w:hint="eastAsia"/>
          <w:highlight w:val="none"/>
          <w:lang w:eastAsia="zh-CN"/>
        </w:rPr>
        <w:t>XGT7026-12S1</w:t>
      </w:r>
      <w:r>
        <w:rPr>
          <w:rFonts w:hint="eastAsia"/>
          <w:highlight w:val="none"/>
        </w:rPr>
        <w:t>塔式起重机安装手册</w:t>
      </w:r>
    </w:p>
    <w:bookmarkEnd w:id="22"/>
    <w:bookmarkEnd w:id="23"/>
    <w:p w14:paraId="3CE8DC3F">
      <w:pPr>
        <w:pStyle w:val="3"/>
        <w:rPr>
          <w:highlight w:val="none"/>
        </w:rPr>
      </w:pPr>
      <w:bookmarkStart w:id="24" w:name="_Toc2530"/>
      <w:bookmarkStart w:id="25" w:name="_Toc10409766"/>
      <w:bookmarkStart w:id="26" w:name="_Toc20926"/>
      <w:bookmarkStart w:id="27" w:name="_Toc22831"/>
      <w:r>
        <w:rPr>
          <w:rFonts w:hint="eastAsia"/>
          <w:highlight w:val="none"/>
          <w:lang w:val="en-US" w:eastAsia="zh-CN"/>
        </w:rPr>
        <w:t>1</w:t>
      </w:r>
      <w:r>
        <w:rPr>
          <w:rFonts w:hint="eastAsia"/>
          <w:highlight w:val="none"/>
        </w:rPr>
        <w:t>.3 编制原则</w:t>
      </w:r>
      <w:bookmarkEnd w:id="24"/>
      <w:bookmarkEnd w:id="25"/>
      <w:bookmarkEnd w:id="26"/>
      <w:bookmarkEnd w:id="27"/>
    </w:p>
    <w:p w14:paraId="060AC864">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1）严格贯彻“安全第一”的原则，针对风险细化安全技术措施，预防和杜绝安全事故的发生；</w:t>
      </w:r>
    </w:p>
    <w:p w14:paraId="7C61FC7A">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2）严格按照ISO9001标准质量体系质量程序控制原则，实施安装过程动态管理；</w:t>
      </w:r>
    </w:p>
    <w:p w14:paraId="63B113E2">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highlight w:val="none"/>
        </w:rPr>
        <w:t>3）科学合理制定安装计划，提高安装功效；</w:t>
      </w:r>
    </w:p>
    <w:p w14:paraId="22387B69">
      <w:pPr>
        <w:keepNext w:val="0"/>
        <w:keepLines w:val="0"/>
        <w:pageBreakBefore w:val="0"/>
        <w:widowControl w:val="0"/>
        <w:kinsoku/>
        <w:wordWrap/>
        <w:overflowPunct/>
        <w:topLinePunct w:val="0"/>
        <w:autoSpaceDE/>
        <w:autoSpaceDN/>
        <w:bidi w:val="0"/>
        <w:adjustRightInd/>
        <w:snapToGrid/>
        <w:ind w:firstLine="480" w:firstLineChars="200"/>
        <w:textAlignment w:val="auto"/>
        <w:rPr>
          <w:highlight w:val="none"/>
        </w:rPr>
      </w:pPr>
      <w:r>
        <w:rPr>
          <w:rFonts w:hint="eastAsia"/>
          <w:highlight w:val="none"/>
          <w:lang w:val="en-US" w:eastAsia="zh-CN"/>
        </w:rPr>
        <w:t>4）</w:t>
      </w:r>
      <w:r>
        <w:rPr>
          <w:highlight w:val="none"/>
        </w:rPr>
        <w:t>加强过程管控，合理配置安装资源，合理降低安装成本。</w:t>
      </w:r>
    </w:p>
    <w:p w14:paraId="134DEFA7">
      <w:pPr>
        <w:pStyle w:val="3"/>
        <w:rPr>
          <w:highlight w:val="none"/>
        </w:rPr>
      </w:pPr>
      <w:bookmarkStart w:id="28" w:name="_Toc1278"/>
      <w:bookmarkStart w:id="29" w:name="_Toc11324"/>
      <w:bookmarkStart w:id="30" w:name="_Toc6999"/>
      <w:bookmarkStart w:id="31" w:name="_Toc10409767"/>
      <w:r>
        <w:rPr>
          <w:rFonts w:hint="eastAsia"/>
          <w:highlight w:val="none"/>
          <w:lang w:val="en-US" w:eastAsia="zh-CN"/>
        </w:rPr>
        <w:t>1</w:t>
      </w:r>
      <w:r>
        <w:rPr>
          <w:highlight w:val="none"/>
        </w:rPr>
        <w:t>.4</w:t>
      </w:r>
      <w:r>
        <w:rPr>
          <w:rFonts w:hint="eastAsia"/>
          <w:highlight w:val="none"/>
        </w:rPr>
        <w:t xml:space="preserve"> 隶属关系</w:t>
      </w:r>
      <w:bookmarkEnd w:id="28"/>
      <w:bookmarkEnd w:id="29"/>
      <w:bookmarkEnd w:id="30"/>
      <w:bookmarkEnd w:id="31"/>
    </w:p>
    <w:p w14:paraId="7B5F241E">
      <w:pPr>
        <w:pStyle w:val="41"/>
        <w:bidi w:val="0"/>
        <w:rPr>
          <w:highlight w:val="none"/>
        </w:rPr>
      </w:pPr>
      <w:r>
        <w:rPr>
          <w:rFonts w:hint="eastAsia"/>
          <w:highlight w:val="none"/>
        </w:rPr>
        <w:t>表</w:t>
      </w:r>
      <w:r>
        <w:rPr>
          <w:rFonts w:hint="eastAsia"/>
          <w:highlight w:val="none"/>
          <w:lang w:val="en-US" w:eastAsia="zh-CN"/>
        </w:rPr>
        <w:t>1</w:t>
      </w:r>
      <w:r>
        <w:rPr>
          <w:highlight w:val="none"/>
        </w:rPr>
        <w:t xml:space="preserve">.4-1 </w:t>
      </w:r>
      <w:r>
        <w:rPr>
          <w:rFonts w:hint="eastAsia"/>
          <w:highlight w:val="none"/>
        </w:rPr>
        <w:t>项目参与单位概况</w:t>
      </w:r>
    </w:p>
    <w:tbl>
      <w:tblPr>
        <w:tblStyle w:val="31"/>
        <w:tblW w:w="4999" w:type="pct"/>
        <w:jc w:val="center"/>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Layout w:type="autofit"/>
        <w:tblCellMar>
          <w:top w:w="0" w:type="dxa"/>
          <w:left w:w="108" w:type="dxa"/>
          <w:bottom w:w="0" w:type="dxa"/>
          <w:right w:w="108" w:type="dxa"/>
        </w:tblCellMar>
      </w:tblPr>
      <w:tblGrid>
        <w:gridCol w:w="866"/>
        <w:gridCol w:w="2446"/>
        <w:gridCol w:w="5208"/>
      </w:tblGrid>
      <w:tr w14:paraId="0ECC6B4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45F62FB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序号</w:t>
            </w:r>
          </w:p>
        </w:tc>
        <w:tc>
          <w:tcPr>
            <w:tcW w:w="1435" w:type="pct"/>
            <w:tcBorders>
              <w:tl2br w:val="nil"/>
              <w:tr2bl w:val="nil"/>
            </w:tcBorders>
            <w:vAlign w:val="center"/>
          </w:tcPr>
          <w:p w14:paraId="658DB58F">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项目</w:t>
            </w:r>
          </w:p>
        </w:tc>
        <w:tc>
          <w:tcPr>
            <w:tcW w:w="3055" w:type="pct"/>
            <w:tcBorders>
              <w:tl2br w:val="nil"/>
              <w:tr2bl w:val="nil"/>
            </w:tcBorders>
            <w:vAlign w:val="center"/>
          </w:tcPr>
          <w:p w14:paraId="69C17FB9">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内容</w:t>
            </w:r>
          </w:p>
        </w:tc>
      </w:tr>
      <w:tr w14:paraId="12AC8B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51428EF6">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1</w:t>
            </w:r>
          </w:p>
        </w:tc>
        <w:tc>
          <w:tcPr>
            <w:tcW w:w="1435" w:type="pct"/>
            <w:tcBorders>
              <w:tl2br w:val="nil"/>
              <w:tr2bl w:val="nil"/>
            </w:tcBorders>
            <w:vAlign w:val="center"/>
          </w:tcPr>
          <w:p w14:paraId="04BEF594">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建设单位</w:t>
            </w:r>
          </w:p>
        </w:tc>
        <w:tc>
          <w:tcPr>
            <w:tcW w:w="3055" w:type="pct"/>
            <w:tcBorders>
              <w:tl2br w:val="nil"/>
              <w:tr2bl w:val="nil"/>
            </w:tcBorders>
            <w:vAlign w:val="center"/>
          </w:tcPr>
          <w:p w14:paraId="1BCE72C9">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highlight w:val="none"/>
                <w:lang w:val="en-US" w:eastAsia="zh-CN"/>
              </w:rPr>
            </w:pPr>
            <w:r>
              <w:rPr>
                <w:rFonts w:hint="eastAsia" w:ascii="仿宋" w:hAnsi="仿宋" w:eastAsia="仿宋" w:cs="仿宋"/>
                <w:highlight w:val="none"/>
                <w:lang w:val="en-US" w:eastAsia="zh-CN"/>
              </w:rPr>
              <w:t>广西桂贺高速公路有限公司</w:t>
            </w:r>
          </w:p>
        </w:tc>
      </w:tr>
      <w:tr w14:paraId="302E747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10550B38">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2</w:t>
            </w:r>
          </w:p>
        </w:tc>
        <w:tc>
          <w:tcPr>
            <w:tcW w:w="1435" w:type="pct"/>
            <w:tcBorders>
              <w:tl2br w:val="nil"/>
              <w:tr2bl w:val="nil"/>
            </w:tcBorders>
            <w:vAlign w:val="center"/>
          </w:tcPr>
          <w:p w14:paraId="74BDA558">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勘察</w:t>
            </w:r>
            <w:r>
              <w:rPr>
                <w:rFonts w:hint="eastAsia" w:ascii="仿宋" w:hAnsi="仿宋" w:eastAsia="仿宋" w:cs="仿宋"/>
                <w:highlight w:val="none"/>
                <w:lang w:eastAsia="zh-CN"/>
              </w:rPr>
              <w:t>、</w:t>
            </w:r>
            <w:r>
              <w:rPr>
                <w:rFonts w:hint="eastAsia" w:ascii="仿宋" w:hAnsi="仿宋" w:eastAsia="仿宋" w:cs="仿宋"/>
                <w:highlight w:val="none"/>
              </w:rPr>
              <w:t>设计单位</w:t>
            </w:r>
          </w:p>
        </w:tc>
        <w:tc>
          <w:tcPr>
            <w:tcW w:w="3055" w:type="pct"/>
            <w:tcBorders>
              <w:tl2br w:val="nil"/>
              <w:tr2bl w:val="nil"/>
            </w:tcBorders>
            <w:vAlign w:val="center"/>
          </w:tcPr>
          <w:p w14:paraId="059373C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仿宋" w:hAnsi="仿宋" w:eastAsia="仿宋" w:cs="仿宋"/>
                <w:highlight w:val="none"/>
                <w:lang w:val="en-US"/>
              </w:rPr>
            </w:pPr>
            <w:r>
              <w:rPr>
                <w:rFonts w:hint="eastAsia" w:ascii="仿宋" w:hAnsi="仿宋" w:eastAsia="仿宋" w:cs="仿宋"/>
                <w:highlight w:val="none"/>
                <w:lang w:val="en-US" w:eastAsia="zh-CN"/>
              </w:rPr>
              <w:t>广西交通设计集团有限公司</w:t>
            </w:r>
          </w:p>
        </w:tc>
      </w:tr>
      <w:tr w14:paraId="6F96DDC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290B4B66">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3</w:t>
            </w:r>
          </w:p>
        </w:tc>
        <w:tc>
          <w:tcPr>
            <w:tcW w:w="1435" w:type="pct"/>
            <w:tcBorders>
              <w:tl2br w:val="nil"/>
              <w:tr2bl w:val="nil"/>
            </w:tcBorders>
            <w:vAlign w:val="center"/>
          </w:tcPr>
          <w:p w14:paraId="6897316B">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监理单位</w:t>
            </w:r>
          </w:p>
        </w:tc>
        <w:tc>
          <w:tcPr>
            <w:tcW w:w="3055" w:type="pct"/>
            <w:tcBorders>
              <w:tl2br w:val="nil"/>
              <w:tr2bl w:val="nil"/>
            </w:tcBorders>
            <w:vAlign w:val="center"/>
          </w:tcPr>
          <w:p w14:paraId="5D73976F">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lang w:val="en-US" w:eastAsia="zh-CN"/>
              </w:rPr>
              <w:t>四川盛达兴工程项目管理</w:t>
            </w:r>
            <w:r>
              <w:rPr>
                <w:rFonts w:hint="eastAsia" w:ascii="仿宋" w:hAnsi="仿宋" w:eastAsia="仿宋" w:cs="仿宋"/>
                <w:highlight w:val="none"/>
              </w:rPr>
              <w:t>有限公司</w:t>
            </w:r>
          </w:p>
        </w:tc>
      </w:tr>
      <w:tr w14:paraId="5A4D77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006D4DA1">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4</w:t>
            </w:r>
          </w:p>
        </w:tc>
        <w:tc>
          <w:tcPr>
            <w:tcW w:w="1435" w:type="pct"/>
            <w:tcBorders>
              <w:tl2br w:val="nil"/>
              <w:tr2bl w:val="nil"/>
            </w:tcBorders>
            <w:vAlign w:val="center"/>
          </w:tcPr>
          <w:p w14:paraId="2174197C">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施工单位</w:t>
            </w:r>
          </w:p>
        </w:tc>
        <w:tc>
          <w:tcPr>
            <w:tcW w:w="3055" w:type="pct"/>
            <w:tcBorders>
              <w:tl2br w:val="nil"/>
              <w:tr2bl w:val="nil"/>
            </w:tcBorders>
            <w:vAlign w:val="center"/>
          </w:tcPr>
          <w:p w14:paraId="4FD98045">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中交第二航务工程局有限公司</w:t>
            </w:r>
          </w:p>
        </w:tc>
      </w:tr>
      <w:tr w14:paraId="3DE6C28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3" w:hRule="atLeast"/>
          <w:jc w:val="center"/>
        </w:trPr>
        <w:tc>
          <w:tcPr>
            <w:tcW w:w="508" w:type="pct"/>
            <w:tcBorders>
              <w:tl2br w:val="nil"/>
              <w:tr2bl w:val="nil"/>
            </w:tcBorders>
            <w:vAlign w:val="center"/>
          </w:tcPr>
          <w:p w14:paraId="23145462">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rPr>
            </w:pPr>
            <w:r>
              <w:rPr>
                <w:rFonts w:hint="eastAsia" w:ascii="仿宋" w:hAnsi="仿宋" w:eastAsia="仿宋" w:cs="仿宋"/>
                <w:highlight w:val="none"/>
              </w:rPr>
              <w:t>5</w:t>
            </w:r>
          </w:p>
        </w:tc>
        <w:tc>
          <w:tcPr>
            <w:tcW w:w="1435" w:type="pct"/>
            <w:tcBorders>
              <w:tl2br w:val="nil"/>
              <w:tr2bl w:val="nil"/>
            </w:tcBorders>
            <w:vAlign w:val="center"/>
          </w:tcPr>
          <w:p w14:paraId="64F3244A">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napToGrid w:val="0"/>
                <w:kern w:val="0"/>
                <w:sz w:val="21"/>
                <w:szCs w:val="24"/>
                <w:highlight w:val="none"/>
                <w:lang w:val="en-US" w:eastAsia="zh-CN" w:bidi="ar-SA"/>
              </w:rPr>
            </w:pPr>
            <w:r>
              <w:rPr>
                <w:rFonts w:hint="eastAsia" w:ascii="仿宋" w:hAnsi="仿宋" w:eastAsia="仿宋" w:cs="仿宋"/>
                <w:highlight w:val="none"/>
              </w:rPr>
              <w:t>安拆单位</w:t>
            </w:r>
          </w:p>
        </w:tc>
        <w:tc>
          <w:tcPr>
            <w:tcW w:w="3055" w:type="pct"/>
            <w:tcBorders>
              <w:tl2br w:val="nil"/>
              <w:tr2bl w:val="nil"/>
            </w:tcBorders>
            <w:vAlign w:val="center"/>
          </w:tcPr>
          <w:p w14:paraId="19CA923E">
            <w:pPr>
              <w:pStyle w:val="10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highlight w:val="none"/>
                <w:lang w:eastAsia="zh-CN"/>
              </w:rPr>
            </w:pPr>
            <w:r>
              <w:rPr>
                <w:rFonts w:hint="eastAsia" w:ascii="仿宋" w:hAnsi="仿宋" w:eastAsia="仿宋" w:cs="仿宋"/>
                <w:highlight w:val="none"/>
                <w:lang w:eastAsia="zh-CN"/>
              </w:rPr>
              <w:t>四川科斗文智能装备有限公司</w:t>
            </w:r>
          </w:p>
        </w:tc>
      </w:tr>
    </w:tbl>
    <w:p w14:paraId="73B59B24">
      <w:pPr>
        <w:pStyle w:val="3"/>
        <w:rPr>
          <w:highlight w:val="none"/>
        </w:rPr>
      </w:pPr>
      <w:bookmarkStart w:id="32" w:name="_Toc26819"/>
      <w:bookmarkStart w:id="33" w:name="_Toc10409768"/>
      <w:bookmarkStart w:id="34" w:name="_Toc13911"/>
      <w:bookmarkStart w:id="35" w:name="_Toc14295"/>
      <w:r>
        <w:rPr>
          <w:rFonts w:hint="eastAsia"/>
          <w:highlight w:val="none"/>
          <w:lang w:val="en-US" w:eastAsia="zh-CN"/>
        </w:rPr>
        <w:t>1</w:t>
      </w:r>
      <w:r>
        <w:rPr>
          <w:rFonts w:hint="eastAsia"/>
          <w:highlight w:val="none"/>
        </w:rPr>
        <w:t>.5 适用范围</w:t>
      </w:r>
      <w:bookmarkEnd w:id="32"/>
      <w:bookmarkEnd w:id="33"/>
      <w:bookmarkEnd w:id="34"/>
      <w:bookmarkEnd w:id="35"/>
    </w:p>
    <w:p w14:paraId="69D8B936">
      <w:pPr>
        <w:bidi w:val="0"/>
        <w:ind w:firstLine="480" w:firstLineChars="200"/>
        <w:rPr>
          <w:highlight w:val="none"/>
        </w:rPr>
      </w:pPr>
      <w:r>
        <w:rPr>
          <w:rFonts w:hint="eastAsia"/>
          <w:highlight w:val="none"/>
        </w:rPr>
        <w:t>本方案适用于中交二航局桂林-恭城-贺州公路（桂林至钟山段）№7合同段</w:t>
      </w:r>
      <w:r>
        <w:rPr>
          <w:highlight w:val="none"/>
        </w:rPr>
        <w:t>项目</w:t>
      </w:r>
      <w:r>
        <w:rPr>
          <w:rFonts w:hint="eastAsia"/>
          <w:highlight w:val="none"/>
          <w:lang w:val="en-US" w:eastAsia="zh-CN"/>
        </w:rPr>
        <w:t>XGT7026-12S1</w:t>
      </w:r>
      <w:r>
        <w:rPr>
          <w:highlight w:val="none"/>
        </w:rPr>
        <w:t>塔式起重机安装安全施工作业。</w:t>
      </w:r>
    </w:p>
    <w:p w14:paraId="522D2077">
      <w:pPr>
        <w:rPr>
          <w:highlight w:val="none"/>
        </w:rPr>
      </w:pPr>
      <w:r>
        <w:rPr>
          <w:highlight w:val="none"/>
        </w:rPr>
        <w:br w:type="page"/>
      </w:r>
    </w:p>
    <w:p w14:paraId="66BCE898">
      <w:pPr>
        <w:pStyle w:val="2"/>
        <w:numPr>
          <w:ilvl w:val="0"/>
          <w:numId w:val="0"/>
        </w:numPr>
        <w:ind w:leftChars="0"/>
        <w:rPr>
          <w:highlight w:val="none"/>
        </w:rPr>
      </w:pPr>
      <w:bookmarkStart w:id="36" w:name="_Toc2545"/>
      <w:bookmarkStart w:id="37" w:name="_Toc13089"/>
      <w:bookmarkStart w:id="38" w:name="_Toc16987"/>
      <w:r>
        <w:rPr>
          <w:rFonts w:hint="eastAsia"/>
          <w:highlight w:val="none"/>
          <w:lang w:val="en-US" w:eastAsia="zh-CN"/>
        </w:rPr>
        <w:t>2</w:t>
      </w:r>
      <w:r>
        <w:rPr>
          <w:rFonts w:hint="eastAsia"/>
          <w:highlight w:val="none"/>
        </w:rPr>
        <w:t>工程概况</w:t>
      </w:r>
      <w:bookmarkEnd w:id="13"/>
      <w:bookmarkEnd w:id="36"/>
      <w:bookmarkEnd w:id="37"/>
      <w:bookmarkEnd w:id="38"/>
    </w:p>
    <w:p w14:paraId="3ABB5EF7">
      <w:pPr>
        <w:pStyle w:val="3"/>
        <w:rPr>
          <w:highlight w:val="none"/>
        </w:rPr>
      </w:pPr>
      <w:bookmarkStart w:id="39" w:name="_Toc23094"/>
      <w:bookmarkStart w:id="40" w:name="_Toc15567"/>
      <w:bookmarkStart w:id="41" w:name="_Toc8807"/>
      <w:bookmarkStart w:id="42" w:name="_Toc10409770"/>
      <w:r>
        <w:rPr>
          <w:rFonts w:hint="eastAsia"/>
          <w:highlight w:val="none"/>
          <w:lang w:val="en-US" w:eastAsia="zh-CN"/>
        </w:rPr>
        <w:t>2</w:t>
      </w:r>
      <w:r>
        <w:rPr>
          <w:rFonts w:hint="eastAsia"/>
          <w:highlight w:val="none"/>
        </w:rPr>
        <w:t>.1 工程概况</w:t>
      </w:r>
      <w:bookmarkEnd w:id="39"/>
      <w:bookmarkEnd w:id="40"/>
      <w:bookmarkEnd w:id="41"/>
      <w:bookmarkEnd w:id="42"/>
    </w:p>
    <w:p w14:paraId="2730413B">
      <w:pPr>
        <w:bidi w:val="0"/>
        <w:ind w:firstLine="480" w:firstLineChars="200"/>
        <w:rPr>
          <w:rFonts w:hint="eastAsia"/>
          <w:highlight w:val="none"/>
        </w:rPr>
      </w:pPr>
      <w:r>
        <w:rPr>
          <w:rFonts w:hint="eastAsia"/>
          <w:highlight w:val="none"/>
        </w:rPr>
        <w:t>桂林-恭城-贺州公路（桂林至钟山段）№7合同段路线长度14.9</w:t>
      </w:r>
      <w:r>
        <w:rPr>
          <w:rFonts w:hint="eastAsia"/>
          <w:highlight w:val="none"/>
          <w:lang w:val="en-US" w:eastAsia="zh-CN"/>
        </w:rPr>
        <w:t>63</w:t>
      </w:r>
      <w:r>
        <w:rPr>
          <w:rFonts w:hint="eastAsia"/>
          <w:highlight w:val="none"/>
        </w:rPr>
        <w:t>km，途径莲花镇与三江乡，起讫桩号K105+8</w:t>
      </w:r>
      <w:r>
        <w:rPr>
          <w:rFonts w:hint="eastAsia"/>
          <w:highlight w:val="none"/>
          <w:lang w:val="en-US" w:eastAsia="zh-CN"/>
        </w:rPr>
        <w:t>14.932</w:t>
      </w:r>
      <w:r>
        <w:rPr>
          <w:rFonts w:hint="eastAsia"/>
          <w:highlight w:val="none"/>
        </w:rPr>
        <w:t>-K120+780,施工内容包含路基、路面（不含沥青面层）、桥涵、隧道、线路交叉、交安及绿化等工程。线路主线为双向4车道，</w:t>
      </w:r>
      <w:r>
        <w:rPr>
          <w:rFonts w:hint="eastAsia"/>
          <w:highlight w:val="none"/>
          <w:lang w:val="en-US" w:eastAsia="zh-CN"/>
        </w:rPr>
        <w:t>路基总长1.746km，</w:t>
      </w:r>
      <w:r>
        <w:rPr>
          <w:rFonts w:hint="eastAsia"/>
          <w:highlight w:val="none"/>
        </w:rPr>
        <w:t>整体式路基全幅宽26m，分离式路基宽13m，设计速度：100km/h，设计荷载公路-I级；沿线共设桥梁5.161km/12座（含天桥1座、立交桥1座）</w:t>
      </w:r>
      <w:r>
        <w:rPr>
          <w:rFonts w:hint="eastAsia"/>
          <w:highlight w:val="none"/>
          <w:lang w:eastAsia="zh-CN"/>
        </w:rPr>
        <w:t>。</w:t>
      </w:r>
      <w:r>
        <w:rPr>
          <w:rFonts w:hint="eastAsia"/>
          <w:highlight w:val="none"/>
        </w:rPr>
        <w:t>隧道8.056km/4座，建筑限界净宽10.75米，净高5.0米，均为长隧道。标段内有通道、涵洞9座。</w:t>
      </w:r>
    </w:p>
    <w:p w14:paraId="03D37B00">
      <w:pPr>
        <w:bidi w:val="0"/>
        <w:ind w:firstLine="240" w:firstLineChars="100"/>
        <w:rPr>
          <w:rFonts w:hint="eastAsia"/>
          <w:highlight w:val="none"/>
          <w:lang w:val="en-US" w:eastAsia="zh-CN"/>
        </w:rPr>
      </w:pPr>
      <w:r>
        <w:rPr>
          <w:rFonts w:hint="eastAsia"/>
          <w:highlight w:val="none"/>
          <w:lang w:val="en-US" w:eastAsia="zh-CN"/>
        </w:rPr>
        <w:t>经综合考虑，本项目计划于新渡坪大桥右幅3#墩布置XGT7026-12S1</w:t>
      </w:r>
      <w:r>
        <w:rPr>
          <w:rFonts w:hint="eastAsia"/>
          <w:highlight w:val="none"/>
        </w:rPr>
        <w:t>塔式起重机</w:t>
      </w:r>
      <w:r>
        <w:rPr>
          <w:rFonts w:hint="eastAsia"/>
          <w:highlight w:val="none"/>
          <w:lang w:val="en-US" w:eastAsia="zh-CN"/>
        </w:rPr>
        <w:t>进行作业。</w:t>
      </w:r>
    </w:p>
    <w:p w14:paraId="62B04685">
      <w:pPr>
        <w:pStyle w:val="3"/>
        <w:rPr>
          <w:b/>
          <w:bCs/>
          <w:highlight w:val="none"/>
        </w:rPr>
      </w:pPr>
      <w:bookmarkStart w:id="43" w:name="_Toc168"/>
      <w:bookmarkStart w:id="44" w:name="_Toc28203"/>
      <w:bookmarkStart w:id="45" w:name="_Toc10409771"/>
      <w:bookmarkStart w:id="46" w:name="_Toc9038"/>
      <w:r>
        <w:rPr>
          <w:rFonts w:hint="eastAsia"/>
          <w:b/>
          <w:bCs/>
          <w:highlight w:val="none"/>
          <w:lang w:val="en-US" w:eastAsia="zh-CN"/>
        </w:rPr>
        <w:t>2</w:t>
      </w:r>
      <w:r>
        <w:rPr>
          <w:rFonts w:hint="eastAsia"/>
          <w:b/>
          <w:bCs/>
          <w:highlight w:val="none"/>
        </w:rPr>
        <w:t>.2 自然条件</w:t>
      </w:r>
      <w:bookmarkEnd w:id="43"/>
      <w:bookmarkEnd w:id="44"/>
      <w:bookmarkEnd w:id="45"/>
      <w:bookmarkEnd w:id="46"/>
    </w:p>
    <w:p w14:paraId="17875853">
      <w:pPr>
        <w:pStyle w:val="4"/>
        <w:bidi w:val="0"/>
        <w:rPr>
          <w:highlight w:val="none"/>
        </w:rPr>
      </w:pPr>
      <w:bookmarkStart w:id="47" w:name="_Toc14307"/>
      <w:bookmarkStart w:id="48" w:name="_Toc14203"/>
      <w:bookmarkStart w:id="49" w:name="_Toc496071095"/>
      <w:bookmarkStart w:id="50" w:name="_Toc23914"/>
      <w:bookmarkStart w:id="51" w:name="_Toc494007915"/>
      <w:bookmarkStart w:id="52" w:name="_Toc15055"/>
      <w:bookmarkStart w:id="53" w:name="_Toc23792"/>
      <w:bookmarkStart w:id="54" w:name="_Toc17689"/>
      <w:bookmarkStart w:id="55" w:name="_Toc24351"/>
      <w:bookmarkStart w:id="56" w:name="_Toc30608"/>
      <w:bookmarkStart w:id="57" w:name="_Toc9111"/>
      <w:bookmarkStart w:id="58" w:name="_Toc492907359"/>
      <w:bookmarkStart w:id="59" w:name="_Toc14274"/>
      <w:bookmarkStart w:id="60" w:name="_Toc29865"/>
      <w:bookmarkStart w:id="61" w:name="_Toc17515"/>
      <w:bookmarkStart w:id="62" w:name="_Toc25768"/>
      <w:bookmarkStart w:id="63" w:name="_Toc2198"/>
      <w:bookmarkStart w:id="64" w:name="_Toc6405"/>
      <w:bookmarkStart w:id="65" w:name="_Toc30067"/>
      <w:bookmarkStart w:id="66" w:name="_Toc17986"/>
      <w:r>
        <w:rPr>
          <w:rFonts w:hint="eastAsia"/>
          <w:highlight w:val="none"/>
          <w:lang w:val="en-US" w:eastAsia="zh-CN"/>
        </w:rPr>
        <w:t>2</w:t>
      </w:r>
      <w:r>
        <w:rPr>
          <w:highlight w:val="none"/>
        </w:rPr>
        <w:t xml:space="preserve">.2.1 </w:t>
      </w:r>
      <w:r>
        <w:rPr>
          <w:rFonts w:hint="eastAsia"/>
          <w:highlight w:val="none"/>
        </w:rPr>
        <w:t>地形地貌</w:t>
      </w:r>
    </w:p>
    <w:p w14:paraId="0CE98318">
      <w:pPr>
        <w:ind w:firstLine="200"/>
        <w:rPr>
          <w:szCs w:val="21"/>
          <w:highlight w:val="none"/>
        </w:rPr>
      </w:pPr>
      <w:r>
        <w:rPr>
          <w:szCs w:val="21"/>
          <w:highlight w:val="none"/>
        </w:rPr>
        <w:t>桥位区属低山丘陵~河谷地貌，地形起伏较大。设计路线大致呈西~东走向，拟建桥梁跨越 冲沟、河流。拟建桥梁墩台多位于低山丘陵斜坡，其地表高程 300~480m，覆盖第四系残坡积层，</w:t>
      </w:r>
    </w:p>
    <w:p w14:paraId="52B6F852">
      <w:pPr>
        <w:ind w:firstLine="200"/>
        <w:rPr>
          <w:rFonts w:hint="eastAsia" w:ascii="宋体" w:hAnsi="宋体" w:eastAsia="宋体" w:cs="宋体"/>
          <w:highlight w:val="none"/>
        </w:rPr>
      </w:pPr>
      <w:r>
        <w:rPr>
          <w:szCs w:val="21"/>
          <w:highlight w:val="none"/>
        </w:rPr>
        <w:t>覆盖层较薄，主要种植松树、杂树等经济林。 K117+250~300 段可见大型滑坡堆积体。</w:t>
      </w:r>
    </w:p>
    <w:p w14:paraId="5483EC23">
      <w:pPr>
        <w:pStyle w:val="4"/>
        <w:bidi w:val="0"/>
        <w:rPr>
          <w:highlight w:val="none"/>
        </w:rPr>
      </w:pPr>
      <w:r>
        <w:rPr>
          <w:rFonts w:hint="eastAsia"/>
          <w:highlight w:val="none"/>
          <w:lang w:val="en-US" w:eastAsia="zh-CN"/>
        </w:rPr>
        <w:t>2</w:t>
      </w:r>
      <w:r>
        <w:rPr>
          <w:highlight w:val="none"/>
        </w:rPr>
        <w:t xml:space="preserve">.2.2 </w:t>
      </w:r>
      <w:r>
        <w:rPr>
          <w:rFonts w:hint="eastAsia"/>
          <w:highlight w:val="none"/>
        </w:rPr>
        <w:t>水文</w:t>
      </w:r>
    </w:p>
    <w:p w14:paraId="565D8DEE">
      <w:pPr>
        <w:ind w:firstLine="200"/>
        <w:rPr>
          <w:szCs w:val="21"/>
          <w:highlight w:val="none"/>
        </w:rPr>
      </w:pPr>
      <w:r>
        <w:rPr>
          <w:szCs w:val="21"/>
          <w:highlight w:val="none"/>
        </w:rPr>
        <w:t>1)地表水</w:t>
      </w:r>
    </w:p>
    <w:p w14:paraId="6FC328A7">
      <w:pPr>
        <w:ind w:firstLine="200"/>
        <w:rPr>
          <w:szCs w:val="21"/>
          <w:highlight w:val="none"/>
        </w:rPr>
      </w:pPr>
      <w:r>
        <w:rPr>
          <w:szCs w:val="21"/>
          <w:highlight w:val="none"/>
        </w:rPr>
        <w:t>本桥位地表水体主要为势江河， 大致呈东~西流向， 水面宽 8~20m，水深 0.30~0.80m，常年 有水，主要接收大气降水补给，水量受季节影响较大。勘察期间测得河水位 305.20~312.10m(2021 年 5 月 10 日量测)，经走访当地村民，该段小溪水位年际变化幅度一般在 2.00~3.00m，历史最高 水位为 317.80m。</w:t>
      </w:r>
    </w:p>
    <w:p w14:paraId="472F3513">
      <w:pPr>
        <w:ind w:firstLine="200"/>
        <w:rPr>
          <w:szCs w:val="21"/>
          <w:highlight w:val="none"/>
        </w:rPr>
      </w:pPr>
      <w:r>
        <w:rPr>
          <w:szCs w:val="21"/>
          <w:highlight w:val="none"/>
        </w:rPr>
        <w:t>2)地下水</w:t>
      </w:r>
    </w:p>
    <w:p w14:paraId="64E8AB5F">
      <w:pPr>
        <w:ind w:firstLine="200"/>
        <w:rPr>
          <w:szCs w:val="21"/>
          <w:highlight w:val="none"/>
        </w:rPr>
      </w:pPr>
      <w:r>
        <w:rPr>
          <w:szCs w:val="21"/>
          <w:highlight w:val="none"/>
        </w:rPr>
        <w:t>根据地下水的埋藏条件、赋存介质和分布范围，场地地下水类型有孔隙水、基岩裂隙水。孔 隙水，属潜水，赋存于卵石中，强富水，主要受大气降水或地表水补给，以蒸发、垂直向下渗流 至基岩裂隙水或以补给地表水的方式排泄，水位随季节而变化。基岩裂隙水，赋存于岩石中的基 岩裂隙中，中等富水，受地表水和孔隙水补给，在接受补给后，以泉眼、越流等形式分散排泄于 低洼部位，其水量因岩石裂隙发育程度不同而差异较大。勘察期间钻孔混合稳定地下水位高程为 306.80~390.47m，水位埋深为 1.10~25.70m。</w:t>
      </w:r>
    </w:p>
    <w:p w14:paraId="71F539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szCs w:val="21"/>
          <w:highlight w:val="none"/>
        </w:rPr>
        <w:t>根据地质调查结果，卵石 (Qal+pl)、碎石 (Qel+dl) 为强透水层， 基岩的透水性因岩石风化 程度和裂隙发育程度不同而差异较大。</w:t>
      </w:r>
    </w:p>
    <w:p w14:paraId="5B196EB2">
      <w:pPr>
        <w:pStyle w:val="4"/>
        <w:bidi w:val="0"/>
        <w:rPr>
          <w:highlight w:val="none"/>
        </w:rPr>
      </w:pPr>
      <w:bookmarkStart w:id="67" w:name="_Toc22832"/>
      <w:bookmarkEnd w:id="67"/>
      <w:r>
        <w:rPr>
          <w:rFonts w:hint="eastAsia"/>
          <w:highlight w:val="none"/>
          <w:lang w:val="en-US" w:eastAsia="zh-CN"/>
        </w:rPr>
        <w:t>2</w:t>
      </w:r>
      <w:r>
        <w:rPr>
          <w:highlight w:val="none"/>
        </w:rPr>
        <w:t xml:space="preserve">.2.3 </w:t>
      </w:r>
      <w:r>
        <w:rPr>
          <w:rFonts w:hint="eastAsia"/>
          <w:highlight w:val="none"/>
        </w:rPr>
        <w:t>地震</w:t>
      </w:r>
    </w:p>
    <w:p w14:paraId="3A373C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根据《中国地震动参数区划图》(GB18306-2015)，场地的基本地震动峰值加速度为0.05g，对应的地震基本烈度为Ⅵ度，基本地震动加速度反应谱特征周期为0.35s。</w:t>
      </w:r>
    </w:p>
    <w:p w14:paraId="61DE56E7">
      <w:pPr>
        <w:pStyle w:val="4"/>
        <w:bidi w:val="0"/>
        <w:rPr>
          <w:highlight w:val="none"/>
        </w:rPr>
      </w:pPr>
      <w:r>
        <w:rPr>
          <w:rFonts w:hint="eastAsia"/>
          <w:highlight w:val="none"/>
          <w:lang w:val="en-US" w:eastAsia="zh-CN"/>
        </w:rPr>
        <w:t>2</w:t>
      </w:r>
      <w:r>
        <w:rPr>
          <w:highlight w:val="none"/>
        </w:rPr>
        <w:t xml:space="preserve">.2.4 </w:t>
      </w:r>
      <w:r>
        <w:rPr>
          <w:rFonts w:hint="eastAsia"/>
          <w:highlight w:val="none"/>
        </w:rPr>
        <w:t>气象</w:t>
      </w:r>
    </w:p>
    <w:p w14:paraId="6BBE23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highlight w:val="none"/>
        </w:rPr>
      </w:pPr>
      <w:r>
        <w:rPr>
          <w:szCs w:val="21"/>
          <w:highlight w:val="none"/>
        </w:rPr>
        <w:t>拟建项目本项目区属于亚热带季风气候区，太阳辐射较大，降水充沛，夏季多暴雨高温。项目区境内平均地面温度 10.4℃ 。最热月 7 月平均 29.6℃ ，最冷月 1 月平均4.6℃ 。 日照时数年平 均为 1715.7 小时， 日照百分率年平均 39％ 。一年中日照时数 6 月最多， 为 195.5 小时。多年平 均降水量约 1200~1600mm。一年中 11 月至翌年 2 月降水量最少；4~8 月为丰水期， 占全年降水 量的 60~65%；3、9、10 月为平水期。多年平均蒸发量为 1302.2~1413mm，最高 1561mm，最低 1302.2mm。年平均风速为 1.7m/s，一年中春季风速大， 秋季风速小，盛行偏东风。</w:t>
      </w:r>
    </w:p>
    <w:p w14:paraId="5F199242">
      <w:pPr>
        <w:pStyle w:val="4"/>
        <w:bidi w:val="0"/>
        <w:rPr>
          <w:highlight w:val="none"/>
        </w:rPr>
      </w:pPr>
      <w:r>
        <w:rPr>
          <w:rFonts w:hint="eastAsia"/>
          <w:highlight w:val="none"/>
          <w:lang w:val="en-US" w:eastAsia="zh-CN"/>
        </w:rPr>
        <w:t>2</w:t>
      </w:r>
      <w:r>
        <w:rPr>
          <w:highlight w:val="none"/>
        </w:rPr>
        <w:t xml:space="preserve">.2.5 </w:t>
      </w:r>
      <w:r>
        <w:rPr>
          <w:rFonts w:hint="eastAsia"/>
          <w:highlight w:val="none"/>
        </w:rPr>
        <w:t>地质</w:t>
      </w:r>
    </w:p>
    <w:p w14:paraId="65D784A7">
      <w:pPr>
        <w:ind w:firstLine="200"/>
        <w:rPr>
          <w:szCs w:val="21"/>
          <w:highlight w:val="none"/>
        </w:rPr>
      </w:pPr>
      <w:r>
        <w:rPr>
          <w:szCs w:val="21"/>
          <w:highlight w:val="none"/>
        </w:rPr>
        <w:t>根据野外地质调查及钻探资料，场地内地层主要由第四系冲洪积层(Qal+pl)、残坡积层(Qel+dl) 及寒武系(e) 基岩组成。</w:t>
      </w:r>
    </w:p>
    <w:p w14:paraId="389E4BB8">
      <w:pPr>
        <w:ind w:firstLine="200"/>
        <w:rPr>
          <w:szCs w:val="21"/>
          <w:highlight w:val="none"/>
        </w:rPr>
      </w:pPr>
      <w:r>
        <w:rPr>
          <w:rFonts w:hint="eastAsia" w:ascii="Times New Roman" w:eastAsia="宋体"/>
          <w:szCs w:val="21"/>
          <w:highlight w:val="none"/>
          <w:lang w:val="en-US" w:eastAsia="zh-CN"/>
        </w:rPr>
        <w:t>1)</w:t>
      </w:r>
      <w:r>
        <w:rPr>
          <w:szCs w:val="21"/>
          <w:highlight w:val="none"/>
        </w:rPr>
        <w:t>第四系冲洪积层(Qal+pl)</w:t>
      </w:r>
    </w:p>
    <w:p w14:paraId="13C34D3E">
      <w:pPr>
        <w:ind w:firstLine="200"/>
        <w:rPr>
          <w:szCs w:val="21"/>
          <w:highlight w:val="none"/>
        </w:rPr>
      </w:pPr>
      <w:r>
        <w:rPr>
          <w:szCs w:val="21"/>
          <w:highlight w:val="none"/>
        </w:rPr>
        <w:t>卵石 (Qal+pl-1)，杂色，湿~饱和，稍密~中密状，卵石含量约 60~70%，粒径为 40~100mm， 局部夹漂石，多呈亚圆形，母岩为砂岩，间隙充填砂及黏性土。该层主要分布于河床表层，本次勘察钻孔 SQZK1175-2 有揭示，揭示厚度 6.00m。</w:t>
      </w:r>
    </w:p>
    <w:p w14:paraId="252A255C">
      <w:pPr>
        <w:ind w:firstLine="200"/>
        <w:rPr>
          <w:szCs w:val="21"/>
          <w:highlight w:val="none"/>
        </w:rPr>
      </w:pPr>
      <w:r>
        <w:rPr>
          <w:rFonts w:hint="eastAsia" w:ascii="Times New Roman" w:eastAsia="宋体"/>
          <w:szCs w:val="21"/>
          <w:highlight w:val="none"/>
          <w:lang w:val="en-US" w:eastAsia="zh-CN"/>
        </w:rPr>
        <w:t>2)</w:t>
      </w:r>
      <w:r>
        <w:rPr>
          <w:szCs w:val="21"/>
          <w:highlight w:val="none"/>
        </w:rPr>
        <w:t xml:space="preserve"> 第四系残坡积层(Qel+dl)</w:t>
      </w:r>
    </w:p>
    <w:p w14:paraId="4EBD6E82">
      <w:pPr>
        <w:ind w:firstLine="200"/>
        <w:rPr>
          <w:szCs w:val="21"/>
          <w:highlight w:val="none"/>
        </w:rPr>
      </w:pPr>
      <w:r>
        <w:rPr>
          <w:szCs w:val="21"/>
          <w:highlight w:val="none"/>
        </w:rPr>
        <w:t>碎石 (Qel+dl)，褐、褐红色，稍密~中密状，稍湿，碎石含量 50~70%，粒径 20~100mm， 次棱角状，母岩为砂岩，间隙充填黏性土及少量砂。该层主要分布于斜坡表层， 本次勘察钻孔 21个，其中 19 个钻孔有揭示，部分斜坡地段因整理机台挖除，揭示厚度 4.00~23.00m。</w:t>
      </w:r>
    </w:p>
    <w:p w14:paraId="395BD3E9">
      <w:pPr>
        <w:ind w:firstLine="200"/>
        <w:rPr>
          <w:szCs w:val="21"/>
          <w:highlight w:val="none"/>
        </w:rPr>
      </w:pPr>
      <w:r>
        <w:rPr>
          <w:rFonts w:hint="eastAsia" w:ascii="Times New Roman" w:eastAsia="宋体"/>
          <w:szCs w:val="21"/>
          <w:highlight w:val="none"/>
          <w:lang w:val="en-US" w:eastAsia="zh-CN"/>
        </w:rPr>
        <w:t>3)</w:t>
      </w:r>
      <w:r>
        <w:rPr>
          <w:szCs w:val="21"/>
          <w:highlight w:val="none"/>
        </w:rPr>
        <w:t xml:space="preserve"> 寒武系(e)基岩</w:t>
      </w:r>
    </w:p>
    <w:p w14:paraId="6EAE81D2">
      <w:pPr>
        <w:ind w:firstLine="200"/>
        <w:rPr>
          <w:szCs w:val="21"/>
          <w:highlight w:val="none"/>
        </w:rPr>
      </w:pPr>
      <w:r>
        <w:rPr>
          <w:szCs w:val="21"/>
          <w:highlight w:val="none"/>
        </w:rPr>
        <w:t>根据地质调查及钻探资料，场地内岩性为砂岩，根据岩性及岩石风化程度不同，分述如下：</w:t>
      </w:r>
    </w:p>
    <w:p w14:paraId="6BD3F54A">
      <w:pPr>
        <w:ind w:firstLine="200"/>
        <w:rPr>
          <w:szCs w:val="21"/>
          <w:highlight w:val="none"/>
        </w:rPr>
      </w:pPr>
      <w:r>
        <w:rPr>
          <w:rFonts w:hint="eastAsia" w:ascii="Times New Roman" w:eastAsia="宋体"/>
          <w:szCs w:val="21"/>
          <w:highlight w:val="none"/>
          <w:lang w:val="en-US" w:eastAsia="zh-CN"/>
        </w:rPr>
        <w:t>a</w:t>
      </w:r>
      <w:r>
        <w:rPr>
          <w:szCs w:val="21"/>
          <w:highlight w:val="none"/>
        </w:rPr>
        <w:t>) 强风化砂质泥岩，褐、红褐色，泥状结构，薄~中厚层状构造，岩质软，节理裂隙发育， 岩体破碎，岩芯多呈土柱状、块状。K116+950~117+060 段深挖路堑 2 个钻孔均有揭示，揭示厚度 16.50~17.00m，岩体基本质量等级为Ⅴ级。</w:t>
      </w:r>
    </w:p>
    <w:p w14:paraId="7FE20DDF">
      <w:pPr>
        <w:ind w:firstLine="200"/>
        <w:rPr>
          <w:szCs w:val="21"/>
          <w:highlight w:val="none"/>
        </w:rPr>
      </w:pPr>
      <w:r>
        <w:rPr>
          <w:rFonts w:hint="eastAsia" w:ascii="Times New Roman" w:eastAsia="宋体"/>
          <w:szCs w:val="21"/>
          <w:highlight w:val="none"/>
          <w:lang w:val="en-US" w:eastAsia="zh-CN"/>
        </w:rPr>
        <w:t>b</w:t>
      </w:r>
      <w:r>
        <w:rPr>
          <w:szCs w:val="21"/>
          <w:highlight w:val="none"/>
        </w:rPr>
        <w:t>) 强风化砂岩，褐黄色，薄~中厚层状构造，砂质结构，节理裂隙发育，泥质充填及铁锰质 浸染，岩质较软，岩体破碎，岩芯呈块状、砂状。本次勘察钻孔 21 个，其中 19 个钻孔有揭示， 揭示厚度 4.80~28.40m，岩体基本质量等级为Ⅴ级。</w:t>
      </w:r>
    </w:p>
    <w:p w14:paraId="0FD7A904">
      <w:pPr>
        <w:ind w:firstLine="200"/>
        <w:rPr>
          <w:szCs w:val="21"/>
          <w:highlight w:val="none"/>
        </w:rPr>
      </w:pPr>
      <w:r>
        <w:rPr>
          <w:rFonts w:hint="eastAsia" w:ascii="Times New Roman" w:eastAsia="宋体"/>
          <w:szCs w:val="21"/>
          <w:highlight w:val="none"/>
          <w:lang w:val="en-US" w:eastAsia="zh-CN"/>
        </w:rPr>
        <w:t>c</w:t>
      </w:r>
      <w:r>
        <w:rPr>
          <w:szCs w:val="21"/>
          <w:highlight w:val="none"/>
        </w:rPr>
        <w:t>) 中风化砂岩，青灰色，中厚层状构造，砂质结构，局部节理裂隙，泥质充填或铁猛质浸染岩质坚硬，岩体较完整，岩芯多呈块、短柱状。本次勘察钻孔 21 个，均有揭示，揭示厚度 4.80~ 28.40m，岩体基本质量等级为III级，局部破碎地段为IV级。</w:t>
      </w:r>
    </w:p>
    <w:p w14:paraId="280F6727">
      <w:pPr>
        <w:ind w:firstLine="200"/>
        <w:rPr>
          <w:rFonts w:hint="eastAsia" w:ascii="宋体" w:hAnsi="宋体" w:eastAsia="宋体" w:cs="宋体"/>
          <w:highlight w:val="none"/>
          <w:lang w:val="en-US" w:eastAsia="zh-CN"/>
        </w:rPr>
      </w:pPr>
      <w:r>
        <w:rPr>
          <w:szCs w:val="21"/>
          <w:highlight w:val="none"/>
        </w:rPr>
        <w:t>根据区域地质资料并结合地质调查及钻孔资料，勘察区内未见区域性断裂构造和软弱构造破碎带，区域稳定性较好。</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51E8C50E">
      <w:pPr>
        <w:pStyle w:val="3"/>
        <w:bidi w:val="0"/>
        <w:rPr>
          <w:highlight w:val="none"/>
        </w:rPr>
      </w:pPr>
      <w:bookmarkStart w:id="68" w:name="_Toc13099"/>
      <w:bookmarkStart w:id="69" w:name="_Toc6697"/>
      <w:bookmarkStart w:id="70" w:name="_Toc10409772"/>
      <w:bookmarkStart w:id="71" w:name="_Toc878"/>
      <w:r>
        <w:rPr>
          <w:rFonts w:hint="eastAsia"/>
          <w:highlight w:val="none"/>
          <w:lang w:val="en-US" w:eastAsia="zh-CN"/>
        </w:rPr>
        <w:t>2</w:t>
      </w:r>
      <w:r>
        <w:rPr>
          <w:rFonts w:hint="eastAsia"/>
          <w:highlight w:val="none"/>
        </w:rPr>
        <w:t>.3 安装现场工作环境及条件</w:t>
      </w:r>
      <w:bookmarkEnd w:id="68"/>
      <w:bookmarkEnd w:id="69"/>
      <w:bookmarkEnd w:id="70"/>
      <w:bookmarkEnd w:id="71"/>
    </w:p>
    <w:p w14:paraId="14C403F6">
      <w:pPr>
        <w:bidi w:val="0"/>
        <w:ind w:firstLine="420" w:firstLineChars="0"/>
        <w:rPr>
          <w:rFonts w:hint="eastAsia"/>
          <w:lang w:val="en-US" w:eastAsia="zh-CN"/>
        </w:rPr>
      </w:pPr>
      <w:r>
        <w:rPr>
          <w:rFonts w:hint="eastAsia"/>
          <w:lang w:val="en-US" w:eastAsia="zh-CN"/>
        </w:rPr>
        <w:t>根据新渡坪大桥桥位布置及高墩结构特点、现场地形条件，结合高墩施工安装最大起吊重量、爬架施工最大起吊重量及塔吊最大施工悬臂要求，拟在新渡坪大桥安装一台徐工XGT7026-12S1塔吊作为高墩施工垂直起重设备。塔吊主要承担高墩钢筋、劲性骨架以及辅助材料等吊装，待施工完成盖梁后拆除。</w:t>
      </w:r>
    </w:p>
    <w:p w14:paraId="289B044E">
      <w:pPr>
        <w:ind w:firstLine="439" w:firstLineChars="183"/>
        <w:rPr>
          <w:szCs w:val="21"/>
          <w:highlight w:val="none"/>
        </w:rPr>
      </w:pPr>
      <w:r>
        <w:rPr>
          <w:szCs w:val="21"/>
          <w:highlight w:val="none"/>
        </w:rPr>
        <w:t>根据野外地质调查及钻探资料，场地内地层主要由第四系冲洪积层(Qal+pl)、残坡积层(Qel+dl) 及寒武系(e) 基岩组成。</w:t>
      </w:r>
    </w:p>
    <w:p w14:paraId="1DFA41C1">
      <w:pPr>
        <w:ind w:firstLine="200"/>
        <w:rPr>
          <w:szCs w:val="21"/>
          <w:highlight w:val="none"/>
        </w:rPr>
      </w:pPr>
      <w:r>
        <w:rPr>
          <w:rFonts w:hint="eastAsia" w:ascii="Times New Roman" w:eastAsia="宋体"/>
          <w:szCs w:val="21"/>
          <w:highlight w:val="none"/>
          <w:lang w:val="en-US" w:eastAsia="zh-CN"/>
        </w:rPr>
        <w:t>1)</w:t>
      </w:r>
      <w:r>
        <w:rPr>
          <w:szCs w:val="21"/>
          <w:highlight w:val="none"/>
        </w:rPr>
        <w:t>第四系冲洪积层(Qal+pl)</w:t>
      </w:r>
    </w:p>
    <w:p w14:paraId="24BA4EF5">
      <w:pPr>
        <w:ind w:firstLine="200"/>
        <w:rPr>
          <w:szCs w:val="21"/>
          <w:highlight w:val="none"/>
        </w:rPr>
      </w:pPr>
      <w:r>
        <w:rPr>
          <w:szCs w:val="21"/>
          <w:highlight w:val="none"/>
        </w:rPr>
        <w:t>卵石 (Qal+pl-1)，杂色，湿~饱和，稍密~中密状，卵石含量约 60~70%，粒径为 40~100mm， 局部夹漂石，多呈亚圆形，母岩为砂岩，间隙充填砂及黏性土。该层主要分布于河床表层，本次勘察钻孔 SQZK1175-2 有揭示，揭示厚度 6.00m。</w:t>
      </w:r>
    </w:p>
    <w:p w14:paraId="78E45C47">
      <w:pPr>
        <w:ind w:firstLine="200"/>
        <w:rPr>
          <w:szCs w:val="21"/>
          <w:highlight w:val="none"/>
        </w:rPr>
      </w:pPr>
      <w:r>
        <w:rPr>
          <w:rFonts w:hint="eastAsia" w:ascii="Times New Roman" w:eastAsia="宋体"/>
          <w:szCs w:val="21"/>
          <w:highlight w:val="none"/>
          <w:lang w:val="en-US" w:eastAsia="zh-CN"/>
        </w:rPr>
        <w:t>2)</w:t>
      </w:r>
      <w:r>
        <w:rPr>
          <w:szCs w:val="21"/>
          <w:highlight w:val="none"/>
        </w:rPr>
        <w:t xml:space="preserve"> 第四系残坡积层(Qel+dl)</w:t>
      </w:r>
    </w:p>
    <w:p w14:paraId="6694594A">
      <w:pPr>
        <w:ind w:firstLine="200"/>
        <w:rPr>
          <w:szCs w:val="21"/>
          <w:highlight w:val="none"/>
        </w:rPr>
      </w:pPr>
      <w:r>
        <w:rPr>
          <w:szCs w:val="21"/>
          <w:highlight w:val="none"/>
        </w:rPr>
        <w:t>碎石 (Qel+dl)，褐、褐红色，稍密~中密状，稍湿，碎石含量 50~70%，粒径 20~100mm，次棱角状，母岩为砂岩，间隙充填黏性土及少量砂。该层主要分布于斜坡表层，本次勘察钻孔21个，其中19个钻孔有揭示，部分斜坡地段因整理机台挖除，揭示厚度 4.00~23.00m。</w:t>
      </w:r>
    </w:p>
    <w:p w14:paraId="4655E04F">
      <w:pPr>
        <w:ind w:firstLine="200"/>
        <w:rPr>
          <w:szCs w:val="21"/>
          <w:highlight w:val="none"/>
        </w:rPr>
      </w:pPr>
      <w:r>
        <w:rPr>
          <w:rFonts w:hint="eastAsia" w:ascii="Times New Roman" w:eastAsia="宋体"/>
          <w:szCs w:val="21"/>
          <w:highlight w:val="none"/>
          <w:lang w:val="en-US" w:eastAsia="zh-CN"/>
        </w:rPr>
        <w:t>3)</w:t>
      </w:r>
      <w:r>
        <w:rPr>
          <w:szCs w:val="21"/>
          <w:highlight w:val="none"/>
        </w:rPr>
        <w:t xml:space="preserve"> 寒武系(e)基岩</w:t>
      </w:r>
    </w:p>
    <w:p w14:paraId="0F4D495D">
      <w:pPr>
        <w:ind w:firstLine="200"/>
        <w:rPr>
          <w:szCs w:val="21"/>
          <w:highlight w:val="none"/>
        </w:rPr>
      </w:pPr>
      <w:r>
        <w:rPr>
          <w:szCs w:val="21"/>
          <w:highlight w:val="none"/>
        </w:rPr>
        <w:t>根据地质调查及钻探资料，场地内岩性为砂岩，根据岩性及岩石风化程度不同，分述如下：</w:t>
      </w:r>
    </w:p>
    <w:p w14:paraId="7EB3DECC">
      <w:pPr>
        <w:ind w:firstLine="200"/>
        <w:rPr>
          <w:szCs w:val="21"/>
          <w:highlight w:val="none"/>
        </w:rPr>
      </w:pPr>
      <w:r>
        <w:rPr>
          <w:rFonts w:hint="eastAsia" w:ascii="Times New Roman" w:eastAsia="宋体"/>
          <w:szCs w:val="21"/>
          <w:highlight w:val="none"/>
          <w:lang w:val="en-US" w:eastAsia="zh-CN"/>
        </w:rPr>
        <w:t>a</w:t>
      </w:r>
      <w:r>
        <w:rPr>
          <w:szCs w:val="21"/>
          <w:highlight w:val="none"/>
        </w:rPr>
        <w:t>) 强风化砂质泥岩，褐、红褐色，泥状结构，薄~中厚层状构造，岩质软，节理裂隙发育， 岩体破碎，岩芯多呈土柱状、块状。K116+950~117+060 段深挖路堑 2 个钻孔均有揭示，揭示厚度 16.50~17.00m，岩体基本质量等级为Ⅴ级。</w:t>
      </w:r>
    </w:p>
    <w:p w14:paraId="68EEF222">
      <w:pPr>
        <w:ind w:firstLine="200"/>
        <w:rPr>
          <w:szCs w:val="21"/>
          <w:highlight w:val="none"/>
        </w:rPr>
      </w:pPr>
      <w:r>
        <w:rPr>
          <w:rFonts w:hint="eastAsia" w:ascii="Times New Roman" w:eastAsia="宋体"/>
          <w:szCs w:val="21"/>
          <w:highlight w:val="none"/>
          <w:lang w:val="en-US" w:eastAsia="zh-CN"/>
        </w:rPr>
        <w:t>b</w:t>
      </w:r>
      <w:r>
        <w:rPr>
          <w:szCs w:val="21"/>
          <w:highlight w:val="none"/>
        </w:rPr>
        <w:t>) 强风化砂岩，褐黄色，薄~中厚层状构造，砂质结构，节理裂隙发育，泥质充填及铁锰质 浸染，岩质较软，岩体破碎，岩芯呈块状、砂状。本次勘察钻孔 21 个，其中 19 个钻孔有揭示， 揭示厚度 4.80~28.40m，岩体基本质量等级为Ⅴ级。</w:t>
      </w:r>
    </w:p>
    <w:p w14:paraId="598C09C9">
      <w:pPr>
        <w:ind w:firstLine="200"/>
        <w:rPr>
          <w:szCs w:val="21"/>
          <w:highlight w:val="none"/>
        </w:rPr>
      </w:pPr>
      <w:r>
        <w:rPr>
          <w:rFonts w:hint="eastAsia" w:ascii="Times New Roman" w:eastAsia="宋体"/>
          <w:szCs w:val="21"/>
          <w:highlight w:val="none"/>
          <w:lang w:val="en-US" w:eastAsia="zh-CN"/>
        </w:rPr>
        <w:t>c</w:t>
      </w:r>
      <w:r>
        <w:rPr>
          <w:szCs w:val="21"/>
          <w:highlight w:val="none"/>
        </w:rPr>
        <w:t>) 中风化砂岩，青灰色，中厚层状构造，砂质结构，局部节理裂隙，泥质充填或铁猛质浸染岩质坚硬，岩体较完整，岩芯多呈块、短柱状。本次勘察钻孔 21 个，均有揭示，揭示厚度 4.80~ 28.40m，岩体基本质量等级为III级，局部破碎地段为IV级。</w:t>
      </w:r>
    </w:p>
    <w:p w14:paraId="59AFB81F">
      <w:pPr>
        <w:ind w:firstLine="200"/>
        <w:rPr>
          <w:szCs w:val="21"/>
          <w:highlight w:val="none"/>
        </w:rPr>
      </w:pPr>
      <w:r>
        <w:rPr>
          <w:szCs w:val="21"/>
          <w:highlight w:val="none"/>
        </w:rPr>
        <w:t>根据区域地质资料并结合地质调查及钻孔资料，勘察区内未见区域性断裂构造和软弱构造破碎带，区域稳定性较好。</w:t>
      </w:r>
    </w:p>
    <w:p w14:paraId="66F16CE8">
      <w:pPr>
        <w:keepNext w:val="0"/>
        <w:keepLines w:val="0"/>
        <w:widowControl/>
        <w:suppressLineNumbers w:val="0"/>
        <w:spacing w:line="240" w:lineRule="auto"/>
        <w:jc w:val="center"/>
        <w:rPr>
          <w:rFonts w:ascii="宋体" w:hAnsi="宋体" w:eastAsia="宋体" w:cs="宋体"/>
          <w:kern w:val="0"/>
          <w:sz w:val="24"/>
          <w:szCs w:val="24"/>
          <w:highlight w:val="none"/>
          <w:lang w:val="en-US" w:eastAsia="zh-CN" w:bidi="ar"/>
        </w:rPr>
      </w:pPr>
      <w:r>
        <w:rPr>
          <w:rFonts w:hint="eastAsia" w:ascii="Times New Roman" w:hAnsi="Times New Roman" w:eastAsia="黑体" w:cs="Times New Roman"/>
          <w:kern w:val="2"/>
          <w:sz w:val="21"/>
          <w:szCs w:val="21"/>
          <w:highlight w:val="none"/>
          <w:lang w:val="en-US" w:eastAsia="zh-CN" w:bidi="ar-SA"/>
        </w:rPr>
        <w:t>表2.3-1 塔式起重机分布统计表</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1486"/>
        <w:gridCol w:w="1574"/>
        <w:gridCol w:w="1180"/>
        <w:gridCol w:w="1045"/>
        <w:gridCol w:w="1301"/>
        <w:gridCol w:w="1933"/>
      </w:tblGrid>
      <w:tr w14:paraId="4604EAD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tblHeader/>
          <w:jc w:val="center"/>
        </w:trPr>
        <w:tc>
          <w:tcPr>
            <w:tcW w:w="872" w:type="pct"/>
            <w:tcBorders>
              <w:tl2br w:val="nil"/>
              <w:tr2bl w:val="nil"/>
            </w:tcBorders>
            <w:shd w:val="clear" w:color="auto" w:fill="DAE3F3" w:themeFill="accent5" w:themeFillTint="32"/>
            <w:vAlign w:val="center"/>
          </w:tcPr>
          <w:p w14:paraId="5347E5F9">
            <w:pPr>
              <w:spacing w:after="0" w:afterLines="0" w:line="240" w:lineRule="auto"/>
              <w:ind w:firstLine="0" w:firstLineChars="0"/>
              <w:jc w:val="center"/>
              <w:rPr>
                <w:rFonts w:hint="eastAsia" w:ascii="仿宋" w:hAnsi="仿宋" w:eastAsia="仿宋" w:cs="仿宋"/>
                <w:b/>
                <w:bCs/>
                <w:sz w:val="13"/>
                <w:szCs w:val="13"/>
                <w:highlight w:val="none"/>
              </w:rPr>
            </w:pPr>
            <w:r>
              <w:rPr>
                <w:rFonts w:hint="eastAsia" w:ascii="宋体" w:hAnsi="宋体" w:eastAsia="宋体" w:cs="宋体"/>
                <w:bCs/>
                <w:color w:val="000000" w:themeColor="text1"/>
                <w:sz w:val="16"/>
                <w:szCs w:val="16"/>
                <w:highlight w:val="none"/>
                <w14:textFill>
                  <w14:solidFill>
                    <w14:schemeClr w14:val="tx1"/>
                  </w14:solidFill>
                </w14:textFill>
              </w:rPr>
              <w:t>塔机编号</w:t>
            </w:r>
          </w:p>
        </w:tc>
        <w:tc>
          <w:tcPr>
            <w:tcW w:w="923" w:type="pct"/>
            <w:tcBorders>
              <w:tl2br w:val="nil"/>
              <w:tr2bl w:val="nil"/>
            </w:tcBorders>
            <w:shd w:val="clear" w:color="auto" w:fill="DAE3F3" w:themeFill="accent5" w:themeFillTint="32"/>
            <w:vAlign w:val="center"/>
          </w:tcPr>
          <w:p w14:paraId="0D73D1C1">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塔机型号</w:t>
            </w:r>
          </w:p>
        </w:tc>
        <w:tc>
          <w:tcPr>
            <w:tcW w:w="692" w:type="pct"/>
            <w:tcBorders>
              <w:tl2br w:val="nil"/>
              <w:tr2bl w:val="nil"/>
            </w:tcBorders>
            <w:shd w:val="clear" w:color="auto" w:fill="DAE3F3" w:themeFill="accent5" w:themeFillTint="32"/>
            <w:vAlign w:val="center"/>
          </w:tcPr>
          <w:p w14:paraId="1CFF14C1">
            <w:pPr>
              <w:spacing w:after="0" w:afterLines="0" w:line="240" w:lineRule="auto"/>
              <w:ind w:firstLine="0" w:firstLineChars="0"/>
              <w:jc w:val="center"/>
              <w:rPr>
                <w:rFonts w:hint="eastAsia" w:ascii="仿宋" w:hAnsi="仿宋" w:eastAsia="宋体" w:cs="仿宋"/>
                <w:b/>
                <w:bCs/>
                <w:sz w:val="13"/>
                <w:szCs w:val="13"/>
                <w:highlight w:val="none"/>
                <w:lang w:val="en-US" w:eastAsia="zh-CN"/>
              </w:rPr>
            </w:pPr>
            <w:r>
              <w:rPr>
                <w:rFonts w:hint="eastAsia" w:cs="宋体"/>
                <w:bCs/>
                <w:color w:val="000000" w:themeColor="text1"/>
                <w:sz w:val="16"/>
                <w:szCs w:val="16"/>
                <w:highlight w:val="none"/>
                <w:lang w:val="en-US" w:eastAsia="zh-CN"/>
                <w14:textFill>
                  <w14:solidFill>
                    <w14:schemeClr w14:val="tx1"/>
                  </w14:solidFill>
                </w14:textFill>
              </w:rPr>
              <w:t>安装</w:t>
            </w:r>
            <w:r>
              <w:rPr>
                <w:rFonts w:hint="eastAsia" w:ascii="宋体" w:hAnsi="宋体" w:eastAsia="宋体" w:cs="宋体"/>
                <w:bCs/>
                <w:color w:val="000000" w:themeColor="text1"/>
                <w:sz w:val="16"/>
                <w:szCs w:val="16"/>
                <w:highlight w:val="none"/>
                <w14:textFill>
                  <w14:solidFill>
                    <w14:schemeClr w14:val="tx1"/>
                  </w14:solidFill>
                </w14:textFill>
              </w:rPr>
              <w:t>高度</w:t>
            </w:r>
            <w:r>
              <w:rPr>
                <w:rFonts w:hint="eastAsia" w:ascii="宋体" w:hAnsi="宋体" w:cs="宋体"/>
                <w:bCs/>
                <w:color w:val="000000" w:themeColor="text1"/>
                <w:sz w:val="16"/>
                <w:szCs w:val="16"/>
                <w:highlight w:val="none"/>
                <w:lang w:val="en-US" w:eastAsia="zh-CN"/>
                <w14:textFill>
                  <w14:solidFill>
                    <w14:schemeClr w14:val="tx1"/>
                  </w14:solidFill>
                </w14:textFill>
              </w:rPr>
              <w:t>m</w:t>
            </w:r>
          </w:p>
        </w:tc>
        <w:tc>
          <w:tcPr>
            <w:tcW w:w="613" w:type="pct"/>
            <w:tcBorders>
              <w:tl2br w:val="nil"/>
              <w:tr2bl w:val="nil"/>
            </w:tcBorders>
            <w:shd w:val="clear" w:color="auto" w:fill="DAE3F3" w:themeFill="accent5" w:themeFillTint="32"/>
            <w:vAlign w:val="center"/>
          </w:tcPr>
          <w:p w14:paraId="648C6C86">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预埋形式</w:t>
            </w:r>
          </w:p>
        </w:tc>
        <w:tc>
          <w:tcPr>
            <w:tcW w:w="763" w:type="pct"/>
            <w:tcBorders>
              <w:tl2br w:val="nil"/>
              <w:tr2bl w:val="nil"/>
            </w:tcBorders>
            <w:shd w:val="clear" w:color="auto" w:fill="DAE3F3" w:themeFill="accent5" w:themeFillTint="32"/>
            <w:vAlign w:val="center"/>
          </w:tcPr>
          <w:p w14:paraId="0EAC9BCD">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起重臂长度</w:t>
            </w:r>
          </w:p>
        </w:tc>
        <w:tc>
          <w:tcPr>
            <w:tcW w:w="1134" w:type="pct"/>
            <w:tcBorders>
              <w:tl2br w:val="nil"/>
              <w:tr2bl w:val="nil"/>
            </w:tcBorders>
            <w:shd w:val="clear" w:color="auto" w:fill="DAE3F3" w:themeFill="accent5" w:themeFillTint="32"/>
            <w:vAlign w:val="center"/>
          </w:tcPr>
          <w:p w14:paraId="6A50D808">
            <w:pPr>
              <w:spacing w:after="0" w:afterLines="0" w:line="240" w:lineRule="auto"/>
              <w:ind w:firstLine="0" w:firstLineChars="0"/>
              <w:jc w:val="center"/>
              <w:rPr>
                <w:rFonts w:hint="default" w:ascii="仿宋" w:hAnsi="仿宋" w:eastAsia="仿宋" w:cs="仿宋"/>
                <w:b/>
                <w:bCs/>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基础顶标高</w:t>
            </w:r>
          </w:p>
        </w:tc>
      </w:tr>
      <w:tr w14:paraId="2F335C3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40" w:hRule="atLeast"/>
          <w:jc w:val="center"/>
        </w:trPr>
        <w:tc>
          <w:tcPr>
            <w:tcW w:w="872" w:type="pct"/>
            <w:tcBorders>
              <w:tl2br w:val="nil"/>
              <w:tr2bl w:val="nil"/>
            </w:tcBorders>
            <w:vAlign w:val="center"/>
          </w:tcPr>
          <w:p w14:paraId="3A96CED8">
            <w:pPr>
              <w:spacing w:after="0" w:afterLines="0" w:line="240" w:lineRule="auto"/>
              <w:ind w:firstLine="0" w:firstLineChars="0"/>
              <w:jc w:val="center"/>
              <w:rPr>
                <w:rFonts w:hint="eastAsia" w:ascii="宋体" w:hAnsi="宋体" w:eastAsia="宋体" w:cs="宋体"/>
                <w:bCs/>
                <w:color w:val="000000" w:themeColor="text1"/>
                <w:sz w:val="16"/>
                <w:szCs w:val="16"/>
                <w:highlight w:val="none"/>
                <w:lang w:val="en-US" w:eastAsia="zh-CN"/>
                <w14:textFill>
                  <w14:solidFill>
                    <w14:schemeClr w14:val="tx1"/>
                  </w14:solidFill>
                </w14:textFill>
              </w:rPr>
            </w:pPr>
            <w:bookmarkStart w:id="72" w:name="_Toc18009"/>
            <w:r>
              <w:rPr>
                <w:rFonts w:hint="eastAsia" w:cs="宋体"/>
                <w:bCs/>
                <w:color w:val="000000" w:themeColor="text1"/>
                <w:sz w:val="16"/>
                <w:szCs w:val="16"/>
                <w:highlight w:val="none"/>
                <w:lang w:val="en-US" w:eastAsia="zh-CN"/>
                <w14:textFill>
                  <w14:solidFill>
                    <w14:schemeClr w14:val="tx1"/>
                  </w14:solidFill>
                </w14:textFill>
              </w:rPr>
              <w:t>新渡坪左幅3#墩</w:t>
            </w:r>
          </w:p>
        </w:tc>
        <w:tc>
          <w:tcPr>
            <w:tcW w:w="923" w:type="pct"/>
            <w:tcBorders>
              <w:tl2br w:val="nil"/>
              <w:tr2bl w:val="nil"/>
            </w:tcBorders>
            <w:vAlign w:val="center"/>
          </w:tcPr>
          <w:p w14:paraId="239C685C">
            <w:pPr>
              <w:spacing w:after="0" w:afterLines="0" w:line="240" w:lineRule="auto"/>
              <w:ind w:firstLine="0" w:firstLineChars="0"/>
              <w:jc w:val="center"/>
              <w:rPr>
                <w:rFonts w:hint="eastAsia" w:ascii="仿宋" w:hAnsi="仿宋" w:eastAsia="仿宋" w:cs="仿宋"/>
                <w:sz w:val="13"/>
                <w:szCs w:val="13"/>
                <w:highlight w:val="none"/>
                <w:lang w:val="en-US" w:eastAsia="zh-CN"/>
              </w:rPr>
            </w:pPr>
            <w:r>
              <w:rPr>
                <w:rFonts w:hint="eastAsia" w:ascii="宋体" w:hAnsi="宋体" w:eastAsia="宋体" w:cs="宋体"/>
                <w:color w:val="000000" w:themeColor="text1"/>
                <w:sz w:val="16"/>
                <w:szCs w:val="16"/>
                <w:highlight w:val="none"/>
                <w:lang w:val="en-US" w:eastAsia="zh-CN"/>
                <w14:textFill>
                  <w14:solidFill>
                    <w14:schemeClr w14:val="tx1"/>
                  </w14:solidFill>
                </w14:textFill>
              </w:rPr>
              <w:t>徐工</w:t>
            </w:r>
            <w:r>
              <w:rPr>
                <w:rFonts w:hint="eastAsia" w:cs="宋体"/>
                <w:color w:val="000000" w:themeColor="text1"/>
                <w:sz w:val="16"/>
                <w:szCs w:val="16"/>
                <w:highlight w:val="none"/>
                <w:lang w:val="en-US" w:eastAsia="zh-CN"/>
                <w14:textFill>
                  <w14:solidFill>
                    <w14:schemeClr w14:val="tx1"/>
                  </w14:solidFill>
                </w14:textFill>
              </w:rPr>
              <w:t>XGT7026-12S1</w:t>
            </w:r>
          </w:p>
        </w:tc>
        <w:tc>
          <w:tcPr>
            <w:tcW w:w="692" w:type="pct"/>
            <w:tcBorders>
              <w:tl2br w:val="nil"/>
              <w:tr2bl w:val="nil"/>
            </w:tcBorders>
            <w:vAlign w:val="center"/>
          </w:tcPr>
          <w:p w14:paraId="3ABE97DF">
            <w:pPr>
              <w:spacing w:after="0" w:afterLines="0" w:line="240" w:lineRule="auto"/>
              <w:ind w:firstLine="0" w:firstLineChars="0"/>
              <w:jc w:val="center"/>
              <w:rPr>
                <w:rFonts w:hint="default" w:ascii="宋体" w:hAnsi="宋体" w:eastAsia="宋体" w:cs="宋体"/>
                <w:color w:val="000000" w:themeColor="text1"/>
                <w:sz w:val="16"/>
                <w:szCs w:val="16"/>
                <w:highlight w:val="none"/>
                <w:lang w:val="en-US" w:eastAsia="zh-CN"/>
                <w14:textFill>
                  <w14:solidFill>
                    <w14:schemeClr w14:val="tx1"/>
                  </w14:solidFill>
                </w14:textFill>
              </w:rPr>
            </w:pPr>
            <w:r>
              <w:rPr>
                <w:rFonts w:hint="eastAsia" w:cs="宋体"/>
                <w:color w:val="000000" w:themeColor="text1"/>
                <w:sz w:val="16"/>
                <w:szCs w:val="16"/>
                <w:highlight w:val="none"/>
                <w:lang w:val="en-US" w:eastAsia="zh-CN"/>
                <w14:textFill>
                  <w14:solidFill>
                    <w14:schemeClr w14:val="tx1"/>
                  </w14:solidFill>
                </w14:textFill>
              </w:rPr>
              <w:t>81.5</w:t>
            </w:r>
          </w:p>
        </w:tc>
        <w:tc>
          <w:tcPr>
            <w:tcW w:w="613" w:type="pct"/>
            <w:tcBorders>
              <w:tl2br w:val="nil"/>
              <w:tr2bl w:val="nil"/>
            </w:tcBorders>
            <w:vAlign w:val="center"/>
          </w:tcPr>
          <w:p w14:paraId="78F45902">
            <w:pPr>
              <w:spacing w:after="0" w:afterLines="0" w:line="240" w:lineRule="auto"/>
              <w:ind w:left="0" w:leftChars="0" w:firstLine="0" w:firstLineChars="0"/>
              <w:jc w:val="center"/>
              <w:rPr>
                <w:rFonts w:hint="default" w:ascii="仿宋" w:hAnsi="仿宋" w:eastAsia="仿宋" w:cs="仿宋"/>
                <w:sz w:val="13"/>
                <w:szCs w:val="13"/>
                <w:highlight w:val="none"/>
                <w:lang w:val="en-US" w:eastAsia="zh-CN"/>
              </w:rPr>
            </w:pPr>
            <w:r>
              <w:rPr>
                <w:rFonts w:hint="eastAsia" w:ascii="宋体" w:hAnsi="宋体" w:eastAsia="宋体" w:cs="宋体"/>
                <w:bCs/>
                <w:kern w:val="2"/>
                <w:sz w:val="16"/>
                <w:szCs w:val="16"/>
                <w:highlight w:val="none"/>
                <w:lang w:val="en-US" w:eastAsia="zh-CN" w:bidi="ar-SA"/>
              </w:rPr>
              <w:t>预埋螺栓</w:t>
            </w:r>
          </w:p>
        </w:tc>
        <w:tc>
          <w:tcPr>
            <w:tcW w:w="763" w:type="pct"/>
            <w:tcBorders>
              <w:tl2br w:val="nil"/>
              <w:tr2bl w:val="nil"/>
            </w:tcBorders>
            <w:vAlign w:val="center"/>
          </w:tcPr>
          <w:p w14:paraId="5375FBF3">
            <w:pPr>
              <w:spacing w:after="0" w:afterLines="0" w:line="240" w:lineRule="auto"/>
              <w:ind w:left="0" w:leftChars="0" w:firstLine="320" w:firstLineChars="200"/>
              <w:jc w:val="both"/>
              <w:rPr>
                <w:rFonts w:hint="default" w:ascii="宋体" w:hAnsi="宋体" w:cs="宋体"/>
                <w:bCs/>
                <w:color w:val="000000" w:themeColor="text1"/>
                <w:sz w:val="16"/>
                <w:szCs w:val="16"/>
                <w:highlight w:val="none"/>
                <w:lang w:val="en-US" w:eastAsia="zh-CN"/>
                <w14:textFill>
                  <w14:solidFill>
                    <w14:schemeClr w14:val="tx1"/>
                  </w14:solidFill>
                </w14:textFill>
              </w:rPr>
            </w:pPr>
            <w:r>
              <w:rPr>
                <w:rFonts w:hint="eastAsia" w:cs="宋体"/>
                <w:bCs/>
                <w:color w:val="000000" w:themeColor="text1"/>
                <w:sz w:val="16"/>
                <w:szCs w:val="16"/>
                <w:highlight w:val="none"/>
                <w:lang w:val="en-US" w:eastAsia="zh-CN"/>
                <w14:textFill>
                  <w14:solidFill>
                    <w14:schemeClr w14:val="tx1"/>
                  </w14:solidFill>
                </w14:textFill>
              </w:rPr>
              <w:t>40</w:t>
            </w:r>
            <w:r>
              <w:rPr>
                <w:rFonts w:hint="eastAsia" w:ascii="宋体" w:hAnsi="宋体" w:cs="宋体"/>
                <w:bCs/>
                <w:color w:val="000000" w:themeColor="text1"/>
                <w:sz w:val="16"/>
                <w:szCs w:val="16"/>
                <w:highlight w:val="none"/>
                <w:lang w:val="en-US" w:eastAsia="zh-CN"/>
                <w14:textFill>
                  <w14:solidFill>
                    <w14:schemeClr w14:val="tx1"/>
                  </w14:solidFill>
                </w14:textFill>
              </w:rPr>
              <w:t>m</w:t>
            </w:r>
          </w:p>
        </w:tc>
        <w:tc>
          <w:tcPr>
            <w:tcW w:w="1134" w:type="pct"/>
            <w:tcBorders>
              <w:tl2br w:val="nil"/>
              <w:tr2bl w:val="nil"/>
            </w:tcBorders>
            <w:vAlign w:val="center"/>
          </w:tcPr>
          <w:p w14:paraId="28ED9570">
            <w:pPr>
              <w:spacing w:after="0" w:afterLines="0" w:line="240" w:lineRule="auto"/>
              <w:ind w:firstLine="0" w:firstLineChars="0"/>
              <w:jc w:val="center"/>
              <w:rPr>
                <w:rFonts w:hint="default" w:ascii="仿宋" w:hAnsi="仿宋" w:eastAsia="仿宋" w:cs="仿宋"/>
                <w:sz w:val="13"/>
                <w:szCs w:val="13"/>
                <w:highlight w:val="none"/>
                <w:lang w:val="en-US" w:eastAsia="zh-CN"/>
              </w:rPr>
            </w:pPr>
            <w:r>
              <w:rPr>
                <w:rFonts w:hint="eastAsia" w:ascii="宋体" w:hAnsi="宋体" w:eastAsia="宋体" w:cs="宋体"/>
                <w:bCs/>
                <w:color w:val="000000" w:themeColor="text1"/>
                <w:sz w:val="16"/>
                <w:szCs w:val="16"/>
                <w:highlight w:val="none"/>
                <w14:textFill>
                  <w14:solidFill>
                    <w14:schemeClr w14:val="tx1"/>
                  </w14:solidFill>
                </w14:textFill>
              </w:rPr>
              <w:t>与</w:t>
            </w:r>
            <w:r>
              <w:rPr>
                <w:rFonts w:hint="eastAsia" w:ascii="宋体" w:hAnsi="宋体" w:eastAsia="宋体" w:cs="宋体"/>
                <w:bCs/>
                <w:color w:val="000000" w:themeColor="text1"/>
                <w:sz w:val="16"/>
                <w:szCs w:val="16"/>
                <w:highlight w:val="none"/>
                <w:lang w:val="en-US" w:eastAsia="zh-CN"/>
                <w14:textFill>
                  <w14:solidFill>
                    <w14:schemeClr w14:val="tx1"/>
                  </w14:solidFill>
                </w14:textFill>
              </w:rPr>
              <w:t>墩身承台顶标高一致</w:t>
            </w:r>
          </w:p>
        </w:tc>
      </w:tr>
      <w:bookmarkEnd w:id="72"/>
    </w:tbl>
    <w:p w14:paraId="10810302">
      <w:pPr>
        <w:keepNext w:val="0"/>
        <w:keepLines w:val="0"/>
        <w:widowControl/>
        <w:suppressLineNumbers w:val="0"/>
        <w:jc w:val="center"/>
        <w:rPr>
          <w:highlight w:val="none"/>
        </w:rPr>
      </w:pPr>
      <w:r>
        <w:drawing>
          <wp:inline distT="0" distB="0" distL="114300" distR="114300">
            <wp:extent cx="3183255" cy="374967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rcRect t="2461" r="3336"/>
                    <a:stretch>
                      <a:fillRect/>
                    </a:stretch>
                  </pic:blipFill>
                  <pic:spPr>
                    <a:xfrm>
                      <a:off x="0" y="0"/>
                      <a:ext cx="3183255" cy="3749675"/>
                    </a:xfrm>
                    <a:prstGeom prst="rect">
                      <a:avLst/>
                    </a:prstGeom>
                    <a:noFill/>
                    <a:ln>
                      <a:noFill/>
                    </a:ln>
                  </pic:spPr>
                </pic:pic>
              </a:graphicData>
            </a:graphic>
          </wp:inline>
        </w:drawing>
      </w:r>
    </w:p>
    <w:p w14:paraId="54FAF9DC">
      <w:pPr>
        <w:pStyle w:val="15"/>
        <w:bidi w:val="0"/>
        <w:rPr>
          <w:rFonts w:hint="eastAsia"/>
          <w:highlight w:val="none"/>
          <w:lang w:val="en-US" w:eastAsia="zh-CN"/>
        </w:rPr>
      </w:pPr>
      <w:r>
        <w:rPr>
          <w:rFonts w:hint="eastAsia"/>
          <w:highlight w:val="none"/>
          <w:lang w:val="en-US" w:eastAsia="zh-CN"/>
        </w:rPr>
        <w:t>图2.3-1 塔式起重机立面布置示意图（单位：mm）</w:t>
      </w:r>
    </w:p>
    <w:p w14:paraId="44ADD6CC">
      <w:pPr>
        <w:pStyle w:val="3"/>
        <w:bidi w:val="0"/>
        <w:rPr>
          <w:highlight w:val="none"/>
        </w:rPr>
      </w:pPr>
      <w:bookmarkStart w:id="73" w:name="_Toc25907"/>
      <w:bookmarkStart w:id="74" w:name="_Toc10409773"/>
      <w:bookmarkStart w:id="75" w:name="_Toc22469"/>
      <w:bookmarkStart w:id="76" w:name="_Toc10047"/>
      <w:r>
        <w:rPr>
          <w:rFonts w:hint="eastAsia"/>
          <w:highlight w:val="none"/>
          <w:lang w:val="en-US" w:eastAsia="zh-CN"/>
        </w:rPr>
        <w:t>2</w:t>
      </w:r>
      <w:r>
        <w:rPr>
          <w:rFonts w:hint="eastAsia"/>
          <w:highlight w:val="none"/>
        </w:rPr>
        <w:t>.4 塔式起重机概况</w:t>
      </w:r>
      <w:bookmarkEnd w:id="73"/>
      <w:bookmarkEnd w:id="74"/>
      <w:bookmarkEnd w:id="75"/>
      <w:bookmarkEnd w:id="76"/>
    </w:p>
    <w:p w14:paraId="73D2FD6D">
      <w:pPr>
        <w:pStyle w:val="4"/>
        <w:bidi w:val="0"/>
        <w:rPr>
          <w:highlight w:val="none"/>
        </w:rPr>
      </w:pPr>
      <w:bookmarkStart w:id="77" w:name="_Toc10409774"/>
      <w:r>
        <w:rPr>
          <w:rFonts w:hint="eastAsia"/>
          <w:highlight w:val="none"/>
          <w:lang w:val="en-US" w:eastAsia="zh-CN"/>
        </w:rPr>
        <w:t>2</w:t>
      </w:r>
      <w:r>
        <w:rPr>
          <w:rFonts w:hint="eastAsia"/>
          <w:highlight w:val="none"/>
        </w:rPr>
        <w:t>.4.1塔式起重机用途</w:t>
      </w:r>
      <w:r>
        <w:rPr>
          <w:highlight w:val="none"/>
        </w:rPr>
        <w:t>和</w:t>
      </w:r>
      <w:r>
        <w:rPr>
          <w:rFonts w:hint="eastAsia"/>
          <w:highlight w:val="none"/>
        </w:rPr>
        <w:t>使用环境</w:t>
      </w:r>
      <w:bookmarkEnd w:id="77"/>
    </w:p>
    <w:p w14:paraId="1EAFCB3B">
      <w:pPr>
        <w:pStyle w:val="48"/>
        <w:ind w:firstLine="480"/>
        <w:rPr>
          <w:rFonts w:ascii="宋体" w:hAnsi="宋体" w:eastAsia="宋体" w:cs="Times New Roman"/>
          <w:color w:val="auto"/>
          <w:kern w:val="2"/>
          <w:sz w:val="24"/>
          <w:szCs w:val="22"/>
          <w:highlight w:val="none"/>
          <w:lang w:val="en-US" w:eastAsia="zh-CN" w:bidi="ar-SA"/>
        </w:rPr>
      </w:pPr>
      <w:r>
        <w:rPr>
          <w:rFonts w:hint="eastAsia" w:cs="Times New Roman"/>
          <w:color w:val="auto"/>
          <w:kern w:val="2"/>
          <w:sz w:val="24"/>
          <w:szCs w:val="22"/>
          <w:highlight w:val="none"/>
          <w:lang w:val="en-US" w:eastAsia="zh-CN" w:bidi="ar-SA"/>
        </w:rPr>
        <w:t>XGT7026-12S1</w:t>
      </w:r>
      <w:r>
        <w:rPr>
          <w:rFonts w:ascii="宋体" w:hAnsi="宋体" w:eastAsia="宋体" w:cs="Times New Roman"/>
          <w:color w:val="auto"/>
          <w:kern w:val="2"/>
          <w:sz w:val="24"/>
          <w:szCs w:val="22"/>
          <w:highlight w:val="none"/>
          <w:lang w:val="en-US" w:eastAsia="zh-CN" w:bidi="ar-SA"/>
        </w:rPr>
        <w:t>塔式起重机用于</w:t>
      </w:r>
      <w:r>
        <w:rPr>
          <w:rFonts w:hint="eastAsia" w:ascii="宋体" w:hAnsi="宋体" w:eastAsia="宋体" w:cs="Times New Roman"/>
          <w:color w:val="auto"/>
          <w:kern w:val="2"/>
          <w:sz w:val="24"/>
          <w:szCs w:val="22"/>
          <w:highlight w:val="none"/>
          <w:lang w:val="en-US" w:eastAsia="zh-CN" w:bidi="ar-SA"/>
        </w:rPr>
        <w:t>桂林-恭城-贺州公路（桂林至钟山段）№7合同段</w:t>
      </w:r>
      <w:r>
        <w:rPr>
          <w:rFonts w:ascii="宋体" w:hAnsi="宋体" w:eastAsia="宋体" w:cs="Times New Roman"/>
          <w:color w:val="auto"/>
          <w:kern w:val="2"/>
          <w:sz w:val="24"/>
          <w:szCs w:val="22"/>
          <w:highlight w:val="none"/>
          <w:lang w:val="en-US" w:eastAsia="zh-CN" w:bidi="ar-SA"/>
        </w:rPr>
        <w:t>项目</w:t>
      </w:r>
      <w:r>
        <w:rPr>
          <w:rFonts w:hint="eastAsia" w:ascii="宋体" w:hAnsi="宋体" w:eastAsia="宋体" w:cs="Times New Roman"/>
          <w:color w:val="auto"/>
          <w:kern w:val="2"/>
          <w:sz w:val="24"/>
          <w:szCs w:val="22"/>
          <w:highlight w:val="none"/>
          <w:lang w:val="en-US" w:eastAsia="zh-CN" w:bidi="ar-SA"/>
        </w:rPr>
        <w:t>桥梁施工吊装等工作。工作环境要求，最大工作风速≤</w:t>
      </w:r>
      <w:r>
        <w:rPr>
          <w:rFonts w:ascii="宋体" w:hAnsi="宋体" w:eastAsia="宋体" w:cs="Times New Roman"/>
          <w:color w:val="auto"/>
          <w:kern w:val="2"/>
          <w:sz w:val="24"/>
          <w:szCs w:val="22"/>
          <w:highlight w:val="none"/>
          <w:lang w:val="en-US" w:eastAsia="zh-CN" w:bidi="ar-SA"/>
        </w:rPr>
        <w:t>20m/s（6级风），工作环境温度10℃～42℃。</w:t>
      </w:r>
    </w:p>
    <w:p w14:paraId="7E03B6EA">
      <w:pPr>
        <w:pStyle w:val="4"/>
        <w:bidi w:val="0"/>
        <w:rPr>
          <w:highlight w:val="none"/>
        </w:rPr>
      </w:pPr>
      <w:bookmarkStart w:id="78" w:name="_Toc10409775"/>
      <w:r>
        <w:rPr>
          <w:rFonts w:hint="eastAsia"/>
          <w:highlight w:val="none"/>
          <w:lang w:val="en-US" w:eastAsia="zh-CN"/>
        </w:rPr>
        <w:t>2</w:t>
      </w:r>
      <w:r>
        <w:rPr>
          <w:highlight w:val="none"/>
        </w:rPr>
        <w:t>.4.2</w:t>
      </w:r>
      <w:r>
        <w:rPr>
          <w:rFonts w:hint="eastAsia"/>
          <w:highlight w:val="none"/>
        </w:rPr>
        <w:t>塔式起重机技术参数</w:t>
      </w:r>
      <w:bookmarkEnd w:id="78"/>
    </w:p>
    <w:p w14:paraId="78203933">
      <w:pPr>
        <w:bidi w:val="0"/>
        <w:spacing w:line="360" w:lineRule="auto"/>
        <w:ind w:firstLine="480" w:firstLineChars="200"/>
        <w:rPr>
          <w:highlight w:val="none"/>
        </w:rPr>
      </w:pPr>
      <w:r>
        <w:rPr>
          <w:rFonts w:hint="eastAsia"/>
          <w:highlight w:val="none"/>
          <w:lang w:val="en-US" w:eastAsia="zh-CN"/>
        </w:rPr>
        <w:t>XGT7026-12S1</w:t>
      </w:r>
      <w:r>
        <w:rPr>
          <w:highlight w:val="none"/>
        </w:rPr>
        <w:t>塔式起重</w:t>
      </w:r>
      <w:r>
        <w:rPr>
          <w:rFonts w:hint="eastAsia"/>
          <w:highlight w:val="none"/>
          <w:lang w:val="en-US" w:eastAsia="zh-CN"/>
        </w:rPr>
        <w:t>机</w:t>
      </w:r>
      <w:r>
        <w:rPr>
          <w:highlight w:val="none"/>
        </w:rPr>
        <w:t>为</w:t>
      </w:r>
      <w:r>
        <w:rPr>
          <w:rFonts w:hint="eastAsia"/>
          <w:highlight w:val="none"/>
          <w:lang w:val="en-US" w:eastAsia="zh-CN"/>
        </w:rPr>
        <w:t>徐工</w:t>
      </w:r>
      <w:r>
        <w:rPr>
          <w:highlight w:val="none"/>
        </w:rPr>
        <w:t>生产的平头塔式起重机，产品最大臂长</w:t>
      </w:r>
      <w:r>
        <w:rPr>
          <w:rFonts w:hint="eastAsia"/>
          <w:highlight w:val="none"/>
          <w:lang w:val="en-US" w:eastAsia="zh-CN"/>
        </w:rPr>
        <w:t>70</w:t>
      </w:r>
      <w:r>
        <w:rPr>
          <w:highlight w:val="none"/>
        </w:rPr>
        <w:t>m,在臂端</w:t>
      </w:r>
      <w:r>
        <w:rPr>
          <w:rFonts w:hint="eastAsia"/>
          <w:highlight w:val="none"/>
          <w:lang w:val="en-US" w:eastAsia="zh-CN"/>
        </w:rPr>
        <w:t>70</w:t>
      </w:r>
      <w:r>
        <w:rPr>
          <w:highlight w:val="none"/>
        </w:rPr>
        <w:t>m幅度处最大起重量为</w:t>
      </w:r>
      <w:r>
        <w:rPr>
          <w:rFonts w:hint="eastAsia"/>
          <w:highlight w:val="none"/>
          <w:lang w:val="en-US" w:eastAsia="zh-CN"/>
        </w:rPr>
        <w:t>2.6</w:t>
      </w:r>
      <w:r>
        <w:rPr>
          <w:highlight w:val="none"/>
        </w:rPr>
        <w:t>t,整机最大起重量为</w:t>
      </w:r>
      <w:r>
        <w:rPr>
          <w:rFonts w:hint="eastAsia"/>
          <w:highlight w:val="none"/>
          <w:lang w:val="en-US" w:eastAsia="zh-CN"/>
        </w:rPr>
        <w:t>12</w:t>
      </w:r>
      <w:r>
        <w:rPr>
          <w:highlight w:val="none"/>
        </w:rPr>
        <w:t>t。</w:t>
      </w:r>
    </w:p>
    <w:p w14:paraId="20638BB8">
      <w:pPr>
        <w:ind w:left="0" w:leftChars="0" w:firstLine="0" w:firstLineChars="0"/>
        <w:jc w:val="center"/>
        <w:rPr>
          <w:highlight w:val="none"/>
        </w:rPr>
      </w:pPr>
      <w:bookmarkStart w:id="79" w:name="_Toc3545"/>
      <w:bookmarkStart w:id="80" w:name="_Toc10409778"/>
      <w:r>
        <w:drawing>
          <wp:inline distT="0" distB="0" distL="114300" distR="114300">
            <wp:extent cx="5274310" cy="4450080"/>
            <wp:effectExtent l="0" t="0" r="2540" b="762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tretch>
                      <a:fillRect/>
                    </a:stretch>
                  </pic:blipFill>
                  <pic:spPr>
                    <a:xfrm>
                      <a:off x="0" y="0"/>
                      <a:ext cx="5274310" cy="4450080"/>
                    </a:xfrm>
                    <a:prstGeom prst="rect">
                      <a:avLst/>
                    </a:prstGeom>
                    <a:noFill/>
                    <a:ln>
                      <a:noFill/>
                    </a:ln>
                  </pic:spPr>
                </pic:pic>
              </a:graphicData>
            </a:graphic>
          </wp:inline>
        </w:drawing>
      </w:r>
      <w:r>
        <w:drawing>
          <wp:inline distT="0" distB="0" distL="114300" distR="114300">
            <wp:extent cx="5272405" cy="2079625"/>
            <wp:effectExtent l="0" t="0" r="4445" b="158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5272405" cy="2079625"/>
                    </a:xfrm>
                    <a:prstGeom prst="rect">
                      <a:avLst/>
                    </a:prstGeom>
                    <a:noFill/>
                    <a:ln>
                      <a:noFill/>
                    </a:ln>
                  </pic:spPr>
                </pic:pic>
              </a:graphicData>
            </a:graphic>
          </wp:inline>
        </w:drawing>
      </w:r>
    </w:p>
    <w:p w14:paraId="24E2A250">
      <w:pPr>
        <w:pStyle w:val="15"/>
        <w:rPr>
          <w:rFonts w:hint="eastAsia"/>
          <w:highlight w:val="none"/>
          <w:lang w:val="en-US" w:eastAsia="zh-CN"/>
        </w:rPr>
      </w:pPr>
      <w:r>
        <w:rPr>
          <w:highlight w:val="none"/>
        </w:rPr>
        <w:t>图</w:t>
      </w:r>
      <w:r>
        <w:rPr>
          <w:rFonts w:hint="eastAsia"/>
          <w:highlight w:val="none"/>
          <w:lang w:val="en-US" w:eastAsia="zh-CN"/>
        </w:rPr>
        <w:t>2.</w:t>
      </w:r>
      <w:r>
        <w:rPr>
          <w:highlight w:val="none"/>
        </w:rPr>
        <w:t>4-</w:t>
      </w:r>
      <w:r>
        <w:rPr>
          <w:rFonts w:hint="eastAsia"/>
          <w:highlight w:val="none"/>
          <w:lang w:val="en-US" w:eastAsia="zh-CN"/>
        </w:rPr>
        <w:t>1塔机组成示意图</w:t>
      </w:r>
    </w:p>
    <w:p w14:paraId="4BDC5A7C">
      <w:pPr>
        <w:pStyle w:val="4"/>
        <w:tabs>
          <w:tab w:val="left" w:pos="0"/>
          <w:tab w:val="left" w:pos="630"/>
        </w:tabs>
        <w:bidi w:val="0"/>
        <w:rPr>
          <w:rFonts w:hint="default"/>
          <w:highlight w:val="none"/>
          <w:lang w:val="en-US" w:eastAsia="zh-CN"/>
        </w:rPr>
      </w:pPr>
      <w:bookmarkStart w:id="81" w:name="_Toc5066"/>
      <w:bookmarkStart w:id="82" w:name="_Toc23068"/>
      <w:bookmarkStart w:id="83" w:name="_Toc1784"/>
      <w:r>
        <w:rPr>
          <w:rFonts w:hint="eastAsia"/>
          <w:highlight w:val="none"/>
          <w:lang w:val="en-US" w:eastAsia="zh-CN"/>
        </w:rPr>
        <w:t>2.4.3整机外形尺寸</w:t>
      </w:r>
      <w:bookmarkEnd w:id="81"/>
      <w:bookmarkEnd w:id="82"/>
      <w:bookmarkEnd w:id="83"/>
    </w:p>
    <w:p w14:paraId="51EA5F48">
      <w:pPr>
        <w:ind w:left="0" w:leftChars="0" w:firstLine="0" w:firstLineChars="0"/>
        <w:jc w:val="center"/>
        <w:rPr>
          <w:highlight w:val="none"/>
        </w:rPr>
      </w:pPr>
      <w:r>
        <w:drawing>
          <wp:inline distT="0" distB="0" distL="114300" distR="114300">
            <wp:extent cx="5271135" cy="4801235"/>
            <wp:effectExtent l="0" t="0" r="5715" b="1841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4"/>
                    <a:stretch>
                      <a:fillRect/>
                    </a:stretch>
                  </pic:blipFill>
                  <pic:spPr>
                    <a:xfrm>
                      <a:off x="0" y="0"/>
                      <a:ext cx="5271135" cy="4801235"/>
                    </a:xfrm>
                    <a:prstGeom prst="rect">
                      <a:avLst/>
                    </a:prstGeom>
                    <a:noFill/>
                    <a:ln>
                      <a:noFill/>
                    </a:ln>
                  </pic:spPr>
                </pic:pic>
              </a:graphicData>
            </a:graphic>
          </wp:inline>
        </w:drawing>
      </w:r>
    </w:p>
    <w:p w14:paraId="75231B14">
      <w:pPr>
        <w:pStyle w:val="15"/>
        <w:rPr>
          <w:rFonts w:hint="eastAsia"/>
          <w:highlight w:val="none"/>
          <w:lang w:val="en-US" w:eastAsia="zh-CN"/>
        </w:rPr>
      </w:pPr>
      <w:r>
        <w:rPr>
          <w:highlight w:val="none"/>
        </w:rPr>
        <w:t>图</w:t>
      </w:r>
      <w:r>
        <w:rPr>
          <w:rFonts w:hint="eastAsia"/>
          <w:highlight w:val="none"/>
          <w:lang w:val="en-US" w:eastAsia="zh-CN"/>
        </w:rPr>
        <w:t>2.</w:t>
      </w:r>
      <w:r>
        <w:rPr>
          <w:highlight w:val="none"/>
        </w:rPr>
        <w:t>4-</w:t>
      </w:r>
      <w:r>
        <w:rPr>
          <w:rFonts w:hint="eastAsia"/>
          <w:highlight w:val="none"/>
          <w:lang w:val="en-US" w:eastAsia="zh-CN"/>
        </w:rPr>
        <w:t>2整机外形示意图</w:t>
      </w:r>
    </w:p>
    <w:p w14:paraId="27F36EC7">
      <w:pPr>
        <w:pStyle w:val="4"/>
        <w:tabs>
          <w:tab w:val="left" w:pos="0"/>
          <w:tab w:val="left" w:pos="630"/>
        </w:tabs>
        <w:bidi w:val="0"/>
        <w:rPr>
          <w:rFonts w:hint="default"/>
          <w:highlight w:val="none"/>
          <w:lang w:val="en-US" w:eastAsia="zh-CN"/>
        </w:rPr>
      </w:pPr>
      <w:bookmarkStart w:id="84" w:name="_Toc18527"/>
      <w:bookmarkStart w:id="85" w:name="_Toc24908"/>
      <w:bookmarkStart w:id="86" w:name="_Toc7342"/>
      <w:r>
        <w:rPr>
          <w:rFonts w:hint="eastAsia"/>
          <w:highlight w:val="none"/>
          <w:lang w:val="en-US" w:eastAsia="zh-CN"/>
        </w:rPr>
        <w:t>2.4.4整机主要技术参数</w:t>
      </w:r>
      <w:bookmarkEnd w:id="84"/>
      <w:bookmarkEnd w:id="85"/>
      <w:bookmarkEnd w:id="86"/>
    </w:p>
    <w:p w14:paraId="115C947F">
      <w:pPr>
        <w:pStyle w:val="15"/>
        <w:rPr>
          <w:rFonts w:hint="default"/>
          <w:highlight w:val="none"/>
          <w:lang w:val="en-US" w:eastAsia="zh-CN"/>
        </w:rPr>
      </w:pPr>
      <w:r>
        <w:rPr>
          <w:highlight w:val="none"/>
        </w:rPr>
        <w:t>表</w:t>
      </w:r>
      <w:r>
        <w:rPr>
          <w:rFonts w:hint="eastAsia"/>
          <w:highlight w:val="none"/>
          <w:lang w:val="en-US" w:eastAsia="zh-CN"/>
        </w:rPr>
        <w:t>2.4</w:t>
      </w:r>
      <w:r>
        <w:rPr>
          <w:highlight w:val="none"/>
        </w:rPr>
        <w:t>-</w:t>
      </w:r>
      <w:r>
        <w:rPr>
          <w:rFonts w:hint="eastAsia"/>
          <w:highlight w:val="none"/>
          <w:lang w:val="en-US" w:eastAsia="zh-CN"/>
        </w:rPr>
        <w:t>1</w:t>
      </w:r>
      <w:r>
        <w:rPr>
          <w:rFonts w:hint="eastAsia"/>
          <w:highlight w:val="none"/>
        </w:rPr>
        <w:t>主机性能参数表</w:t>
      </w:r>
    </w:p>
    <w:p w14:paraId="444B61CB">
      <w:pPr>
        <w:ind w:left="0" w:leftChars="0" w:firstLine="0" w:firstLineChars="0"/>
        <w:jc w:val="center"/>
        <w:rPr>
          <w:highlight w:val="none"/>
        </w:rPr>
      </w:pPr>
      <w:r>
        <w:drawing>
          <wp:inline distT="0" distB="0" distL="114300" distR="114300">
            <wp:extent cx="5273675" cy="6873240"/>
            <wp:effectExtent l="0" t="0" r="3175" b="381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5"/>
                    <a:stretch>
                      <a:fillRect/>
                    </a:stretch>
                  </pic:blipFill>
                  <pic:spPr>
                    <a:xfrm>
                      <a:off x="0" y="0"/>
                      <a:ext cx="5273675" cy="6873240"/>
                    </a:xfrm>
                    <a:prstGeom prst="rect">
                      <a:avLst/>
                    </a:prstGeom>
                    <a:noFill/>
                    <a:ln>
                      <a:noFill/>
                    </a:ln>
                  </pic:spPr>
                </pic:pic>
              </a:graphicData>
            </a:graphic>
          </wp:inline>
        </w:drawing>
      </w:r>
      <w:r>
        <w:drawing>
          <wp:inline distT="0" distB="0" distL="114300" distR="114300">
            <wp:extent cx="4786630" cy="3675380"/>
            <wp:effectExtent l="0" t="0" r="13970" b="127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6"/>
                    <a:stretch>
                      <a:fillRect/>
                    </a:stretch>
                  </pic:blipFill>
                  <pic:spPr>
                    <a:xfrm>
                      <a:off x="0" y="0"/>
                      <a:ext cx="4786630" cy="3675380"/>
                    </a:xfrm>
                    <a:prstGeom prst="rect">
                      <a:avLst/>
                    </a:prstGeom>
                    <a:noFill/>
                    <a:ln>
                      <a:noFill/>
                    </a:ln>
                  </pic:spPr>
                </pic:pic>
              </a:graphicData>
            </a:graphic>
          </wp:inline>
        </w:drawing>
      </w:r>
    </w:p>
    <w:p w14:paraId="5972DF4C">
      <w:pPr>
        <w:ind w:left="0" w:leftChars="0" w:firstLine="0" w:firstLineChars="0"/>
        <w:jc w:val="center"/>
        <w:rPr>
          <w:highlight w:val="none"/>
        </w:rPr>
      </w:pPr>
      <w:r>
        <w:drawing>
          <wp:inline distT="0" distB="0" distL="114300" distR="114300">
            <wp:extent cx="4558030" cy="2907665"/>
            <wp:effectExtent l="0" t="0" r="13970" b="698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7"/>
                    <a:srcRect r="11699"/>
                    <a:stretch>
                      <a:fillRect/>
                    </a:stretch>
                  </pic:blipFill>
                  <pic:spPr>
                    <a:xfrm>
                      <a:off x="0" y="0"/>
                      <a:ext cx="4558030" cy="2907665"/>
                    </a:xfrm>
                    <a:prstGeom prst="rect">
                      <a:avLst/>
                    </a:prstGeom>
                    <a:noFill/>
                    <a:ln>
                      <a:noFill/>
                    </a:ln>
                  </pic:spPr>
                </pic:pic>
              </a:graphicData>
            </a:graphic>
          </wp:inline>
        </w:drawing>
      </w:r>
    </w:p>
    <w:p w14:paraId="1D2DF92F">
      <w:pPr>
        <w:pStyle w:val="15"/>
        <w:rPr>
          <w:rFonts w:hint="default" w:eastAsia="黑体"/>
          <w:highlight w:val="none"/>
          <w:lang w:val="en-US" w:eastAsia="zh-CN"/>
        </w:rPr>
      </w:pPr>
      <w:r>
        <w:rPr>
          <w:highlight w:val="none"/>
        </w:rPr>
        <w:t>图</w:t>
      </w:r>
      <w:r>
        <w:rPr>
          <w:rFonts w:hint="eastAsia"/>
          <w:highlight w:val="none"/>
          <w:lang w:val="en-US" w:eastAsia="zh-CN"/>
        </w:rPr>
        <w:t>2.4</w:t>
      </w:r>
      <w:r>
        <w:rPr>
          <w:highlight w:val="none"/>
        </w:rPr>
        <w:t>-</w:t>
      </w:r>
      <w:r>
        <w:rPr>
          <w:rFonts w:hint="eastAsia"/>
          <w:highlight w:val="none"/>
          <w:lang w:val="en-US" w:eastAsia="zh-CN"/>
        </w:rPr>
        <w:t>3起重性能表</w:t>
      </w:r>
    </w:p>
    <w:p w14:paraId="45709922">
      <w:pPr>
        <w:pStyle w:val="3"/>
        <w:rPr>
          <w:highlight w:val="none"/>
        </w:rPr>
      </w:pPr>
      <w:bookmarkStart w:id="87" w:name="_Toc23656"/>
      <w:bookmarkStart w:id="88" w:name="_Toc5338"/>
      <w:r>
        <w:rPr>
          <w:rFonts w:hint="eastAsia"/>
          <w:highlight w:val="none"/>
          <w:lang w:val="en-US" w:eastAsia="zh-CN"/>
        </w:rPr>
        <w:t>2</w:t>
      </w:r>
      <w:r>
        <w:rPr>
          <w:highlight w:val="none"/>
        </w:rPr>
        <w:t>.5</w:t>
      </w:r>
      <w:r>
        <w:rPr>
          <w:rFonts w:hint="eastAsia"/>
          <w:highlight w:val="none"/>
        </w:rPr>
        <w:t xml:space="preserve"> 施工要求和技术保证条件</w:t>
      </w:r>
      <w:bookmarkEnd w:id="79"/>
      <w:bookmarkEnd w:id="87"/>
      <w:bookmarkEnd w:id="88"/>
    </w:p>
    <w:p w14:paraId="0E21193E">
      <w:pPr>
        <w:pStyle w:val="4"/>
        <w:bidi w:val="0"/>
        <w:rPr>
          <w:highlight w:val="none"/>
        </w:rPr>
      </w:pPr>
      <w:r>
        <w:rPr>
          <w:rFonts w:hint="eastAsia"/>
          <w:highlight w:val="none"/>
          <w:lang w:val="en-US" w:eastAsia="zh-CN"/>
        </w:rPr>
        <w:t>2</w:t>
      </w:r>
      <w:r>
        <w:rPr>
          <w:highlight w:val="none"/>
        </w:rPr>
        <w:t>.5.1</w:t>
      </w:r>
      <w:r>
        <w:rPr>
          <w:rFonts w:hint="eastAsia"/>
          <w:highlight w:val="none"/>
        </w:rPr>
        <w:t>安装的重点及难点</w:t>
      </w:r>
      <w:bookmarkEnd w:id="80"/>
    </w:p>
    <w:p w14:paraId="5D2690C1">
      <w:pPr>
        <w:pStyle w:val="48"/>
        <w:ind w:firstLine="480"/>
        <w:rPr>
          <w:highlight w:val="none"/>
        </w:rPr>
      </w:pPr>
      <w:r>
        <w:rPr>
          <w:rFonts w:hint="eastAsia"/>
          <w:highlight w:val="none"/>
        </w:rPr>
        <w:t>本方案充分考虑了以下重点和难点问题：</w:t>
      </w:r>
    </w:p>
    <w:p w14:paraId="219F22DF">
      <w:pPr>
        <w:pStyle w:val="48"/>
        <w:ind w:firstLine="480"/>
        <w:rPr>
          <w:highlight w:val="none"/>
        </w:rPr>
      </w:pPr>
      <w:r>
        <w:rPr>
          <w:rFonts w:hint="eastAsia"/>
          <w:highlight w:val="none"/>
        </w:rPr>
        <w:t>（1）套架、</w:t>
      </w:r>
      <w:r>
        <w:rPr>
          <w:rFonts w:hint="eastAsia"/>
          <w:highlight w:val="none"/>
          <w:lang w:eastAsia="zh-CN"/>
        </w:rPr>
        <w:t>回转支承</w:t>
      </w:r>
      <w:r>
        <w:rPr>
          <w:rFonts w:hint="eastAsia"/>
          <w:highlight w:val="none"/>
        </w:rPr>
        <w:t>单件重量重需要分解安装；</w:t>
      </w:r>
    </w:p>
    <w:p w14:paraId="53FDD1E5">
      <w:pPr>
        <w:pStyle w:val="48"/>
        <w:ind w:firstLine="480"/>
        <w:rPr>
          <w:highlight w:val="none"/>
        </w:rPr>
      </w:pPr>
      <w:r>
        <w:rPr>
          <w:rFonts w:hint="eastAsia"/>
          <w:highlight w:val="none"/>
        </w:rPr>
        <w:t>（2）起重臂单件重量重，吊装</w:t>
      </w:r>
      <w:r>
        <w:rPr>
          <w:rFonts w:hint="eastAsia"/>
          <w:highlight w:val="none"/>
          <w:lang w:val="en-US" w:eastAsia="zh-CN"/>
        </w:rPr>
        <w:t>要求高</w:t>
      </w:r>
      <w:r>
        <w:rPr>
          <w:rFonts w:hint="eastAsia"/>
          <w:highlight w:val="none"/>
        </w:rPr>
        <w:t>；</w:t>
      </w:r>
    </w:p>
    <w:p w14:paraId="55954A51">
      <w:pPr>
        <w:pStyle w:val="48"/>
        <w:ind w:firstLine="480"/>
        <w:rPr>
          <w:highlight w:val="none"/>
        </w:rPr>
      </w:pPr>
      <w:r>
        <w:rPr>
          <w:rFonts w:hint="eastAsia"/>
          <w:highlight w:val="none"/>
        </w:rPr>
        <w:t>（3）现场安装场地受限，大型设备吊装难度大；</w:t>
      </w:r>
    </w:p>
    <w:p w14:paraId="60B79040">
      <w:pPr>
        <w:pStyle w:val="48"/>
        <w:ind w:firstLine="480"/>
        <w:rPr>
          <w:highlight w:val="none"/>
        </w:rPr>
      </w:pPr>
      <w:r>
        <w:rPr>
          <w:rFonts w:hint="eastAsia"/>
          <w:highlight w:val="none"/>
        </w:rPr>
        <w:t>（4）构建数量多，现场无法堆放，需多次进行转运；</w:t>
      </w:r>
    </w:p>
    <w:p w14:paraId="2251A062">
      <w:pPr>
        <w:pStyle w:val="48"/>
        <w:ind w:firstLine="480"/>
        <w:rPr>
          <w:highlight w:val="none"/>
        </w:rPr>
      </w:pPr>
      <w:r>
        <w:rPr>
          <w:rFonts w:hint="eastAsia"/>
          <w:highlight w:val="none"/>
        </w:rPr>
        <w:t>（5）高空作业安全风险大。</w:t>
      </w:r>
    </w:p>
    <w:p w14:paraId="22A762D9">
      <w:pPr>
        <w:pStyle w:val="4"/>
        <w:bidi w:val="0"/>
        <w:rPr>
          <w:highlight w:val="none"/>
        </w:rPr>
      </w:pPr>
      <w:bookmarkStart w:id="89" w:name="_Toc10409779"/>
      <w:bookmarkStart w:id="90" w:name="_Toc27671"/>
      <w:r>
        <w:rPr>
          <w:rFonts w:hint="eastAsia"/>
          <w:highlight w:val="none"/>
          <w:lang w:val="en-US" w:eastAsia="zh-CN"/>
        </w:rPr>
        <w:t>2</w:t>
      </w:r>
      <w:r>
        <w:rPr>
          <w:highlight w:val="none"/>
        </w:rPr>
        <w:t>.5.2</w:t>
      </w:r>
      <w:r>
        <w:rPr>
          <w:rFonts w:hint="eastAsia"/>
          <w:highlight w:val="none"/>
        </w:rPr>
        <w:t xml:space="preserve"> 运输及进场要求</w:t>
      </w:r>
      <w:bookmarkEnd w:id="89"/>
      <w:bookmarkEnd w:id="90"/>
    </w:p>
    <w:p w14:paraId="59FA7D4D">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起重机各类构件使用平板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包装，避免运输途中防雨受潮损坏或遗失。</w:t>
      </w:r>
    </w:p>
    <w:p w14:paraId="00664F39">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发货时要根据现场拼装步骤按加强节、套架、十字梁、过度节、</w:t>
      </w:r>
      <w:r>
        <w:rPr>
          <w:rFonts w:hint="eastAsia" w:cs="宋体"/>
          <w:sz w:val="24"/>
          <w:szCs w:val="24"/>
          <w:highlight w:val="none"/>
          <w:lang w:eastAsia="zh-CN"/>
        </w:rPr>
        <w:t>回转支承</w:t>
      </w:r>
      <w:r>
        <w:rPr>
          <w:rFonts w:hint="eastAsia" w:ascii="宋体" w:hAnsi="宋体" w:eastAsia="宋体" w:cs="宋体"/>
          <w:sz w:val="24"/>
          <w:szCs w:val="24"/>
          <w:highlight w:val="none"/>
        </w:rPr>
        <w:t>、平衡臂、塔帽、起重机臂、配重及标准节等顺序。前后协调，统筹配发，以免现场造成堆压和不必要的周转拨运。</w:t>
      </w:r>
    </w:p>
    <w:p w14:paraId="51B6C2CC">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装卸车时，要确保装吊安全，特别是主梁等大件，要利用所设专用吊耳，临时存放时，大件下要支垫枕木，并进行固定绑扎，防止倾倒。</w:t>
      </w:r>
    </w:p>
    <w:p w14:paraId="137E7BB6">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电气及电机设备的吊装时注意不能倒置，不得以大压小，运输及存放时要有防雨防潮措施。</w:t>
      </w:r>
    </w:p>
    <w:p w14:paraId="5097576B">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在设备装卸期间，如果物体的最大尺寸阻挡了起升控制人员的视野，应该由另外的操作人员来指引进行操作。</w:t>
      </w:r>
    </w:p>
    <w:p w14:paraId="6BF53E1A">
      <w:pPr>
        <w:pStyle w:val="48"/>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在装卸设备之前，检查起升设备和相关物品中（绳索、手拉葫芦等）是否满足所吊负载和适当的稳定性的要求。</w:t>
      </w:r>
    </w:p>
    <w:p w14:paraId="2FF15175">
      <w:pPr>
        <w:pStyle w:val="4"/>
        <w:bidi w:val="0"/>
        <w:rPr>
          <w:highlight w:val="none"/>
        </w:rPr>
      </w:pPr>
      <w:r>
        <w:rPr>
          <w:rFonts w:hint="eastAsia"/>
          <w:highlight w:val="none"/>
          <w:lang w:val="en-US" w:eastAsia="zh-CN"/>
        </w:rPr>
        <w:t>2</w:t>
      </w:r>
      <w:r>
        <w:rPr>
          <w:highlight w:val="none"/>
        </w:rPr>
        <w:t>.5.3</w:t>
      </w:r>
      <w:r>
        <w:rPr>
          <w:rFonts w:hint="eastAsia"/>
          <w:highlight w:val="none"/>
        </w:rPr>
        <w:t xml:space="preserve"> 技术保证条件</w:t>
      </w:r>
    </w:p>
    <w:p w14:paraId="0874E681">
      <w:pPr>
        <w:pStyle w:val="48"/>
        <w:ind w:firstLine="480"/>
        <w:rPr>
          <w:highlight w:val="none"/>
        </w:rPr>
      </w:pPr>
      <w:r>
        <w:rPr>
          <w:rFonts w:hint="eastAsia"/>
          <w:highlight w:val="none"/>
        </w:rPr>
        <w:t>本方案的技术保证条件主要有：</w:t>
      </w:r>
    </w:p>
    <w:p w14:paraId="38DCAC52">
      <w:pPr>
        <w:pStyle w:val="48"/>
        <w:ind w:firstLine="480"/>
        <w:rPr>
          <w:highlight w:val="none"/>
        </w:rPr>
      </w:pPr>
      <w:r>
        <w:rPr>
          <w:rFonts w:hint="eastAsia"/>
          <w:highlight w:val="none"/>
        </w:rPr>
        <w:t>（1）对安装的起吊构件的重量、幅度进行详细的核算；</w:t>
      </w:r>
    </w:p>
    <w:p w14:paraId="2A609C79">
      <w:pPr>
        <w:pStyle w:val="48"/>
        <w:ind w:firstLine="480"/>
        <w:rPr>
          <w:highlight w:val="none"/>
        </w:rPr>
      </w:pPr>
      <w:r>
        <w:rPr>
          <w:rFonts w:hint="eastAsia"/>
          <w:highlight w:val="none"/>
        </w:rPr>
        <w:t>（2）对进场设备进行进场检验，对地基进行验收，确保设备性能及施工条件可靠；</w:t>
      </w:r>
    </w:p>
    <w:p w14:paraId="30D74197">
      <w:pPr>
        <w:pStyle w:val="48"/>
        <w:ind w:firstLine="480"/>
        <w:rPr>
          <w:highlight w:val="none"/>
        </w:rPr>
      </w:pPr>
      <w:r>
        <w:rPr>
          <w:rFonts w:hint="eastAsia"/>
          <w:highlight w:val="none"/>
        </w:rPr>
        <w:t>（3）模拟现场的实际作业情况，保证安装场地空间足够，避免吊装过程中的干涉；</w:t>
      </w:r>
    </w:p>
    <w:p w14:paraId="7DF056B1">
      <w:pPr>
        <w:pStyle w:val="48"/>
        <w:ind w:firstLine="480"/>
        <w:rPr>
          <w:highlight w:val="none"/>
        </w:rPr>
      </w:pPr>
      <w:r>
        <w:rPr>
          <w:rFonts w:hint="eastAsia"/>
          <w:highlight w:val="none"/>
        </w:rPr>
        <w:t>（4）合理安排安拆工序，协调好场地堆放及构件倒运顺序；</w:t>
      </w:r>
    </w:p>
    <w:p w14:paraId="06B7A98F">
      <w:pPr>
        <w:pStyle w:val="48"/>
        <w:ind w:firstLine="480"/>
        <w:rPr>
          <w:highlight w:val="none"/>
        </w:rPr>
      </w:pPr>
      <w:r>
        <w:rPr>
          <w:rFonts w:hint="eastAsia"/>
          <w:highlight w:val="none"/>
        </w:rPr>
        <w:t>（5）加强技术交底，确保作业过程安全。</w:t>
      </w:r>
    </w:p>
    <w:p w14:paraId="6BAEBD43">
      <w:pPr>
        <w:pStyle w:val="2"/>
        <w:keepNext w:val="0"/>
        <w:keepLines w:val="0"/>
        <w:pageBreakBefore/>
        <w:widowControl/>
        <w:numPr>
          <w:ilvl w:val="0"/>
          <w:numId w:val="0"/>
        </w:numPr>
        <w:kinsoku/>
        <w:wordWrap/>
        <w:overflowPunct/>
        <w:topLinePunct w:val="0"/>
        <w:autoSpaceDE/>
        <w:autoSpaceDN/>
        <w:bidi w:val="0"/>
        <w:adjustRightInd/>
        <w:snapToGrid/>
        <w:ind w:leftChars="0"/>
        <w:textAlignment w:val="auto"/>
        <w:rPr>
          <w:highlight w:val="none"/>
        </w:rPr>
      </w:pPr>
      <w:bookmarkStart w:id="91" w:name="_Toc10409780"/>
      <w:bookmarkStart w:id="92" w:name="_Toc23981"/>
      <w:bookmarkStart w:id="93" w:name="_Toc9867"/>
      <w:bookmarkStart w:id="94" w:name="_Toc8311"/>
      <w:r>
        <w:rPr>
          <w:rFonts w:hint="eastAsia"/>
          <w:highlight w:val="none"/>
          <w:lang w:val="en-US" w:eastAsia="zh-CN"/>
        </w:rPr>
        <w:t>3</w:t>
      </w:r>
      <w:r>
        <w:rPr>
          <w:rFonts w:hint="eastAsia"/>
          <w:highlight w:val="none"/>
        </w:rPr>
        <w:t>施工</w:t>
      </w:r>
      <w:bookmarkEnd w:id="91"/>
      <w:r>
        <w:rPr>
          <w:rFonts w:hint="eastAsia"/>
          <w:highlight w:val="none"/>
        </w:rPr>
        <w:t>计划</w:t>
      </w:r>
      <w:bookmarkEnd w:id="92"/>
      <w:bookmarkEnd w:id="93"/>
      <w:bookmarkEnd w:id="94"/>
    </w:p>
    <w:p w14:paraId="1E9EAD06">
      <w:pPr>
        <w:pStyle w:val="3"/>
        <w:bidi w:val="0"/>
        <w:rPr>
          <w:rFonts w:hint="eastAsia"/>
          <w:highlight w:val="none"/>
          <w:lang w:val="en-US" w:eastAsia="zh-CN"/>
        </w:rPr>
      </w:pPr>
      <w:bookmarkStart w:id="95" w:name="_Toc42641135"/>
      <w:bookmarkEnd w:id="95"/>
      <w:bookmarkStart w:id="96" w:name="_Toc54567323"/>
      <w:bookmarkEnd w:id="96"/>
      <w:bookmarkStart w:id="97" w:name="_Toc42640446"/>
      <w:bookmarkEnd w:id="97"/>
      <w:bookmarkStart w:id="98" w:name="_Toc42642001"/>
      <w:bookmarkEnd w:id="98"/>
      <w:bookmarkStart w:id="99" w:name="_Toc22257"/>
      <w:bookmarkEnd w:id="99"/>
      <w:bookmarkStart w:id="100" w:name="_Toc23662"/>
      <w:bookmarkEnd w:id="100"/>
      <w:bookmarkStart w:id="101" w:name="_Toc42642287"/>
      <w:bookmarkEnd w:id="101"/>
      <w:bookmarkStart w:id="102" w:name="_Toc42640445"/>
      <w:bookmarkEnd w:id="102"/>
      <w:bookmarkStart w:id="103" w:name="_Toc5540"/>
      <w:bookmarkEnd w:id="103"/>
      <w:bookmarkStart w:id="104" w:name="_Toc42642000"/>
      <w:bookmarkEnd w:id="104"/>
      <w:bookmarkStart w:id="105" w:name="_Toc54567324"/>
      <w:bookmarkEnd w:id="105"/>
      <w:bookmarkStart w:id="106" w:name="_Toc10863"/>
      <w:bookmarkEnd w:id="106"/>
      <w:bookmarkStart w:id="107" w:name="_Toc14043"/>
      <w:bookmarkEnd w:id="107"/>
      <w:bookmarkStart w:id="108" w:name="_Toc10380"/>
      <w:bookmarkEnd w:id="108"/>
      <w:bookmarkStart w:id="109" w:name="_Toc42641829"/>
      <w:bookmarkEnd w:id="109"/>
      <w:bookmarkStart w:id="110" w:name="_Toc32658"/>
      <w:bookmarkEnd w:id="110"/>
      <w:bookmarkStart w:id="111" w:name="_Toc42642288"/>
      <w:bookmarkEnd w:id="111"/>
      <w:bookmarkStart w:id="112" w:name="_Toc20966"/>
      <w:bookmarkEnd w:id="112"/>
      <w:bookmarkStart w:id="113" w:name="_Toc42641136"/>
      <w:bookmarkEnd w:id="113"/>
      <w:bookmarkStart w:id="114" w:name="_Toc42641828"/>
      <w:bookmarkEnd w:id="114"/>
      <w:bookmarkStart w:id="115" w:name="_Toc24021"/>
      <w:bookmarkStart w:id="116" w:name="_Toc22169"/>
      <w:bookmarkStart w:id="117" w:name="_Toc21946"/>
      <w:bookmarkStart w:id="118" w:name="_Toc12261"/>
      <w:bookmarkStart w:id="119" w:name="_Toc18506"/>
      <w:bookmarkStart w:id="120" w:name="_Toc31294"/>
      <w:bookmarkStart w:id="121" w:name="_Toc10409781"/>
      <w:r>
        <w:rPr>
          <w:rFonts w:hint="eastAsia"/>
          <w:highlight w:val="none"/>
          <w:lang w:val="en-US" w:eastAsia="zh-CN"/>
        </w:rPr>
        <w:t>3.1施工总体部署</w:t>
      </w:r>
      <w:bookmarkEnd w:id="115"/>
      <w:bookmarkEnd w:id="116"/>
      <w:bookmarkEnd w:id="117"/>
      <w:bookmarkEnd w:id="118"/>
    </w:p>
    <w:p w14:paraId="3DB05DBB">
      <w:pPr>
        <w:pStyle w:val="4"/>
        <w:bidi w:val="0"/>
        <w:rPr>
          <w:rFonts w:hint="eastAsia"/>
          <w:highlight w:val="none"/>
          <w:lang w:val="en-US" w:eastAsia="zh-CN"/>
        </w:rPr>
      </w:pPr>
      <w:bookmarkStart w:id="122" w:name="_Toc3018"/>
      <w:bookmarkStart w:id="123" w:name="_Toc30635"/>
      <w:r>
        <w:rPr>
          <w:rFonts w:hint="eastAsia"/>
          <w:highlight w:val="none"/>
          <w:lang w:val="en-US" w:eastAsia="zh-CN"/>
        </w:rPr>
        <w:t>3.1.1施工管理组织机构</w:t>
      </w:r>
      <w:bookmarkEnd w:id="122"/>
      <w:bookmarkEnd w:id="123"/>
    </w:p>
    <w:p w14:paraId="7E063B62">
      <w:pPr>
        <w:bidi w:val="0"/>
        <w:spacing w:line="360" w:lineRule="auto"/>
        <w:ind w:firstLine="480" w:firstLineChars="200"/>
        <w:rPr>
          <w:rFonts w:hint="default"/>
          <w:highlight w:val="none"/>
          <w:lang w:val="en-US" w:eastAsia="zh-CN"/>
        </w:rPr>
      </w:pPr>
      <w:r>
        <w:rPr>
          <w:rFonts w:hint="default"/>
          <w:highlight w:val="none"/>
          <w:lang w:val="en-US" w:eastAsia="zh-CN"/>
        </w:rPr>
        <w:t>由项目经理总揽全局施工，项目总工和副经理</w:t>
      </w:r>
      <w:r>
        <w:rPr>
          <w:rFonts w:hint="eastAsia"/>
          <w:highlight w:val="none"/>
          <w:lang w:val="en-US" w:eastAsia="zh-CN"/>
        </w:rPr>
        <w:t>以及安全总监</w:t>
      </w:r>
      <w:r>
        <w:rPr>
          <w:rFonts w:hint="default"/>
          <w:highlight w:val="none"/>
          <w:lang w:val="en-US" w:eastAsia="zh-CN"/>
        </w:rPr>
        <w:t>分别为</w:t>
      </w:r>
      <w:r>
        <w:rPr>
          <w:rFonts w:hint="eastAsia"/>
          <w:highlight w:val="none"/>
          <w:lang w:val="en-US" w:eastAsia="zh-CN"/>
        </w:rPr>
        <w:t>塔吊安拆的</w:t>
      </w:r>
      <w:r>
        <w:rPr>
          <w:rFonts w:hint="default"/>
          <w:highlight w:val="none"/>
          <w:lang w:val="en-US" w:eastAsia="zh-CN"/>
        </w:rPr>
        <w:t>技术负责人</w:t>
      </w:r>
      <w:r>
        <w:rPr>
          <w:rFonts w:hint="eastAsia"/>
          <w:highlight w:val="none"/>
          <w:lang w:val="en-US" w:eastAsia="zh-CN"/>
        </w:rPr>
        <w:t>、</w:t>
      </w:r>
      <w:r>
        <w:rPr>
          <w:rFonts w:hint="default"/>
          <w:highlight w:val="none"/>
          <w:lang w:val="en-US" w:eastAsia="zh-CN"/>
        </w:rPr>
        <w:t>生产负责人</w:t>
      </w:r>
      <w:r>
        <w:rPr>
          <w:rFonts w:hint="eastAsia"/>
          <w:highlight w:val="none"/>
          <w:lang w:val="en-US" w:eastAsia="zh-CN"/>
        </w:rPr>
        <w:t>和安全监督责任人</w:t>
      </w:r>
      <w:r>
        <w:rPr>
          <w:rFonts w:hint="default"/>
          <w:highlight w:val="none"/>
          <w:lang w:val="en-US" w:eastAsia="zh-CN"/>
        </w:rPr>
        <w:t>，下设</w:t>
      </w:r>
      <w:r>
        <w:rPr>
          <w:rFonts w:hint="eastAsia"/>
          <w:highlight w:val="none"/>
          <w:lang w:val="en-US" w:eastAsia="zh-CN"/>
        </w:rPr>
        <w:t>七</w:t>
      </w:r>
      <w:r>
        <w:rPr>
          <w:rFonts w:hint="default"/>
          <w:highlight w:val="none"/>
          <w:lang w:val="en-US" w:eastAsia="zh-CN"/>
        </w:rPr>
        <w:t>部</w:t>
      </w:r>
      <w:r>
        <w:rPr>
          <w:rFonts w:hint="eastAsia"/>
          <w:highlight w:val="none"/>
          <w:lang w:val="en-US" w:eastAsia="zh-CN"/>
        </w:rPr>
        <w:t>二</w:t>
      </w:r>
      <w:r>
        <w:rPr>
          <w:rFonts w:hint="default"/>
          <w:highlight w:val="none"/>
          <w:lang w:val="en-US" w:eastAsia="zh-CN"/>
        </w:rPr>
        <w:t>室为</w:t>
      </w:r>
      <w:r>
        <w:rPr>
          <w:rFonts w:hint="eastAsia"/>
          <w:highlight w:val="none"/>
          <w:lang w:val="en-US" w:eastAsia="zh-CN"/>
        </w:rPr>
        <w:t>塔吊安拆</w:t>
      </w:r>
      <w:r>
        <w:rPr>
          <w:rFonts w:hint="default"/>
          <w:highlight w:val="none"/>
          <w:lang w:val="en-US" w:eastAsia="zh-CN"/>
        </w:rPr>
        <w:t>提供技术、质量、安全、材料设备、资金及后勤保障，由现场技术管理人员和专职安全员直接负责</w:t>
      </w:r>
      <w:r>
        <w:rPr>
          <w:rFonts w:hint="eastAsia"/>
          <w:highlight w:val="none"/>
          <w:lang w:val="en-US" w:eastAsia="zh-CN"/>
        </w:rPr>
        <w:t>塔吊安拆</w:t>
      </w:r>
      <w:r>
        <w:rPr>
          <w:rFonts w:hint="default"/>
          <w:highlight w:val="none"/>
          <w:lang w:val="en-US" w:eastAsia="zh-CN"/>
        </w:rPr>
        <w:t>的安全、质量和进度</w:t>
      </w:r>
      <w:r>
        <w:rPr>
          <w:rFonts w:hint="eastAsia"/>
          <w:highlight w:val="none"/>
          <w:lang w:val="en-US" w:eastAsia="zh-CN"/>
        </w:rPr>
        <w:t>的日常管理工作</w:t>
      </w:r>
      <w:r>
        <w:rPr>
          <w:rFonts w:hint="default"/>
          <w:highlight w:val="none"/>
          <w:lang w:val="en-US" w:eastAsia="zh-CN"/>
        </w:rPr>
        <w:t>，保证各队伍之间互相配合，按工期要求完成施工任务。</w:t>
      </w:r>
    </w:p>
    <w:p w14:paraId="096236C9">
      <w:pPr>
        <w:bidi w:val="0"/>
        <w:spacing w:line="360" w:lineRule="auto"/>
        <w:ind w:firstLine="480" w:firstLineChars="200"/>
        <w:rPr>
          <w:rFonts w:hint="eastAsia"/>
          <w:highlight w:val="none"/>
          <w:lang w:val="en-US" w:eastAsia="zh-CN"/>
        </w:rPr>
      </w:pPr>
      <w:r>
        <w:rPr>
          <w:rFonts w:hint="eastAsia"/>
          <w:highlight w:val="none"/>
          <w:lang w:val="en-US" w:eastAsia="zh-CN"/>
        </w:rPr>
        <w:t>同时要求专业分包单位安排工技术负责人、专职安全员驻场，并安排足够的专业技术人员（班组长）、持证安拆工、起重工、司索工、机械设备进行塔吊的安拆工作。</w:t>
      </w:r>
    </w:p>
    <w:p w14:paraId="194371AA">
      <w:pPr>
        <w:ind w:left="0" w:leftChars="0" w:firstLine="0" w:firstLineChars="0"/>
        <w:jc w:val="center"/>
        <w:rPr>
          <w:rFonts w:hint="default" w:ascii="Times New Roman" w:hAnsi="Times New Roman" w:eastAsia="宋体"/>
          <w:highlight w:val="none"/>
          <w:lang w:val="en-US" w:eastAsia="zh-CN"/>
        </w:rPr>
      </w:pPr>
      <w:r>
        <w:rPr>
          <w:rFonts w:hint="default" w:ascii="Times New Roman" w:hAnsi="Times New Roman" w:eastAsia="宋体"/>
          <w:highlight w:val="none"/>
          <w:lang w:val="en-US" w:eastAsia="zh-CN"/>
        </w:rPr>
        <w:drawing>
          <wp:inline distT="0" distB="0" distL="114300" distR="114300">
            <wp:extent cx="4338955" cy="4237990"/>
            <wp:effectExtent l="0" t="0" r="0" b="0"/>
            <wp:docPr id="82" name="图片 82" descr="组织流程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组织流程图--(2)"/>
                    <pic:cNvPicPr>
                      <a:picLocks noChangeAspect="1"/>
                    </pic:cNvPicPr>
                  </pic:nvPicPr>
                  <pic:blipFill>
                    <a:blip r:embed="rId18"/>
                    <a:stretch>
                      <a:fillRect/>
                    </a:stretch>
                  </pic:blipFill>
                  <pic:spPr>
                    <a:xfrm>
                      <a:off x="0" y="0"/>
                      <a:ext cx="4338955" cy="4237990"/>
                    </a:xfrm>
                    <a:prstGeom prst="rect">
                      <a:avLst/>
                    </a:prstGeom>
                  </pic:spPr>
                </pic:pic>
              </a:graphicData>
            </a:graphic>
          </wp:inline>
        </w:drawing>
      </w:r>
    </w:p>
    <w:p w14:paraId="6CABBC30">
      <w:pPr>
        <w:pStyle w:val="41"/>
        <w:bidi w:val="0"/>
        <w:rPr>
          <w:rFonts w:hint="eastAsia"/>
          <w:highlight w:val="none"/>
          <w:lang w:val="en-US" w:eastAsia="zh-CN"/>
        </w:rPr>
      </w:pPr>
      <w:r>
        <w:rPr>
          <w:highlight w:val="none"/>
        </w:rPr>
        <w:t>图3</w:t>
      </w:r>
      <w:r>
        <w:rPr>
          <w:rFonts w:hint="eastAsia"/>
          <w:highlight w:val="none"/>
          <w:lang w:val="en-US" w:eastAsia="zh-CN"/>
        </w:rPr>
        <w:t>.1.1</w:t>
      </w:r>
      <w:r>
        <w:rPr>
          <w:highlight w:val="none"/>
        </w:rPr>
        <w:t>-</w:t>
      </w:r>
      <w:r>
        <w:rPr>
          <w:highlight w:val="none"/>
        </w:rPr>
        <w:fldChar w:fldCharType="begin"/>
      </w:r>
      <w:r>
        <w:rPr>
          <w:highlight w:val="none"/>
        </w:rPr>
        <w:instrText xml:space="preserve"> SEQ 图3- \* ARABIC </w:instrText>
      </w:r>
      <w:r>
        <w:rPr>
          <w:highlight w:val="none"/>
        </w:rPr>
        <w:fldChar w:fldCharType="separate"/>
      </w:r>
      <w:r>
        <w:rPr>
          <w:highlight w:val="none"/>
        </w:rPr>
        <w:t>1</w:t>
      </w:r>
      <w:r>
        <w:rPr>
          <w:highlight w:val="none"/>
        </w:rPr>
        <w:fldChar w:fldCharType="end"/>
      </w:r>
      <w:r>
        <w:rPr>
          <w:rFonts w:hint="eastAsia"/>
          <w:highlight w:val="none"/>
          <w:lang w:val="en-US" w:eastAsia="zh-CN"/>
        </w:rPr>
        <w:t>塔吊安拆施工管理组织机构图</w:t>
      </w:r>
    </w:p>
    <w:p w14:paraId="75DC6760">
      <w:pPr>
        <w:pStyle w:val="4"/>
        <w:tabs>
          <w:tab w:val="left" w:pos="0"/>
          <w:tab w:val="left" w:pos="630"/>
        </w:tabs>
        <w:bidi w:val="0"/>
        <w:rPr>
          <w:rFonts w:hint="eastAsia"/>
          <w:highlight w:val="none"/>
          <w:lang w:val="en-US" w:eastAsia="zh-CN"/>
        </w:rPr>
      </w:pPr>
      <w:bookmarkStart w:id="124" w:name="_Toc24913"/>
      <w:bookmarkStart w:id="125" w:name="_Toc11794"/>
      <w:r>
        <w:rPr>
          <w:rFonts w:hint="eastAsia"/>
          <w:highlight w:val="none"/>
          <w:lang w:val="en-US" w:eastAsia="zh-CN"/>
        </w:rPr>
        <w:t>3.1.2施工任务划分</w:t>
      </w:r>
      <w:bookmarkEnd w:id="124"/>
      <w:bookmarkEnd w:id="125"/>
    </w:p>
    <w:p w14:paraId="02C13859">
      <w:pPr>
        <w:bidi w:val="0"/>
        <w:spacing w:line="360" w:lineRule="auto"/>
        <w:ind w:firstLine="480" w:firstLineChars="200"/>
        <w:rPr>
          <w:rFonts w:hint="eastAsia" w:ascii="Times New Roman" w:hAnsi="Times New Roman" w:eastAsia="宋体"/>
          <w:highlight w:val="none"/>
          <w:lang w:val="en-US" w:eastAsia="zh-CN"/>
        </w:rPr>
      </w:pPr>
      <w:r>
        <w:rPr>
          <w:rFonts w:hint="eastAsia" w:ascii="Times New Roman" w:hAnsi="Times New Roman" w:eastAsia="宋体"/>
          <w:highlight w:val="none"/>
          <w:lang w:val="en-US" w:eastAsia="zh-CN"/>
        </w:rPr>
        <w:t>项目经理部根据与建设单位签订的施工总承包合同，将塔吊安拆施工任务合法发包给具有相应资质的施工协作单位，项目经理部管理人员负责日常进度、安全、质量、资源配置等管理工作。</w:t>
      </w:r>
    </w:p>
    <w:p w14:paraId="56071326">
      <w:pPr>
        <w:pStyle w:val="41"/>
        <w:bidi w:val="0"/>
        <w:rPr>
          <w:rFonts w:hint="default"/>
          <w:highlight w:val="none"/>
          <w:lang w:val="en-US" w:eastAsia="zh-CN"/>
        </w:rPr>
      </w:pPr>
      <w:r>
        <w:rPr>
          <w:highlight w:val="none"/>
        </w:rPr>
        <w:t>表3</w:t>
      </w:r>
      <w:r>
        <w:rPr>
          <w:rFonts w:hint="eastAsia"/>
          <w:highlight w:val="none"/>
          <w:lang w:val="en-US" w:eastAsia="zh-CN"/>
        </w:rPr>
        <w:t>.1.2</w:t>
      </w:r>
      <w:r>
        <w:rPr>
          <w:highlight w:val="none"/>
        </w:rPr>
        <w:t>-</w:t>
      </w:r>
      <w:r>
        <w:rPr>
          <w:highlight w:val="none"/>
        </w:rPr>
        <w:fldChar w:fldCharType="begin"/>
      </w:r>
      <w:r>
        <w:rPr>
          <w:highlight w:val="none"/>
        </w:rPr>
        <w:instrText xml:space="preserve"> SEQ 表3- \* ARABIC </w:instrText>
      </w:r>
      <w:r>
        <w:rPr>
          <w:highlight w:val="none"/>
        </w:rPr>
        <w:fldChar w:fldCharType="separate"/>
      </w:r>
      <w:r>
        <w:rPr>
          <w:highlight w:val="none"/>
        </w:rPr>
        <w:t>1</w:t>
      </w:r>
      <w:r>
        <w:rPr>
          <w:highlight w:val="none"/>
        </w:rPr>
        <w:fldChar w:fldCharType="end"/>
      </w:r>
      <w:r>
        <w:rPr>
          <w:rFonts w:hint="eastAsia"/>
          <w:highlight w:val="none"/>
          <w:lang w:val="en-US" w:eastAsia="zh-CN"/>
        </w:rPr>
        <w:t>塔吊安拆施工任务划分计划表</w:t>
      </w:r>
    </w:p>
    <w:tbl>
      <w:tblPr>
        <w:tblStyle w:val="30"/>
        <w:tblW w:w="4998" w:type="pct"/>
        <w:jc w:val="center"/>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Layout w:type="autofit"/>
        <w:tblCellMar>
          <w:top w:w="0" w:type="dxa"/>
          <w:left w:w="108" w:type="dxa"/>
          <w:bottom w:w="0" w:type="dxa"/>
          <w:right w:w="108" w:type="dxa"/>
        </w:tblCellMar>
      </w:tblPr>
      <w:tblGrid>
        <w:gridCol w:w="871"/>
        <w:gridCol w:w="3986"/>
        <w:gridCol w:w="1999"/>
        <w:gridCol w:w="1663"/>
      </w:tblGrid>
      <w:tr w14:paraId="46DDFF6F">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108" w:type="dxa"/>
            <w:bottom w:w="0" w:type="dxa"/>
            <w:right w:w="108" w:type="dxa"/>
          </w:tblCellMar>
        </w:tblPrEx>
        <w:trPr>
          <w:trHeight w:val="454" w:hRule="atLeast"/>
          <w:tblHeader/>
          <w:jc w:val="center"/>
        </w:trPr>
        <w:tc>
          <w:tcPr>
            <w:tcW w:w="511" w:type="pct"/>
            <w:tcBorders>
              <w:tl2br w:val="nil"/>
              <w:tr2bl w:val="nil"/>
            </w:tcBorders>
            <w:shd w:val="clear" w:color="auto" w:fill="DAE3F3" w:themeFill="accent5" w:themeFillTint="32"/>
            <w:vAlign w:val="center"/>
          </w:tcPr>
          <w:p w14:paraId="7C1EF0F3">
            <w:pPr>
              <w:pStyle w:val="105"/>
              <w:bidi w:val="0"/>
              <w:rPr>
                <w:rFonts w:hint="eastAsia"/>
                <w:highlight w:val="none"/>
                <w:lang w:val="en-US" w:eastAsia="zh-CN"/>
              </w:rPr>
            </w:pPr>
            <w:r>
              <w:rPr>
                <w:rFonts w:hint="eastAsia"/>
                <w:highlight w:val="none"/>
                <w:lang w:val="en-US" w:eastAsia="zh-CN"/>
              </w:rPr>
              <w:t>序号</w:t>
            </w:r>
          </w:p>
        </w:tc>
        <w:tc>
          <w:tcPr>
            <w:tcW w:w="2339" w:type="pct"/>
            <w:tcBorders>
              <w:tl2br w:val="nil"/>
              <w:tr2bl w:val="nil"/>
            </w:tcBorders>
            <w:shd w:val="clear" w:color="auto" w:fill="DAE3F3" w:themeFill="accent5" w:themeFillTint="32"/>
            <w:vAlign w:val="center"/>
          </w:tcPr>
          <w:p w14:paraId="1A66E425">
            <w:pPr>
              <w:pStyle w:val="105"/>
              <w:bidi w:val="0"/>
              <w:rPr>
                <w:rFonts w:hint="default"/>
                <w:highlight w:val="none"/>
                <w:lang w:val="en-US" w:eastAsia="zh-CN"/>
              </w:rPr>
            </w:pPr>
            <w:r>
              <w:rPr>
                <w:rFonts w:hint="eastAsia"/>
                <w:highlight w:val="none"/>
                <w:lang w:val="en-US" w:eastAsia="zh-CN"/>
              </w:rPr>
              <w:t>塔吊使用单位工程</w:t>
            </w:r>
          </w:p>
        </w:tc>
        <w:tc>
          <w:tcPr>
            <w:tcW w:w="1173" w:type="pct"/>
            <w:tcBorders>
              <w:tl2br w:val="nil"/>
              <w:tr2bl w:val="nil"/>
            </w:tcBorders>
            <w:shd w:val="clear" w:color="auto" w:fill="DAE3F3" w:themeFill="accent5" w:themeFillTint="32"/>
            <w:vAlign w:val="center"/>
          </w:tcPr>
          <w:p w14:paraId="633208B2">
            <w:pPr>
              <w:pStyle w:val="105"/>
              <w:bidi w:val="0"/>
              <w:rPr>
                <w:rFonts w:hint="default"/>
                <w:highlight w:val="none"/>
                <w:lang w:val="en-US" w:eastAsia="zh-CN"/>
              </w:rPr>
            </w:pPr>
            <w:r>
              <w:rPr>
                <w:rFonts w:hint="eastAsia"/>
                <w:highlight w:val="none"/>
                <w:lang w:val="en-US" w:eastAsia="zh-CN"/>
              </w:rPr>
              <w:t>专业分包单位</w:t>
            </w:r>
          </w:p>
        </w:tc>
        <w:tc>
          <w:tcPr>
            <w:tcW w:w="976" w:type="pct"/>
            <w:tcBorders>
              <w:tl2br w:val="nil"/>
              <w:tr2bl w:val="nil"/>
            </w:tcBorders>
            <w:shd w:val="clear" w:color="auto" w:fill="DAE3F3" w:themeFill="accent5" w:themeFillTint="32"/>
            <w:vAlign w:val="center"/>
          </w:tcPr>
          <w:p w14:paraId="5028BDB0">
            <w:pPr>
              <w:pStyle w:val="105"/>
              <w:bidi w:val="0"/>
              <w:rPr>
                <w:rFonts w:hint="eastAsia"/>
                <w:highlight w:val="none"/>
                <w:lang w:val="en-US" w:eastAsia="zh-CN"/>
              </w:rPr>
            </w:pPr>
            <w:r>
              <w:rPr>
                <w:rFonts w:hint="eastAsia"/>
                <w:highlight w:val="none"/>
                <w:lang w:val="en-US" w:eastAsia="zh-CN"/>
              </w:rPr>
              <w:t>备注</w:t>
            </w:r>
          </w:p>
        </w:tc>
      </w:tr>
      <w:tr w14:paraId="63C56147">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108" w:type="dxa"/>
            <w:bottom w:w="0" w:type="dxa"/>
            <w:right w:w="108" w:type="dxa"/>
          </w:tblCellMar>
        </w:tblPrEx>
        <w:trPr>
          <w:trHeight w:val="1786" w:hRule="atLeast"/>
          <w:jc w:val="center"/>
        </w:trPr>
        <w:tc>
          <w:tcPr>
            <w:tcW w:w="511" w:type="pct"/>
            <w:tcBorders>
              <w:tl2br w:val="nil"/>
              <w:tr2bl w:val="nil"/>
            </w:tcBorders>
            <w:vAlign w:val="center"/>
          </w:tcPr>
          <w:p w14:paraId="2AE0903F">
            <w:pPr>
              <w:pStyle w:val="105"/>
              <w:bidi w:val="0"/>
              <w:rPr>
                <w:rFonts w:hint="eastAsia"/>
                <w:highlight w:val="none"/>
                <w:lang w:val="en-US" w:eastAsia="zh-CN"/>
              </w:rPr>
            </w:pPr>
            <w:r>
              <w:rPr>
                <w:rFonts w:hint="eastAsia"/>
                <w:highlight w:val="none"/>
                <w:lang w:val="en-US" w:eastAsia="zh-CN"/>
              </w:rPr>
              <w:t>1</w:t>
            </w:r>
          </w:p>
        </w:tc>
        <w:tc>
          <w:tcPr>
            <w:tcW w:w="2339" w:type="pct"/>
            <w:tcBorders>
              <w:tl2br w:val="nil"/>
              <w:tr2bl w:val="nil"/>
            </w:tcBorders>
            <w:vAlign w:val="center"/>
          </w:tcPr>
          <w:p w14:paraId="1D6C70ED">
            <w:pPr>
              <w:pStyle w:val="105"/>
              <w:bidi w:val="0"/>
              <w:rPr>
                <w:rFonts w:hint="default"/>
                <w:highlight w:val="none"/>
                <w:lang w:val="en-US" w:eastAsia="zh-CN"/>
              </w:rPr>
            </w:pPr>
            <w:r>
              <w:rPr>
                <w:rFonts w:hint="eastAsia"/>
                <w:highlight w:val="none"/>
                <w:lang w:val="en-US" w:eastAsia="zh-CN"/>
              </w:rPr>
              <w:t>新渡坪大桥左</w:t>
            </w:r>
            <w:r>
              <w:rPr>
                <w:rFonts w:hint="default"/>
                <w:highlight w:val="none"/>
                <w:lang w:val="en-US" w:eastAsia="zh-CN"/>
              </w:rPr>
              <w:t>幅</w:t>
            </w:r>
            <w:r>
              <w:rPr>
                <w:rFonts w:hint="eastAsia"/>
                <w:highlight w:val="none"/>
                <w:lang w:val="en-US" w:eastAsia="zh-CN"/>
              </w:rPr>
              <w:t>3#墩施工。</w:t>
            </w:r>
          </w:p>
        </w:tc>
        <w:tc>
          <w:tcPr>
            <w:tcW w:w="1173" w:type="pct"/>
            <w:tcBorders>
              <w:tl2br w:val="nil"/>
              <w:tr2bl w:val="nil"/>
            </w:tcBorders>
            <w:vAlign w:val="center"/>
          </w:tcPr>
          <w:p w14:paraId="49646BEF">
            <w:pPr>
              <w:pStyle w:val="105"/>
              <w:bidi w:val="0"/>
              <w:rPr>
                <w:rFonts w:hint="default"/>
                <w:highlight w:val="none"/>
                <w:lang w:val="en-US" w:eastAsia="zh-CN"/>
              </w:rPr>
            </w:pPr>
            <w:r>
              <w:rPr>
                <w:rFonts w:hint="eastAsia"/>
                <w:highlight w:val="none"/>
                <w:lang w:val="en-US" w:eastAsia="zh-CN"/>
              </w:rPr>
              <w:t>四川科斗文智能装备有限公司</w:t>
            </w:r>
          </w:p>
        </w:tc>
        <w:tc>
          <w:tcPr>
            <w:tcW w:w="976" w:type="pct"/>
            <w:tcBorders>
              <w:tl2br w:val="nil"/>
              <w:tr2bl w:val="nil"/>
            </w:tcBorders>
            <w:vAlign w:val="center"/>
          </w:tcPr>
          <w:p w14:paraId="49934A5E">
            <w:pPr>
              <w:pStyle w:val="105"/>
              <w:bidi w:val="0"/>
              <w:rPr>
                <w:rFonts w:hint="default"/>
                <w:highlight w:val="none"/>
                <w:lang w:val="en-US" w:eastAsia="zh-CN"/>
              </w:rPr>
            </w:pPr>
          </w:p>
        </w:tc>
      </w:tr>
    </w:tbl>
    <w:p w14:paraId="47B3C373">
      <w:pPr>
        <w:pStyle w:val="3"/>
        <w:rPr>
          <w:rFonts w:hint="eastAsia"/>
          <w:highlight w:val="none"/>
          <w:lang w:val="en-US" w:eastAsia="zh-CN"/>
        </w:rPr>
      </w:pPr>
      <w:bookmarkStart w:id="126" w:name="_Toc22295"/>
      <w:bookmarkStart w:id="127" w:name="_Toc5944"/>
      <w:bookmarkStart w:id="128" w:name="_Toc14473"/>
      <w:bookmarkStart w:id="129" w:name="_Toc9350"/>
      <w:r>
        <w:rPr>
          <w:rFonts w:hint="eastAsia"/>
          <w:highlight w:val="none"/>
        </w:rPr>
        <w:t>3.</w:t>
      </w:r>
      <w:r>
        <w:rPr>
          <w:rFonts w:hint="eastAsia"/>
          <w:highlight w:val="none"/>
          <w:lang w:val="en-US" w:eastAsia="zh-CN"/>
        </w:rPr>
        <w:t>2</w:t>
      </w:r>
      <w:r>
        <w:rPr>
          <w:rFonts w:hint="eastAsia"/>
          <w:highlight w:val="none"/>
        </w:rPr>
        <w:t xml:space="preserve"> </w:t>
      </w:r>
      <w:bookmarkEnd w:id="119"/>
      <w:bookmarkEnd w:id="120"/>
      <w:r>
        <w:rPr>
          <w:rFonts w:hint="eastAsia"/>
          <w:highlight w:val="none"/>
          <w:lang w:val="en-US" w:eastAsia="zh-CN"/>
        </w:rPr>
        <w:t>施工进度计划</w:t>
      </w:r>
      <w:bookmarkEnd w:id="126"/>
      <w:bookmarkEnd w:id="127"/>
      <w:bookmarkEnd w:id="128"/>
      <w:bookmarkEnd w:id="129"/>
    </w:p>
    <w:p w14:paraId="6D0E8A41">
      <w:pPr>
        <w:bidi w:val="0"/>
        <w:spacing w:line="360" w:lineRule="auto"/>
        <w:ind w:firstLine="480" w:firstLineChars="200"/>
        <w:rPr>
          <w:rFonts w:hint="default"/>
          <w:highlight w:val="none"/>
          <w:lang w:val="en-US" w:eastAsia="zh-CN"/>
        </w:rPr>
      </w:pPr>
      <w:r>
        <w:rPr>
          <w:rFonts w:hint="default"/>
          <w:highlight w:val="none"/>
          <w:lang w:val="en-US" w:eastAsia="zh-CN"/>
        </w:rPr>
        <w:t>每台塔吊的安装时间主要考虑基础施工时间及首节安装时间，根据项目部工期安排及承台施工时间安排基础及首节安装时间，其他时间随着构筑物的上升而相应设置（同时需根据天气及环境因素调整合适的时间）。</w:t>
      </w:r>
    </w:p>
    <w:p w14:paraId="47C0409F">
      <w:pPr>
        <w:pStyle w:val="15"/>
        <w:bidi w:val="0"/>
        <w:rPr>
          <w:rFonts w:hint="eastAsia"/>
          <w:highlight w:val="none"/>
          <w:lang w:val="en-US" w:eastAsia="zh-CN"/>
        </w:rPr>
      </w:pPr>
      <w:r>
        <w:rPr>
          <w:highlight w:val="none"/>
        </w:rPr>
        <w:t>表3</w:t>
      </w:r>
      <w:r>
        <w:rPr>
          <w:rFonts w:hint="eastAsia"/>
          <w:highlight w:val="none"/>
          <w:lang w:val="en-US" w:eastAsia="zh-CN"/>
        </w:rPr>
        <w:t>.2</w:t>
      </w:r>
      <w:r>
        <w:rPr>
          <w:highlight w:val="none"/>
        </w:rPr>
        <w:t>-</w:t>
      </w:r>
      <w:r>
        <w:rPr>
          <w:rFonts w:hint="eastAsia"/>
          <w:highlight w:val="none"/>
          <w:lang w:val="en-US" w:eastAsia="zh-CN"/>
        </w:rPr>
        <w:t>1新渡坪大桥主墩塔吊使用时间汇总表</w:t>
      </w:r>
    </w:p>
    <w:tbl>
      <w:tblPr>
        <w:tblStyle w:val="30"/>
        <w:tblW w:w="4998" w:type="pct"/>
        <w:jc w:val="center"/>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Layout w:type="autofit"/>
        <w:tblCellMar>
          <w:top w:w="0" w:type="dxa"/>
          <w:left w:w="0" w:type="dxa"/>
          <w:bottom w:w="0" w:type="dxa"/>
          <w:right w:w="0" w:type="dxa"/>
        </w:tblCellMar>
      </w:tblPr>
      <w:tblGrid>
        <w:gridCol w:w="692"/>
        <w:gridCol w:w="1640"/>
        <w:gridCol w:w="1590"/>
        <w:gridCol w:w="1590"/>
        <w:gridCol w:w="1410"/>
        <w:gridCol w:w="1411"/>
      </w:tblGrid>
      <w:tr w14:paraId="1F274790">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0" w:type="dxa"/>
            <w:bottom w:w="0" w:type="dxa"/>
            <w:right w:w="0" w:type="dxa"/>
          </w:tblCellMar>
        </w:tblPrEx>
        <w:trPr>
          <w:trHeight w:val="454" w:hRule="atLeast"/>
          <w:tblHeader/>
          <w:jc w:val="center"/>
        </w:trPr>
        <w:tc>
          <w:tcPr>
            <w:tcW w:w="415" w:type="pct"/>
            <w:tcBorders>
              <w:tl2br w:val="nil"/>
              <w:tr2bl w:val="nil"/>
            </w:tcBorders>
            <w:shd w:val="clear" w:color="auto" w:fill="DAE3F3" w:themeFill="accent5" w:themeFillTint="32"/>
            <w:noWrap/>
            <w:tcMar>
              <w:top w:w="15" w:type="dxa"/>
              <w:left w:w="15" w:type="dxa"/>
              <w:right w:w="15" w:type="dxa"/>
            </w:tcMar>
            <w:vAlign w:val="center"/>
          </w:tcPr>
          <w:p w14:paraId="4A24FD32">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序号</w:t>
            </w:r>
          </w:p>
        </w:tc>
        <w:tc>
          <w:tcPr>
            <w:tcW w:w="984" w:type="pct"/>
            <w:tcBorders>
              <w:tl2br w:val="nil"/>
              <w:tr2bl w:val="nil"/>
            </w:tcBorders>
            <w:shd w:val="clear" w:color="auto" w:fill="DAE3F3" w:themeFill="accent5" w:themeFillTint="32"/>
            <w:noWrap/>
            <w:tcMar>
              <w:top w:w="15" w:type="dxa"/>
              <w:left w:w="15" w:type="dxa"/>
              <w:right w:w="15" w:type="dxa"/>
            </w:tcMar>
            <w:vAlign w:val="center"/>
          </w:tcPr>
          <w:p w14:paraId="7C97D3C8">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安装位置</w:t>
            </w:r>
          </w:p>
        </w:tc>
        <w:tc>
          <w:tcPr>
            <w:tcW w:w="954" w:type="pct"/>
            <w:tcBorders>
              <w:tl2br w:val="nil"/>
              <w:tr2bl w:val="nil"/>
            </w:tcBorders>
            <w:shd w:val="clear" w:color="auto" w:fill="DAE3F3" w:themeFill="accent5" w:themeFillTint="32"/>
            <w:noWrap/>
            <w:tcMar>
              <w:top w:w="15" w:type="dxa"/>
              <w:left w:w="15" w:type="dxa"/>
              <w:right w:w="15" w:type="dxa"/>
            </w:tcMar>
            <w:vAlign w:val="center"/>
          </w:tcPr>
          <w:p w14:paraId="7190FCF9">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塔吊型号</w:t>
            </w:r>
          </w:p>
        </w:tc>
        <w:tc>
          <w:tcPr>
            <w:tcW w:w="954" w:type="pct"/>
            <w:tcBorders>
              <w:tl2br w:val="nil"/>
              <w:tr2bl w:val="nil"/>
            </w:tcBorders>
            <w:shd w:val="clear" w:color="auto" w:fill="DAE3F3" w:themeFill="accent5" w:themeFillTint="32"/>
            <w:noWrap/>
            <w:tcMar>
              <w:top w:w="15" w:type="dxa"/>
              <w:left w:w="15" w:type="dxa"/>
              <w:right w:w="15" w:type="dxa"/>
            </w:tcMar>
            <w:vAlign w:val="center"/>
          </w:tcPr>
          <w:p w14:paraId="7C46BF4B">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计划开始时间</w:t>
            </w:r>
          </w:p>
        </w:tc>
        <w:tc>
          <w:tcPr>
            <w:tcW w:w="846" w:type="pct"/>
            <w:tcBorders>
              <w:tl2br w:val="nil"/>
              <w:tr2bl w:val="nil"/>
            </w:tcBorders>
            <w:shd w:val="clear" w:color="auto" w:fill="DAE3F3" w:themeFill="accent5" w:themeFillTint="32"/>
            <w:noWrap/>
            <w:tcMar>
              <w:top w:w="15" w:type="dxa"/>
              <w:left w:w="15" w:type="dxa"/>
              <w:right w:w="15" w:type="dxa"/>
            </w:tcMar>
            <w:vAlign w:val="center"/>
          </w:tcPr>
          <w:p w14:paraId="295A053A">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计划结束时间</w:t>
            </w:r>
          </w:p>
        </w:tc>
        <w:tc>
          <w:tcPr>
            <w:tcW w:w="846" w:type="pct"/>
            <w:tcBorders>
              <w:tl2br w:val="nil"/>
              <w:tr2bl w:val="nil"/>
            </w:tcBorders>
            <w:shd w:val="clear" w:color="auto" w:fill="DAE3F3" w:themeFill="accent5" w:themeFillTint="32"/>
            <w:noWrap/>
            <w:tcMar>
              <w:top w:w="15" w:type="dxa"/>
              <w:left w:w="15" w:type="dxa"/>
              <w:right w:w="15" w:type="dxa"/>
            </w:tcMar>
            <w:vAlign w:val="center"/>
          </w:tcPr>
          <w:p w14:paraId="55418459">
            <w:pPr>
              <w:keepNext w:val="0"/>
              <w:keepLines w:val="0"/>
              <w:widowControl/>
              <w:suppressLineNumbers w:val="0"/>
              <w:spacing w:line="240" w:lineRule="auto"/>
              <w:ind w:firstLine="0" w:firstLineChars="0"/>
              <w:jc w:val="center"/>
              <w:textAlignment w:val="center"/>
              <w:rPr>
                <w:rFonts w:hint="default" w:ascii="仿宋" w:hAnsi="仿宋" w:eastAsia="仿宋" w:cs="仿宋"/>
                <w:b/>
                <w:bCs/>
                <w:i w:val="0"/>
                <w:color w:val="000000"/>
                <w:sz w:val="21"/>
                <w:szCs w:val="21"/>
                <w:highlight w:val="none"/>
                <w:u w:val="none"/>
                <w:lang w:val="en-US" w:eastAsia="zh-CN"/>
              </w:rPr>
            </w:pPr>
            <w:r>
              <w:rPr>
                <w:rFonts w:hint="eastAsia" w:ascii="仿宋" w:hAnsi="仿宋" w:eastAsia="仿宋" w:cs="仿宋"/>
                <w:b/>
                <w:bCs/>
                <w:i w:val="0"/>
                <w:color w:val="000000"/>
                <w:sz w:val="21"/>
                <w:szCs w:val="21"/>
                <w:highlight w:val="none"/>
                <w:u w:val="none"/>
                <w:lang w:val="en-US" w:eastAsia="zh-CN"/>
              </w:rPr>
              <w:t>使用期限</w:t>
            </w:r>
          </w:p>
        </w:tc>
      </w:tr>
      <w:tr w14:paraId="2CB6A381">
        <w:tblPrEx>
          <w:tblBorders>
            <w:top w:val="double" w:color="0000E3" w:sz="4" w:space="0"/>
            <w:left w:val="double" w:color="0000E3" w:sz="4" w:space="0"/>
            <w:bottom w:val="double" w:color="0000E3" w:sz="4" w:space="0"/>
            <w:right w:val="double" w:color="0000E3" w:sz="4" w:space="0"/>
            <w:insideH w:val="single" w:color="0000E3" w:sz="4" w:space="0"/>
            <w:insideV w:val="single" w:color="0000E3" w:sz="4" w:space="0"/>
          </w:tblBorders>
          <w:tblCellMar>
            <w:top w:w="0" w:type="dxa"/>
            <w:left w:w="0" w:type="dxa"/>
            <w:bottom w:w="0" w:type="dxa"/>
            <w:right w:w="0" w:type="dxa"/>
          </w:tblCellMar>
        </w:tblPrEx>
        <w:trPr>
          <w:trHeight w:val="454" w:hRule="atLeast"/>
          <w:jc w:val="center"/>
        </w:trPr>
        <w:tc>
          <w:tcPr>
            <w:tcW w:w="415" w:type="pct"/>
            <w:tcBorders>
              <w:tl2br w:val="nil"/>
              <w:tr2bl w:val="nil"/>
            </w:tcBorders>
            <w:noWrap/>
            <w:tcMar>
              <w:top w:w="15" w:type="dxa"/>
              <w:left w:w="15" w:type="dxa"/>
              <w:right w:w="15" w:type="dxa"/>
            </w:tcMar>
            <w:vAlign w:val="center"/>
          </w:tcPr>
          <w:p w14:paraId="5D256A41">
            <w:pPr>
              <w:keepNext w:val="0"/>
              <w:keepLines w:val="0"/>
              <w:widowControl/>
              <w:suppressLineNumbers w:val="0"/>
              <w:spacing w:line="240" w:lineRule="auto"/>
              <w:ind w:firstLine="0" w:firstLineChars="0"/>
              <w:jc w:val="center"/>
              <w:textAlignment w:val="center"/>
              <w:rPr>
                <w:rFonts w:hint="default" w:ascii="宋体" w:hAnsi="宋体" w:eastAsia="宋体" w:cs="宋体"/>
                <w:i w:val="0"/>
                <w:color w:val="000000"/>
                <w:sz w:val="20"/>
                <w:szCs w:val="20"/>
                <w:highlight w:val="none"/>
                <w:u w:val="none"/>
                <w:lang w:val="en-US" w:eastAsia="zh-CN"/>
              </w:rPr>
            </w:pPr>
            <w:r>
              <w:rPr>
                <w:rFonts w:hint="eastAsia" w:cs="宋体"/>
                <w:i w:val="0"/>
                <w:color w:val="000000"/>
                <w:sz w:val="20"/>
                <w:szCs w:val="20"/>
                <w:highlight w:val="none"/>
                <w:u w:val="none"/>
                <w:lang w:val="en-US" w:eastAsia="zh-CN"/>
              </w:rPr>
              <w:t>1</w:t>
            </w:r>
          </w:p>
        </w:tc>
        <w:tc>
          <w:tcPr>
            <w:tcW w:w="984" w:type="pct"/>
            <w:tcBorders>
              <w:tl2br w:val="nil"/>
              <w:tr2bl w:val="nil"/>
            </w:tcBorders>
            <w:noWrap/>
            <w:tcMar>
              <w:top w:w="15" w:type="dxa"/>
              <w:left w:w="15" w:type="dxa"/>
              <w:right w:w="15" w:type="dxa"/>
            </w:tcMar>
            <w:vAlign w:val="center"/>
          </w:tcPr>
          <w:p w14:paraId="012547ED">
            <w:pPr>
              <w:spacing w:after="0" w:afterLines="0" w:line="240" w:lineRule="auto"/>
              <w:ind w:firstLine="0" w:firstLineChars="0"/>
              <w:jc w:val="center"/>
              <w:rPr>
                <w:rFonts w:hint="eastAsia" w:ascii="宋体" w:hAnsi="宋体" w:eastAsia="宋体" w:cs="宋体"/>
                <w:i w:val="0"/>
                <w:color w:val="000000"/>
                <w:sz w:val="18"/>
                <w:szCs w:val="18"/>
                <w:highlight w:val="none"/>
                <w:u w:val="none"/>
                <w:lang w:val="en-US" w:eastAsia="zh-CN"/>
              </w:rPr>
            </w:pPr>
            <w:r>
              <w:rPr>
                <w:rFonts w:hint="eastAsia" w:cs="宋体"/>
                <w:bCs/>
                <w:color w:val="000000" w:themeColor="text1"/>
                <w:sz w:val="18"/>
                <w:szCs w:val="18"/>
                <w:highlight w:val="none"/>
                <w:lang w:val="en-US" w:eastAsia="zh-CN"/>
                <w14:textFill>
                  <w14:solidFill>
                    <w14:schemeClr w14:val="tx1"/>
                  </w14:solidFill>
                </w14:textFill>
              </w:rPr>
              <w:t>新渡坪左幅3#墩</w:t>
            </w:r>
          </w:p>
        </w:tc>
        <w:tc>
          <w:tcPr>
            <w:tcW w:w="954" w:type="pct"/>
            <w:tcBorders>
              <w:tl2br w:val="nil"/>
              <w:tr2bl w:val="nil"/>
            </w:tcBorders>
            <w:noWrap/>
            <w:tcMar>
              <w:top w:w="15" w:type="dxa"/>
              <w:left w:w="15" w:type="dxa"/>
              <w:right w:w="15" w:type="dxa"/>
            </w:tcMar>
            <w:vAlign w:val="center"/>
          </w:tcPr>
          <w:p w14:paraId="351361A5">
            <w:pPr>
              <w:spacing w:after="0" w:afterLines="0" w:line="240" w:lineRule="auto"/>
              <w:ind w:firstLine="0" w:firstLineChars="0"/>
              <w:jc w:val="center"/>
              <w:rPr>
                <w:rFonts w:hint="eastAsia" w:ascii="宋体" w:hAnsi="宋体" w:eastAsia="宋体" w:cs="宋体"/>
                <w:bCs/>
                <w:color w:val="000000" w:themeColor="text1"/>
                <w:sz w:val="18"/>
                <w:szCs w:val="18"/>
                <w:highlight w:val="none"/>
                <w:lang w:val="en-US" w:eastAsia="zh-CN"/>
                <w14:textFill>
                  <w14:solidFill>
                    <w14:schemeClr w14:val="tx1"/>
                  </w14:solidFill>
                </w14:textFill>
              </w:rPr>
            </w:pPr>
            <w:r>
              <w:rPr>
                <w:rFonts w:hint="eastAsia" w:ascii="宋体" w:hAnsi="宋体" w:eastAsia="宋体" w:cs="宋体"/>
                <w:bCs/>
                <w:color w:val="000000" w:themeColor="text1"/>
                <w:sz w:val="18"/>
                <w:szCs w:val="18"/>
                <w:highlight w:val="none"/>
                <w:lang w:val="en-US" w:eastAsia="zh-CN"/>
                <w14:textFill>
                  <w14:solidFill>
                    <w14:schemeClr w14:val="tx1"/>
                  </w14:solidFill>
                </w14:textFill>
              </w:rPr>
              <w:t>徐工</w:t>
            </w:r>
            <w:r>
              <w:rPr>
                <w:rFonts w:hint="eastAsia" w:cs="宋体"/>
                <w:bCs/>
                <w:color w:val="000000" w:themeColor="text1"/>
                <w:sz w:val="18"/>
                <w:szCs w:val="18"/>
                <w:highlight w:val="none"/>
                <w:lang w:val="en-US" w:eastAsia="zh-CN"/>
                <w14:textFill>
                  <w14:solidFill>
                    <w14:schemeClr w14:val="tx1"/>
                  </w14:solidFill>
                </w14:textFill>
              </w:rPr>
              <w:t>XGT7026-12S1</w:t>
            </w:r>
          </w:p>
        </w:tc>
        <w:tc>
          <w:tcPr>
            <w:tcW w:w="954" w:type="pct"/>
            <w:tcBorders>
              <w:tl2br w:val="nil"/>
              <w:tr2bl w:val="nil"/>
            </w:tcBorders>
            <w:noWrap/>
            <w:tcMar>
              <w:top w:w="15" w:type="dxa"/>
              <w:left w:w="15" w:type="dxa"/>
              <w:right w:w="15" w:type="dxa"/>
            </w:tcMar>
            <w:vAlign w:val="center"/>
          </w:tcPr>
          <w:p w14:paraId="67CA964F">
            <w:pPr>
              <w:keepNext w:val="0"/>
              <w:keepLines w:val="0"/>
              <w:widowControl/>
              <w:suppressLineNumbers w:val="0"/>
              <w:jc w:val="center"/>
              <w:textAlignment w:val="center"/>
              <w:rPr>
                <w:rFonts w:hint="default" w:ascii="宋体" w:hAnsi="宋体" w:eastAsia="宋体" w:cs="宋体"/>
                <w:i w:val="0"/>
                <w:color w:val="auto"/>
                <w:sz w:val="18"/>
                <w:szCs w:val="18"/>
                <w:highlight w:val="none"/>
                <w:u w:val="none"/>
                <w:lang w:val="en-US"/>
              </w:rPr>
            </w:pPr>
          </w:p>
        </w:tc>
        <w:tc>
          <w:tcPr>
            <w:tcW w:w="846" w:type="pct"/>
            <w:tcBorders>
              <w:tl2br w:val="nil"/>
              <w:tr2bl w:val="nil"/>
            </w:tcBorders>
            <w:noWrap/>
            <w:tcMar>
              <w:top w:w="15" w:type="dxa"/>
              <w:left w:w="15" w:type="dxa"/>
              <w:right w:w="15" w:type="dxa"/>
            </w:tcMar>
            <w:vAlign w:val="center"/>
          </w:tcPr>
          <w:p w14:paraId="58383405">
            <w:pPr>
              <w:keepNext w:val="0"/>
              <w:keepLines w:val="0"/>
              <w:widowControl/>
              <w:suppressLineNumbers w:val="0"/>
              <w:jc w:val="center"/>
              <w:textAlignment w:val="center"/>
              <w:rPr>
                <w:rFonts w:hint="default" w:ascii="宋体" w:hAnsi="宋体" w:eastAsia="宋体" w:cs="宋体"/>
                <w:i w:val="0"/>
                <w:color w:val="auto"/>
                <w:sz w:val="18"/>
                <w:szCs w:val="18"/>
                <w:highlight w:val="none"/>
                <w:u w:val="none"/>
                <w:lang w:val="en-US"/>
              </w:rPr>
            </w:pPr>
          </w:p>
        </w:tc>
        <w:tc>
          <w:tcPr>
            <w:tcW w:w="846" w:type="pct"/>
            <w:tcBorders>
              <w:tl2br w:val="nil"/>
              <w:tr2bl w:val="nil"/>
            </w:tcBorders>
            <w:noWrap/>
            <w:tcMar>
              <w:top w:w="15" w:type="dxa"/>
              <w:left w:w="15" w:type="dxa"/>
              <w:right w:w="15" w:type="dxa"/>
            </w:tcMar>
            <w:vAlign w:val="center"/>
          </w:tcPr>
          <w:p w14:paraId="66E95163">
            <w:pPr>
              <w:keepNext w:val="0"/>
              <w:keepLines w:val="0"/>
              <w:widowControl/>
              <w:suppressLineNumbers w:val="0"/>
              <w:jc w:val="center"/>
              <w:textAlignment w:val="center"/>
              <w:rPr>
                <w:rFonts w:hint="default" w:ascii="宋体" w:hAnsi="宋体" w:eastAsia="宋体" w:cs="宋体"/>
                <w:i w:val="0"/>
                <w:color w:val="000000"/>
                <w:sz w:val="18"/>
                <w:szCs w:val="18"/>
                <w:highlight w:val="none"/>
                <w:u w:val="none"/>
                <w:lang w:val="en-US" w:eastAsia="zh-CN"/>
              </w:rPr>
            </w:pPr>
          </w:p>
        </w:tc>
      </w:tr>
    </w:tbl>
    <w:p w14:paraId="33682F6D">
      <w:pPr>
        <w:pStyle w:val="15"/>
        <w:rPr>
          <w:rFonts w:hint="default" w:eastAsia="黑体"/>
          <w:lang w:val="en-US" w:eastAsia="zh-CN"/>
        </w:rPr>
      </w:pPr>
      <w:bookmarkStart w:id="130" w:name="_Toc26659"/>
      <w:bookmarkStart w:id="131" w:name="_Toc12309"/>
      <w:bookmarkStart w:id="132" w:name="_Toc29155"/>
      <w:bookmarkStart w:id="133" w:name="_Toc11288"/>
      <w:bookmarkStart w:id="134" w:name="_Toc8816"/>
      <w:bookmarkStart w:id="135" w:name="_Toc27494"/>
      <w:r>
        <w:t>表3-</w:t>
      </w:r>
      <w:r>
        <w:fldChar w:fldCharType="begin"/>
      </w:r>
      <w:r>
        <w:instrText xml:space="preserve"> SEQ 表3- \* ARABIC </w:instrText>
      </w:r>
      <w:r>
        <w:fldChar w:fldCharType="separate"/>
      </w:r>
      <w:r>
        <w:t>2</w:t>
      </w:r>
      <w:r>
        <w:fldChar w:fldCharType="end"/>
      </w:r>
      <w:r>
        <w:rPr>
          <w:rFonts w:hint="eastAsia"/>
          <w:lang w:val="en-US" w:eastAsia="zh-CN"/>
        </w:rPr>
        <w:t>-2 塔吊安装施工计划</w:t>
      </w:r>
    </w:p>
    <w:tbl>
      <w:tblPr>
        <w:tblStyle w:val="30"/>
        <w:tblW w:w="4998" w:type="pct"/>
        <w:jc w:val="center"/>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Layout w:type="autofit"/>
        <w:tblCellMar>
          <w:top w:w="15" w:type="dxa"/>
          <w:left w:w="15" w:type="dxa"/>
          <w:bottom w:w="15" w:type="dxa"/>
          <w:right w:w="15" w:type="dxa"/>
        </w:tblCellMar>
      </w:tblPr>
      <w:tblGrid>
        <w:gridCol w:w="1585"/>
        <w:gridCol w:w="5094"/>
        <w:gridCol w:w="1654"/>
      </w:tblGrid>
      <w:tr w14:paraId="7115339E">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shd w:val="clear" w:color="auto" w:fill="DAE3F3" w:themeFill="accent5" w:themeFillTint="32"/>
            <w:noWrap w:val="0"/>
            <w:vAlign w:val="center"/>
          </w:tcPr>
          <w:p w14:paraId="708639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工序</w:t>
            </w:r>
          </w:p>
        </w:tc>
        <w:tc>
          <w:tcPr>
            <w:tcW w:w="992" w:type="pct"/>
            <w:shd w:val="clear" w:color="auto" w:fill="DAE3F3" w:themeFill="accent5" w:themeFillTint="32"/>
            <w:noWrap w:val="0"/>
            <w:vAlign w:val="center"/>
          </w:tcPr>
          <w:p w14:paraId="4F8345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工 期（天）</w:t>
            </w:r>
          </w:p>
        </w:tc>
      </w:tr>
      <w:tr w14:paraId="74104814">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restart"/>
            <w:noWrap w:val="0"/>
            <w:vAlign w:val="center"/>
          </w:tcPr>
          <w:p w14:paraId="6644ACAA">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安装</w:t>
            </w:r>
          </w:p>
        </w:tc>
        <w:tc>
          <w:tcPr>
            <w:tcW w:w="3056" w:type="pct"/>
            <w:shd w:val="clear" w:color="auto" w:fill="auto"/>
            <w:noWrap w:val="0"/>
            <w:vAlign w:val="center"/>
          </w:tcPr>
          <w:p w14:paraId="4618A6D0">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b/>
                <w:bCs/>
                <w:color w:val="000000" w:themeColor="text1"/>
                <w:kern w:val="2"/>
                <w:sz w:val="21"/>
                <w:szCs w:val="21"/>
                <w:lang w:val="en-US" w:eastAsia="zh-CN" w:bidi="ar-SA"/>
                <w14:textFill>
                  <w14:solidFill>
                    <w14:schemeClr w14:val="tx1"/>
                  </w14:solidFill>
                </w14:textFill>
              </w:rPr>
            </w:pPr>
            <w:r>
              <w:rPr>
                <w:rFonts w:hint="eastAsia" w:ascii="仿宋" w:hAnsi="仿宋" w:eastAsia="仿宋" w:cs="仿宋"/>
                <w:kern w:val="2"/>
                <w:sz w:val="21"/>
                <w:szCs w:val="21"/>
                <w:lang w:val="en-US" w:eastAsia="zh-CN" w:bidi="ar-SA"/>
              </w:rPr>
              <w:t>加强节、基础节、爬升架</w:t>
            </w:r>
          </w:p>
        </w:tc>
        <w:tc>
          <w:tcPr>
            <w:tcW w:w="992" w:type="pct"/>
            <w:shd w:val="clear" w:color="auto" w:fill="auto"/>
            <w:noWrap w:val="0"/>
            <w:vAlign w:val="center"/>
          </w:tcPr>
          <w:p w14:paraId="344034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仿宋"/>
                <w:kern w:val="2"/>
                <w:sz w:val="21"/>
                <w:szCs w:val="21"/>
                <w:highlight w:val="none"/>
                <w:lang w:val="en-US" w:eastAsia="zh-CN" w:bidi="ar-SA"/>
              </w:rPr>
            </w:pPr>
            <w:r>
              <w:rPr>
                <w:rFonts w:hint="eastAsia" w:ascii="仿宋" w:hAnsi="仿宋" w:eastAsia="仿宋" w:cs="仿宋"/>
                <w:sz w:val="21"/>
                <w:szCs w:val="21"/>
                <w:highlight w:val="none"/>
                <w:lang w:val="en-US" w:eastAsia="zh-CN"/>
              </w:rPr>
              <w:t>1</w:t>
            </w:r>
          </w:p>
        </w:tc>
      </w:tr>
      <w:tr w14:paraId="13C3EAA3">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880D209">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3FA5B550">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下回转、上回转、回转塔身、司机室</w:t>
            </w:r>
          </w:p>
        </w:tc>
        <w:tc>
          <w:tcPr>
            <w:tcW w:w="992" w:type="pct"/>
            <w:noWrap w:val="0"/>
            <w:vAlign w:val="center"/>
          </w:tcPr>
          <w:p w14:paraId="05077F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1EC645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424" w:hRule="atLeast"/>
          <w:jc w:val="center"/>
        </w:trPr>
        <w:tc>
          <w:tcPr>
            <w:tcW w:w="951" w:type="pct"/>
            <w:vMerge w:val="continue"/>
            <w:noWrap w:val="0"/>
            <w:vAlign w:val="center"/>
          </w:tcPr>
          <w:p w14:paraId="6403437F">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58EC694C">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平衡重、起重臂、平衡臂、钢丝绳</w:t>
            </w:r>
          </w:p>
        </w:tc>
        <w:tc>
          <w:tcPr>
            <w:tcW w:w="992" w:type="pct"/>
            <w:noWrap w:val="0"/>
            <w:vAlign w:val="center"/>
          </w:tcPr>
          <w:p w14:paraId="772D9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73365B5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951" w:type="pct"/>
            <w:vMerge w:val="continue"/>
            <w:noWrap w:val="0"/>
            <w:vAlign w:val="center"/>
          </w:tcPr>
          <w:p w14:paraId="06112CC5">
            <w:pPr>
              <w:pStyle w:val="16"/>
              <w:keepNext w:val="0"/>
              <w:pageBreakBefore w:val="0"/>
              <w:widowControl w:val="0"/>
              <w:kinsoku/>
              <w:wordWrap/>
              <w:overflowPunct/>
              <w:topLinePunct w:val="0"/>
              <w:autoSpaceDE/>
              <w:autoSpaceDN/>
              <w:bidi w:val="0"/>
              <w:adjustRightInd/>
              <w:snapToGrid/>
              <w:ind w:firstLine="0" w:firstLineChars="0"/>
              <w:textAlignment w:val="auto"/>
              <w:rPr>
                <w:rFonts w:hint="eastAsia" w:ascii="仿宋" w:hAnsi="仿宋" w:eastAsia="仿宋" w:cs="仿宋"/>
                <w:kern w:val="2"/>
                <w:sz w:val="21"/>
                <w:szCs w:val="21"/>
                <w:lang w:val="en-US" w:eastAsia="zh-CN" w:bidi="ar-SA"/>
              </w:rPr>
            </w:pPr>
          </w:p>
        </w:tc>
        <w:tc>
          <w:tcPr>
            <w:tcW w:w="3056" w:type="pct"/>
            <w:noWrap w:val="0"/>
            <w:vAlign w:val="center"/>
          </w:tcPr>
          <w:p w14:paraId="2AE34302">
            <w:pPr>
              <w:pStyle w:val="16"/>
              <w:keepNext w:val="0"/>
              <w:pageBreakBefore w:val="0"/>
              <w:widowControl w:val="0"/>
              <w:kinsoku/>
              <w:wordWrap/>
              <w:overflowPunct/>
              <w:topLinePunct w:val="0"/>
              <w:autoSpaceDE/>
              <w:autoSpaceDN/>
              <w:bidi w:val="0"/>
              <w:adjustRightInd/>
              <w:snapToGrid/>
              <w:ind w:firstLine="0" w:firstLineChars="0"/>
              <w:textAlignment w:val="auto"/>
              <w:rPr>
                <w:rFonts w:hint="default"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顶升加节</w:t>
            </w:r>
          </w:p>
        </w:tc>
        <w:tc>
          <w:tcPr>
            <w:tcW w:w="992" w:type="pct"/>
            <w:noWrap w:val="0"/>
            <w:vAlign w:val="center"/>
          </w:tcPr>
          <w:p w14:paraId="4881B5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r>
      <w:tr w14:paraId="5B320900">
        <w:tblPrEx>
          <w:tblBorders>
            <w:top w:val="double" w:color="0070C0" w:sz="4" w:space="0"/>
            <w:left w:val="double" w:color="0070C0" w:sz="4" w:space="0"/>
            <w:bottom w:val="double" w:color="0070C0" w:sz="4" w:space="0"/>
            <w:right w:val="double" w:color="0070C0" w:sz="4" w:space="0"/>
            <w:insideH w:val="single" w:color="0070C0" w:sz="6" w:space="0"/>
            <w:insideV w:val="single" w:color="0070C0" w:sz="6" w:space="0"/>
          </w:tblBorders>
          <w:tblCellMar>
            <w:top w:w="15" w:type="dxa"/>
            <w:left w:w="15" w:type="dxa"/>
            <w:bottom w:w="15" w:type="dxa"/>
            <w:right w:w="15" w:type="dxa"/>
          </w:tblCellMar>
        </w:tblPrEx>
        <w:trPr>
          <w:trHeight w:val="397" w:hRule="atLeast"/>
          <w:jc w:val="center"/>
        </w:trPr>
        <w:tc>
          <w:tcPr>
            <w:tcW w:w="4007" w:type="pct"/>
            <w:gridSpan w:val="2"/>
            <w:noWrap w:val="0"/>
            <w:vAlign w:val="center"/>
          </w:tcPr>
          <w:p w14:paraId="19EA5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lang w:val="en-US" w:eastAsia="zh-CN"/>
              </w:rPr>
            </w:pPr>
            <w:r>
              <w:rPr>
                <w:rFonts w:hint="eastAsia" w:ascii="仿宋" w:hAnsi="仿宋" w:eastAsia="仿宋" w:cs="仿宋"/>
                <w:b/>
                <w:bCs/>
                <w:color w:val="000000" w:themeColor="text1"/>
                <w:kern w:val="2"/>
                <w:sz w:val="21"/>
                <w:szCs w:val="21"/>
                <w:lang w:val="en-US" w:eastAsia="zh-CN" w:bidi="ar-SA"/>
                <w14:textFill>
                  <w14:solidFill>
                    <w14:schemeClr w14:val="tx1"/>
                  </w14:solidFill>
                </w14:textFill>
              </w:rPr>
              <w:t>工期</w:t>
            </w:r>
          </w:p>
        </w:tc>
        <w:tc>
          <w:tcPr>
            <w:tcW w:w="992" w:type="pct"/>
            <w:noWrap w:val="0"/>
            <w:vAlign w:val="center"/>
          </w:tcPr>
          <w:p w14:paraId="172C0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r>
    </w:tbl>
    <w:p w14:paraId="0CBB0D83">
      <w:pPr>
        <w:pStyle w:val="3"/>
        <w:rPr>
          <w:highlight w:val="none"/>
        </w:rPr>
      </w:pPr>
      <w:r>
        <w:rPr>
          <w:rFonts w:hint="eastAsia"/>
          <w:highlight w:val="none"/>
        </w:rPr>
        <w:t>3</w:t>
      </w:r>
      <w:r>
        <w:rPr>
          <w:highlight w:val="none"/>
        </w:rPr>
        <w:t>.</w:t>
      </w:r>
      <w:r>
        <w:rPr>
          <w:rFonts w:hint="eastAsia"/>
          <w:highlight w:val="none"/>
          <w:lang w:val="en-US" w:eastAsia="zh-CN"/>
        </w:rPr>
        <w:t>3</w:t>
      </w:r>
      <w:r>
        <w:rPr>
          <w:highlight w:val="none"/>
        </w:rPr>
        <w:t xml:space="preserve"> </w:t>
      </w:r>
      <w:r>
        <w:rPr>
          <w:rFonts w:hint="eastAsia"/>
          <w:highlight w:val="none"/>
          <w:lang w:val="en-US" w:eastAsia="zh-CN"/>
        </w:rPr>
        <w:t>施工设备计划</w:t>
      </w:r>
      <w:bookmarkEnd w:id="130"/>
      <w:bookmarkEnd w:id="131"/>
      <w:bookmarkEnd w:id="132"/>
      <w:bookmarkEnd w:id="133"/>
      <w:bookmarkEnd w:id="134"/>
      <w:bookmarkEnd w:id="135"/>
    </w:p>
    <w:p w14:paraId="0555F90B">
      <w:pPr>
        <w:pStyle w:val="15"/>
        <w:rPr>
          <w:rFonts w:hint="eastAsia" w:ascii="黑体" w:hAnsi="宋体" w:eastAsia="黑体" w:cs="黑体"/>
          <w:kern w:val="2"/>
          <w:sz w:val="21"/>
          <w:szCs w:val="21"/>
          <w:highlight w:val="none"/>
          <w:lang w:val="en-US" w:eastAsia="zh-CN" w:bidi="ar"/>
        </w:rPr>
      </w:pPr>
      <w:bookmarkStart w:id="136" w:name="_Toc1366"/>
      <w:bookmarkStart w:id="137" w:name="_Toc6681"/>
      <w:r>
        <w:rPr>
          <w:highlight w:val="none"/>
        </w:rPr>
        <w:t>表3-</w:t>
      </w:r>
      <w:r>
        <w:rPr>
          <w:rFonts w:hint="eastAsia"/>
          <w:highlight w:val="none"/>
          <w:lang w:val="en-US" w:eastAsia="zh-CN"/>
        </w:rPr>
        <w:t>3.1每台</w:t>
      </w:r>
      <w:r>
        <w:rPr>
          <w:rFonts w:hint="eastAsia" w:ascii="黑体" w:hAnsi="宋体" w:eastAsia="黑体" w:cs="黑体"/>
          <w:kern w:val="2"/>
          <w:sz w:val="21"/>
          <w:szCs w:val="21"/>
          <w:highlight w:val="none"/>
          <w:lang w:val="en-US" w:eastAsia="zh-CN" w:bidi="ar"/>
        </w:rPr>
        <w:t>塔吊基础施工设备表</w:t>
      </w:r>
    </w:p>
    <w:tbl>
      <w:tblPr>
        <w:tblStyle w:val="31"/>
        <w:tblW w:w="0" w:type="auto"/>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52"/>
        <w:gridCol w:w="1766"/>
        <w:gridCol w:w="1582"/>
        <w:gridCol w:w="1404"/>
        <w:gridCol w:w="2900"/>
      </w:tblGrid>
      <w:tr w14:paraId="329624A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trPr>
        <w:tc>
          <w:tcPr>
            <w:tcW w:w="852" w:type="dxa"/>
            <w:tcBorders>
              <w:tl2br w:val="nil"/>
              <w:tr2bl w:val="nil"/>
            </w:tcBorders>
            <w:shd w:val="clear" w:color="auto" w:fill="DAE3F3" w:themeFill="accent5" w:themeFillTint="32"/>
            <w:noWrap w:val="0"/>
            <w:vAlign w:val="center"/>
          </w:tcPr>
          <w:p w14:paraId="58F33BE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序号</w:t>
            </w:r>
          </w:p>
        </w:tc>
        <w:tc>
          <w:tcPr>
            <w:tcW w:w="1766" w:type="dxa"/>
            <w:tcBorders>
              <w:tl2br w:val="nil"/>
              <w:tr2bl w:val="nil"/>
            </w:tcBorders>
            <w:shd w:val="clear" w:color="auto" w:fill="DAE3F3" w:themeFill="accent5" w:themeFillTint="32"/>
            <w:noWrap w:val="0"/>
            <w:vAlign w:val="center"/>
          </w:tcPr>
          <w:p w14:paraId="16F9460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名称</w:t>
            </w:r>
          </w:p>
        </w:tc>
        <w:tc>
          <w:tcPr>
            <w:tcW w:w="1582" w:type="dxa"/>
            <w:tcBorders>
              <w:tl2br w:val="nil"/>
              <w:tr2bl w:val="nil"/>
            </w:tcBorders>
            <w:shd w:val="clear" w:color="auto" w:fill="DAE3F3" w:themeFill="accent5" w:themeFillTint="32"/>
            <w:noWrap w:val="0"/>
            <w:vAlign w:val="center"/>
          </w:tcPr>
          <w:p w14:paraId="34FDA49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单位</w:t>
            </w:r>
          </w:p>
        </w:tc>
        <w:tc>
          <w:tcPr>
            <w:tcW w:w="1404" w:type="dxa"/>
            <w:tcBorders>
              <w:tl2br w:val="nil"/>
              <w:tr2bl w:val="nil"/>
            </w:tcBorders>
            <w:shd w:val="clear" w:color="auto" w:fill="DAE3F3" w:themeFill="accent5" w:themeFillTint="32"/>
            <w:noWrap w:val="0"/>
            <w:vAlign w:val="center"/>
          </w:tcPr>
          <w:p w14:paraId="7A73B79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数量</w:t>
            </w:r>
          </w:p>
        </w:tc>
        <w:tc>
          <w:tcPr>
            <w:tcW w:w="2900" w:type="dxa"/>
            <w:tcBorders>
              <w:tl2br w:val="nil"/>
              <w:tr2bl w:val="nil"/>
            </w:tcBorders>
            <w:shd w:val="clear" w:color="auto" w:fill="DAE3F3" w:themeFill="accent5" w:themeFillTint="32"/>
            <w:noWrap w:val="0"/>
            <w:vAlign w:val="center"/>
          </w:tcPr>
          <w:p w14:paraId="583D462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备注</w:t>
            </w:r>
          </w:p>
        </w:tc>
      </w:tr>
      <w:tr w14:paraId="72F851A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AA243C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1766" w:type="dxa"/>
            <w:tcBorders>
              <w:tl2br w:val="nil"/>
              <w:tr2bl w:val="nil"/>
            </w:tcBorders>
            <w:noWrap w:val="0"/>
            <w:vAlign w:val="center"/>
          </w:tcPr>
          <w:p w14:paraId="50434C8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挖掘机</w:t>
            </w:r>
          </w:p>
        </w:tc>
        <w:tc>
          <w:tcPr>
            <w:tcW w:w="1582" w:type="dxa"/>
            <w:tcBorders>
              <w:tl2br w:val="nil"/>
              <w:tr2bl w:val="nil"/>
            </w:tcBorders>
            <w:noWrap w:val="0"/>
            <w:vAlign w:val="center"/>
          </w:tcPr>
          <w:p w14:paraId="1194B64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台</w:t>
            </w:r>
          </w:p>
        </w:tc>
        <w:tc>
          <w:tcPr>
            <w:tcW w:w="1404" w:type="dxa"/>
            <w:tcBorders>
              <w:tl2br w:val="nil"/>
              <w:tr2bl w:val="nil"/>
            </w:tcBorders>
            <w:noWrap w:val="0"/>
            <w:vAlign w:val="center"/>
          </w:tcPr>
          <w:p w14:paraId="79A47F8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2873DA8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挖基坑、平场地</w:t>
            </w:r>
          </w:p>
        </w:tc>
      </w:tr>
      <w:tr w14:paraId="5068DB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868A20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1766" w:type="dxa"/>
            <w:tcBorders>
              <w:tl2br w:val="nil"/>
              <w:tr2bl w:val="nil"/>
            </w:tcBorders>
            <w:noWrap w:val="0"/>
            <w:vAlign w:val="center"/>
          </w:tcPr>
          <w:p w14:paraId="03D5C52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装载机</w:t>
            </w:r>
          </w:p>
        </w:tc>
        <w:tc>
          <w:tcPr>
            <w:tcW w:w="1582" w:type="dxa"/>
            <w:tcBorders>
              <w:tl2br w:val="nil"/>
              <w:tr2bl w:val="nil"/>
            </w:tcBorders>
            <w:noWrap w:val="0"/>
            <w:vAlign w:val="center"/>
          </w:tcPr>
          <w:p w14:paraId="59281B5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3B085C5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784BC63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装渣</w:t>
            </w:r>
          </w:p>
        </w:tc>
      </w:tr>
      <w:tr w14:paraId="4E9AB35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124FE2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1766" w:type="dxa"/>
            <w:tcBorders>
              <w:tl2br w:val="nil"/>
              <w:tr2bl w:val="nil"/>
            </w:tcBorders>
            <w:noWrap w:val="0"/>
            <w:vAlign w:val="center"/>
          </w:tcPr>
          <w:p w14:paraId="670B041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自卸式汽车</w:t>
            </w:r>
          </w:p>
        </w:tc>
        <w:tc>
          <w:tcPr>
            <w:tcW w:w="1582" w:type="dxa"/>
            <w:tcBorders>
              <w:tl2br w:val="nil"/>
              <w:tr2bl w:val="nil"/>
            </w:tcBorders>
            <w:noWrap w:val="0"/>
            <w:vAlign w:val="center"/>
          </w:tcPr>
          <w:p w14:paraId="210E207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辆</w:t>
            </w:r>
          </w:p>
        </w:tc>
        <w:tc>
          <w:tcPr>
            <w:tcW w:w="1404" w:type="dxa"/>
            <w:tcBorders>
              <w:tl2br w:val="nil"/>
              <w:tr2bl w:val="nil"/>
            </w:tcBorders>
            <w:noWrap w:val="0"/>
            <w:vAlign w:val="center"/>
          </w:tcPr>
          <w:p w14:paraId="395AE3F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0FB2AA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运渣</w:t>
            </w:r>
          </w:p>
        </w:tc>
      </w:tr>
      <w:tr w14:paraId="49CC456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90E8D8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1766" w:type="dxa"/>
            <w:tcBorders>
              <w:tl2br w:val="nil"/>
              <w:tr2bl w:val="nil"/>
            </w:tcBorders>
            <w:noWrap w:val="0"/>
            <w:vAlign w:val="center"/>
          </w:tcPr>
          <w:p w14:paraId="3EB9EA2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模板</w:t>
            </w:r>
          </w:p>
        </w:tc>
        <w:tc>
          <w:tcPr>
            <w:tcW w:w="1582" w:type="dxa"/>
            <w:tcBorders>
              <w:tl2br w:val="nil"/>
              <w:tr2bl w:val="nil"/>
            </w:tcBorders>
            <w:noWrap w:val="0"/>
            <w:vAlign w:val="center"/>
          </w:tcPr>
          <w:p w14:paraId="4B9FB7F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168636F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648C46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定型钢模板</w:t>
            </w:r>
          </w:p>
        </w:tc>
      </w:tr>
      <w:tr w14:paraId="79FB0D2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C28D0B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1766" w:type="dxa"/>
            <w:tcBorders>
              <w:tl2br w:val="nil"/>
              <w:tr2bl w:val="nil"/>
            </w:tcBorders>
            <w:noWrap w:val="0"/>
            <w:vAlign w:val="center"/>
          </w:tcPr>
          <w:p w14:paraId="1493B2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钢筋冷弯机</w:t>
            </w:r>
          </w:p>
        </w:tc>
        <w:tc>
          <w:tcPr>
            <w:tcW w:w="1582" w:type="dxa"/>
            <w:tcBorders>
              <w:tl2br w:val="nil"/>
              <w:tr2bl w:val="nil"/>
            </w:tcBorders>
            <w:noWrap w:val="0"/>
            <w:vAlign w:val="center"/>
          </w:tcPr>
          <w:p w14:paraId="43ABB97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220E728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6332B9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30AC2BE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0045DB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1766" w:type="dxa"/>
            <w:tcBorders>
              <w:tl2br w:val="nil"/>
              <w:tr2bl w:val="nil"/>
            </w:tcBorders>
            <w:noWrap w:val="0"/>
            <w:vAlign w:val="center"/>
          </w:tcPr>
          <w:p w14:paraId="151EDE7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钢筋直切机</w:t>
            </w:r>
          </w:p>
        </w:tc>
        <w:tc>
          <w:tcPr>
            <w:tcW w:w="1582" w:type="dxa"/>
            <w:tcBorders>
              <w:tl2br w:val="nil"/>
              <w:tr2bl w:val="nil"/>
            </w:tcBorders>
            <w:noWrap w:val="0"/>
            <w:vAlign w:val="center"/>
          </w:tcPr>
          <w:p w14:paraId="1BDF6E5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273B296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0AEC74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1AE8720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4628F3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7</w:t>
            </w:r>
          </w:p>
        </w:tc>
        <w:tc>
          <w:tcPr>
            <w:tcW w:w="1766" w:type="dxa"/>
            <w:tcBorders>
              <w:tl2br w:val="nil"/>
              <w:tr2bl w:val="nil"/>
            </w:tcBorders>
            <w:noWrap w:val="0"/>
            <w:vAlign w:val="center"/>
          </w:tcPr>
          <w:p w14:paraId="45C7EB0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钢筋调直机</w:t>
            </w:r>
          </w:p>
        </w:tc>
        <w:tc>
          <w:tcPr>
            <w:tcW w:w="1582" w:type="dxa"/>
            <w:tcBorders>
              <w:tl2br w:val="nil"/>
              <w:tr2bl w:val="nil"/>
            </w:tcBorders>
            <w:noWrap w:val="0"/>
            <w:vAlign w:val="center"/>
          </w:tcPr>
          <w:p w14:paraId="6025CC1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3D106FF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558105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钢筋场</w:t>
            </w:r>
          </w:p>
        </w:tc>
      </w:tr>
      <w:tr w14:paraId="2A8839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648FBEC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c>
          <w:tcPr>
            <w:tcW w:w="1766" w:type="dxa"/>
            <w:tcBorders>
              <w:tl2br w:val="nil"/>
              <w:tr2bl w:val="nil"/>
            </w:tcBorders>
            <w:noWrap w:val="0"/>
            <w:vAlign w:val="center"/>
          </w:tcPr>
          <w:p w14:paraId="6091D6D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电焊机</w:t>
            </w:r>
          </w:p>
        </w:tc>
        <w:tc>
          <w:tcPr>
            <w:tcW w:w="1582" w:type="dxa"/>
            <w:tcBorders>
              <w:tl2br w:val="nil"/>
              <w:tr2bl w:val="nil"/>
            </w:tcBorders>
            <w:noWrap w:val="0"/>
            <w:vAlign w:val="center"/>
          </w:tcPr>
          <w:p w14:paraId="02A2E43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1E92B2D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3C2E364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eastAsia="zh-CN"/>
              </w:rPr>
              <w:t>钢筋场</w:t>
            </w:r>
            <w:r>
              <w:rPr>
                <w:rFonts w:hint="eastAsia" w:ascii="仿宋" w:hAnsi="仿宋" w:eastAsia="仿宋" w:cs="仿宋"/>
                <w:b w:val="0"/>
                <w:bCs/>
                <w:sz w:val="21"/>
                <w:szCs w:val="21"/>
                <w:highlight w:val="none"/>
                <w:vertAlign w:val="baseline"/>
                <w:lang w:val="en-US" w:eastAsia="zh-CN"/>
              </w:rPr>
              <w:t>1台，现场1台</w:t>
            </w:r>
          </w:p>
        </w:tc>
      </w:tr>
      <w:tr w14:paraId="11F277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350CC7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9</w:t>
            </w:r>
          </w:p>
        </w:tc>
        <w:tc>
          <w:tcPr>
            <w:tcW w:w="1766" w:type="dxa"/>
            <w:tcBorders>
              <w:tl2br w:val="nil"/>
              <w:tr2bl w:val="nil"/>
            </w:tcBorders>
            <w:noWrap w:val="0"/>
            <w:vAlign w:val="center"/>
          </w:tcPr>
          <w:p w14:paraId="7623F55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振捣棒</w:t>
            </w:r>
          </w:p>
        </w:tc>
        <w:tc>
          <w:tcPr>
            <w:tcW w:w="1582" w:type="dxa"/>
            <w:tcBorders>
              <w:tl2br w:val="nil"/>
              <w:tr2bl w:val="nil"/>
            </w:tcBorders>
            <w:noWrap w:val="0"/>
            <w:vAlign w:val="center"/>
          </w:tcPr>
          <w:p w14:paraId="39DED64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eastAsia="zh-CN"/>
              </w:rPr>
              <w:t>台</w:t>
            </w:r>
          </w:p>
        </w:tc>
        <w:tc>
          <w:tcPr>
            <w:tcW w:w="1404" w:type="dxa"/>
            <w:tcBorders>
              <w:tl2br w:val="nil"/>
              <w:tr2bl w:val="nil"/>
            </w:tcBorders>
            <w:noWrap w:val="0"/>
            <w:vAlign w:val="center"/>
          </w:tcPr>
          <w:p w14:paraId="75CA1C9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7832370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振捣</w:t>
            </w:r>
          </w:p>
        </w:tc>
      </w:tr>
      <w:tr w14:paraId="3540BC4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627984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w:t>
            </w:r>
          </w:p>
        </w:tc>
        <w:tc>
          <w:tcPr>
            <w:tcW w:w="1766" w:type="dxa"/>
            <w:tcBorders>
              <w:tl2br w:val="nil"/>
              <w:tr2bl w:val="nil"/>
            </w:tcBorders>
            <w:noWrap w:val="0"/>
            <w:vAlign w:val="center"/>
          </w:tcPr>
          <w:p w14:paraId="4DD3AF9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拌和站</w:t>
            </w:r>
          </w:p>
        </w:tc>
        <w:tc>
          <w:tcPr>
            <w:tcW w:w="1582" w:type="dxa"/>
            <w:tcBorders>
              <w:tl2br w:val="nil"/>
              <w:tr2bl w:val="nil"/>
            </w:tcBorders>
            <w:noWrap w:val="0"/>
            <w:vAlign w:val="center"/>
          </w:tcPr>
          <w:p w14:paraId="6621A61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0890EA3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42816E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673755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025C48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11</w:t>
            </w:r>
          </w:p>
        </w:tc>
        <w:tc>
          <w:tcPr>
            <w:tcW w:w="1766" w:type="dxa"/>
            <w:tcBorders>
              <w:tl2br w:val="nil"/>
              <w:tr2bl w:val="nil"/>
            </w:tcBorders>
            <w:noWrap w:val="0"/>
            <w:vAlign w:val="center"/>
          </w:tcPr>
          <w:p w14:paraId="6205BC7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混凝土罐车</w:t>
            </w:r>
          </w:p>
        </w:tc>
        <w:tc>
          <w:tcPr>
            <w:tcW w:w="1582" w:type="dxa"/>
            <w:tcBorders>
              <w:tl2br w:val="nil"/>
              <w:tr2bl w:val="nil"/>
            </w:tcBorders>
            <w:noWrap w:val="0"/>
            <w:vAlign w:val="center"/>
          </w:tcPr>
          <w:p w14:paraId="764A366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4919330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2900" w:type="dxa"/>
            <w:tcBorders>
              <w:tl2br w:val="nil"/>
              <w:tr2bl w:val="nil"/>
            </w:tcBorders>
            <w:noWrap w:val="0"/>
            <w:vAlign w:val="center"/>
          </w:tcPr>
          <w:p w14:paraId="62B7A9F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4FC629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2EC5702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12</w:t>
            </w:r>
          </w:p>
        </w:tc>
        <w:tc>
          <w:tcPr>
            <w:tcW w:w="1766" w:type="dxa"/>
            <w:tcBorders>
              <w:tl2br w:val="nil"/>
              <w:tr2bl w:val="nil"/>
            </w:tcBorders>
            <w:noWrap w:val="0"/>
            <w:vAlign w:val="center"/>
          </w:tcPr>
          <w:p w14:paraId="3B39343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吊车</w:t>
            </w:r>
          </w:p>
        </w:tc>
        <w:tc>
          <w:tcPr>
            <w:tcW w:w="1582" w:type="dxa"/>
            <w:tcBorders>
              <w:tl2br w:val="nil"/>
              <w:tr2bl w:val="nil"/>
            </w:tcBorders>
            <w:noWrap w:val="0"/>
            <w:vAlign w:val="center"/>
          </w:tcPr>
          <w:p w14:paraId="06A3125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30B0B10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371562A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安装模板</w:t>
            </w:r>
          </w:p>
        </w:tc>
      </w:tr>
      <w:tr w14:paraId="124FCE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10FEECF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13</w:t>
            </w:r>
          </w:p>
        </w:tc>
        <w:tc>
          <w:tcPr>
            <w:tcW w:w="1766" w:type="dxa"/>
            <w:tcBorders>
              <w:tl2br w:val="nil"/>
              <w:tr2bl w:val="nil"/>
            </w:tcBorders>
            <w:noWrap w:val="0"/>
            <w:vAlign w:val="center"/>
          </w:tcPr>
          <w:p w14:paraId="0E67043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测量仪器</w:t>
            </w:r>
          </w:p>
        </w:tc>
        <w:tc>
          <w:tcPr>
            <w:tcW w:w="1582" w:type="dxa"/>
            <w:tcBorders>
              <w:tl2br w:val="nil"/>
              <w:tr2bl w:val="nil"/>
            </w:tcBorders>
            <w:noWrap w:val="0"/>
            <w:vAlign w:val="center"/>
          </w:tcPr>
          <w:p w14:paraId="5D0E3F2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2BBD7E3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0F35FF9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214D00E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1D03F30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14</w:t>
            </w:r>
          </w:p>
        </w:tc>
        <w:tc>
          <w:tcPr>
            <w:tcW w:w="1766" w:type="dxa"/>
            <w:tcBorders>
              <w:tl2br w:val="nil"/>
              <w:tr2bl w:val="nil"/>
            </w:tcBorders>
            <w:noWrap w:val="0"/>
            <w:vAlign w:val="center"/>
          </w:tcPr>
          <w:p w14:paraId="0AB38C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试验仪器</w:t>
            </w:r>
          </w:p>
        </w:tc>
        <w:tc>
          <w:tcPr>
            <w:tcW w:w="1582" w:type="dxa"/>
            <w:tcBorders>
              <w:tl2br w:val="nil"/>
              <w:tr2bl w:val="nil"/>
            </w:tcBorders>
            <w:noWrap w:val="0"/>
            <w:vAlign w:val="center"/>
          </w:tcPr>
          <w:p w14:paraId="3D5FE90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套</w:t>
            </w:r>
          </w:p>
        </w:tc>
        <w:tc>
          <w:tcPr>
            <w:tcW w:w="1404" w:type="dxa"/>
            <w:tcBorders>
              <w:tl2br w:val="nil"/>
              <w:tr2bl w:val="nil"/>
            </w:tcBorders>
            <w:noWrap w:val="0"/>
            <w:vAlign w:val="center"/>
          </w:tcPr>
          <w:p w14:paraId="77F008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1ADF89C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p>
        </w:tc>
      </w:tr>
      <w:tr w14:paraId="3EF439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00F7205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15</w:t>
            </w:r>
          </w:p>
        </w:tc>
        <w:tc>
          <w:tcPr>
            <w:tcW w:w="1766" w:type="dxa"/>
            <w:tcBorders>
              <w:tl2br w:val="nil"/>
              <w:tr2bl w:val="nil"/>
            </w:tcBorders>
            <w:noWrap w:val="0"/>
            <w:vAlign w:val="center"/>
          </w:tcPr>
          <w:p w14:paraId="27771A5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板车</w:t>
            </w:r>
          </w:p>
        </w:tc>
        <w:tc>
          <w:tcPr>
            <w:tcW w:w="1582" w:type="dxa"/>
            <w:tcBorders>
              <w:tl2br w:val="nil"/>
              <w:tr2bl w:val="nil"/>
            </w:tcBorders>
            <w:noWrap w:val="0"/>
            <w:vAlign w:val="center"/>
          </w:tcPr>
          <w:p w14:paraId="13DE7D2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辆</w:t>
            </w:r>
          </w:p>
        </w:tc>
        <w:tc>
          <w:tcPr>
            <w:tcW w:w="1404" w:type="dxa"/>
            <w:tcBorders>
              <w:tl2br w:val="nil"/>
              <w:tr2bl w:val="nil"/>
            </w:tcBorders>
            <w:noWrap w:val="0"/>
            <w:vAlign w:val="center"/>
          </w:tcPr>
          <w:p w14:paraId="18BDED7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900" w:type="dxa"/>
            <w:tcBorders>
              <w:tl2br w:val="nil"/>
              <w:tr2bl w:val="nil"/>
            </w:tcBorders>
            <w:noWrap w:val="0"/>
            <w:vAlign w:val="center"/>
          </w:tcPr>
          <w:p w14:paraId="46A17F9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运送材料</w:t>
            </w:r>
          </w:p>
        </w:tc>
      </w:tr>
      <w:tr w14:paraId="5FC421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rPr>
        <w:tc>
          <w:tcPr>
            <w:tcW w:w="852" w:type="dxa"/>
            <w:tcBorders>
              <w:tl2br w:val="nil"/>
              <w:tr2bl w:val="nil"/>
            </w:tcBorders>
            <w:noWrap w:val="0"/>
            <w:vAlign w:val="center"/>
          </w:tcPr>
          <w:p w14:paraId="7893633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w:t>
            </w:r>
          </w:p>
        </w:tc>
        <w:tc>
          <w:tcPr>
            <w:tcW w:w="1766" w:type="dxa"/>
            <w:tcBorders>
              <w:tl2br w:val="nil"/>
              <w:tr2bl w:val="nil"/>
            </w:tcBorders>
            <w:noWrap w:val="0"/>
            <w:vAlign w:val="center"/>
          </w:tcPr>
          <w:p w14:paraId="46D66F9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小型夯实机</w:t>
            </w:r>
          </w:p>
        </w:tc>
        <w:tc>
          <w:tcPr>
            <w:tcW w:w="1582" w:type="dxa"/>
            <w:tcBorders>
              <w:tl2br w:val="nil"/>
              <w:tr2bl w:val="nil"/>
            </w:tcBorders>
            <w:noWrap w:val="0"/>
            <w:vAlign w:val="center"/>
          </w:tcPr>
          <w:p w14:paraId="09F1A09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台</w:t>
            </w:r>
          </w:p>
        </w:tc>
        <w:tc>
          <w:tcPr>
            <w:tcW w:w="1404" w:type="dxa"/>
            <w:tcBorders>
              <w:tl2br w:val="nil"/>
              <w:tr2bl w:val="nil"/>
            </w:tcBorders>
            <w:noWrap w:val="0"/>
            <w:vAlign w:val="center"/>
          </w:tcPr>
          <w:p w14:paraId="71D78B2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900" w:type="dxa"/>
            <w:tcBorders>
              <w:tl2br w:val="nil"/>
              <w:tr2bl w:val="nil"/>
            </w:tcBorders>
            <w:noWrap w:val="0"/>
            <w:vAlign w:val="center"/>
          </w:tcPr>
          <w:p w14:paraId="65F37B0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eastAsia="zh-CN"/>
              </w:rPr>
            </w:pPr>
            <w:r>
              <w:rPr>
                <w:rFonts w:hint="eastAsia" w:ascii="仿宋" w:hAnsi="仿宋" w:eastAsia="仿宋" w:cs="仿宋"/>
                <w:b w:val="0"/>
                <w:bCs/>
                <w:sz w:val="21"/>
                <w:szCs w:val="21"/>
                <w:highlight w:val="none"/>
                <w:vertAlign w:val="baseline"/>
                <w:lang w:eastAsia="zh-CN"/>
              </w:rPr>
              <w:t>夯实基础</w:t>
            </w:r>
          </w:p>
        </w:tc>
      </w:tr>
    </w:tbl>
    <w:p w14:paraId="3A0DC521">
      <w:pPr>
        <w:pStyle w:val="15"/>
        <w:bidi w:val="0"/>
        <w:rPr>
          <w:rFonts w:hint="eastAsia" w:ascii="黑体" w:hAnsi="宋体" w:eastAsia="黑体" w:cs="黑体"/>
          <w:kern w:val="2"/>
          <w:sz w:val="21"/>
          <w:szCs w:val="21"/>
          <w:highlight w:val="none"/>
          <w:lang w:val="en-US" w:eastAsia="zh-CN" w:bidi="ar"/>
        </w:rPr>
      </w:pPr>
      <w:r>
        <w:rPr>
          <w:highlight w:val="none"/>
        </w:rPr>
        <w:t>表3-</w:t>
      </w:r>
      <w:r>
        <w:rPr>
          <w:rFonts w:hint="eastAsia"/>
          <w:highlight w:val="none"/>
          <w:lang w:val="en-US" w:eastAsia="zh-CN"/>
        </w:rPr>
        <w:t>3.2每台</w:t>
      </w:r>
      <w:r>
        <w:rPr>
          <w:rFonts w:hint="eastAsia" w:ascii="黑体" w:hAnsi="宋体" w:eastAsia="黑体" w:cs="黑体"/>
          <w:kern w:val="2"/>
          <w:sz w:val="21"/>
          <w:szCs w:val="21"/>
          <w:highlight w:val="none"/>
          <w:lang w:val="en-US" w:eastAsia="zh-CN" w:bidi="ar"/>
        </w:rPr>
        <w:t>塔吊安装吊索具和专用工具的配备统计表</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56"/>
        <w:gridCol w:w="1677"/>
        <w:gridCol w:w="2394"/>
        <w:gridCol w:w="786"/>
        <w:gridCol w:w="1561"/>
        <w:gridCol w:w="1301"/>
      </w:tblGrid>
      <w:tr w14:paraId="3E3CEE1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shd w:val="clear" w:color="auto" w:fill="DAE3F3" w:themeFill="accent5" w:themeFillTint="32"/>
            <w:noWrap w:val="0"/>
            <w:vAlign w:val="center"/>
          </w:tcPr>
          <w:p w14:paraId="20A9F4B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序号</w:t>
            </w:r>
          </w:p>
        </w:tc>
        <w:tc>
          <w:tcPr>
            <w:tcW w:w="1677" w:type="dxa"/>
            <w:tcBorders>
              <w:tl2br w:val="nil"/>
              <w:tr2bl w:val="nil"/>
            </w:tcBorders>
            <w:shd w:val="clear" w:color="auto" w:fill="DAE3F3" w:themeFill="accent5" w:themeFillTint="32"/>
            <w:noWrap w:val="0"/>
            <w:vAlign w:val="center"/>
          </w:tcPr>
          <w:p w14:paraId="04D623C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名称</w:t>
            </w:r>
          </w:p>
        </w:tc>
        <w:tc>
          <w:tcPr>
            <w:tcW w:w="2394" w:type="dxa"/>
            <w:tcBorders>
              <w:tl2br w:val="nil"/>
              <w:tr2bl w:val="nil"/>
            </w:tcBorders>
            <w:shd w:val="clear" w:color="auto" w:fill="DAE3F3" w:themeFill="accent5" w:themeFillTint="32"/>
            <w:noWrap w:val="0"/>
            <w:vAlign w:val="center"/>
          </w:tcPr>
          <w:p w14:paraId="3132BAC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规格</w:t>
            </w:r>
          </w:p>
        </w:tc>
        <w:tc>
          <w:tcPr>
            <w:tcW w:w="786" w:type="dxa"/>
            <w:tcBorders>
              <w:tl2br w:val="nil"/>
              <w:tr2bl w:val="nil"/>
            </w:tcBorders>
            <w:shd w:val="clear" w:color="auto" w:fill="DAE3F3" w:themeFill="accent5" w:themeFillTint="32"/>
            <w:noWrap w:val="0"/>
            <w:vAlign w:val="center"/>
          </w:tcPr>
          <w:p w14:paraId="3DB75DB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精度等级</w:t>
            </w:r>
          </w:p>
        </w:tc>
        <w:tc>
          <w:tcPr>
            <w:tcW w:w="1561" w:type="dxa"/>
            <w:tcBorders>
              <w:tl2br w:val="nil"/>
              <w:tr2bl w:val="nil"/>
            </w:tcBorders>
            <w:shd w:val="clear" w:color="auto" w:fill="DAE3F3" w:themeFill="accent5" w:themeFillTint="32"/>
            <w:noWrap w:val="0"/>
            <w:vAlign w:val="center"/>
          </w:tcPr>
          <w:p w14:paraId="73BECF5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单位</w:t>
            </w:r>
          </w:p>
        </w:tc>
        <w:tc>
          <w:tcPr>
            <w:tcW w:w="1301" w:type="dxa"/>
            <w:tcBorders>
              <w:tl2br w:val="nil"/>
              <w:tr2bl w:val="nil"/>
            </w:tcBorders>
            <w:shd w:val="clear" w:color="auto" w:fill="DAE3F3" w:themeFill="accent5" w:themeFillTint="32"/>
            <w:noWrap w:val="0"/>
            <w:vAlign w:val="center"/>
          </w:tcPr>
          <w:p w14:paraId="3E996A3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备注</w:t>
            </w:r>
          </w:p>
        </w:tc>
      </w:tr>
      <w:tr w14:paraId="4BCC367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49C6ECE">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1677" w:type="dxa"/>
            <w:tcBorders>
              <w:tl2br w:val="nil"/>
              <w:tr2bl w:val="nil"/>
            </w:tcBorders>
            <w:noWrap w:val="0"/>
            <w:vAlign w:val="center"/>
          </w:tcPr>
          <w:p w14:paraId="70612D9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汽车吊车</w:t>
            </w:r>
          </w:p>
        </w:tc>
        <w:tc>
          <w:tcPr>
            <w:tcW w:w="2394" w:type="dxa"/>
            <w:tcBorders>
              <w:tl2br w:val="nil"/>
              <w:tr2bl w:val="nil"/>
            </w:tcBorders>
            <w:noWrap w:val="0"/>
            <w:vAlign w:val="center"/>
          </w:tcPr>
          <w:p w14:paraId="01C4A22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50t</w:t>
            </w:r>
          </w:p>
        </w:tc>
        <w:tc>
          <w:tcPr>
            <w:tcW w:w="786" w:type="dxa"/>
            <w:tcBorders>
              <w:tl2br w:val="nil"/>
              <w:tr2bl w:val="nil"/>
            </w:tcBorders>
            <w:noWrap w:val="0"/>
            <w:vAlign w:val="center"/>
          </w:tcPr>
          <w:p w14:paraId="601060B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4A5920C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1辆</w:t>
            </w:r>
          </w:p>
          <w:p w14:paraId="70F416A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301" w:type="dxa"/>
            <w:tcBorders>
              <w:tl2br w:val="nil"/>
              <w:tr2bl w:val="nil"/>
            </w:tcBorders>
            <w:noWrap w:val="0"/>
            <w:vAlign w:val="center"/>
          </w:tcPr>
          <w:p w14:paraId="7D21219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67DF0E9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633" w:hRule="exact"/>
          <w:jc w:val="center"/>
        </w:trPr>
        <w:tc>
          <w:tcPr>
            <w:tcW w:w="756" w:type="dxa"/>
            <w:tcBorders>
              <w:tl2br w:val="nil"/>
              <w:tr2bl w:val="nil"/>
            </w:tcBorders>
            <w:noWrap w:val="0"/>
            <w:vAlign w:val="center"/>
          </w:tcPr>
          <w:p w14:paraId="70749393">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1677" w:type="dxa"/>
            <w:tcBorders>
              <w:tl2br w:val="nil"/>
              <w:tr2bl w:val="nil"/>
            </w:tcBorders>
            <w:noWrap w:val="0"/>
            <w:vAlign w:val="center"/>
          </w:tcPr>
          <w:p w14:paraId="7F98DE5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w:t>
            </w:r>
          </w:p>
        </w:tc>
        <w:tc>
          <w:tcPr>
            <w:tcW w:w="2394" w:type="dxa"/>
            <w:tcBorders>
              <w:tl2br w:val="nil"/>
              <w:tr2bl w:val="nil"/>
            </w:tcBorders>
            <w:noWrap w:val="0"/>
            <w:vAlign w:val="center"/>
          </w:tcPr>
          <w:p w14:paraId="18AF7290">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24mm6×19W+IWR1870Mpa</w:t>
            </w:r>
          </w:p>
        </w:tc>
        <w:tc>
          <w:tcPr>
            <w:tcW w:w="786" w:type="dxa"/>
            <w:tcBorders>
              <w:tl2br w:val="nil"/>
              <w:tr2bl w:val="nil"/>
            </w:tcBorders>
            <w:noWrap w:val="0"/>
            <w:vAlign w:val="center"/>
          </w:tcPr>
          <w:p w14:paraId="4BAD46E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6061BE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2对</w:t>
            </w:r>
          </w:p>
        </w:tc>
        <w:tc>
          <w:tcPr>
            <w:tcW w:w="1301" w:type="dxa"/>
            <w:tcBorders>
              <w:tl2br w:val="nil"/>
              <w:tr2bl w:val="nil"/>
            </w:tcBorders>
            <w:noWrap w:val="0"/>
            <w:vAlign w:val="center"/>
          </w:tcPr>
          <w:p w14:paraId="1058897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42BE89B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5018BEDC">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1677" w:type="dxa"/>
            <w:tcBorders>
              <w:tl2br w:val="nil"/>
              <w:tr2bl w:val="nil"/>
            </w:tcBorders>
            <w:noWrap w:val="0"/>
            <w:vAlign w:val="center"/>
          </w:tcPr>
          <w:p w14:paraId="6032965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钢丝绳卸扣</w:t>
            </w:r>
          </w:p>
        </w:tc>
        <w:tc>
          <w:tcPr>
            <w:tcW w:w="2394" w:type="dxa"/>
            <w:tcBorders>
              <w:tl2br w:val="nil"/>
              <w:tr2bl w:val="nil"/>
            </w:tcBorders>
            <w:noWrap w:val="0"/>
            <w:vAlign w:val="center"/>
          </w:tcPr>
          <w:p w14:paraId="5B0E3000">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GB/T 25854-6-DW10</w:t>
            </w:r>
          </w:p>
        </w:tc>
        <w:tc>
          <w:tcPr>
            <w:tcW w:w="786" w:type="dxa"/>
            <w:tcBorders>
              <w:tl2br w:val="nil"/>
              <w:tr2bl w:val="nil"/>
            </w:tcBorders>
            <w:noWrap w:val="0"/>
            <w:vAlign w:val="center"/>
          </w:tcPr>
          <w:p w14:paraId="1E6B7FF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02DD6B1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1对</w:t>
            </w:r>
          </w:p>
        </w:tc>
        <w:tc>
          <w:tcPr>
            <w:tcW w:w="1301" w:type="dxa"/>
            <w:tcBorders>
              <w:tl2br w:val="nil"/>
              <w:tr2bl w:val="nil"/>
            </w:tcBorders>
            <w:noWrap w:val="0"/>
            <w:vAlign w:val="center"/>
          </w:tcPr>
          <w:p w14:paraId="19D7186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5F4A510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74CB49D7">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1677" w:type="dxa"/>
            <w:tcBorders>
              <w:tl2br w:val="nil"/>
              <w:tr2bl w:val="nil"/>
            </w:tcBorders>
            <w:noWrap w:val="0"/>
            <w:vAlign w:val="center"/>
          </w:tcPr>
          <w:p w14:paraId="46506E7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倒链</w:t>
            </w:r>
          </w:p>
        </w:tc>
        <w:tc>
          <w:tcPr>
            <w:tcW w:w="2394" w:type="dxa"/>
            <w:tcBorders>
              <w:tl2br w:val="nil"/>
              <w:tr2bl w:val="nil"/>
            </w:tcBorders>
            <w:noWrap w:val="0"/>
            <w:vAlign w:val="center"/>
          </w:tcPr>
          <w:p w14:paraId="711BC61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2t、3t</w:t>
            </w:r>
          </w:p>
        </w:tc>
        <w:tc>
          <w:tcPr>
            <w:tcW w:w="786" w:type="dxa"/>
            <w:tcBorders>
              <w:tl2br w:val="nil"/>
              <w:tr2bl w:val="nil"/>
            </w:tcBorders>
            <w:noWrap w:val="0"/>
            <w:vAlign w:val="center"/>
          </w:tcPr>
          <w:p w14:paraId="699019E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77770F4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各2个</w:t>
            </w:r>
          </w:p>
        </w:tc>
        <w:tc>
          <w:tcPr>
            <w:tcW w:w="1301" w:type="dxa"/>
            <w:tcBorders>
              <w:tl2br w:val="nil"/>
              <w:tr2bl w:val="nil"/>
            </w:tcBorders>
            <w:noWrap w:val="0"/>
            <w:vAlign w:val="center"/>
          </w:tcPr>
          <w:p w14:paraId="57634E9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31B4B5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5A50F000">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1677" w:type="dxa"/>
            <w:tcBorders>
              <w:tl2br w:val="nil"/>
              <w:tr2bl w:val="nil"/>
            </w:tcBorders>
            <w:noWrap w:val="0"/>
            <w:vAlign w:val="center"/>
          </w:tcPr>
          <w:p w14:paraId="5ACB993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卡环</w:t>
            </w:r>
          </w:p>
        </w:tc>
        <w:tc>
          <w:tcPr>
            <w:tcW w:w="2394" w:type="dxa"/>
            <w:tcBorders>
              <w:tl2br w:val="nil"/>
              <w:tr2bl w:val="nil"/>
            </w:tcBorders>
            <w:noWrap w:val="0"/>
            <w:vAlign w:val="center"/>
          </w:tcPr>
          <w:p w14:paraId="6A2A641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10t</w:t>
            </w:r>
          </w:p>
        </w:tc>
        <w:tc>
          <w:tcPr>
            <w:tcW w:w="786" w:type="dxa"/>
            <w:tcBorders>
              <w:tl2br w:val="nil"/>
              <w:tr2bl w:val="nil"/>
            </w:tcBorders>
            <w:noWrap w:val="0"/>
            <w:vAlign w:val="center"/>
          </w:tcPr>
          <w:p w14:paraId="650861B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44437FD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2个</w:t>
            </w:r>
          </w:p>
        </w:tc>
        <w:tc>
          <w:tcPr>
            <w:tcW w:w="1301" w:type="dxa"/>
            <w:tcBorders>
              <w:tl2br w:val="nil"/>
              <w:tr2bl w:val="nil"/>
            </w:tcBorders>
            <w:noWrap w:val="0"/>
            <w:vAlign w:val="center"/>
          </w:tcPr>
          <w:p w14:paraId="0F69D21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6B587F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1E4F75C2">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1677" w:type="dxa"/>
            <w:tcBorders>
              <w:tl2br w:val="nil"/>
              <w:tr2bl w:val="nil"/>
            </w:tcBorders>
            <w:noWrap w:val="0"/>
            <w:vAlign w:val="center"/>
          </w:tcPr>
          <w:p w14:paraId="6B6B4B2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卡环</w:t>
            </w:r>
          </w:p>
        </w:tc>
        <w:tc>
          <w:tcPr>
            <w:tcW w:w="2394" w:type="dxa"/>
            <w:tcBorders>
              <w:tl2br w:val="nil"/>
              <w:tr2bl w:val="nil"/>
            </w:tcBorders>
            <w:noWrap w:val="0"/>
            <w:vAlign w:val="center"/>
          </w:tcPr>
          <w:p w14:paraId="43A48C2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5t</w:t>
            </w:r>
          </w:p>
        </w:tc>
        <w:tc>
          <w:tcPr>
            <w:tcW w:w="786" w:type="dxa"/>
            <w:tcBorders>
              <w:tl2br w:val="nil"/>
              <w:tr2bl w:val="nil"/>
            </w:tcBorders>
            <w:noWrap w:val="0"/>
            <w:vAlign w:val="center"/>
          </w:tcPr>
          <w:p w14:paraId="640C93A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30C3B33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 xml:space="preserve"> 4个</w:t>
            </w:r>
          </w:p>
        </w:tc>
        <w:tc>
          <w:tcPr>
            <w:tcW w:w="1301" w:type="dxa"/>
            <w:tcBorders>
              <w:tl2br w:val="nil"/>
              <w:tr2bl w:val="nil"/>
            </w:tcBorders>
            <w:noWrap w:val="0"/>
            <w:vAlign w:val="center"/>
          </w:tcPr>
          <w:p w14:paraId="06F5DB5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08401D7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119F3526">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7</w:t>
            </w:r>
          </w:p>
        </w:tc>
        <w:tc>
          <w:tcPr>
            <w:tcW w:w="1677" w:type="dxa"/>
            <w:tcBorders>
              <w:tl2br w:val="nil"/>
              <w:tr2bl w:val="nil"/>
            </w:tcBorders>
            <w:noWrap w:val="0"/>
            <w:vAlign w:val="center"/>
          </w:tcPr>
          <w:p w14:paraId="286FE3E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大锤</w:t>
            </w:r>
          </w:p>
        </w:tc>
        <w:tc>
          <w:tcPr>
            <w:tcW w:w="2394" w:type="dxa"/>
            <w:tcBorders>
              <w:tl2br w:val="nil"/>
              <w:tr2bl w:val="nil"/>
            </w:tcBorders>
            <w:noWrap w:val="0"/>
            <w:vAlign w:val="center"/>
          </w:tcPr>
          <w:p w14:paraId="254A858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20磅</w:t>
            </w:r>
          </w:p>
        </w:tc>
        <w:tc>
          <w:tcPr>
            <w:tcW w:w="786" w:type="dxa"/>
            <w:tcBorders>
              <w:tl2br w:val="nil"/>
              <w:tr2bl w:val="nil"/>
            </w:tcBorders>
            <w:noWrap w:val="0"/>
            <w:vAlign w:val="center"/>
          </w:tcPr>
          <w:p w14:paraId="6955310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75987A9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4把</w:t>
            </w:r>
          </w:p>
        </w:tc>
        <w:tc>
          <w:tcPr>
            <w:tcW w:w="1301" w:type="dxa"/>
            <w:tcBorders>
              <w:tl2br w:val="nil"/>
              <w:tr2bl w:val="nil"/>
            </w:tcBorders>
            <w:noWrap w:val="0"/>
            <w:vAlign w:val="center"/>
          </w:tcPr>
          <w:p w14:paraId="6BCE79AA">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2E09A7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12BBE824">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c>
          <w:tcPr>
            <w:tcW w:w="1677" w:type="dxa"/>
            <w:tcBorders>
              <w:tl2br w:val="nil"/>
              <w:tr2bl w:val="nil"/>
            </w:tcBorders>
            <w:noWrap w:val="0"/>
            <w:vAlign w:val="center"/>
          </w:tcPr>
          <w:p w14:paraId="10C1A7B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手锤</w:t>
            </w:r>
          </w:p>
        </w:tc>
        <w:tc>
          <w:tcPr>
            <w:tcW w:w="2394" w:type="dxa"/>
            <w:tcBorders>
              <w:tl2br w:val="nil"/>
              <w:tr2bl w:val="nil"/>
            </w:tcBorders>
            <w:noWrap w:val="0"/>
            <w:vAlign w:val="center"/>
          </w:tcPr>
          <w:p w14:paraId="1752BA4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8磅</w:t>
            </w:r>
          </w:p>
        </w:tc>
        <w:tc>
          <w:tcPr>
            <w:tcW w:w="786" w:type="dxa"/>
            <w:tcBorders>
              <w:tl2br w:val="nil"/>
              <w:tr2bl w:val="nil"/>
            </w:tcBorders>
            <w:noWrap w:val="0"/>
            <w:vAlign w:val="center"/>
          </w:tcPr>
          <w:p w14:paraId="3AE64CC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01C5714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2把</w:t>
            </w:r>
          </w:p>
        </w:tc>
        <w:tc>
          <w:tcPr>
            <w:tcW w:w="1301" w:type="dxa"/>
            <w:tcBorders>
              <w:tl2br w:val="nil"/>
              <w:tr2bl w:val="nil"/>
            </w:tcBorders>
            <w:noWrap w:val="0"/>
            <w:vAlign w:val="center"/>
          </w:tcPr>
          <w:p w14:paraId="3BA8B94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20C63B9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7E0677D5">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9</w:t>
            </w:r>
          </w:p>
        </w:tc>
        <w:tc>
          <w:tcPr>
            <w:tcW w:w="1677" w:type="dxa"/>
            <w:tcBorders>
              <w:tl2br w:val="nil"/>
              <w:tr2bl w:val="nil"/>
            </w:tcBorders>
            <w:noWrap w:val="0"/>
            <w:vAlign w:val="center"/>
          </w:tcPr>
          <w:p w14:paraId="70E5136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溜绳</w:t>
            </w:r>
          </w:p>
        </w:tc>
        <w:tc>
          <w:tcPr>
            <w:tcW w:w="2394" w:type="dxa"/>
            <w:tcBorders>
              <w:tl2br w:val="nil"/>
              <w:tr2bl w:val="nil"/>
            </w:tcBorders>
            <w:noWrap w:val="0"/>
            <w:vAlign w:val="center"/>
          </w:tcPr>
          <w:p w14:paraId="1BDEC7F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（16（50m</w:t>
            </w:r>
          </w:p>
        </w:tc>
        <w:tc>
          <w:tcPr>
            <w:tcW w:w="786" w:type="dxa"/>
            <w:tcBorders>
              <w:tl2br w:val="nil"/>
              <w:tr2bl w:val="nil"/>
            </w:tcBorders>
            <w:noWrap w:val="0"/>
            <w:vAlign w:val="center"/>
          </w:tcPr>
          <w:p w14:paraId="21CC4D4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19610CF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1根</w:t>
            </w:r>
          </w:p>
        </w:tc>
        <w:tc>
          <w:tcPr>
            <w:tcW w:w="1301" w:type="dxa"/>
            <w:tcBorders>
              <w:tl2br w:val="nil"/>
              <w:tr2bl w:val="nil"/>
            </w:tcBorders>
            <w:noWrap w:val="0"/>
            <w:vAlign w:val="center"/>
          </w:tcPr>
          <w:p w14:paraId="30A34C5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r w14:paraId="53FD5B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756" w:type="dxa"/>
            <w:tcBorders>
              <w:tl2br w:val="nil"/>
              <w:tr2bl w:val="nil"/>
            </w:tcBorders>
            <w:noWrap w:val="0"/>
            <w:vAlign w:val="center"/>
          </w:tcPr>
          <w:p w14:paraId="3A6AF73B">
            <w:pPr>
              <w:keepNext w:val="0"/>
              <w:keepLines w:val="0"/>
              <w:pageBreakBefore w:val="0"/>
              <w:widowControl w:val="0"/>
              <w:numPr>
                <w:ilvl w:val="0"/>
                <w:numId w:val="0"/>
              </w:numPr>
              <w:kinsoku/>
              <w:wordWrap/>
              <w:overflowPunct/>
              <w:topLinePunct w:val="0"/>
              <w:autoSpaceDE/>
              <w:autoSpaceDN/>
              <w:bidi w:val="0"/>
              <w:spacing w:line="240" w:lineRule="auto"/>
              <w:ind w:left="0" w:leftChars="0"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10</w:t>
            </w:r>
          </w:p>
        </w:tc>
        <w:tc>
          <w:tcPr>
            <w:tcW w:w="1677" w:type="dxa"/>
            <w:tcBorders>
              <w:tl2br w:val="nil"/>
              <w:tr2bl w:val="nil"/>
            </w:tcBorders>
            <w:noWrap w:val="0"/>
            <w:vAlign w:val="center"/>
          </w:tcPr>
          <w:p w14:paraId="0691CF7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小绳扣</w:t>
            </w:r>
          </w:p>
        </w:tc>
        <w:tc>
          <w:tcPr>
            <w:tcW w:w="2394" w:type="dxa"/>
            <w:tcBorders>
              <w:tl2br w:val="nil"/>
              <w:tr2bl w:val="nil"/>
            </w:tcBorders>
            <w:noWrap w:val="0"/>
            <w:vAlign w:val="center"/>
          </w:tcPr>
          <w:p w14:paraId="27C7611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（17.5（2m</w:t>
            </w:r>
          </w:p>
        </w:tc>
        <w:tc>
          <w:tcPr>
            <w:tcW w:w="786" w:type="dxa"/>
            <w:tcBorders>
              <w:tl2br w:val="nil"/>
              <w:tr2bl w:val="nil"/>
            </w:tcBorders>
            <w:noWrap w:val="0"/>
            <w:vAlign w:val="center"/>
          </w:tcPr>
          <w:p w14:paraId="6CD1C9B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p>
        </w:tc>
        <w:tc>
          <w:tcPr>
            <w:tcW w:w="1561" w:type="dxa"/>
            <w:tcBorders>
              <w:tl2br w:val="nil"/>
              <w:tr2bl w:val="nil"/>
            </w:tcBorders>
            <w:noWrap w:val="0"/>
            <w:vAlign w:val="center"/>
          </w:tcPr>
          <w:p w14:paraId="52B37CF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1根</w:t>
            </w:r>
          </w:p>
        </w:tc>
        <w:tc>
          <w:tcPr>
            <w:tcW w:w="1301" w:type="dxa"/>
            <w:tcBorders>
              <w:tl2br w:val="nil"/>
              <w:tr2bl w:val="nil"/>
            </w:tcBorders>
            <w:noWrap w:val="0"/>
            <w:vAlign w:val="center"/>
          </w:tcPr>
          <w:p w14:paraId="4832522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合格</w:t>
            </w:r>
          </w:p>
        </w:tc>
      </w:tr>
    </w:tbl>
    <w:p w14:paraId="02C1B4C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eastAsia="zh-CN"/>
        </w:rPr>
        <w:t>注：</w:t>
      </w:r>
      <w:r>
        <w:rPr>
          <w:rFonts w:hint="eastAsia" w:ascii="仿宋" w:hAnsi="仿宋" w:eastAsia="仿宋" w:cs="仿宋"/>
          <w:color w:val="000000"/>
          <w:sz w:val="21"/>
          <w:szCs w:val="21"/>
          <w:highlight w:val="none"/>
        </w:rPr>
        <w:t>施工机械、机具进行检修，保证运转良好；做好易损、易坏件的备品工作；机械、机具有关的负荷实验、计量鉴定证书、使用证、能力鉴定等资料应齐全。</w:t>
      </w:r>
    </w:p>
    <w:p w14:paraId="61097A94">
      <w:pPr>
        <w:pStyle w:val="15"/>
        <w:spacing w:line="360" w:lineRule="auto"/>
        <w:ind w:firstLine="0" w:firstLineChars="0"/>
        <w:jc w:val="center"/>
        <w:rPr>
          <w:rFonts w:hint="eastAsia" w:ascii="黑体" w:hAnsi="宋体" w:eastAsia="黑体" w:cs="黑体"/>
          <w:kern w:val="2"/>
          <w:sz w:val="21"/>
          <w:szCs w:val="21"/>
          <w:highlight w:val="none"/>
          <w:lang w:val="en-US" w:eastAsia="zh-CN" w:bidi="ar"/>
        </w:rPr>
      </w:pPr>
      <w:r>
        <w:rPr>
          <w:highlight w:val="none"/>
        </w:rPr>
        <w:t>表3-</w:t>
      </w:r>
      <w:r>
        <w:rPr>
          <w:rFonts w:hint="eastAsia"/>
          <w:highlight w:val="none"/>
          <w:lang w:val="en-US" w:eastAsia="zh-CN"/>
        </w:rPr>
        <w:t>3.3每台</w:t>
      </w:r>
      <w:r>
        <w:rPr>
          <w:rFonts w:hint="eastAsia" w:ascii="黑体" w:hAnsi="宋体" w:eastAsia="黑体" w:cs="黑体"/>
          <w:kern w:val="2"/>
          <w:sz w:val="21"/>
          <w:szCs w:val="21"/>
          <w:highlight w:val="none"/>
          <w:lang w:val="en-US" w:eastAsia="zh-CN" w:bidi="ar"/>
        </w:rPr>
        <w:t>塔吊安装安全器具</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821"/>
        <w:gridCol w:w="2408"/>
        <w:gridCol w:w="2127"/>
        <w:gridCol w:w="1560"/>
        <w:gridCol w:w="1522"/>
      </w:tblGrid>
      <w:tr w14:paraId="0E2835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shd w:val="clear" w:color="auto" w:fill="DAE3F3" w:themeFill="accent5" w:themeFillTint="32"/>
            <w:noWrap w:val="0"/>
            <w:vAlign w:val="center"/>
          </w:tcPr>
          <w:p w14:paraId="79B0833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序号</w:t>
            </w:r>
          </w:p>
        </w:tc>
        <w:tc>
          <w:tcPr>
            <w:tcW w:w="2408" w:type="dxa"/>
            <w:tcBorders>
              <w:tl2br w:val="nil"/>
              <w:tr2bl w:val="nil"/>
            </w:tcBorders>
            <w:shd w:val="clear" w:color="auto" w:fill="DAE3F3" w:themeFill="accent5" w:themeFillTint="32"/>
            <w:noWrap w:val="0"/>
            <w:vAlign w:val="center"/>
          </w:tcPr>
          <w:p w14:paraId="452AE7B3">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名  称</w:t>
            </w:r>
          </w:p>
        </w:tc>
        <w:tc>
          <w:tcPr>
            <w:tcW w:w="2127" w:type="dxa"/>
            <w:tcBorders>
              <w:tl2br w:val="nil"/>
              <w:tr2bl w:val="nil"/>
            </w:tcBorders>
            <w:shd w:val="clear" w:color="auto" w:fill="DAE3F3" w:themeFill="accent5" w:themeFillTint="32"/>
            <w:noWrap w:val="0"/>
            <w:vAlign w:val="center"/>
          </w:tcPr>
          <w:p w14:paraId="426F995D">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规  格</w:t>
            </w:r>
          </w:p>
        </w:tc>
        <w:tc>
          <w:tcPr>
            <w:tcW w:w="1560" w:type="dxa"/>
            <w:tcBorders>
              <w:tl2br w:val="nil"/>
              <w:tr2bl w:val="nil"/>
            </w:tcBorders>
            <w:shd w:val="clear" w:color="auto" w:fill="DAE3F3" w:themeFill="accent5" w:themeFillTint="32"/>
            <w:noWrap w:val="0"/>
            <w:vAlign w:val="center"/>
          </w:tcPr>
          <w:p w14:paraId="20DA9DE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单位</w:t>
            </w:r>
          </w:p>
        </w:tc>
        <w:tc>
          <w:tcPr>
            <w:tcW w:w="1522" w:type="dxa"/>
            <w:tcBorders>
              <w:tl2br w:val="nil"/>
              <w:tr2bl w:val="nil"/>
            </w:tcBorders>
            <w:shd w:val="clear" w:color="auto" w:fill="DAE3F3" w:themeFill="accent5" w:themeFillTint="32"/>
            <w:noWrap w:val="0"/>
            <w:vAlign w:val="center"/>
          </w:tcPr>
          <w:p w14:paraId="4EB9D2C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bCs w:val="0"/>
                <w:sz w:val="21"/>
                <w:szCs w:val="21"/>
                <w:highlight w:val="none"/>
                <w:vertAlign w:val="baseline"/>
                <w:lang w:val="en-US" w:eastAsia="zh-CN"/>
              </w:rPr>
            </w:pPr>
            <w:r>
              <w:rPr>
                <w:rFonts w:hint="eastAsia" w:ascii="仿宋" w:hAnsi="仿宋" w:eastAsia="仿宋" w:cs="仿宋"/>
                <w:b/>
                <w:bCs w:val="0"/>
                <w:sz w:val="21"/>
                <w:szCs w:val="21"/>
                <w:highlight w:val="none"/>
                <w:vertAlign w:val="baseline"/>
                <w:lang w:val="en-US" w:eastAsia="zh-CN"/>
              </w:rPr>
              <w:t>数量</w:t>
            </w:r>
          </w:p>
        </w:tc>
      </w:tr>
      <w:tr w14:paraId="083EE4D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4AE160E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w:t>
            </w:r>
          </w:p>
        </w:tc>
        <w:tc>
          <w:tcPr>
            <w:tcW w:w="2408" w:type="dxa"/>
            <w:tcBorders>
              <w:tl2br w:val="nil"/>
              <w:tr2bl w:val="nil"/>
            </w:tcBorders>
            <w:noWrap w:val="0"/>
            <w:vAlign w:val="center"/>
          </w:tcPr>
          <w:p w14:paraId="7362A07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安全带</w:t>
            </w:r>
          </w:p>
        </w:tc>
        <w:tc>
          <w:tcPr>
            <w:tcW w:w="2127" w:type="dxa"/>
            <w:tcBorders>
              <w:tl2br w:val="nil"/>
              <w:tr2bl w:val="nil"/>
            </w:tcBorders>
            <w:noWrap w:val="0"/>
            <w:vAlign w:val="center"/>
          </w:tcPr>
          <w:p w14:paraId="3A8652E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615AB0A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条</w:t>
            </w:r>
          </w:p>
        </w:tc>
        <w:tc>
          <w:tcPr>
            <w:tcW w:w="1522" w:type="dxa"/>
            <w:tcBorders>
              <w:tl2br w:val="nil"/>
              <w:tr2bl w:val="nil"/>
            </w:tcBorders>
            <w:noWrap w:val="0"/>
            <w:vAlign w:val="center"/>
          </w:tcPr>
          <w:p w14:paraId="6F77437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3A199A7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59C521D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2</w:t>
            </w:r>
          </w:p>
        </w:tc>
        <w:tc>
          <w:tcPr>
            <w:tcW w:w="2408" w:type="dxa"/>
            <w:tcBorders>
              <w:tl2br w:val="nil"/>
              <w:tr2bl w:val="nil"/>
            </w:tcBorders>
            <w:noWrap w:val="0"/>
            <w:vAlign w:val="center"/>
          </w:tcPr>
          <w:p w14:paraId="3A81770F">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工具袋</w:t>
            </w:r>
          </w:p>
        </w:tc>
        <w:tc>
          <w:tcPr>
            <w:tcW w:w="2127" w:type="dxa"/>
            <w:tcBorders>
              <w:tl2br w:val="nil"/>
              <w:tr2bl w:val="nil"/>
            </w:tcBorders>
            <w:noWrap w:val="0"/>
            <w:vAlign w:val="center"/>
          </w:tcPr>
          <w:p w14:paraId="19EC5A32">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5E5E6D7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07F3558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34EE920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7FEB24A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c>
          <w:tcPr>
            <w:tcW w:w="2408" w:type="dxa"/>
            <w:tcBorders>
              <w:tl2br w:val="nil"/>
              <w:tr2bl w:val="nil"/>
            </w:tcBorders>
            <w:noWrap w:val="0"/>
            <w:vAlign w:val="center"/>
          </w:tcPr>
          <w:p w14:paraId="1E6E030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安全帽</w:t>
            </w:r>
          </w:p>
        </w:tc>
        <w:tc>
          <w:tcPr>
            <w:tcW w:w="2127" w:type="dxa"/>
            <w:tcBorders>
              <w:tl2br w:val="nil"/>
              <w:tr2bl w:val="nil"/>
            </w:tcBorders>
            <w:noWrap w:val="0"/>
            <w:vAlign w:val="center"/>
          </w:tcPr>
          <w:p w14:paraId="562B8871">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189D08E5">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0BE756A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1FAB295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4E0B7767">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4</w:t>
            </w:r>
          </w:p>
        </w:tc>
        <w:tc>
          <w:tcPr>
            <w:tcW w:w="2408" w:type="dxa"/>
            <w:tcBorders>
              <w:tl2br w:val="nil"/>
              <w:tr2bl w:val="nil"/>
            </w:tcBorders>
            <w:noWrap w:val="0"/>
            <w:vAlign w:val="center"/>
          </w:tcPr>
          <w:p w14:paraId="2D7B1969">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防滑鞋</w:t>
            </w:r>
          </w:p>
        </w:tc>
        <w:tc>
          <w:tcPr>
            <w:tcW w:w="2127" w:type="dxa"/>
            <w:tcBorders>
              <w:tl2br w:val="nil"/>
              <w:tr2bl w:val="nil"/>
            </w:tcBorders>
            <w:noWrap w:val="0"/>
            <w:vAlign w:val="center"/>
          </w:tcPr>
          <w:p w14:paraId="75E3847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6855949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双</w:t>
            </w:r>
          </w:p>
        </w:tc>
        <w:tc>
          <w:tcPr>
            <w:tcW w:w="1522" w:type="dxa"/>
            <w:tcBorders>
              <w:tl2br w:val="nil"/>
              <w:tr2bl w:val="nil"/>
            </w:tcBorders>
            <w:noWrap w:val="0"/>
            <w:vAlign w:val="center"/>
          </w:tcPr>
          <w:p w14:paraId="44612C7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8</w:t>
            </w:r>
          </w:p>
        </w:tc>
      </w:tr>
      <w:tr w14:paraId="5BB573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6F897BC8">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5</w:t>
            </w:r>
          </w:p>
        </w:tc>
        <w:tc>
          <w:tcPr>
            <w:tcW w:w="2408" w:type="dxa"/>
            <w:tcBorders>
              <w:tl2br w:val="nil"/>
              <w:tr2bl w:val="nil"/>
            </w:tcBorders>
            <w:noWrap w:val="0"/>
            <w:vAlign w:val="center"/>
          </w:tcPr>
          <w:p w14:paraId="31CFBD5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手套</w:t>
            </w:r>
          </w:p>
        </w:tc>
        <w:tc>
          <w:tcPr>
            <w:tcW w:w="2127" w:type="dxa"/>
            <w:tcBorders>
              <w:tl2br w:val="nil"/>
              <w:tr2bl w:val="nil"/>
            </w:tcBorders>
            <w:noWrap w:val="0"/>
            <w:vAlign w:val="center"/>
          </w:tcPr>
          <w:p w14:paraId="4A21702B">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3B39B6B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双</w:t>
            </w:r>
          </w:p>
        </w:tc>
        <w:tc>
          <w:tcPr>
            <w:tcW w:w="1522" w:type="dxa"/>
            <w:tcBorders>
              <w:tl2br w:val="nil"/>
              <w:tr2bl w:val="nil"/>
            </w:tcBorders>
            <w:noWrap w:val="0"/>
            <w:vAlign w:val="center"/>
          </w:tcPr>
          <w:p w14:paraId="779AA3D0">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16</w:t>
            </w:r>
          </w:p>
        </w:tc>
      </w:tr>
      <w:tr w14:paraId="4888A1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jc w:val="center"/>
        </w:trPr>
        <w:tc>
          <w:tcPr>
            <w:tcW w:w="821" w:type="dxa"/>
            <w:tcBorders>
              <w:tl2br w:val="nil"/>
              <w:tr2bl w:val="nil"/>
            </w:tcBorders>
            <w:noWrap w:val="0"/>
            <w:vAlign w:val="center"/>
          </w:tcPr>
          <w:p w14:paraId="3A78EA16">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6</w:t>
            </w:r>
          </w:p>
        </w:tc>
        <w:tc>
          <w:tcPr>
            <w:tcW w:w="2408" w:type="dxa"/>
            <w:tcBorders>
              <w:tl2br w:val="nil"/>
              <w:tr2bl w:val="nil"/>
            </w:tcBorders>
            <w:noWrap w:val="0"/>
            <w:vAlign w:val="center"/>
          </w:tcPr>
          <w:p w14:paraId="468EADFE">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对讲机（口哨）</w:t>
            </w:r>
          </w:p>
        </w:tc>
        <w:tc>
          <w:tcPr>
            <w:tcW w:w="2127" w:type="dxa"/>
            <w:tcBorders>
              <w:tl2br w:val="nil"/>
              <w:tr2bl w:val="nil"/>
            </w:tcBorders>
            <w:noWrap w:val="0"/>
            <w:vAlign w:val="center"/>
          </w:tcPr>
          <w:p w14:paraId="495EB56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default"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w:t>
            </w:r>
          </w:p>
        </w:tc>
        <w:tc>
          <w:tcPr>
            <w:tcW w:w="1560" w:type="dxa"/>
            <w:tcBorders>
              <w:tl2br w:val="nil"/>
              <w:tr2bl w:val="nil"/>
            </w:tcBorders>
            <w:noWrap w:val="0"/>
            <w:vAlign w:val="center"/>
          </w:tcPr>
          <w:p w14:paraId="21FA6014">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个</w:t>
            </w:r>
          </w:p>
        </w:tc>
        <w:tc>
          <w:tcPr>
            <w:tcW w:w="1522" w:type="dxa"/>
            <w:tcBorders>
              <w:tl2br w:val="nil"/>
              <w:tr2bl w:val="nil"/>
            </w:tcBorders>
            <w:noWrap w:val="0"/>
            <w:vAlign w:val="center"/>
          </w:tcPr>
          <w:p w14:paraId="61CE624C">
            <w:pPr>
              <w:keepNext w:val="0"/>
              <w:keepLines w:val="0"/>
              <w:pageBreakBefore w:val="0"/>
              <w:widowControl w:val="0"/>
              <w:numPr>
                <w:ilvl w:val="0"/>
                <w:numId w:val="0"/>
              </w:numPr>
              <w:kinsoku/>
              <w:wordWrap/>
              <w:overflowPunct/>
              <w:topLinePunct w:val="0"/>
              <w:autoSpaceDE/>
              <w:autoSpaceDN/>
              <w:bidi w:val="0"/>
              <w:spacing w:line="240" w:lineRule="auto"/>
              <w:ind w:firstLine="0" w:firstLineChars="0"/>
              <w:jc w:val="center"/>
              <w:textAlignment w:val="auto"/>
              <w:outlineLvl w:val="9"/>
              <w:rPr>
                <w:rFonts w:hint="eastAsia" w:ascii="仿宋" w:hAnsi="仿宋" w:eastAsia="仿宋" w:cs="仿宋"/>
                <w:b w:val="0"/>
                <w:bCs/>
                <w:sz w:val="21"/>
                <w:szCs w:val="21"/>
                <w:highlight w:val="none"/>
                <w:vertAlign w:val="baseline"/>
                <w:lang w:val="en-US" w:eastAsia="zh-CN"/>
              </w:rPr>
            </w:pPr>
            <w:r>
              <w:rPr>
                <w:rFonts w:hint="eastAsia" w:ascii="仿宋" w:hAnsi="仿宋" w:eastAsia="仿宋" w:cs="仿宋"/>
                <w:b w:val="0"/>
                <w:bCs/>
                <w:sz w:val="21"/>
                <w:szCs w:val="21"/>
                <w:highlight w:val="none"/>
                <w:vertAlign w:val="baseline"/>
                <w:lang w:val="en-US" w:eastAsia="zh-CN"/>
              </w:rPr>
              <w:t>3</w:t>
            </w:r>
          </w:p>
        </w:tc>
      </w:tr>
    </w:tbl>
    <w:p w14:paraId="2323C993">
      <w:pPr>
        <w:pStyle w:val="3"/>
        <w:rPr>
          <w:rFonts w:hint="default"/>
          <w:highlight w:val="none"/>
          <w:lang w:val="en-US" w:eastAsia="zh-CN"/>
        </w:rPr>
      </w:pPr>
      <w:bookmarkStart w:id="138" w:name="_Toc16523"/>
      <w:bookmarkStart w:id="139" w:name="_Toc6971"/>
      <w:r>
        <w:rPr>
          <w:rFonts w:hint="eastAsia"/>
          <w:highlight w:val="none"/>
        </w:rPr>
        <w:t>3.</w:t>
      </w:r>
      <w:r>
        <w:rPr>
          <w:rFonts w:hint="eastAsia"/>
          <w:highlight w:val="none"/>
          <w:lang w:val="en-US" w:eastAsia="zh-CN"/>
        </w:rPr>
        <w:t>4施工</w:t>
      </w:r>
      <w:r>
        <w:rPr>
          <w:rFonts w:hint="eastAsia"/>
          <w:highlight w:val="none"/>
        </w:rPr>
        <w:t>材料</w:t>
      </w:r>
      <w:r>
        <w:rPr>
          <w:rFonts w:hint="eastAsia"/>
          <w:highlight w:val="none"/>
          <w:lang w:val="en-US" w:eastAsia="zh-CN"/>
        </w:rPr>
        <w:t>与安全工机具</w:t>
      </w:r>
      <w:bookmarkEnd w:id="136"/>
      <w:bookmarkEnd w:id="137"/>
      <w:bookmarkEnd w:id="138"/>
      <w:bookmarkEnd w:id="139"/>
    </w:p>
    <w:bookmarkEnd w:id="121"/>
    <w:p w14:paraId="5951855E">
      <w:pPr>
        <w:ind w:firstLine="480"/>
        <w:rPr>
          <w:highlight w:val="none"/>
        </w:rPr>
      </w:pPr>
      <w:bookmarkStart w:id="140" w:name="_Toc10409791"/>
      <w:r>
        <w:rPr>
          <w:rFonts w:hint="eastAsia"/>
          <w:highlight w:val="none"/>
        </w:rPr>
        <w:t>工程材料根据</w:t>
      </w:r>
      <w:r>
        <w:rPr>
          <w:rFonts w:hint="eastAsia"/>
          <w:highlight w:val="none"/>
          <w:lang w:val="en-US" w:eastAsia="zh-CN"/>
        </w:rPr>
        <w:t>工</w:t>
      </w:r>
      <w:r>
        <w:rPr>
          <w:rFonts w:hint="eastAsia"/>
          <w:highlight w:val="none"/>
        </w:rPr>
        <w:t>期要求，结合施工进度，在保证原材质量的前提下，所有工程材料满足业主及施工现场进度要求。</w:t>
      </w:r>
    </w:p>
    <w:p w14:paraId="67EAE5FD">
      <w:pPr>
        <w:ind w:firstLine="480"/>
        <w:rPr>
          <w:highlight w:val="none"/>
        </w:rPr>
      </w:pPr>
      <w:r>
        <w:rPr>
          <w:rFonts w:hint="eastAsia"/>
          <w:highlight w:val="none"/>
        </w:rPr>
        <w:t>水泥、钢材</w:t>
      </w:r>
      <w:r>
        <w:rPr>
          <w:rFonts w:hint="eastAsia"/>
          <w:highlight w:val="none"/>
          <w:lang w:val="en-US" w:eastAsia="zh-CN"/>
        </w:rPr>
        <w:t>等</w:t>
      </w:r>
      <w:r>
        <w:rPr>
          <w:rFonts w:hint="eastAsia"/>
          <w:highlight w:val="none"/>
        </w:rPr>
        <w:t>主材由业主方提供。</w:t>
      </w:r>
    </w:p>
    <w:p w14:paraId="04C2E8F3">
      <w:pPr>
        <w:ind w:firstLine="480"/>
        <w:rPr>
          <w:highlight w:val="none"/>
        </w:rPr>
      </w:pPr>
      <w:r>
        <w:rPr>
          <w:rFonts w:hint="eastAsia"/>
          <w:highlight w:val="none"/>
        </w:rPr>
        <w:t>项目通过自建拌合站专门负责供应混凝土，其生产能力及运输能力均能满足施工需求。</w:t>
      </w:r>
    </w:p>
    <w:p w14:paraId="03560A63">
      <w:pPr>
        <w:ind w:firstLine="480"/>
        <w:rPr>
          <w:rFonts w:hint="eastAsia"/>
          <w:highlight w:val="none"/>
        </w:rPr>
      </w:pPr>
      <w:r>
        <w:rPr>
          <w:rFonts w:hint="eastAsia"/>
          <w:highlight w:val="none"/>
        </w:rPr>
        <w:t>由项目部出资购买的材料及甲供材料，现场技术员均应按制度规定提前向物设部报备，其他施工辅材由现场技术员督促协作单位购买进场。</w:t>
      </w:r>
    </w:p>
    <w:p w14:paraId="3E3B6664">
      <w:pPr>
        <w:pStyle w:val="15"/>
        <w:spacing w:line="360" w:lineRule="auto"/>
        <w:ind w:firstLine="0" w:firstLineChars="0"/>
        <w:jc w:val="center"/>
        <w:rPr>
          <w:rFonts w:hint="default" w:ascii="黑体" w:hAnsi="宋体" w:eastAsia="黑体" w:cs="黑体"/>
          <w:kern w:val="2"/>
          <w:sz w:val="21"/>
          <w:szCs w:val="21"/>
          <w:highlight w:val="none"/>
          <w:lang w:val="en-US" w:eastAsia="zh-CN" w:bidi="ar"/>
        </w:rPr>
      </w:pPr>
      <w:r>
        <w:rPr>
          <w:highlight w:val="none"/>
        </w:rPr>
        <w:t>表3-</w:t>
      </w:r>
      <w:r>
        <w:rPr>
          <w:rFonts w:hint="eastAsia"/>
          <w:highlight w:val="none"/>
          <w:lang w:val="en-US" w:eastAsia="zh-CN"/>
        </w:rPr>
        <w:t>4每台</w:t>
      </w:r>
      <w:r>
        <w:rPr>
          <w:rFonts w:hint="eastAsia" w:ascii="黑体" w:hAnsi="宋体" w:eastAsia="黑体" w:cs="黑体"/>
          <w:kern w:val="2"/>
          <w:sz w:val="21"/>
          <w:szCs w:val="21"/>
          <w:highlight w:val="none"/>
          <w:lang w:val="en-US" w:eastAsia="zh-CN" w:bidi="ar"/>
        </w:rPr>
        <w:t>塔吊基础材料用量表</w:t>
      </w:r>
    </w:p>
    <w:tbl>
      <w:tblPr>
        <w:tblStyle w:val="30"/>
        <w:tblW w:w="0" w:type="auto"/>
        <w:jc w:val="center"/>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Layout w:type="fixed"/>
        <w:tblCellMar>
          <w:top w:w="0" w:type="dxa"/>
          <w:left w:w="0" w:type="dxa"/>
          <w:bottom w:w="0" w:type="dxa"/>
          <w:right w:w="0" w:type="dxa"/>
        </w:tblCellMar>
      </w:tblPr>
      <w:tblGrid>
        <w:gridCol w:w="1382"/>
        <w:gridCol w:w="1382"/>
        <w:gridCol w:w="1382"/>
        <w:gridCol w:w="1382"/>
        <w:gridCol w:w="1382"/>
        <w:gridCol w:w="1594"/>
      </w:tblGrid>
      <w:tr w14:paraId="3529CAF1">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tblHeader/>
          <w:jc w:val="center"/>
        </w:trPr>
        <w:tc>
          <w:tcPr>
            <w:tcW w:w="1382" w:type="dxa"/>
            <w:tcBorders>
              <w:top w:val="doub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649B3D1B">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序号</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680BE9A7">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名称</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23B723F0">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规格</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71B869B7">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根数</w:t>
            </w:r>
          </w:p>
        </w:tc>
        <w:tc>
          <w:tcPr>
            <w:tcW w:w="1382" w:type="dxa"/>
            <w:tcBorders>
              <w:top w:val="doub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shd w:val="clear" w:color="auto" w:fill="DAE3F3" w:themeFill="accent5" w:themeFillTint="32"/>
            <w:noWrap/>
            <w:tcMar>
              <w:top w:w="15" w:type="dxa"/>
              <w:left w:w="15" w:type="dxa"/>
              <w:right w:w="15" w:type="dxa"/>
            </w:tcMar>
            <w:vAlign w:val="center"/>
          </w:tcPr>
          <w:p w14:paraId="41B35144">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单位</w:t>
            </w:r>
          </w:p>
        </w:tc>
        <w:tc>
          <w:tcPr>
            <w:tcW w:w="1594" w:type="dxa"/>
            <w:tcBorders>
              <w:top w:val="doub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shd w:val="clear" w:color="auto" w:fill="DAE3F3" w:themeFill="accent5" w:themeFillTint="32"/>
            <w:noWrap/>
            <w:tcMar>
              <w:top w:w="15" w:type="dxa"/>
              <w:left w:w="15" w:type="dxa"/>
              <w:right w:w="15" w:type="dxa"/>
            </w:tcMar>
            <w:vAlign w:val="center"/>
          </w:tcPr>
          <w:p w14:paraId="0C748B9D">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color w:val="000000"/>
                <w:sz w:val="21"/>
                <w:szCs w:val="21"/>
                <w:highlight w:val="none"/>
                <w:u w:val="none"/>
              </w:rPr>
            </w:pPr>
            <w:r>
              <w:rPr>
                <w:rFonts w:hint="eastAsia" w:ascii="仿宋" w:hAnsi="仿宋" w:eastAsia="仿宋" w:cs="仿宋"/>
                <w:b/>
                <w:bCs/>
                <w:i w:val="0"/>
                <w:color w:val="000000"/>
                <w:kern w:val="0"/>
                <w:sz w:val="21"/>
                <w:szCs w:val="21"/>
                <w:highlight w:val="none"/>
                <w:u w:val="none"/>
                <w:lang w:val="en-US" w:eastAsia="zh-CN" w:bidi="ar"/>
              </w:rPr>
              <w:t>数量</w:t>
            </w:r>
          </w:p>
        </w:tc>
      </w:tr>
      <w:tr w14:paraId="04E6B44B">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95B524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1</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0F694D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5DBA7D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811CDE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12B437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531E99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64@1500mm</w:t>
            </w:r>
          </w:p>
        </w:tc>
      </w:tr>
      <w:tr w14:paraId="27C3B58C">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CD76FB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8731FB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4D2736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708E6D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64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00EA5C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86B0E3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64@1500mm</w:t>
            </w:r>
          </w:p>
        </w:tc>
      </w:tr>
      <w:tr w14:paraId="08379C41">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4703B8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3</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BFD837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Φ25圆钢</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F711D3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Q235B</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DF5FC6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843839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C550EB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12</w:t>
            </w:r>
          </w:p>
        </w:tc>
      </w:tr>
      <w:tr w14:paraId="55F4CD43">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B4C498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4</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BCC290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Φ12钢筋</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A8A7A3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HRB400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3C87CC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256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80E373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3D8090AB">
            <w:pPr>
              <w:keepNext w:val="0"/>
              <w:keepLines w:val="0"/>
              <w:widowControl/>
              <w:suppressLineNumbers w:val="0"/>
              <w:spacing w:line="240" w:lineRule="auto"/>
              <w:ind w:firstLine="0" w:firstLineChars="0"/>
              <w:jc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256@300mm</w:t>
            </w:r>
          </w:p>
        </w:tc>
      </w:tr>
      <w:tr w14:paraId="61B7DAA2">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B39799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5</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E880B7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水泥</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0C226D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P42.5</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DA2F28D">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A4FAA4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521CE01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sz w:val="21"/>
                <w:szCs w:val="21"/>
                <w:highlight w:val="none"/>
                <w:u w:val="none"/>
                <w:lang w:val="en-US" w:eastAsia="zh-CN"/>
              </w:rPr>
              <w:t>-</w:t>
            </w:r>
          </w:p>
        </w:tc>
      </w:tr>
      <w:tr w14:paraId="10321D19">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9D06F3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0003D2D">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砂</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B6C84E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2123C16">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7FF191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2F1B72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r>
      <w:tr w14:paraId="52E68D7D">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94947B1">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7</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76147F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碎石</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FBC587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C7AFE53">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F13641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0B606D5B">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sz w:val="21"/>
                <w:szCs w:val="21"/>
                <w:highlight w:val="none"/>
                <w:u w:val="none"/>
                <w:lang w:val="en-US" w:eastAsia="zh-CN"/>
              </w:rPr>
              <w:t>-</w:t>
            </w:r>
          </w:p>
        </w:tc>
      </w:tr>
      <w:tr w14:paraId="37413FF8">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C02793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AFC7543">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接地杆</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EAA4514">
            <w:pPr>
              <w:spacing w:line="240" w:lineRule="auto"/>
              <w:ind w:firstLine="0" w:firstLineChars="0"/>
              <w:jc w:val="center"/>
              <w:rPr>
                <w:rFonts w:hint="eastAsia" w:ascii="仿宋" w:hAnsi="仿宋" w:eastAsia="仿宋" w:cs="仿宋"/>
                <w:i w:val="0"/>
                <w:color w:val="000000"/>
                <w:sz w:val="21"/>
                <w:szCs w:val="21"/>
                <w:highlight w:val="none"/>
                <w:u w:val="none"/>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DB8A368">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098CD5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m</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7E2F602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1.7</w:t>
            </w:r>
          </w:p>
        </w:tc>
      </w:tr>
      <w:tr w14:paraId="6201DCBA">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F59295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9</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338BE13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锚栓</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F626B4A">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M12*40-8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04B55B20">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0887BAC">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个</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68869114">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4</w:t>
            </w:r>
          </w:p>
        </w:tc>
      </w:tr>
      <w:tr w14:paraId="01658BDE">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A7D49D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10</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00A6C9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螺母</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6B70E89">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lang w:val="en-US"/>
              </w:rPr>
            </w:pPr>
            <w:r>
              <w:rPr>
                <w:rFonts w:hint="eastAsia" w:ascii="仿宋" w:hAnsi="仿宋" w:eastAsia="仿宋" w:cs="仿宋"/>
                <w:i w:val="0"/>
                <w:color w:val="000000"/>
                <w:kern w:val="0"/>
                <w:sz w:val="21"/>
                <w:szCs w:val="21"/>
                <w:highlight w:val="none"/>
                <w:u w:val="none"/>
                <w:lang w:val="en-US" w:eastAsia="zh-CN" w:bidi="ar"/>
              </w:rPr>
              <w:t>M12-8</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52DDC3E">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E9607E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个</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136536D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sz w:val="21"/>
                <w:szCs w:val="21"/>
                <w:highlight w:val="none"/>
                <w:u w:val="none"/>
              </w:rPr>
            </w:pPr>
            <w:r>
              <w:rPr>
                <w:rFonts w:hint="eastAsia" w:ascii="仿宋" w:hAnsi="仿宋" w:eastAsia="仿宋" w:cs="仿宋"/>
                <w:i w:val="0"/>
                <w:color w:val="000000"/>
                <w:kern w:val="0"/>
                <w:sz w:val="21"/>
                <w:szCs w:val="21"/>
                <w:highlight w:val="none"/>
                <w:u w:val="none"/>
                <w:lang w:val="en-US" w:eastAsia="zh-CN" w:bidi="ar"/>
              </w:rPr>
              <w:t>8</w:t>
            </w:r>
          </w:p>
        </w:tc>
      </w:tr>
      <w:tr w14:paraId="2F690EF3">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F72BBB8">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11</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EDB24F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枕木</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2712A48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120987C4">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16</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717039C2">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5358268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16</w:t>
            </w:r>
          </w:p>
        </w:tc>
      </w:tr>
      <w:tr w14:paraId="3B2A976A">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60584D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12</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241DFB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麻绳</w:t>
            </w: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64FC9267">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5F51AF4B">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p>
        </w:tc>
        <w:tc>
          <w:tcPr>
            <w:tcW w:w="1382" w:type="dxa"/>
            <w:tcBorders>
              <w:top w:val="single" w:color="2F5496" w:themeColor="accent5" w:themeShade="BF" w:sz="4" w:space="0"/>
              <w:left w:val="single" w:color="2F5496" w:themeColor="accent5" w:themeShade="BF" w:sz="4" w:space="0"/>
              <w:bottom w:val="single" w:color="2F5496" w:themeColor="accent5" w:themeShade="BF" w:sz="4" w:space="0"/>
              <w:right w:val="single" w:color="2F5496" w:themeColor="accent5" w:themeShade="BF" w:sz="4" w:space="0"/>
            </w:tcBorders>
            <w:noWrap/>
            <w:tcMar>
              <w:top w:w="15" w:type="dxa"/>
              <w:left w:w="15" w:type="dxa"/>
              <w:right w:w="15" w:type="dxa"/>
            </w:tcMar>
            <w:vAlign w:val="center"/>
          </w:tcPr>
          <w:p w14:paraId="491061B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m</w:t>
            </w:r>
          </w:p>
        </w:tc>
        <w:tc>
          <w:tcPr>
            <w:tcW w:w="1594" w:type="dxa"/>
            <w:tcBorders>
              <w:top w:val="single" w:color="2F5496" w:themeColor="accent5" w:themeShade="BF" w:sz="4" w:space="0"/>
              <w:left w:val="single" w:color="2F5496" w:themeColor="accent5" w:themeShade="BF" w:sz="4" w:space="0"/>
              <w:bottom w:val="single" w:color="2F5496" w:themeColor="accent5" w:themeShade="BF" w:sz="4" w:space="0"/>
              <w:right w:val="double" w:color="2F5496" w:themeColor="accent5" w:themeShade="BF" w:sz="4" w:space="0"/>
            </w:tcBorders>
            <w:noWrap/>
            <w:tcMar>
              <w:top w:w="15" w:type="dxa"/>
              <w:left w:w="15" w:type="dxa"/>
              <w:right w:w="15" w:type="dxa"/>
            </w:tcMar>
            <w:vAlign w:val="center"/>
          </w:tcPr>
          <w:p w14:paraId="39FD43CE">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50</w:t>
            </w:r>
          </w:p>
        </w:tc>
      </w:tr>
      <w:tr w14:paraId="0C6D0D66">
        <w:tblPrEx>
          <w:tblBorders>
            <w:top w:val="double" w:color="548DD4" w:sz="4" w:space="0"/>
            <w:left w:val="double" w:color="548DD4" w:sz="4" w:space="0"/>
            <w:bottom w:val="double" w:color="548DD4" w:sz="4" w:space="0"/>
            <w:right w:val="double" w:color="548DD4" w:sz="4" w:space="0"/>
            <w:insideH w:val="single" w:color="548DD4" w:sz="4" w:space="0"/>
            <w:insideV w:val="single" w:color="548DD4" w:sz="4" w:space="0"/>
          </w:tblBorders>
          <w:tblCellMar>
            <w:top w:w="0" w:type="dxa"/>
            <w:left w:w="0" w:type="dxa"/>
            <w:bottom w:w="0" w:type="dxa"/>
            <w:right w:w="0" w:type="dxa"/>
          </w:tblCellMar>
        </w:tblPrEx>
        <w:trPr>
          <w:trHeight w:val="454" w:hRule="atLeast"/>
          <w:jc w:val="center"/>
        </w:trPr>
        <w:tc>
          <w:tcPr>
            <w:tcW w:w="1382" w:type="dxa"/>
            <w:tcBorders>
              <w:top w:val="single" w:color="2F5496" w:themeColor="accent5" w:themeShade="BF" w:sz="4" w:space="0"/>
              <w:left w:val="doub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0EDE758F">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13</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212B5446">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预埋螺栓</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43399AC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M48-1350</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7F634533">
            <w:pPr>
              <w:spacing w:line="240" w:lineRule="auto"/>
              <w:ind w:firstLine="0" w:firstLineChars="0"/>
              <w:jc w:val="center"/>
              <w:rPr>
                <w:rFonts w:hint="eastAsia" w:ascii="仿宋" w:hAnsi="仿宋" w:eastAsia="仿宋" w:cs="仿宋"/>
                <w:i w:val="0"/>
                <w:color w:val="000000"/>
                <w:sz w:val="21"/>
                <w:szCs w:val="21"/>
                <w:highlight w:val="none"/>
                <w:u w:val="none"/>
                <w:lang w:val="en-US" w:eastAsia="zh-CN"/>
              </w:rPr>
            </w:pPr>
            <w:r>
              <w:rPr>
                <w:rFonts w:hint="eastAsia" w:ascii="仿宋" w:hAnsi="仿宋" w:eastAsia="仿宋" w:cs="仿宋"/>
                <w:i w:val="0"/>
                <w:color w:val="000000"/>
                <w:sz w:val="21"/>
                <w:szCs w:val="21"/>
                <w:highlight w:val="none"/>
                <w:u w:val="none"/>
                <w:lang w:val="en-US" w:eastAsia="zh-CN"/>
              </w:rPr>
              <w:t>24</w:t>
            </w:r>
          </w:p>
        </w:tc>
        <w:tc>
          <w:tcPr>
            <w:tcW w:w="1382" w:type="dxa"/>
            <w:tcBorders>
              <w:top w:val="single" w:color="2F5496" w:themeColor="accent5" w:themeShade="BF" w:sz="4" w:space="0"/>
              <w:left w:val="single" w:color="2F5496" w:themeColor="accent5" w:themeShade="BF" w:sz="4" w:space="0"/>
              <w:bottom w:val="double" w:color="2F5496" w:themeColor="accent5" w:themeShade="BF" w:sz="4" w:space="0"/>
              <w:right w:val="single" w:color="2F5496" w:themeColor="accent5" w:themeShade="BF" w:sz="4" w:space="0"/>
            </w:tcBorders>
            <w:noWrap/>
            <w:tcMar>
              <w:top w:w="15" w:type="dxa"/>
              <w:left w:w="15" w:type="dxa"/>
              <w:right w:w="15" w:type="dxa"/>
            </w:tcMar>
            <w:vAlign w:val="center"/>
          </w:tcPr>
          <w:p w14:paraId="606944F0">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根</w:t>
            </w:r>
          </w:p>
        </w:tc>
        <w:tc>
          <w:tcPr>
            <w:tcW w:w="1594" w:type="dxa"/>
            <w:tcBorders>
              <w:top w:val="single" w:color="2F5496" w:themeColor="accent5" w:themeShade="BF" w:sz="4" w:space="0"/>
              <w:left w:val="single" w:color="2F5496" w:themeColor="accent5" w:themeShade="BF" w:sz="4" w:space="0"/>
              <w:bottom w:val="double" w:color="2F5496" w:themeColor="accent5" w:themeShade="BF" w:sz="4" w:space="0"/>
              <w:right w:val="double" w:color="2F5496" w:themeColor="accent5" w:themeShade="BF" w:sz="4" w:space="0"/>
            </w:tcBorders>
            <w:noWrap/>
            <w:tcMar>
              <w:top w:w="15" w:type="dxa"/>
              <w:left w:w="15" w:type="dxa"/>
              <w:right w:w="15" w:type="dxa"/>
            </w:tcMar>
            <w:vAlign w:val="center"/>
          </w:tcPr>
          <w:p w14:paraId="151E6915">
            <w:pPr>
              <w:keepNext w:val="0"/>
              <w:keepLines w:val="0"/>
              <w:widowControl/>
              <w:suppressLineNumbers w:val="0"/>
              <w:spacing w:line="240" w:lineRule="auto"/>
              <w:ind w:firstLine="0" w:firstLineChars="0"/>
              <w:jc w:val="center"/>
              <w:textAlignment w:val="center"/>
              <w:rPr>
                <w:rFonts w:hint="eastAsia" w:ascii="仿宋" w:hAnsi="仿宋" w:eastAsia="仿宋" w:cs="仿宋"/>
                <w:i w:val="0"/>
                <w:color w:val="000000"/>
                <w:kern w:val="0"/>
                <w:sz w:val="21"/>
                <w:szCs w:val="21"/>
                <w:highlight w:val="none"/>
                <w:u w:val="none"/>
                <w:lang w:val="en-US" w:eastAsia="zh-CN" w:bidi="ar"/>
              </w:rPr>
            </w:pPr>
            <w:r>
              <w:rPr>
                <w:rFonts w:hint="eastAsia" w:ascii="仿宋" w:hAnsi="仿宋" w:eastAsia="仿宋" w:cs="仿宋"/>
                <w:i w:val="0"/>
                <w:color w:val="000000"/>
                <w:kern w:val="0"/>
                <w:sz w:val="21"/>
                <w:szCs w:val="21"/>
                <w:highlight w:val="none"/>
                <w:u w:val="none"/>
                <w:lang w:val="en-US" w:eastAsia="zh-CN" w:bidi="ar"/>
              </w:rPr>
              <w:t>24</w:t>
            </w:r>
          </w:p>
        </w:tc>
      </w:tr>
    </w:tbl>
    <w:p w14:paraId="73CCDFC3">
      <w:pPr>
        <w:adjustRightInd w:val="0"/>
        <w:snapToGrid w:val="0"/>
        <w:spacing w:line="360" w:lineRule="auto"/>
        <w:rPr>
          <w:rFonts w:ascii="宋体" w:hAnsi="宋体" w:eastAsia="宋体"/>
          <w:snapToGrid w:val="0"/>
          <w:kern w:val="0"/>
          <w:sz w:val="24"/>
          <w:szCs w:val="20"/>
          <w:highlight w:val="none"/>
        </w:rPr>
      </w:pPr>
      <w:r>
        <w:rPr>
          <w:rFonts w:hint="eastAsia" w:ascii="宋体" w:hAnsi="宋体" w:eastAsia="宋体"/>
          <w:snapToGrid w:val="0"/>
          <w:kern w:val="0"/>
          <w:sz w:val="24"/>
          <w:szCs w:val="20"/>
          <w:highlight w:val="none"/>
        </w:rPr>
        <w:br w:type="page"/>
      </w:r>
    </w:p>
    <w:p w14:paraId="208E5FBD">
      <w:pPr>
        <w:pStyle w:val="2"/>
        <w:numPr>
          <w:ilvl w:val="0"/>
          <w:numId w:val="0"/>
        </w:numPr>
        <w:ind w:leftChars="0"/>
        <w:jc w:val="center"/>
        <w:rPr>
          <w:highlight w:val="none"/>
        </w:rPr>
      </w:pPr>
      <w:bookmarkStart w:id="141" w:name="_Toc42642294"/>
      <w:bookmarkEnd w:id="141"/>
      <w:bookmarkStart w:id="142" w:name="_Toc42642007"/>
      <w:bookmarkEnd w:id="142"/>
      <w:bookmarkStart w:id="143" w:name="_Toc42642293"/>
      <w:bookmarkEnd w:id="143"/>
      <w:bookmarkStart w:id="144" w:name="_Toc42641834"/>
      <w:bookmarkEnd w:id="144"/>
      <w:bookmarkStart w:id="145" w:name="_Toc42642006"/>
      <w:bookmarkEnd w:id="145"/>
      <w:bookmarkStart w:id="146" w:name="_Toc42641835"/>
      <w:bookmarkEnd w:id="146"/>
      <w:bookmarkStart w:id="147" w:name="_Toc3445"/>
      <w:bookmarkStart w:id="148" w:name="_Toc30301"/>
      <w:bookmarkStart w:id="149" w:name="_Toc7284"/>
      <w:r>
        <w:rPr>
          <w:rFonts w:hint="eastAsia"/>
          <w:highlight w:val="none"/>
          <w:lang w:val="en-US" w:eastAsia="zh-CN"/>
        </w:rPr>
        <w:t>4</w:t>
      </w:r>
      <w:r>
        <w:rPr>
          <w:rFonts w:hint="eastAsia"/>
          <w:highlight w:val="none"/>
        </w:rPr>
        <w:t>施工工艺</w:t>
      </w:r>
      <w:bookmarkEnd w:id="140"/>
      <w:bookmarkEnd w:id="147"/>
      <w:bookmarkEnd w:id="148"/>
      <w:bookmarkEnd w:id="149"/>
    </w:p>
    <w:p w14:paraId="6C14B36A">
      <w:pPr>
        <w:pStyle w:val="3"/>
        <w:rPr>
          <w:highlight w:val="none"/>
        </w:rPr>
      </w:pPr>
      <w:bookmarkStart w:id="150" w:name="_Toc25900"/>
      <w:bookmarkStart w:id="151" w:name="_Toc12984"/>
      <w:bookmarkStart w:id="152" w:name="_Toc22706"/>
      <w:bookmarkStart w:id="153" w:name="_Toc23545"/>
      <w:bookmarkStart w:id="154" w:name="_Toc21345"/>
      <w:bookmarkStart w:id="155" w:name="_Toc10409792"/>
      <w:r>
        <w:rPr>
          <w:rFonts w:hint="eastAsia"/>
          <w:highlight w:val="none"/>
          <w:lang w:val="en-US" w:eastAsia="zh-CN"/>
        </w:rPr>
        <w:t>4.1</w:t>
      </w:r>
      <w:r>
        <w:rPr>
          <w:rFonts w:hint="eastAsia"/>
          <w:highlight w:val="none"/>
        </w:rPr>
        <w:t>塔机安装施工工艺流程</w:t>
      </w:r>
      <w:bookmarkEnd w:id="150"/>
      <w:bookmarkEnd w:id="151"/>
      <w:bookmarkEnd w:id="152"/>
    </w:p>
    <w:p w14:paraId="23C8ADF6">
      <w:pPr>
        <w:bidi w:val="0"/>
        <w:ind w:firstLine="480" w:firstLineChars="200"/>
        <w:rPr>
          <w:rFonts w:hint="default"/>
          <w:highlight w:val="none"/>
          <w:lang w:val="en-US" w:eastAsia="zh-CN"/>
        </w:rPr>
      </w:pPr>
      <w:r>
        <w:rPr>
          <w:rFonts w:hint="default"/>
          <w:highlight w:val="none"/>
          <w:lang w:val="en-US" w:eastAsia="zh-CN"/>
        </w:rPr>
        <w:t>塔吊安装主要包括基础施工、部件组装、部件吊装、附着安装、顶升、调试等。</w:t>
      </w:r>
      <w:r>
        <w:rPr>
          <w:rFonts w:hint="eastAsia"/>
          <w:highlight w:val="none"/>
          <w:lang w:val="en-US" w:eastAsia="zh-CN"/>
        </w:rPr>
        <w:t>XGT7026-12S1</w:t>
      </w:r>
      <w:r>
        <w:rPr>
          <w:rFonts w:hint="default"/>
          <w:highlight w:val="none"/>
          <w:lang w:val="en-US" w:eastAsia="zh-CN"/>
        </w:rPr>
        <w:t>塔吊安装工艺流程如下：</w:t>
      </w:r>
    </w:p>
    <w:p w14:paraId="4599EE90">
      <w:pPr>
        <w:spacing w:line="360" w:lineRule="auto"/>
        <w:ind w:firstLine="480" w:firstLineChars="200"/>
        <w:rPr>
          <w:rFonts w:hint="default"/>
          <w:highlight w:val="none"/>
          <w:lang w:val="en-US" w:eastAsia="zh-CN"/>
        </w:rPr>
      </w:pPr>
      <w:r>
        <w:rPr>
          <w:rFonts w:hint="eastAsia"/>
          <w:highlight w:val="none"/>
          <w:lang w:val="en-US" w:eastAsia="zh-CN"/>
        </w:rPr>
        <w:t>安装基础节→安装一节标准节→安装爬升架→安装特殊节、回转总成→安装起重臂臂节一→安装平衡臂、平衡臂拉杆→安装2块2.85t平衡重→安装剩余起重臂→安装剩余平衡重→穿绕牵引、起升钢丝绳→塔机试运行</w:t>
      </w:r>
    </w:p>
    <w:p w14:paraId="6656207A">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eastAsia="宋体"/>
          <w:highlight w:val="none"/>
          <w:lang w:val="en-US" w:eastAsia="zh-CN"/>
        </w:rPr>
      </w:pPr>
      <w:bookmarkStart w:id="156" w:name="_Toc14414"/>
      <w:r>
        <w:rPr>
          <w:rFonts w:hint="eastAsia"/>
          <w:highlight w:val="none"/>
          <w:lang w:val="en-US" w:eastAsia="zh-CN"/>
        </w:rPr>
        <w:t>4.2主要设备选型</w:t>
      </w:r>
      <w:bookmarkEnd w:id="153"/>
      <w:bookmarkEnd w:id="154"/>
      <w:bookmarkEnd w:id="156"/>
    </w:p>
    <w:p w14:paraId="0BA286F2">
      <w:pPr>
        <w:pStyle w:val="4"/>
        <w:bidi w:val="0"/>
        <w:rPr>
          <w:highlight w:val="none"/>
        </w:rPr>
      </w:pPr>
      <w:r>
        <w:rPr>
          <w:rFonts w:hint="eastAsia"/>
          <w:highlight w:val="none"/>
          <w:lang w:val="en-US" w:eastAsia="zh-CN"/>
        </w:rPr>
        <w:t>4</w:t>
      </w:r>
      <w:r>
        <w:rPr>
          <w:highlight w:val="none"/>
        </w:rPr>
        <w:t>.</w:t>
      </w:r>
      <w:r>
        <w:rPr>
          <w:rFonts w:hint="eastAsia"/>
          <w:highlight w:val="none"/>
          <w:lang w:val="en-US" w:eastAsia="zh-CN"/>
        </w:rPr>
        <w:t>2</w:t>
      </w:r>
      <w:r>
        <w:rPr>
          <w:highlight w:val="none"/>
        </w:rPr>
        <w:t>.</w:t>
      </w:r>
      <w:r>
        <w:rPr>
          <w:rFonts w:hint="eastAsia"/>
          <w:highlight w:val="none"/>
          <w:lang w:val="en-US" w:eastAsia="zh-CN"/>
        </w:rPr>
        <w:t>1</w:t>
      </w:r>
      <w:r>
        <w:rPr>
          <w:rFonts w:hint="eastAsia"/>
          <w:highlight w:val="none"/>
        </w:rPr>
        <w:t>辅助起重设备选型</w:t>
      </w:r>
    </w:p>
    <w:p w14:paraId="0985545A">
      <w:pPr>
        <w:bidi w:val="0"/>
        <w:ind w:firstLine="480" w:firstLineChars="200"/>
        <w:rPr>
          <w:rFonts w:hint="default" w:eastAsia="宋体"/>
          <w:highlight w:val="none"/>
          <w:lang w:val="en-US" w:eastAsia="zh-CN"/>
        </w:rPr>
      </w:pPr>
      <w:r>
        <w:rPr>
          <w:rFonts w:hint="eastAsia"/>
          <w:highlight w:val="none"/>
          <w:lang w:val="en-US" w:eastAsia="zh-CN"/>
        </w:rPr>
        <w:t>结合XGT7026-12S1</w:t>
      </w:r>
      <w:r>
        <w:rPr>
          <w:rFonts w:hint="default"/>
          <w:highlight w:val="none"/>
          <w:lang w:val="en-US" w:eastAsia="zh-CN"/>
        </w:rPr>
        <w:t>塔吊</w:t>
      </w:r>
      <w:r>
        <w:rPr>
          <w:rFonts w:hint="eastAsia"/>
          <w:highlight w:val="none"/>
          <w:lang w:val="en-US" w:eastAsia="zh-CN"/>
        </w:rPr>
        <w:t>主要部件重量，选用</w:t>
      </w:r>
      <w:r>
        <w:rPr>
          <w:rFonts w:hint="default"/>
          <w:highlight w:val="none"/>
          <w:lang w:val="en-US" w:eastAsia="zh-CN"/>
        </w:rPr>
        <w:t>选用一台</w:t>
      </w:r>
      <w:r>
        <w:rPr>
          <w:rFonts w:hint="eastAsia"/>
          <w:highlight w:val="none"/>
          <w:lang w:val="en-US" w:eastAsia="zh-CN"/>
        </w:rPr>
        <w:t>STC500C5-8型</w:t>
      </w:r>
      <w:r>
        <w:rPr>
          <w:rFonts w:hint="default"/>
          <w:highlight w:val="none"/>
          <w:lang w:val="en-US" w:eastAsia="zh-CN"/>
        </w:rPr>
        <w:t>汽车吊进行塔吊部件组装</w:t>
      </w:r>
      <w:r>
        <w:rPr>
          <w:rFonts w:hint="eastAsia"/>
          <w:highlight w:val="none"/>
          <w:lang w:val="en-US" w:eastAsia="zh-CN"/>
        </w:rPr>
        <w:t>、</w:t>
      </w:r>
      <w:r>
        <w:rPr>
          <w:rFonts w:hint="default"/>
          <w:highlight w:val="none"/>
          <w:lang w:val="en-US" w:eastAsia="zh-CN"/>
        </w:rPr>
        <w:t>吊装</w:t>
      </w:r>
      <w:r>
        <w:rPr>
          <w:rFonts w:hint="eastAsia"/>
          <w:highlight w:val="none"/>
          <w:lang w:val="en-US" w:eastAsia="zh-CN"/>
        </w:rPr>
        <w:t>作业</w:t>
      </w:r>
      <w:r>
        <w:rPr>
          <w:rFonts w:hint="default"/>
          <w:highlight w:val="none"/>
          <w:lang w:val="en-US" w:eastAsia="zh-CN"/>
        </w:rPr>
        <w:t>，工作半径</w:t>
      </w:r>
      <w:r>
        <w:rPr>
          <w:rFonts w:hint="eastAsia"/>
          <w:highlight w:val="none"/>
          <w:lang w:val="en-US" w:eastAsia="zh-CN"/>
        </w:rPr>
        <w:t>不超过14</w:t>
      </w:r>
      <w:r>
        <w:rPr>
          <w:rFonts w:hint="default"/>
          <w:highlight w:val="none"/>
          <w:lang w:val="en-US" w:eastAsia="zh-CN"/>
        </w:rPr>
        <w:t>米</w:t>
      </w:r>
      <w:r>
        <w:rPr>
          <w:rFonts w:hint="eastAsia"/>
          <w:highlight w:val="none"/>
          <w:lang w:val="en-US" w:eastAsia="zh-CN"/>
        </w:rPr>
        <w:t>，允许吊重12.4t＞9.8t(平衡臂)</w:t>
      </w:r>
      <w:r>
        <w:rPr>
          <w:rFonts w:hint="default"/>
          <w:highlight w:val="none"/>
          <w:lang w:val="en-US" w:eastAsia="zh-CN"/>
        </w:rPr>
        <w:t>满足使用要求。</w:t>
      </w:r>
      <w:r>
        <w:rPr>
          <w:rFonts w:hint="eastAsia"/>
          <w:highlight w:val="none"/>
          <w:lang w:val="en-US" w:eastAsia="zh-CN"/>
        </w:rPr>
        <w:t>施工场地</w:t>
      </w:r>
      <w:r>
        <w:rPr>
          <w:rFonts w:hint="eastAsia"/>
          <w:highlight w:val="none"/>
        </w:rPr>
        <w:t>局部冲沟发育</w:t>
      </w:r>
      <w:r>
        <w:rPr>
          <w:rFonts w:hint="eastAsia"/>
          <w:highlight w:val="none"/>
          <w:lang w:eastAsia="zh-CN"/>
        </w:rPr>
        <w:t>，</w:t>
      </w:r>
      <w:r>
        <w:rPr>
          <w:rFonts w:hint="eastAsia"/>
          <w:highlight w:val="none"/>
          <w:lang w:val="en-US" w:eastAsia="zh-CN"/>
        </w:rPr>
        <w:t>原地面经过清表后</w:t>
      </w:r>
      <w:r>
        <w:rPr>
          <w:rFonts w:hint="eastAsia"/>
          <w:highlight w:val="none"/>
        </w:rPr>
        <w:t>上层杂填土、素填土已清理出场,现阶段场区内</w:t>
      </w:r>
      <w:r>
        <w:rPr>
          <w:rFonts w:hint="eastAsia"/>
          <w:highlight w:val="none"/>
          <w:lang w:val="en-US" w:eastAsia="zh-CN"/>
        </w:rPr>
        <w:t>基本采用片石、碎石土回填完善，</w:t>
      </w:r>
      <w:r>
        <w:rPr>
          <w:rFonts w:hint="eastAsia"/>
          <w:highlight w:val="none"/>
        </w:rPr>
        <w:t>地基土承载力</w:t>
      </w:r>
      <w:r>
        <w:rPr>
          <w:rFonts w:hint="eastAsia"/>
          <w:highlight w:val="none"/>
          <w:lang w:val="en-US" w:eastAsia="zh-CN"/>
        </w:rPr>
        <w:t>不低于</w:t>
      </w:r>
      <w:r>
        <w:rPr>
          <w:rFonts w:hint="eastAsia"/>
          <w:highlight w:val="none"/>
        </w:rPr>
        <w:t>150kpa</w:t>
      </w:r>
      <w:r>
        <w:rPr>
          <w:rFonts w:hint="eastAsia"/>
          <w:highlight w:val="none"/>
          <w:lang w:eastAsia="zh-CN"/>
        </w:rPr>
        <w:t>，</w:t>
      </w:r>
      <w:r>
        <w:rPr>
          <w:rFonts w:hint="eastAsia" w:ascii="宋体" w:hAnsi="宋体" w:eastAsia="宋体" w:cs="Times New Roman"/>
          <w:highlight w:val="none"/>
          <w:lang w:val="en-US" w:eastAsia="zh-CN"/>
        </w:rPr>
        <w:t>符合起重吊装作业要对吊装场地的地基承载力要求。</w:t>
      </w:r>
    </w:p>
    <w:p w14:paraId="2896B872">
      <w:pPr>
        <w:bidi w:val="0"/>
        <w:jc w:val="center"/>
        <w:rPr>
          <w:rFonts w:hint="eastAsia"/>
          <w:highlight w:val="none"/>
          <w:lang w:val="en-US" w:eastAsia="zh-CN"/>
        </w:rPr>
      </w:pPr>
      <w:r>
        <w:drawing>
          <wp:inline distT="0" distB="0" distL="114300" distR="114300">
            <wp:extent cx="5271135" cy="4257040"/>
            <wp:effectExtent l="0" t="0" r="5715" b="10160"/>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19"/>
                    <a:stretch>
                      <a:fillRect/>
                    </a:stretch>
                  </pic:blipFill>
                  <pic:spPr>
                    <a:xfrm>
                      <a:off x="0" y="0"/>
                      <a:ext cx="5271135" cy="4257040"/>
                    </a:xfrm>
                    <a:prstGeom prst="rect">
                      <a:avLst/>
                    </a:prstGeom>
                    <a:noFill/>
                    <a:ln>
                      <a:noFill/>
                    </a:ln>
                  </pic:spPr>
                </pic:pic>
              </a:graphicData>
            </a:graphic>
          </wp:inline>
        </w:drawing>
      </w:r>
    </w:p>
    <w:p w14:paraId="6DD8A754">
      <w:pPr>
        <w:pStyle w:val="41"/>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w:t>
      </w:r>
      <w:r>
        <w:rPr>
          <w:highlight w:val="none"/>
        </w:rPr>
        <w:fldChar w:fldCharType="end"/>
      </w:r>
      <w:r>
        <w:rPr>
          <w:rFonts w:hint="eastAsia"/>
          <w:highlight w:val="none"/>
          <w:lang w:val="en-US" w:eastAsia="zh-CN"/>
        </w:rPr>
        <w:t xml:space="preserve"> 50吨</w:t>
      </w:r>
      <w:r>
        <w:rPr>
          <w:rFonts w:hint="eastAsia"/>
          <w:highlight w:val="none"/>
        </w:rPr>
        <w:t>汽车吊起重量表</w:t>
      </w:r>
    </w:p>
    <w:p w14:paraId="028A4FB4">
      <w:pPr>
        <w:bidi w:val="0"/>
        <w:jc w:val="center"/>
        <w:rPr>
          <w:rFonts w:hint="default" w:eastAsia="宋体"/>
          <w:highlight w:val="none"/>
          <w:lang w:val="en-US" w:eastAsia="zh-CN"/>
        </w:rPr>
      </w:pPr>
      <w:r>
        <w:drawing>
          <wp:inline distT="0" distB="0" distL="114300" distR="114300">
            <wp:extent cx="5272405" cy="5123815"/>
            <wp:effectExtent l="0" t="0" r="4445" b="63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20"/>
                    <a:stretch>
                      <a:fillRect/>
                    </a:stretch>
                  </pic:blipFill>
                  <pic:spPr>
                    <a:xfrm>
                      <a:off x="0" y="0"/>
                      <a:ext cx="5272405" cy="5123815"/>
                    </a:xfrm>
                    <a:prstGeom prst="rect">
                      <a:avLst/>
                    </a:prstGeom>
                    <a:noFill/>
                    <a:ln>
                      <a:noFill/>
                    </a:ln>
                  </pic:spPr>
                </pic:pic>
              </a:graphicData>
            </a:graphic>
          </wp:inline>
        </w:drawing>
      </w:r>
    </w:p>
    <w:p w14:paraId="5A66F51B">
      <w:pPr>
        <w:pStyle w:val="41"/>
        <w:bidi w:val="0"/>
        <w:rPr>
          <w:rFonts w:hint="eastAsia"/>
          <w:highlight w:val="none"/>
          <w:lang w:val="en-US" w:eastAsia="zh-CN"/>
        </w:rPr>
      </w:pPr>
      <w:r>
        <w:rPr>
          <w:highlight w:val="none"/>
        </w:rPr>
        <w:t>图4</w:t>
      </w:r>
      <w:r>
        <w:rPr>
          <w:rFonts w:hint="eastAsia"/>
          <w:highlight w:val="none"/>
          <w:lang w:val="en-US" w:eastAsia="zh-CN"/>
        </w:rPr>
        <w:t>-2 50吨汽车吊起重性能曲线图</w:t>
      </w:r>
    </w:p>
    <w:p w14:paraId="1BEFDEAA">
      <w:pPr>
        <w:pStyle w:val="4"/>
        <w:bidi w:val="0"/>
        <w:rPr>
          <w:rFonts w:hint="eastAsia"/>
          <w:highlight w:val="none"/>
          <w:lang w:val="en-US" w:eastAsia="zh-CN"/>
        </w:rPr>
      </w:pPr>
      <w:r>
        <w:rPr>
          <w:rFonts w:hint="eastAsia"/>
          <w:highlight w:val="none"/>
          <w:lang w:val="en-US" w:eastAsia="zh-CN"/>
        </w:rPr>
        <w:t>4.2.2吊装钢丝绳选型</w:t>
      </w:r>
    </w:p>
    <w:p w14:paraId="062FE3BB">
      <w:pPr>
        <w:rPr>
          <w:color w:val="auto"/>
        </w:rPr>
      </w:pPr>
      <w:r>
        <w:rPr>
          <w:rFonts w:hint="eastAsia"/>
          <w:color w:val="auto"/>
          <w:lang w:val="en-US" w:eastAsia="zh-CN"/>
        </w:rPr>
        <w:t>1、</w:t>
      </w:r>
      <w:r>
        <w:rPr>
          <w:color w:val="auto"/>
        </w:rPr>
        <w:t>钢丝绳选型依据</w:t>
      </w:r>
    </w:p>
    <w:p w14:paraId="0B65EECD">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4CFDCF07">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70E4A18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752F742A">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p w14:paraId="7F163C93">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p w14:paraId="258580F5">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tbl>
      <w:tblPr>
        <w:tblStyle w:val="1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
        <w:gridCol w:w="831"/>
        <w:gridCol w:w="7288"/>
      </w:tblGrid>
      <w:tr w14:paraId="38BE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DFC396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73469B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54AD3B52">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6237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C0624A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38FA6E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15C5BCC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1DF6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49B33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67D49B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6AAC1001">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53C5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59EB6D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9FC730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5D391A1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1647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86EB9E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7CCC0A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2CD336BA">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7D70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9C62FB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ED101F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0BCC12F7">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5432BA07">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53E64925">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00C7F164">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1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
        <w:gridCol w:w="819"/>
        <w:gridCol w:w="7327"/>
      </w:tblGrid>
      <w:tr w14:paraId="32534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1AAA3A8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1475275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396A7BC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0966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781797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5583AA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1E38C3BB">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0D29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1AF4A8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620968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65A87194">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14E5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AD8CCC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9736AA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13D5438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39DB1C7B">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采用四点吊的塔吊主要部件</w:t>
      </w:r>
      <w:r>
        <w:rPr>
          <w:rFonts w:hint="eastAsia" w:cs="Times New Roman"/>
          <w:highlight w:val="none"/>
          <w:lang w:val="en-US" w:eastAsia="zh-CN"/>
        </w:rPr>
        <w:t>中</w:t>
      </w:r>
      <w:r>
        <w:rPr>
          <w:rFonts w:hint="eastAsia" w:ascii="Times New Roman" w:hAnsi="Times New Roman" w:eastAsia="宋体" w:cs="Times New Roman"/>
          <w:highlight w:val="none"/>
        </w:rPr>
        <w:t>最大重量为</w:t>
      </w:r>
      <w:r>
        <w:rPr>
          <w:rFonts w:hint="eastAsia" w:ascii="Times New Roman" w:hAnsi="Times New Roman" w:eastAsia="宋体" w:cs="Times New Roman"/>
          <w:highlight w:val="none"/>
          <w:lang w:val="en-US" w:eastAsia="zh-CN"/>
        </w:rPr>
        <w:t>平衡臂</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平衡臂</w:t>
      </w:r>
      <w:r>
        <w:rPr>
          <w:rFonts w:hint="eastAsia" w:ascii="Times New Roman" w:hAnsi="Times New Roman" w:eastAsia="宋体" w:cs="Times New Roman"/>
          <w:highlight w:val="none"/>
        </w:rPr>
        <w:t>起重量约</w:t>
      </w:r>
      <w:r>
        <w:rPr>
          <w:rFonts w:hint="eastAsia" w:cs="Times New Roman"/>
          <w:highlight w:val="none"/>
          <w:lang w:val="en-US" w:eastAsia="zh-CN"/>
        </w:rPr>
        <w:t>9.8t</w:t>
      </w:r>
      <w:r>
        <w:rPr>
          <w:rFonts w:hint="eastAsia" w:ascii="Times New Roman" w:hAnsi="Times New Roman" w:eastAsia="宋体" w:cs="Times New Roman"/>
          <w:highlight w:val="none"/>
        </w:rPr>
        <w:t>，钢丝绳与</w:t>
      </w:r>
      <w:r>
        <w:rPr>
          <w:rFonts w:hint="eastAsia" w:ascii="Times New Roman" w:hAnsi="Times New Roman" w:eastAsia="宋体" w:cs="Times New Roman"/>
          <w:highlight w:val="none"/>
          <w:lang w:val="en-US" w:eastAsia="zh-CN"/>
        </w:rPr>
        <w:t>平衡臂</w:t>
      </w:r>
      <w:r>
        <w:rPr>
          <w:rFonts w:hint="eastAsia" w:ascii="Times New Roman" w:hAnsi="Times New Roman" w:eastAsia="宋体" w:cs="Times New Roman"/>
          <w:highlight w:val="none"/>
        </w:rPr>
        <w:t>成60°夹角，以</w:t>
      </w:r>
      <w:r>
        <w:rPr>
          <w:rFonts w:hint="eastAsia" w:cs="Times New Roman"/>
          <w:highlight w:val="none"/>
          <w:lang w:val="en-US" w:eastAsia="zh-CN"/>
        </w:rPr>
        <w:t>平衡臂</w:t>
      </w:r>
      <w:r>
        <w:rPr>
          <w:rFonts w:hint="eastAsia" w:ascii="Times New Roman" w:hAnsi="Times New Roman" w:eastAsia="宋体" w:cs="Times New Roman"/>
          <w:highlight w:val="none"/>
        </w:rPr>
        <w:t>四个销轴孔作为吊装孔，钢丝绳采用压制接头。</w:t>
      </w:r>
    </w:p>
    <w:p w14:paraId="6AD5428C">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每根钢丝绳最小破断拉力：</w:t>
      </w:r>
    </w:p>
    <w:p w14:paraId="605403D7">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r>
            <m:rPr>
              <m:nor/>
              <m:sty m:val="p"/>
            </m:rPr>
            <w:rPr>
              <w:b w:val="0"/>
              <w:i w:val="0"/>
              <w:highlight w:val="none"/>
            </w:rPr>
            <m:t>=</m:t>
          </m:r>
          <m:f>
            <m:fPr>
              <m:ctrlPr>
                <w:rPr>
                  <w:rFonts w:ascii="Cambria Math" w:hAnsi="Cambria Math"/>
                  <w:highlight w:val="none"/>
                </w:rPr>
              </m:ctrlPr>
            </m:fPr>
            <m:num>
              <m:r>
                <m:rPr>
                  <m:nor/>
                  <m:sty m:val="p"/>
                </m:rPr>
                <w:rPr>
                  <w:b w:val="0"/>
                  <w:i w:val="0"/>
                  <w:highlight w:val="none"/>
                </w:rPr>
                <m:t>WLL×</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m</m:t>
                  </m:r>
                  <m:ctrlPr>
                    <w:rPr>
                      <w:rFonts w:ascii="Cambria Math" w:hAnsi="Cambria Math"/>
                      <w:highlight w:val="none"/>
                    </w:rPr>
                  </m:ctrlPr>
                </m:sub>
              </m:sSub>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u</m:t>
                  </m:r>
                  <m:ctrlPr>
                    <w:rPr>
                      <w:rFonts w:ascii="Cambria Math" w:hAnsi="Cambria Math"/>
                      <w:highlight w:val="none"/>
                    </w:rPr>
                  </m:ctrlPr>
                </m:sub>
              </m:sSub>
              <m:ctrlPr>
                <w:rPr>
                  <w:rFonts w:ascii="Cambria Math" w:hAnsi="Cambria Math"/>
                  <w:highlight w:val="none"/>
                </w:rPr>
              </m:ctrlPr>
            </m:num>
            <m:den>
              <m:sSub>
                <m:sSubPr>
                  <m:ctrlPr>
                    <w:rPr>
                      <w:rFonts w:ascii="Cambria Math" w:hAnsi="Cambria Math"/>
                      <w:highlight w:val="none"/>
                    </w:rPr>
                  </m:ctrlPr>
                </m:sSubPr>
                <m:e>
                  <m:r>
                    <m:rPr>
                      <m:nor/>
                      <m:sty m:val="p"/>
                    </m:rPr>
                    <w:rPr>
                      <w:b w:val="0"/>
                      <w:i w:val="0"/>
                      <w:highlight w:val="none"/>
                    </w:rPr>
                    <m:t>K</m:t>
                  </m:r>
                  <m:ctrlPr>
                    <w:rPr>
                      <w:rFonts w:ascii="Cambria Math" w:hAnsi="Cambria Math"/>
                      <w:highlight w:val="none"/>
                    </w:rPr>
                  </m:ctrlPr>
                </m:e>
                <m:sub>
                  <m:r>
                    <m:rPr>
                      <m:nor/>
                      <m:sty m:val="p"/>
                    </m:rPr>
                    <w:rPr>
                      <w:b w:val="0"/>
                      <w:i w:val="0"/>
                      <w:highlight w:val="none"/>
                    </w:rPr>
                    <m:t>e</m:t>
                  </m:r>
                  <m:ctrlPr>
                    <w:rPr>
                      <w:rFonts w:ascii="Cambria Math" w:hAnsi="Cambria Math"/>
                      <w:highlight w:val="none"/>
                    </w:rPr>
                  </m:ctrlPr>
                </m:sub>
              </m:sSub>
              <m:r>
                <m:rPr>
                  <m:nor/>
                  <m:sty m:val="p"/>
                </m:rPr>
                <w:rPr>
                  <w:b w:val="0"/>
                  <w:i w:val="0"/>
                  <w:highlight w:val="none"/>
                </w:rPr>
                <m:t>×K</m:t>
              </m:r>
              <m:ctrlPr>
                <w:rPr>
                  <w:rFonts w:ascii="Cambria Math" w:hAnsi="Cambria Math"/>
                  <w:highlight w:val="none"/>
                </w:rPr>
              </m:ctrlPr>
            </m:den>
          </m:f>
          <m:r>
            <m:rPr>
              <m:nor/>
              <m:sty m:val="p"/>
            </m:rPr>
            <w:rPr>
              <w:b w:val="0"/>
              <w:i w:val="0"/>
              <w:highlight w:val="none"/>
            </w:rPr>
            <m:t>=</m:t>
          </m:r>
          <m:f>
            <m:fPr>
              <m:ctrlPr>
                <w:rPr>
                  <w:rFonts w:ascii="Cambria Math" w:hAnsi="Cambria Math"/>
                  <w:highlight w:val="none"/>
                </w:rPr>
              </m:ctrlPr>
            </m:fPr>
            <m:num>
              <m:r>
                <m:rPr>
                  <m:nor/>
                  <m:sty m:val="p"/>
                </m:rPr>
                <w:rPr>
                  <w:rFonts w:hint="default" w:ascii="Cambria Math" w:hAnsi="Cambria Math"/>
                  <w:b w:val="0"/>
                  <w:i w:val="0"/>
                  <w:highlight w:val="none"/>
                  <w:lang w:val="en-US" w:eastAsia="zh-CN"/>
                </w:rPr>
                <m:t>9.8</m:t>
              </m:r>
              <m:r>
                <m:rPr>
                  <m:nor/>
                  <m:sty m:val="p"/>
                </m:rPr>
                <w:rPr>
                  <w:b w:val="0"/>
                  <w:i w:val="0"/>
                  <w:highlight w:val="none"/>
                </w:rPr>
                <m:t>×9.80665×6</m:t>
              </m:r>
              <m:ctrlPr>
                <w:rPr>
                  <w:rFonts w:ascii="Cambria Math" w:hAnsi="Cambria Math"/>
                  <w:highlight w:val="none"/>
                </w:rPr>
              </m:ctrlPr>
            </m:num>
            <m:den>
              <m:r>
                <m:rPr>
                  <m:nor/>
                  <m:sty m:val="p"/>
                </m:rPr>
                <w:rPr>
                  <w:b w:val="0"/>
                  <w:i w:val="0"/>
                  <w:highlight w:val="none"/>
                </w:rPr>
                <m:t>0.9×2.1</m:t>
              </m:r>
              <m:ctrlPr>
                <w:rPr>
                  <w:rFonts w:ascii="Cambria Math" w:hAnsi="Cambria Math"/>
                  <w:highlight w:val="none"/>
                </w:rPr>
              </m:ctrlPr>
            </m:den>
          </m:f>
          <m:r>
            <m:rPr>
              <m:nor/>
              <m:sty m:val="p"/>
            </m:rPr>
            <w:rPr>
              <w:b w:val="0"/>
              <w:i w:val="0"/>
              <w:highlight w:val="none"/>
            </w:rPr>
            <m:t>=</m:t>
          </m:r>
          <m:r>
            <m:rPr>
              <m:nor/>
              <m:sty m:val="p"/>
            </m:rPr>
            <w:rPr>
              <w:rFonts w:hint="default" w:ascii="Cambria Math" w:hAnsi="Cambria Math"/>
              <w:b w:val="0"/>
              <w:i w:val="0"/>
              <w:highlight w:val="none"/>
              <w:lang w:val="en-US" w:eastAsia="zh-CN"/>
            </w:rPr>
            <m:t>305.10</m:t>
          </m:r>
          <m:r>
            <m:rPr>
              <m:nor/>
              <m:sty m:val="p"/>
            </m:rPr>
            <w:rPr>
              <w:b w:val="0"/>
              <w:i w:val="0"/>
              <w:highlight w:val="none"/>
            </w:rPr>
            <m:t>kN</m:t>
          </m:r>
        </m:oMath>
      </m:oMathPara>
    </w:p>
    <w:p w14:paraId="33EFE3FD">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41247D7F">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D=</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num>
                <m:den>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r>
                    <m:rPr>
                      <m:nor/>
                      <m:sty m:val="p"/>
                    </m:rPr>
                    <w:rPr>
                      <w:rFonts w:hint="default" w:ascii="Cambria Math" w:hAnsi="Cambria Math"/>
                      <w:b w:val="0"/>
                      <w:i w:val="0"/>
                      <w:highlight w:val="none"/>
                      <w:lang w:val="en-US" w:eastAsia="zh-CN"/>
                    </w:rPr>
                    <m:t>305.10</m:t>
                  </m:r>
                  <m:ctrlPr>
                    <w:rPr>
                      <w:rFonts w:ascii="Cambria Math" w:hAnsi="Cambria Math"/>
                      <w:highlight w:val="none"/>
                    </w:rPr>
                  </m:ctrlPr>
                </m:num>
                <m:den>
                  <m:r>
                    <m:rPr>
                      <m:nor/>
                      <m:sty m:val="p"/>
                    </m:rPr>
                    <w:rPr>
                      <w:b w:val="0"/>
                      <w:i w:val="0"/>
                      <w:highlight w:val="none"/>
                    </w:rPr>
                    <m:t>0.33×1</m:t>
                  </m:r>
                  <m:r>
                    <m:rPr>
                      <m:nor/>
                      <m:sty m:val="p"/>
                    </m:rPr>
                    <w:rPr>
                      <w:rFonts w:hint="default" w:ascii="Cambria Math" w:hAnsi="Cambria Math"/>
                      <w:b w:val="0"/>
                      <w:i w:val="0"/>
                      <w:highlight w:val="none"/>
                      <w:lang w:val="en-US" w:eastAsia="zh-CN"/>
                    </w:rPr>
                    <m:t>87</m:t>
                  </m:r>
                  <m:r>
                    <m:rPr>
                      <m:nor/>
                      <m:sty m:val="p"/>
                    </m:rPr>
                    <w:rPr>
                      <w:b w:val="0"/>
                      <w:i w:val="0"/>
                      <w:highlight w:val="none"/>
                    </w:rPr>
                    <m:t>0</m:t>
                  </m:r>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
            <m:rPr>
              <m:nor/>
              <m:sty m:val="p"/>
            </m:rPr>
            <w:rPr>
              <w:rFonts w:hint="default" w:ascii="Cambria Math" w:hAnsi="Cambria Math"/>
              <w:b w:val="0"/>
              <w:i w:val="0"/>
              <w:highlight w:val="none"/>
              <w:lang w:val="en-US" w:eastAsia="zh-CN"/>
            </w:rPr>
            <m:t>22.24</m:t>
          </m:r>
          <m:r>
            <m:rPr>
              <m:nor/>
              <m:sty m:val="p"/>
            </m:rPr>
            <w:rPr>
              <w:b w:val="0"/>
              <w:i w:val="0"/>
              <w:highlight w:val="none"/>
            </w:rPr>
            <m:t>mm</m:t>
          </m:r>
        </m:oMath>
      </m:oMathPara>
    </w:p>
    <w:p w14:paraId="40639581">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ascii="Times New Roman" w:hAnsi="Times New Roman" w:eastAsia="宋体" w:cs="Times New Roman"/>
          <w:highlight w:val="none"/>
          <w:lang w:val="en-US" w:eastAsia="zh-CN"/>
        </w:rPr>
        <w:t>φ24</w:t>
      </w:r>
      <w:r>
        <w:rPr>
          <w:rFonts w:hint="eastAsia" w:ascii="Times New Roman" w:hAnsi="Times New Roman" w:eastAsia="宋体" w:cs="Times New Roman"/>
          <w:highlight w:val="none"/>
        </w:rPr>
        <w:t>mm钢丝绳可满足要求。</w:t>
      </w:r>
    </w:p>
    <w:p w14:paraId="4E5A1B07">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采用</w:t>
      </w:r>
      <w:r>
        <w:rPr>
          <w:rFonts w:hint="eastAsia" w:cs="Times New Roman"/>
          <w:highlight w:val="none"/>
          <w:lang w:val="en-US" w:eastAsia="zh-CN"/>
        </w:rPr>
        <w:t>两</w:t>
      </w:r>
      <w:r>
        <w:rPr>
          <w:rFonts w:hint="eastAsia" w:ascii="Times New Roman" w:hAnsi="Times New Roman" w:eastAsia="宋体" w:cs="Times New Roman"/>
          <w:highlight w:val="none"/>
        </w:rPr>
        <w:t>点吊的塔吊主要部件</w:t>
      </w:r>
      <w:r>
        <w:rPr>
          <w:rFonts w:hint="eastAsia" w:cs="Times New Roman"/>
          <w:highlight w:val="none"/>
          <w:lang w:val="en-US" w:eastAsia="zh-CN"/>
        </w:rPr>
        <w:t>中</w:t>
      </w:r>
      <w:r>
        <w:rPr>
          <w:rFonts w:hint="eastAsia" w:ascii="Times New Roman" w:hAnsi="Times New Roman" w:eastAsia="宋体" w:cs="Times New Roman"/>
          <w:highlight w:val="none"/>
        </w:rPr>
        <w:t>最大重量为</w:t>
      </w:r>
      <w:r>
        <w:rPr>
          <w:rFonts w:hint="eastAsia" w:ascii="Times New Roman" w:hAnsi="Times New Roman" w:eastAsia="宋体" w:cs="Times New Roman"/>
          <w:highlight w:val="none"/>
          <w:lang w:val="en-US" w:eastAsia="zh-CN"/>
        </w:rPr>
        <w:t>起重臂</w:t>
      </w:r>
      <w:r>
        <w:rPr>
          <w:rFonts w:hint="eastAsia" w:ascii="Times New Roman" w:hAnsi="Times New Roman" w:eastAsia="宋体" w:cs="Times New Roman"/>
          <w:highlight w:val="none"/>
        </w:rPr>
        <w:t>总成</w:t>
      </w:r>
      <w:r>
        <w:rPr>
          <w:rFonts w:hint="eastAsia" w:cs="Times New Roman"/>
          <w:highlight w:val="none"/>
          <w:lang w:eastAsia="zh-CN"/>
        </w:rPr>
        <w:t>，</w:t>
      </w:r>
      <w:r>
        <w:rPr>
          <w:rFonts w:hint="eastAsia" w:ascii="Times New Roman" w:hAnsi="Times New Roman" w:eastAsia="宋体" w:cs="Times New Roman"/>
          <w:highlight w:val="none"/>
          <w:lang w:val="en-US" w:eastAsia="zh-CN"/>
        </w:rPr>
        <w:t>起重臂</w:t>
      </w:r>
      <w:r>
        <w:rPr>
          <w:rFonts w:hint="eastAsia" w:ascii="Times New Roman" w:hAnsi="Times New Roman" w:eastAsia="宋体" w:cs="Times New Roman"/>
          <w:highlight w:val="none"/>
        </w:rPr>
        <w:t>总成最大重量约</w:t>
      </w:r>
      <w:r>
        <w:rPr>
          <w:rFonts w:hint="eastAsia" w:ascii="Times New Roman" w:hAnsi="Times New Roman" w:eastAsia="宋体" w:cs="Times New Roman"/>
          <w:highlight w:val="none"/>
          <w:lang w:val="en-US" w:eastAsia="zh-CN"/>
        </w:rPr>
        <w:t>6.422t</w:t>
      </w:r>
      <w:r>
        <w:rPr>
          <w:rFonts w:hint="eastAsia" w:ascii="Times New Roman" w:hAnsi="Times New Roman" w:eastAsia="宋体" w:cs="Times New Roman"/>
          <w:highlight w:val="none"/>
        </w:rPr>
        <w:t>，钢丝绳与起重臂</w:t>
      </w:r>
      <w:r>
        <w:rPr>
          <w:rFonts w:hint="eastAsia" w:ascii="Times New Roman" w:hAnsi="Times New Roman" w:eastAsia="宋体" w:cs="Times New Roman"/>
          <w:highlight w:val="none"/>
          <w:lang w:val="en-US" w:eastAsia="zh-CN"/>
        </w:rPr>
        <w:t>总</w:t>
      </w:r>
      <w:r>
        <w:rPr>
          <w:rFonts w:hint="eastAsia" w:ascii="Times New Roman" w:hAnsi="Times New Roman" w:eastAsia="宋体" w:cs="Times New Roman"/>
          <w:highlight w:val="none"/>
        </w:rPr>
        <w:t>成60°夹角，起重臂吊装采用两点吊，在起重臂腹杆上设置2个吊点，钢丝绳采用压制接头。</w:t>
      </w:r>
    </w:p>
    <w:p w14:paraId="5E17F7A9">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每根钢丝绳最小破断拉力：</w:t>
      </w:r>
    </w:p>
    <w:p w14:paraId="7C91A23E">
      <w:pPr>
        <w:ind w:firstLine="480"/>
        <w:rPr>
          <w:rFonts w:hint="eastAsia" w:ascii="Times New Roman" w:hAnsi="Times New Roman" w:eastAsia="宋体" w:cs="Times New Roman"/>
          <w:highlight w:val="none"/>
          <w:lang w:val="en-US" w:eastAsia="zh-CN"/>
        </w:rPr>
      </w:pPr>
      <m:oMathPara>
        <m:oMath>
          <m:sSub>
            <m:sSubPr>
              <m:ctrlPr>
                <w:rPr>
                  <w:rFonts w:hint="eastAsia" w:ascii="Cambria Math" w:hAnsi="Cambria Math" w:eastAsia="宋体" w:cs="Times New Roman"/>
                  <w:highlight w:val="none"/>
                  <w:lang w:val="en-US" w:eastAsia="zh-CN"/>
                </w:rPr>
              </m:ctrlPr>
            </m:sSubPr>
            <m:e>
              <m:r>
                <m:rPr>
                  <m:nor/>
                  <m:sty m:val="p"/>
                </m:rPr>
                <w:rPr>
                  <w:rFonts w:hint="eastAsia" w:ascii="Cambria Math" w:hAnsi="Cambria Math" w:eastAsia="宋体" w:cs="Times New Roman"/>
                  <w:b w:val="0"/>
                  <w:i w:val="0"/>
                  <w:highlight w:val="none"/>
                  <w:lang w:val="en-US" w:eastAsia="zh-CN"/>
                </w:rPr>
                <m:t>F</m:t>
              </m:r>
              <m:ctrlPr>
                <w:rPr>
                  <w:rFonts w:hint="eastAsia" w:ascii="Cambria Math" w:hAnsi="Cambria Math" w:eastAsia="宋体" w:cs="Times New Roman"/>
                  <w:highlight w:val="none"/>
                  <w:lang w:val="en-US" w:eastAsia="zh-CN"/>
                </w:rPr>
              </m:ctrlPr>
            </m:e>
            <m:sub>
              <m:r>
                <m:rPr>
                  <m:nor/>
                  <m:sty m:val="p"/>
                </m:rPr>
                <w:rPr>
                  <w:rFonts w:hint="eastAsia" w:ascii="Cambria Math" w:hAnsi="Cambria Math" w:eastAsia="宋体" w:cs="Times New Roman"/>
                  <w:b w:val="0"/>
                  <w:i w:val="0"/>
                  <w:highlight w:val="none"/>
                  <w:lang w:val="en-US" w:eastAsia="zh-CN"/>
                </w:rPr>
                <m:t>0</m:t>
              </m:r>
              <m:ctrlPr>
                <w:rPr>
                  <w:rFonts w:hint="eastAsia" w:ascii="Cambria Math" w:hAnsi="Cambria Math" w:eastAsia="宋体" w:cs="Times New Roman"/>
                  <w:highlight w:val="none"/>
                  <w:lang w:val="en-US" w:eastAsia="zh-CN"/>
                </w:rPr>
              </m:ctrlPr>
            </m:sub>
          </m:sSub>
          <m:r>
            <m:rPr>
              <m:nor/>
              <m:sty m:val="p"/>
            </m:rPr>
            <w:rPr>
              <w:rFonts w:hint="eastAsia" w:ascii="Cambria Math" w:hAnsi="Cambria Math" w:eastAsia="宋体" w:cs="Times New Roman"/>
              <w:b w:val="0"/>
              <w:i w:val="0"/>
              <w:highlight w:val="none"/>
              <w:lang w:val="en-US" w:eastAsia="zh-CN"/>
            </w:rPr>
            <m:t>=</m:t>
          </m:r>
          <m:f>
            <m:fPr>
              <m:ctrlPr>
                <w:rPr>
                  <w:rFonts w:hint="eastAsia" w:ascii="Cambria Math" w:hAnsi="Cambria Math" w:eastAsia="宋体" w:cs="Times New Roman"/>
                  <w:highlight w:val="none"/>
                  <w:lang w:val="en-US" w:eastAsia="zh-CN"/>
                </w:rPr>
              </m:ctrlPr>
            </m:fPr>
            <m:num>
              <m:r>
                <m:rPr>
                  <m:nor/>
                  <m:sty m:val="p"/>
                </m:rPr>
                <w:rPr>
                  <w:rFonts w:hint="eastAsia" w:ascii="Cambria Math" w:hAnsi="Cambria Math" w:eastAsia="宋体" w:cs="Times New Roman"/>
                  <w:b w:val="0"/>
                  <w:i w:val="0"/>
                  <w:highlight w:val="none"/>
                  <w:lang w:val="en-US" w:eastAsia="zh-CN"/>
                </w:rPr>
                <m:t>WLL×</m:t>
              </m:r>
              <m:sSub>
                <m:sSubPr>
                  <m:ctrlPr>
                    <w:rPr>
                      <w:rFonts w:hint="eastAsia" w:ascii="Cambria Math" w:hAnsi="Cambria Math" w:eastAsia="宋体" w:cs="Times New Roman"/>
                      <w:highlight w:val="none"/>
                      <w:lang w:val="en-US" w:eastAsia="zh-CN"/>
                    </w:rPr>
                  </m:ctrlPr>
                </m:sSubPr>
                <m:e>
                  <m:r>
                    <m:rPr>
                      <m:nor/>
                      <m:sty m:val="p"/>
                    </m:rPr>
                    <w:rPr>
                      <w:rFonts w:hint="eastAsia" w:ascii="Cambria Math" w:hAnsi="Cambria Math" w:eastAsia="宋体" w:cs="Times New Roman"/>
                      <w:b w:val="0"/>
                      <w:i w:val="0"/>
                      <w:highlight w:val="none"/>
                      <w:lang w:val="en-US" w:eastAsia="zh-CN"/>
                    </w:rPr>
                    <m:t>K</m:t>
                  </m:r>
                  <m:ctrlPr>
                    <w:rPr>
                      <w:rFonts w:hint="eastAsia" w:ascii="Cambria Math" w:hAnsi="Cambria Math" w:eastAsia="宋体" w:cs="Times New Roman"/>
                      <w:highlight w:val="none"/>
                      <w:lang w:val="en-US" w:eastAsia="zh-CN"/>
                    </w:rPr>
                  </m:ctrlPr>
                </m:e>
                <m:sub>
                  <m:r>
                    <m:rPr>
                      <m:nor/>
                      <m:sty m:val="p"/>
                    </m:rPr>
                    <w:rPr>
                      <w:rFonts w:hint="eastAsia" w:ascii="Cambria Math" w:hAnsi="Cambria Math" w:eastAsia="宋体" w:cs="Times New Roman"/>
                      <w:b w:val="0"/>
                      <w:i w:val="0"/>
                      <w:highlight w:val="none"/>
                      <w:lang w:val="en-US" w:eastAsia="zh-CN"/>
                    </w:rPr>
                    <m:t>m</m:t>
                  </m:r>
                  <m:ctrlPr>
                    <w:rPr>
                      <w:rFonts w:hint="eastAsia" w:ascii="Cambria Math" w:hAnsi="Cambria Math" w:eastAsia="宋体" w:cs="Times New Roman"/>
                      <w:highlight w:val="none"/>
                      <w:lang w:val="en-US" w:eastAsia="zh-CN"/>
                    </w:rPr>
                  </m:ctrlPr>
                </m:sub>
              </m:sSub>
              <m:r>
                <m:rPr>
                  <m:nor/>
                  <m:sty m:val="p"/>
                </m:rPr>
                <w:rPr>
                  <w:rFonts w:hint="eastAsia" w:ascii="Cambria Math" w:hAnsi="Cambria Math" w:eastAsia="宋体" w:cs="Times New Roman"/>
                  <w:b w:val="0"/>
                  <w:i w:val="0"/>
                  <w:highlight w:val="none"/>
                  <w:lang w:val="en-US" w:eastAsia="zh-CN"/>
                </w:rPr>
                <m:t>×</m:t>
              </m:r>
              <m:sSub>
                <m:sSubPr>
                  <m:ctrlPr>
                    <w:rPr>
                      <w:rFonts w:hint="eastAsia" w:ascii="Cambria Math" w:hAnsi="Cambria Math" w:eastAsia="宋体" w:cs="Times New Roman"/>
                      <w:highlight w:val="none"/>
                      <w:lang w:val="en-US" w:eastAsia="zh-CN"/>
                    </w:rPr>
                  </m:ctrlPr>
                </m:sSubPr>
                <m:e>
                  <m:r>
                    <m:rPr>
                      <m:nor/>
                      <m:sty m:val="p"/>
                    </m:rPr>
                    <w:rPr>
                      <w:rFonts w:hint="eastAsia" w:ascii="Cambria Math" w:hAnsi="Cambria Math" w:eastAsia="宋体" w:cs="Times New Roman"/>
                      <w:b w:val="0"/>
                      <w:i w:val="0"/>
                      <w:highlight w:val="none"/>
                      <w:lang w:val="en-US" w:eastAsia="zh-CN"/>
                    </w:rPr>
                    <m:t>K</m:t>
                  </m:r>
                  <m:ctrlPr>
                    <w:rPr>
                      <w:rFonts w:hint="eastAsia" w:ascii="Cambria Math" w:hAnsi="Cambria Math" w:eastAsia="宋体" w:cs="Times New Roman"/>
                      <w:highlight w:val="none"/>
                      <w:lang w:val="en-US" w:eastAsia="zh-CN"/>
                    </w:rPr>
                  </m:ctrlPr>
                </m:e>
                <m:sub>
                  <m:r>
                    <m:rPr>
                      <m:nor/>
                      <m:sty m:val="p"/>
                    </m:rPr>
                    <w:rPr>
                      <w:rFonts w:hint="eastAsia" w:ascii="Cambria Math" w:hAnsi="Cambria Math" w:eastAsia="宋体" w:cs="Times New Roman"/>
                      <w:b w:val="0"/>
                      <w:i w:val="0"/>
                      <w:highlight w:val="none"/>
                      <w:lang w:val="en-US" w:eastAsia="zh-CN"/>
                    </w:rPr>
                    <m:t>u</m:t>
                  </m:r>
                  <m:ctrlPr>
                    <w:rPr>
                      <w:rFonts w:hint="eastAsia" w:ascii="Cambria Math" w:hAnsi="Cambria Math" w:eastAsia="宋体" w:cs="Times New Roman"/>
                      <w:highlight w:val="none"/>
                      <w:lang w:val="en-US" w:eastAsia="zh-CN"/>
                    </w:rPr>
                  </m:ctrlPr>
                </m:sub>
              </m:sSub>
              <m:ctrlPr>
                <w:rPr>
                  <w:rFonts w:hint="eastAsia" w:ascii="Cambria Math" w:hAnsi="Cambria Math" w:eastAsia="宋体" w:cs="Times New Roman"/>
                  <w:highlight w:val="none"/>
                  <w:lang w:val="en-US" w:eastAsia="zh-CN"/>
                </w:rPr>
              </m:ctrlPr>
            </m:num>
            <m:den>
              <m:sSub>
                <m:sSubPr>
                  <m:ctrlPr>
                    <w:rPr>
                      <w:rFonts w:hint="eastAsia" w:ascii="Cambria Math" w:hAnsi="Cambria Math" w:eastAsia="宋体" w:cs="Times New Roman"/>
                      <w:highlight w:val="none"/>
                      <w:lang w:val="en-US" w:eastAsia="zh-CN"/>
                    </w:rPr>
                  </m:ctrlPr>
                </m:sSubPr>
                <m:e>
                  <m:r>
                    <m:rPr>
                      <m:nor/>
                      <m:sty m:val="p"/>
                    </m:rPr>
                    <w:rPr>
                      <w:rFonts w:hint="eastAsia" w:ascii="Cambria Math" w:hAnsi="Cambria Math" w:eastAsia="宋体" w:cs="Times New Roman"/>
                      <w:b w:val="0"/>
                      <w:i w:val="0"/>
                      <w:highlight w:val="none"/>
                      <w:lang w:val="en-US" w:eastAsia="zh-CN"/>
                    </w:rPr>
                    <m:t>K</m:t>
                  </m:r>
                  <m:ctrlPr>
                    <w:rPr>
                      <w:rFonts w:hint="eastAsia" w:ascii="Cambria Math" w:hAnsi="Cambria Math" w:eastAsia="宋体" w:cs="Times New Roman"/>
                      <w:highlight w:val="none"/>
                      <w:lang w:val="en-US" w:eastAsia="zh-CN"/>
                    </w:rPr>
                  </m:ctrlPr>
                </m:e>
                <m:sub>
                  <m:r>
                    <m:rPr>
                      <m:nor/>
                      <m:sty m:val="p"/>
                    </m:rPr>
                    <w:rPr>
                      <w:rFonts w:hint="eastAsia" w:ascii="Cambria Math" w:hAnsi="Cambria Math" w:eastAsia="宋体" w:cs="Times New Roman"/>
                      <w:b w:val="0"/>
                      <w:i w:val="0"/>
                      <w:highlight w:val="none"/>
                      <w:lang w:val="en-US" w:eastAsia="zh-CN"/>
                    </w:rPr>
                    <m:t>e</m:t>
                  </m:r>
                  <m:ctrlPr>
                    <w:rPr>
                      <w:rFonts w:hint="eastAsia" w:ascii="Cambria Math" w:hAnsi="Cambria Math" w:eastAsia="宋体" w:cs="Times New Roman"/>
                      <w:highlight w:val="none"/>
                      <w:lang w:val="en-US" w:eastAsia="zh-CN"/>
                    </w:rPr>
                  </m:ctrlPr>
                </m:sub>
              </m:sSub>
              <m:r>
                <m:rPr>
                  <m:nor/>
                  <m:sty m:val="p"/>
                </m:rPr>
                <w:rPr>
                  <w:rFonts w:hint="eastAsia" w:ascii="Cambria Math" w:hAnsi="Cambria Math" w:eastAsia="宋体" w:cs="Times New Roman"/>
                  <w:b w:val="0"/>
                  <w:i w:val="0"/>
                  <w:highlight w:val="none"/>
                  <w:lang w:val="en-US" w:eastAsia="zh-CN"/>
                </w:rPr>
                <m:t>×K</m:t>
              </m:r>
              <m:ctrlPr>
                <w:rPr>
                  <w:rFonts w:hint="eastAsia" w:ascii="Cambria Math" w:hAnsi="Cambria Math" w:eastAsia="宋体" w:cs="Times New Roman"/>
                  <w:highlight w:val="none"/>
                  <w:lang w:val="en-US" w:eastAsia="zh-CN"/>
                </w:rPr>
              </m:ctrlPr>
            </m:den>
          </m:f>
          <m:r>
            <m:rPr>
              <m:nor/>
              <m:sty m:val="p"/>
            </m:rPr>
            <w:rPr>
              <w:rFonts w:hint="eastAsia" w:ascii="Cambria Math" w:hAnsi="Cambria Math" w:eastAsia="宋体" w:cs="Times New Roman"/>
              <w:b w:val="0"/>
              <w:i w:val="0"/>
              <w:highlight w:val="none"/>
              <w:lang w:val="en-US" w:eastAsia="zh-CN"/>
            </w:rPr>
            <m:t>=</m:t>
          </m:r>
          <m:f>
            <m:fPr>
              <m:ctrlPr>
                <w:rPr>
                  <w:rFonts w:hint="eastAsia" w:ascii="Cambria Math" w:hAnsi="Cambria Math" w:eastAsia="宋体" w:cs="Times New Roman"/>
                  <w:highlight w:val="none"/>
                  <w:lang w:val="en-US" w:eastAsia="zh-CN"/>
                </w:rPr>
              </m:ctrlPr>
            </m:fPr>
            <m:num>
              <m:r>
                <m:rPr>
                  <m:nor/>
                  <m:sty m:val="p"/>
                </m:rPr>
                <w:rPr>
                  <w:rFonts w:hint="default" w:ascii="Cambria Math" w:hAnsi="Cambria Math" w:eastAsia="宋体" w:cs="Times New Roman"/>
                  <w:b w:val="0"/>
                  <w:i w:val="0"/>
                  <w:highlight w:val="none"/>
                  <w:lang w:val="en-US" w:eastAsia="zh-CN"/>
                </w:rPr>
                <m:t>6.422</m:t>
              </m:r>
              <m:r>
                <m:rPr>
                  <m:nor/>
                  <m:sty m:val="p"/>
                </m:rPr>
                <w:rPr>
                  <w:rFonts w:hint="eastAsia" w:ascii="Cambria Math" w:hAnsi="Cambria Math" w:eastAsia="宋体" w:cs="Times New Roman"/>
                  <w:b w:val="0"/>
                  <w:i w:val="0"/>
                  <w:highlight w:val="none"/>
                  <w:lang w:val="en-US" w:eastAsia="zh-CN"/>
                </w:rPr>
                <m:t>×9.80665×6</m:t>
              </m:r>
              <m:ctrlPr>
                <w:rPr>
                  <w:rFonts w:hint="eastAsia" w:ascii="Cambria Math" w:hAnsi="Cambria Math" w:eastAsia="宋体" w:cs="Times New Roman"/>
                  <w:highlight w:val="none"/>
                  <w:lang w:val="en-US" w:eastAsia="zh-CN"/>
                </w:rPr>
              </m:ctrlPr>
            </m:num>
            <m:den>
              <m:r>
                <m:rPr>
                  <m:nor/>
                  <m:sty m:val="p"/>
                </m:rPr>
                <w:rPr>
                  <w:rFonts w:hint="eastAsia" w:ascii="Cambria Math" w:hAnsi="Cambria Math" w:eastAsia="宋体" w:cs="Times New Roman"/>
                  <w:b w:val="0"/>
                  <w:i w:val="0"/>
                  <w:highlight w:val="none"/>
                  <w:lang w:val="en-US" w:eastAsia="zh-CN"/>
                </w:rPr>
                <m:t>0.9×1.4</m:t>
              </m:r>
              <m:ctrlPr>
                <w:rPr>
                  <w:rFonts w:hint="eastAsia" w:ascii="Cambria Math" w:hAnsi="Cambria Math" w:eastAsia="宋体" w:cs="Times New Roman"/>
                  <w:highlight w:val="none"/>
                  <w:lang w:val="en-US" w:eastAsia="zh-CN"/>
                </w:rPr>
              </m:ctrlPr>
            </m:den>
          </m:f>
          <m:r>
            <m:rPr>
              <m:nor/>
              <m:sty m:val="p"/>
            </m:rPr>
            <w:rPr>
              <w:rFonts w:hint="eastAsia" w:ascii="Cambria Math" w:hAnsi="Cambria Math" w:eastAsia="宋体" w:cs="Times New Roman"/>
              <w:b w:val="0"/>
              <w:i w:val="0"/>
              <w:highlight w:val="none"/>
              <w:lang w:val="en-US" w:eastAsia="zh-CN"/>
            </w:rPr>
            <m:t>=</m:t>
          </m:r>
          <m:r>
            <m:rPr>
              <m:nor/>
              <m:sty m:val="p"/>
            </m:rPr>
            <w:rPr>
              <w:rFonts w:hint="default" w:ascii="Cambria Math" w:hAnsi="Cambria Math" w:eastAsia="宋体" w:cs="Times New Roman"/>
              <w:b w:val="0"/>
              <w:i w:val="0"/>
              <w:highlight w:val="none"/>
              <w:lang w:val="en-US" w:eastAsia="zh-CN"/>
            </w:rPr>
            <m:t>299.90</m:t>
          </m:r>
          <m:r>
            <m:rPr>
              <m:nor/>
              <m:sty m:val="p"/>
            </m:rPr>
            <w:rPr>
              <w:rFonts w:hint="eastAsia" w:ascii="Cambria Math" w:hAnsi="Cambria Math" w:eastAsia="宋体" w:cs="Times New Roman"/>
              <w:b w:val="0"/>
              <w:i w:val="0"/>
              <w:highlight w:val="none"/>
              <w:lang w:val="en-US" w:eastAsia="zh-CN"/>
            </w:rPr>
            <m:t>kN</m:t>
          </m:r>
        </m:oMath>
      </m:oMathPara>
    </w:p>
    <w:p w14:paraId="0D323963">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则钢丝绳最小公称直径：</w:t>
      </w:r>
    </w:p>
    <w:p w14:paraId="4734E6DE">
      <w:pPr>
        <w:widowControl w:val="0"/>
        <w:tabs>
          <w:tab w:val="left" w:pos="1320"/>
        </w:tabs>
        <w:spacing w:line="360" w:lineRule="auto"/>
        <w:ind w:firstLine="0" w:firstLineChars="0"/>
        <w:jc w:val="center"/>
        <w:rPr>
          <w:rFonts w:ascii="Times New Roman" w:hAnsi="Times New Roman" w:eastAsia="宋体" w:cs="Times New Roman"/>
          <w:i/>
          <w:kern w:val="2"/>
          <w:sz w:val="24"/>
          <w:szCs w:val="21"/>
          <w:highlight w:val="none"/>
          <w:lang w:val="en-US" w:eastAsia="zh-CN" w:bidi="ar-SA"/>
        </w:rPr>
      </w:pPr>
      <m:oMathPara>
        <m:oMath>
          <m:r>
            <m:rPr>
              <m:nor/>
              <m:sty m:val="p"/>
            </m:rPr>
            <w:rPr>
              <w:b w:val="0"/>
              <w:i w:val="0"/>
              <w:highlight w:val="none"/>
            </w:rPr>
            <m:t>D=</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b w:val="0"/>
                      <w:i w:val="0"/>
                      <w:highlight w:val="none"/>
                    </w:rPr>
                    <m:t>1000×</m:t>
                  </m:r>
                  <m:sSub>
                    <m:sSubPr>
                      <m:ctrlPr>
                        <w:rPr>
                          <w:rFonts w:ascii="Cambria Math" w:hAnsi="Cambria Math"/>
                          <w:highlight w:val="none"/>
                        </w:rPr>
                      </m:ctrlPr>
                    </m:sSubPr>
                    <m:e>
                      <m:r>
                        <m:rPr>
                          <m:nor/>
                          <m:sty m:val="p"/>
                        </m:rPr>
                        <w:rPr>
                          <w:b w:val="0"/>
                          <w:i w:val="0"/>
                          <w:highlight w:val="none"/>
                        </w:rPr>
                        <m:t>F</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num>
                <m:den>
                  <m:sSup>
                    <m:sSupPr>
                      <m:ctrlPr>
                        <w:rPr>
                          <w:rFonts w:ascii="Cambria Math" w:hAnsi="Cambria Math"/>
                          <w:highlight w:val="none"/>
                        </w:rPr>
                      </m:ctrlPr>
                    </m:sSupPr>
                    <m:e>
                      <m:r>
                        <m:rPr>
                          <m:nor/>
                          <m:sty m:val="p"/>
                        </m:rPr>
                        <w:rPr>
                          <w:b w:val="0"/>
                          <w:i w:val="0"/>
                          <w:highlight w:val="none"/>
                        </w:rPr>
                        <m:t>K</m:t>
                      </m:r>
                      <m:ctrlPr>
                        <w:rPr>
                          <w:rFonts w:ascii="Cambria Math" w:hAnsi="Cambria Math"/>
                          <w:highlight w:val="none"/>
                        </w:rPr>
                      </m:ctrlPr>
                    </m:e>
                    <m:sup>
                      <m:r>
                        <m:rPr>
                          <m:nor/>
                          <m:sty m:val="p"/>
                        </m:rPr>
                        <w:rPr>
                          <w:b w:val="0"/>
                          <w:i w:val="0"/>
                          <w:highlight w:val="none"/>
                        </w:rPr>
                        <m:t>'</m:t>
                      </m:r>
                      <m:ctrlPr>
                        <w:rPr>
                          <w:rFonts w:ascii="Cambria Math" w:hAnsi="Cambria Math"/>
                          <w:highlight w:val="none"/>
                        </w:rPr>
                      </m:ctrlPr>
                    </m:sup>
                  </m:sSup>
                  <m:r>
                    <m:rPr>
                      <m:nor/>
                      <m:sty m:val="p"/>
                    </m:rPr>
                    <w:rPr>
                      <w:b w:val="0"/>
                      <w:i w:val="0"/>
                      <w:highlight w:val="none"/>
                    </w:rPr>
                    <m:t>×</m:t>
                  </m:r>
                  <m:sSub>
                    <m:sSubPr>
                      <m:ctrlPr>
                        <w:rPr>
                          <w:rFonts w:ascii="Cambria Math" w:hAnsi="Cambria Math"/>
                          <w:highlight w:val="none"/>
                        </w:rPr>
                      </m:ctrlPr>
                    </m:sSubPr>
                    <m:e>
                      <m:r>
                        <m:rPr>
                          <m:nor/>
                          <m:sty m:val="p"/>
                        </m:rPr>
                        <w:rPr>
                          <w:b w:val="0"/>
                          <w:i w:val="0"/>
                          <w:highlight w:val="none"/>
                        </w:rPr>
                        <m:t>R</m:t>
                      </m:r>
                      <m:ctrlPr>
                        <w:rPr>
                          <w:rFonts w:ascii="Cambria Math" w:hAnsi="Cambria Math"/>
                          <w:highlight w:val="none"/>
                        </w:rPr>
                      </m:ctrlPr>
                    </m:e>
                    <m:sub>
                      <m:r>
                        <m:rPr>
                          <m:nor/>
                          <m:sty m:val="p"/>
                        </m:rPr>
                        <w:rPr>
                          <w:b w:val="0"/>
                          <w:i w:val="0"/>
                          <w:highlight w:val="none"/>
                        </w:rPr>
                        <m:t>0</m:t>
                      </m:r>
                      <m:ctrlPr>
                        <w:rPr>
                          <w:rFonts w:ascii="Cambria Math" w:hAnsi="Cambria Math"/>
                          <w:highlight w:val="none"/>
                        </w:rPr>
                      </m:ctrlPr>
                    </m:sub>
                  </m:sSub>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ad>
            <m:radPr>
              <m:degHide m:val="1"/>
              <m:ctrlPr>
                <w:rPr>
                  <w:rFonts w:ascii="Cambria Math" w:hAnsi="Cambria Math"/>
                  <w:highlight w:val="none"/>
                </w:rPr>
              </m:ctrlPr>
            </m:radPr>
            <m:deg>
              <m:ctrlPr>
                <w:rPr>
                  <w:rFonts w:ascii="Cambria Math" w:hAnsi="Cambria Math"/>
                  <w:highlight w:val="none"/>
                </w:rPr>
              </m:ctrlPr>
            </m:deg>
            <m:e>
              <m:f>
                <m:fPr>
                  <m:ctrlPr>
                    <w:rPr>
                      <w:rFonts w:ascii="Cambria Math" w:hAnsi="Cambria Math"/>
                      <w:highlight w:val="none"/>
                    </w:rPr>
                  </m:ctrlPr>
                </m:fPr>
                <m:num>
                  <m:r>
                    <m:rPr>
                      <m:nor/>
                      <m:sty m:val="p"/>
                    </m:rPr>
                    <w:rPr>
                      <w:rFonts w:hint="default" w:ascii="Cambria Math" w:hAnsi="Cambria Math"/>
                      <w:b w:val="0"/>
                      <w:i w:val="0"/>
                      <w:highlight w:val="none"/>
                      <w:lang w:val="en-US" w:eastAsia="zh-CN"/>
                    </w:rPr>
                    <m:t>1000</m:t>
                  </m:r>
                  <m:r>
                    <m:rPr>
                      <m:nor/>
                      <m:sty m:val="p"/>
                    </m:rPr>
                    <w:rPr>
                      <w:b w:val="0"/>
                      <w:i w:val="0"/>
                      <w:highlight w:val="none"/>
                    </w:rPr>
                    <m:t>×</m:t>
                  </m:r>
                  <m:r>
                    <m:rPr>
                      <m:nor/>
                      <m:sty m:val="p"/>
                    </m:rPr>
                    <w:rPr>
                      <w:rFonts w:hint="default" w:ascii="Cambria Math" w:hAnsi="Cambria Math"/>
                      <w:b w:val="0"/>
                      <w:i w:val="0"/>
                      <w:highlight w:val="none"/>
                      <w:lang w:val="en-US" w:eastAsia="zh-CN"/>
                    </w:rPr>
                    <m:t>299.90</m:t>
                  </m:r>
                  <m:ctrlPr>
                    <w:rPr>
                      <w:rFonts w:ascii="Cambria Math" w:hAnsi="Cambria Math"/>
                      <w:highlight w:val="none"/>
                    </w:rPr>
                  </m:ctrlPr>
                </m:num>
                <m:den>
                  <m:r>
                    <m:rPr>
                      <m:nor/>
                      <m:sty m:val="p"/>
                    </m:rPr>
                    <w:rPr>
                      <w:b w:val="0"/>
                      <w:i w:val="0"/>
                      <w:highlight w:val="none"/>
                    </w:rPr>
                    <m:t>0.33×1</m:t>
                  </m:r>
                  <m:r>
                    <m:rPr>
                      <m:nor/>
                      <m:sty m:val="p"/>
                    </m:rPr>
                    <w:rPr>
                      <w:rFonts w:hint="default" w:ascii="Cambria Math" w:hAnsi="Cambria Math"/>
                      <w:b w:val="0"/>
                      <w:i w:val="0"/>
                      <w:highlight w:val="none"/>
                      <w:lang w:val="en-US" w:eastAsia="zh-CN"/>
                    </w:rPr>
                    <m:t>87</m:t>
                  </m:r>
                  <m:r>
                    <m:rPr>
                      <m:nor/>
                      <m:sty m:val="p"/>
                    </m:rPr>
                    <w:rPr>
                      <w:b w:val="0"/>
                      <w:i w:val="0"/>
                      <w:highlight w:val="none"/>
                    </w:rPr>
                    <m:t>0</m:t>
                  </m:r>
                  <m:ctrlPr>
                    <w:rPr>
                      <w:rFonts w:ascii="Cambria Math" w:hAnsi="Cambria Math"/>
                      <w:highlight w:val="none"/>
                    </w:rPr>
                  </m:ctrlPr>
                </m:den>
              </m:f>
              <m:ctrlPr>
                <w:rPr>
                  <w:rFonts w:ascii="Cambria Math" w:hAnsi="Cambria Math"/>
                  <w:highlight w:val="none"/>
                </w:rPr>
              </m:ctrlPr>
            </m:e>
          </m:rad>
          <m:r>
            <m:rPr>
              <m:nor/>
              <m:sty m:val="p"/>
            </m:rPr>
            <w:rPr>
              <w:b w:val="0"/>
              <w:i w:val="0"/>
              <w:highlight w:val="none"/>
            </w:rPr>
            <m:t>=</m:t>
          </m:r>
          <m:r>
            <m:rPr>
              <m:nor/>
              <m:sty m:val="p"/>
            </m:rPr>
            <w:rPr>
              <w:rFonts w:hint="default" w:ascii="Cambria Math" w:hAnsi="Cambria Math"/>
              <w:b w:val="0"/>
              <w:i w:val="0"/>
              <w:highlight w:val="none"/>
              <w:lang w:val="en-US" w:eastAsia="zh-CN"/>
            </w:rPr>
            <m:t>22.05</m:t>
          </m:r>
          <m:r>
            <m:rPr>
              <m:nor/>
              <m:sty m:val="p"/>
            </m:rPr>
            <w:rPr>
              <w:b w:val="0"/>
              <w:i w:val="0"/>
              <w:highlight w:val="none"/>
            </w:rPr>
            <m:t>mm</m:t>
          </m:r>
        </m:oMath>
      </m:oMathPara>
    </w:p>
    <w:p w14:paraId="0DED9656">
      <w:pPr>
        <w:ind w:firstLine="480"/>
        <w:rPr>
          <w:rFonts w:ascii="Times New Roman" w:hAnsi="Times New Roman" w:eastAsia="宋体" w:cs="Times New Roman"/>
          <w:highlight w:val="none"/>
        </w:rPr>
      </w:pPr>
      <w:r>
        <w:rPr>
          <w:rFonts w:hint="eastAsia" w:ascii="宋体" w:hAnsi="宋体" w:eastAsia="宋体" w:cs="宋体"/>
          <w:highlight w:val="none"/>
        </w:rPr>
        <w:t>采用</w:t>
      </w:r>
      <w:r>
        <w:rPr>
          <w:rFonts w:hint="eastAsia" w:ascii="SJQY" w:hAnsi="SJQY" w:eastAsia="SJQY" w:cs="Times New Roman"/>
          <w:highlight w:val="none"/>
          <w:lang w:val="en-US" w:eastAsia="zh-CN"/>
        </w:rPr>
        <w:t>φ</w:t>
      </w:r>
      <w:r>
        <w:rPr>
          <w:rFonts w:hint="eastAsia" w:ascii="Times New Roman" w:hAnsi="Times New Roman" w:eastAsia="宋体" w:cs="Times New Roman"/>
          <w:highlight w:val="none"/>
          <w:lang w:val="en-US" w:eastAsia="zh-CN"/>
        </w:rPr>
        <w:t>2</w:t>
      </w:r>
      <w:r>
        <w:rPr>
          <w:rFonts w:hint="eastAsia" w:cs="Times New Roman"/>
          <w:highlight w:val="none"/>
          <w:lang w:val="en-US" w:eastAsia="zh-CN"/>
        </w:rPr>
        <w:t>4</w:t>
      </w:r>
      <w:r>
        <w:rPr>
          <w:rFonts w:hint="eastAsia" w:ascii="Times New Roman" w:hAnsi="Times New Roman" w:eastAsia="宋体" w:cs="Times New Roman"/>
          <w:highlight w:val="none"/>
        </w:rPr>
        <w:t>mm钢丝绳可满足要求。</w:t>
      </w:r>
    </w:p>
    <w:p w14:paraId="5CBEBC27">
      <w:pPr>
        <w:bidi w:val="0"/>
        <w:rPr>
          <w:highlight w:val="none"/>
          <w:lang w:val="en-US" w:eastAsia="zh-CN"/>
        </w:rPr>
      </w:pPr>
      <w:bookmarkStart w:id="157" w:name="_Toc132535969"/>
      <w:r>
        <w:rPr>
          <w:rFonts w:hint="eastAsia"/>
          <w:highlight w:val="none"/>
          <w:lang w:val="en-US" w:eastAsia="zh-CN"/>
        </w:rPr>
        <w:t>卸扣选型</w:t>
      </w:r>
      <w:bookmarkEnd w:id="157"/>
    </w:p>
    <w:p w14:paraId="41A4DDB7">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卸扣根据《一般起重用D形和弓形锻造卸扣》（GB/T25854-2010）的规定选用。</w:t>
      </w:r>
    </w:p>
    <w:p w14:paraId="0648627C">
      <w:pPr>
        <w:keepNext/>
        <w:tabs>
          <w:tab w:val="left" w:pos="360"/>
        </w:tabs>
        <w:spacing w:line="360" w:lineRule="auto"/>
        <w:jc w:val="center"/>
        <w:rPr>
          <w:rFonts w:ascii="Times New Roman" w:hAnsi="Times New Roman" w:eastAsia="黑体" w:cs="Times New Roman"/>
          <w:kern w:val="2"/>
          <w:sz w:val="21"/>
          <w:highlight w:val="none"/>
          <w:lang w:val="en-US" w:eastAsia="zh-CN" w:bidi="ar-SA"/>
        </w:rPr>
      </w:pPr>
      <w:r>
        <w:rPr>
          <w:rFonts w:hint="eastAsia" w:ascii="Times New Roman" w:hAnsi="Times New Roman" w:eastAsia="黑体" w:cs="Times New Roman"/>
          <w:kern w:val="2"/>
          <w:sz w:val="21"/>
          <w:highlight w:val="none"/>
          <w:lang w:val="en-US" w:eastAsia="zh-CN" w:bidi="ar-SA"/>
        </w:rPr>
        <w:t>表</w:t>
      </w:r>
      <w:r>
        <w:rPr>
          <w:rFonts w:hint="eastAsia" w:eastAsia="黑体" w:cs="Times New Roman"/>
          <w:kern w:val="2"/>
          <w:sz w:val="21"/>
          <w:highlight w:val="none"/>
          <w:lang w:val="en-US" w:eastAsia="zh-CN" w:bidi="ar-SA"/>
        </w:rPr>
        <w:t>4.2</w:t>
      </w:r>
      <w:r>
        <w:rPr>
          <w:rFonts w:ascii="Times New Roman" w:hAnsi="Times New Roman" w:eastAsia="黑体" w:cs="Times New Roman"/>
          <w:kern w:val="2"/>
          <w:sz w:val="21"/>
          <w:highlight w:val="none"/>
          <w:lang w:val="en-US" w:eastAsia="zh-CN" w:bidi="ar-SA"/>
        </w:rPr>
        <w:noBreakHyphen/>
      </w:r>
      <w:r>
        <w:rPr>
          <w:rFonts w:hint="eastAsia" w:ascii="Times New Roman" w:hAnsi="Times New Roman" w:eastAsia="黑体" w:cs="Times New Roman"/>
          <w:kern w:val="2"/>
          <w:sz w:val="21"/>
          <w:highlight w:val="none"/>
          <w:lang w:val="en-US" w:eastAsia="zh-CN" w:bidi="ar-SA"/>
        </w:rPr>
        <w:t>1D形卸扣尺寸</w:t>
      </w:r>
    </w:p>
    <w:tbl>
      <w:tblPr>
        <w:tblStyle w:val="16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03"/>
        <w:gridCol w:w="1104"/>
        <w:gridCol w:w="1104"/>
        <w:gridCol w:w="982"/>
        <w:gridCol w:w="982"/>
        <w:gridCol w:w="1125"/>
        <w:gridCol w:w="927"/>
        <w:gridCol w:w="1009"/>
      </w:tblGrid>
      <w:tr w14:paraId="5EFBB9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1A1B26BA">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极限工作荷载WLL</w:t>
            </w:r>
          </w:p>
        </w:tc>
        <w:tc>
          <w:tcPr>
            <w:tcW w:w="589" w:type="pct"/>
            <w:vMerge w:val="restart"/>
            <w:shd w:val="clear" w:color="auto" w:fill="4472C4"/>
            <w:vAlign w:val="center"/>
          </w:tcPr>
          <w:p w14:paraId="3C8DAF18">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a</w:t>
            </w:r>
          </w:p>
          <w:p w14:paraId="7C723F25">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89" w:type="pct"/>
            <w:vMerge w:val="restart"/>
            <w:shd w:val="clear" w:color="auto" w:fill="4472C4"/>
            <w:vAlign w:val="center"/>
          </w:tcPr>
          <w:p w14:paraId="1B401A5A">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D</w:t>
            </w:r>
            <w:r>
              <w:rPr>
                <w:rFonts w:ascii="Times New Roman" w:hAnsi="Times New Roman" w:eastAsia="仿宋" w:cs="Times New Roman"/>
                <w:b/>
                <w:color w:val="FFFFFF"/>
                <w:kern w:val="0"/>
                <w:sz w:val="21"/>
                <w:szCs w:val="21"/>
                <w:highlight w:val="none"/>
                <w:vertAlign w:val="superscript"/>
                <w:lang w:val="en-US" w:eastAsia="zh-CN" w:bidi="ar-SA"/>
              </w:rPr>
              <w:t>b</w:t>
            </w:r>
          </w:p>
          <w:p w14:paraId="1C0EFF4C">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675" w:type="pct"/>
            <w:vMerge w:val="restart"/>
            <w:shd w:val="clear" w:color="auto" w:fill="4472C4"/>
            <w:vAlign w:val="center"/>
          </w:tcPr>
          <w:p w14:paraId="397AFEC8">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e</w:t>
            </w:r>
            <w:r>
              <w:rPr>
                <w:rFonts w:ascii="Times New Roman" w:hAnsi="Times New Roman" w:eastAsia="仿宋" w:cs="Times New Roman"/>
                <w:b/>
                <w:color w:val="FFFFFF"/>
                <w:kern w:val="0"/>
                <w:sz w:val="21"/>
                <w:szCs w:val="21"/>
                <w:highlight w:val="none"/>
                <w:vertAlign w:val="superscript"/>
                <w:lang w:val="en-US" w:eastAsia="zh-CN" w:bidi="ar-SA"/>
              </w:rPr>
              <w:t>c</w:t>
            </w:r>
          </w:p>
          <w:p w14:paraId="4A44E612">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max</w:t>
            </w:r>
          </w:p>
        </w:tc>
        <w:tc>
          <w:tcPr>
            <w:tcW w:w="556" w:type="pct"/>
            <w:vMerge w:val="restart"/>
            <w:shd w:val="clear" w:color="auto" w:fill="4472C4"/>
            <w:vAlign w:val="center"/>
          </w:tcPr>
          <w:p w14:paraId="32B3B16E">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S</w:t>
            </w:r>
            <w:r>
              <w:rPr>
                <w:rFonts w:ascii="Times New Roman" w:hAnsi="Times New Roman" w:eastAsia="仿宋" w:cs="Times New Roman"/>
                <w:b/>
                <w:color w:val="FFFFFF"/>
                <w:kern w:val="0"/>
                <w:sz w:val="21"/>
                <w:szCs w:val="21"/>
                <w:highlight w:val="none"/>
                <w:vertAlign w:val="superscript"/>
                <w:lang w:val="en-US" w:eastAsia="zh-CN" w:bidi="ar-SA"/>
              </w:rPr>
              <w:t>d</w:t>
            </w:r>
          </w:p>
          <w:p w14:paraId="2F8BD615">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c>
          <w:tcPr>
            <w:tcW w:w="605" w:type="pct"/>
            <w:vMerge w:val="restart"/>
            <w:shd w:val="clear" w:color="auto" w:fill="4472C4"/>
            <w:vAlign w:val="center"/>
          </w:tcPr>
          <w:p w14:paraId="3D08B927">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vertAlign w:val="superscript"/>
                <w:lang w:val="en-US" w:eastAsia="zh-CN" w:bidi="ar-SA"/>
              </w:rPr>
            </w:pPr>
            <w:r>
              <w:rPr>
                <w:rFonts w:ascii="Times New Roman" w:hAnsi="Times New Roman" w:eastAsia="仿宋" w:cs="Times New Roman"/>
                <w:b/>
                <w:color w:val="FFFFFF"/>
                <w:kern w:val="0"/>
                <w:sz w:val="21"/>
                <w:szCs w:val="21"/>
                <w:highlight w:val="none"/>
                <w:lang w:val="en-US" w:eastAsia="zh-CN" w:bidi="ar-SA"/>
              </w:rPr>
              <w:t>W</w:t>
            </w:r>
            <w:r>
              <w:rPr>
                <w:rFonts w:ascii="Times New Roman" w:hAnsi="Times New Roman" w:eastAsia="仿宋" w:cs="Times New Roman"/>
                <w:b/>
                <w:color w:val="FFFFFF"/>
                <w:kern w:val="0"/>
                <w:sz w:val="21"/>
                <w:szCs w:val="21"/>
                <w:highlight w:val="none"/>
                <w:vertAlign w:val="superscript"/>
                <w:lang w:val="en-US" w:eastAsia="zh-CN" w:bidi="ar-SA"/>
              </w:rPr>
              <w:t>b</w:t>
            </w:r>
          </w:p>
          <w:p w14:paraId="68728BD6">
            <w:pPr>
              <w:widowControl w:val="0"/>
              <w:spacing w:line="240" w:lineRule="auto"/>
              <w:ind w:firstLine="0" w:firstLineChars="0"/>
              <w:jc w:val="center"/>
              <w:rPr>
                <w:rFonts w:ascii="Times New Roman" w:hAnsi="Times New Roman" w:eastAsia="仿宋" w:cs="Times New Roman"/>
                <w:b w:val="0"/>
                <w:color w:val="FFFFFF"/>
                <w:kern w:val="0"/>
                <w:sz w:val="21"/>
                <w:szCs w:val="21"/>
                <w:highlight w:val="none"/>
                <w:lang w:val="en-US" w:eastAsia="zh-CN" w:bidi="ar-SA"/>
              </w:rPr>
            </w:pPr>
            <w:r>
              <w:rPr>
                <w:rFonts w:ascii="Times New Roman" w:hAnsi="Times New Roman" w:eastAsia="仿宋" w:cs="Times New Roman"/>
                <w:b/>
                <w:color w:val="FFFFFF"/>
                <w:kern w:val="0"/>
                <w:sz w:val="21"/>
                <w:szCs w:val="21"/>
                <w:highlight w:val="none"/>
                <w:lang w:val="en-US" w:eastAsia="zh-CN" w:bidi="ar-SA"/>
              </w:rPr>
              <w:t>min</w:t>
            </w:r>
          </w:p>
        </w:tc>
      </w:tr>
      <w:tr w14:paraId="693D1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405D57B0">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4级</w:t>
            </w:r>
          </w:p>
        </w:tc>
        <w:tc>
          <w:tcPr>
            <w:tcW w:w="662" w:type="pct"/>
            <w:shd w:val="clear" w:color="auto" w:fill="4472C4"/>
            <w:vAlign w:val="center"/>
          </w:tcPr>
          <w:p w14:paraId="1A85691C">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6级</w:t>
            </w:r>
          </w:p>
        </w:tc>
        <w:tc>
          <w:tcPr>
            <w:tcW w:w="662" w:type="pct"/>
            <w:shd w:val="clear" w:color="auto" w:fill="4472C4"/>
            <w:vAlign w:val="center"/>
          </w:tcPr>
          <w:p w14:paraId="0463F612">
            <w:pPr>
              <w:widowControl w:val="0"/>
              <w:spacing w:line="240" w:lineRule="auto"/>
              <w:ind w:firstLine="0" w:firstLineChars="0"/>
              <w:jc w:val="center"/>
              <w:rPr>
                <w:rFonts w:ascii="Times New Roman" w:hAnsi="Times New Roman" w:eastAsia="仿宋" w:cs="Times New Roman"/>
                <w:b/>
                <w:bCs/>
                <w:color w:val="FFFFFF"/>
                <w:kern w:val="0"/>
                <w:sz w:val="21"/>
                <w:szCs w:val="21"/>
                <w:highlight w:val="none"/>
                <w:lang w:val="en-US" w:eastAsia="zh-CN" w:bidi="ar-SA"/>
              </w:rPr>
            </w:pPr>
            <w:r>
              <w:rPr>
                <w:rFonts w:ascii="Times New Roman" w:hAnsi="Times New Roman" w:eastAsia="仿宋" w:cs="Times New Roman"/>
                <w:b/>
                <w:bCs/>
                <w:color w:val="FFFFFF"/>
                <w:kern w:val="0"/>
                <w:sz w:val="21"/>
                <w:szCs w:val="21"/>
                <w:highlight w:val="none"/>
                <w:lang w:val="en-US" w:eastAsia="zh-CN" w:bidi="ar-SA"/>
              </w:rPr>
              <w:t>8级</w:t>
            </w:r>
          </w:p>
        </w:tc>
        <w:tc>
          <w:tcPr>
            <w:tcW w:w="589" w:type="pct"/>
            <w:vMerge w:val="continue"/>
            <w:shd w:val="clear" w:color="auto" w:fill="auto"/>
            <w:vAlign w:val="center"/>
          </w:tcPr>
          <w:p w14:paraId="4FD4FBB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89" w:type="pct"/>
            <w:vMerge w:val="continue"/>
            <w:shd w:val="clear" w:color="auto" w:fill="auto"/>
            <w:vAlign w:val="center"/>
          </w:tcPr>
          <w:p w14:paraId="17C434C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75" w:type="pct"/>
            <w:vMerge w:val="continue"/>
            <w:shd w:val="clear" w:color="auto" w:fill="auto"/>
            <w:vAlign w:val="center"/>
          </w:tcPr>
          <w:p w14:paraId="57453B3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556" w:type="pct"/>
            <w:vMerge w:val="continue"/>
            <w:shd w:val="clear" w:color="auto" w:fill="auto"/>
            <w:vAlign w:val="center"/>
          </w:tcPr>
          <w:p w14:paraId="1A9A9F2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c>
          <w:tcPr>
            <w:tcW w:w="605" w:type="pct"/>
            <w:vMerge w:val="continue"/>
            <w:shd w:val="clear" w:color="auto" w:fill="auto"/>
            <w:vAlign w:val="center"/>
          </w:tcPr>
          <w:p w14:paraId="5AC9193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p>
        </w:tc>
      </w:tr>
      <w:tr w14:paraId="42601D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0442388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t</w:t>
            </w:r>
          </w:p>
        </w:tc>
        <w:tc>
          <w:tcPr>
            <w:tcW w:w="3014" w:type="pct"/>
            <w:gridSpan w:val="5"/>
            <w:shd w:val="clear" w:color="auto" w:fill="auto"/>
            <w:vAlign w:val="center"/>
          </w:tcPr>
          <w:p w14:paraId="32848BB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mm</w:t>
            </w:r>
          </w:p>
        </w:tc>
      </w:tr>
      <w:tr w14:paraId="60178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206FC4C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w:t>
            </w:r>
          </w:p>
        </w:tc>
        <w:tc>
          <w:tcPr>
            <w:tcW w:w="662" w:type="pct"/>
            <w:shd w:val="clear" w:color="auto" w:fill="auto"/>
            <w:vAlign w:val="center"/>
          </w:tcPr>
          <w:p w14:paraId="6EF7E6D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40DD3BB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589" w:type="pct"/>
            <w:shd w:val="clear" w:color="auto" w:fill="auto"/>
            <w:vAlign w:val="center"/>
          </w:tcPr>
          <w:p w14:paraId="4B0D620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31.5</w:t>
            </w:r>
          </w:p>
        </w:tc>
        <w:tc>
          <w:tcPr>
            <w:tcW w:w="589" w:type="pct"/>
            <w:shd w:val="clear" w:color="auto" w:fill="auto"/>
            <w:vAlign w:val="center"/>
          </w:tcPr>
          <w:p w14:paraId="0F21F28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c>
          <w:tcPr>
            <w:tcW w:w="675" w:type="pct"/>
            <w:shd w:val="clear" w:color="auto" w:fill="auto"/>
            <w:vAlign w:val="center"/>
          </w:tcPr>
          <w:p w14:paraId="3C906B7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78.1</w:t>
            </w:r>
          </w:p>
        </w:tc>
        <w:tc>
          <w:tcPr>
            <w:tcW w:w="556" w:type="pct"/>
            <w:shd w:val="clear" w:color="auto" w:fill="auto"/>
            <w:vAlign w:val="center"/>
          </w:tcPr>
          <w:p w14:paraId="6FE6507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05" w:type="pct"/>
            <w:shd w:val="clear" w:color="auto" w:fill="auto"/>
            <w:vAlign w:val="center"/>
          </w:tcPr>
          <w:p w14:paraId="7067C6A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r>
      <w:tr w14:paraId="1F93D6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13113B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62" w:type="pct"/>
            <w:shd w:val="clear" w:color="auto" w:fill="auto"/>
            <w:vAlign w:val="center"/>
          </w:tcPr>
          <w:p w14:paraId="1DDA6D5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4ADE910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589" w:type="pct"/>
            <w:shd w:val="clear" w:color="auto" w:fill="auto"/>
            <w:vAlign w:val="center"/>
          </w:tcPr>
          <w:p w14:paraId="17A16B0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35.5</w:t>
            </w:r>
          </w:p>
        </w:tc>
        <w:tc>
          <w:tcPr>
            <w:tcW w:w="589" w:type="pct"/>
            <w:shd w:val="clear" w:color="auto" w:fill="auto"/>
            <w:vAlign w:val="center"/>
          </w:tcPr>
          <w:p w14:paraId="642BB3B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75" w:type="pct"/>
            <w:shd w:val="clear" w:color="auto" w:fill="auto"/>
            <w:vAlign w:val="center"/>
          </w:tcPr>
          <w:p w14:paraId="076AB69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88</w:t>
            </w:r>
          </w:p>
        </w:tc>
        <w:tc>
          <w:tcPr>
            <w:tcW w:w="556" w:type="pct"/>
            <w:shd w:val="clear" w:color="auto" w:fill="auto"/>
            <w:vAlign w:val="center"/>
          </w:tcPr>
          <w:p w14:paraId="08D8FDBB">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05" w:type="pct"/>
            <w:shd w:val="clear" w:color="auto" w:fill="auto"/>
            <w:vAlign w:val="center"/>
          </w:tcPr>
          <w:p w14:paraId="0D5F3BA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r>
      <w:tr w14:paraId="34090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05139F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w:t>
            </w:r>
          </w:p>
        </w:tc>
        <w:tc>
          <w:tcPr>
            <w:tcW w:w="662" w:type="pct"/>
            <w:shd w:val="clear" w:color="auto" w:fill="auto"/>
            <w:vAlign w:val="center"/>
          </w:tcPr>
          <w:p w14:paraId="5A56452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62" w:type="pct"/>
            <w:shd w:val="clear" w:color="auto" w:fill="auto"/>
            <w:vAlign w:val="center"/>
          </w:tcPr>
          <w:p w14:paraId="4BDE809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589" w:type="pct"/>
            <w:shd w:val="clear" w:color="auto" w:fill="auto"/>
            <w:vAlign w:val="center"/>
          </w:tcPr>
          <w:p w14:paraId="65183D0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57B7561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675" w:type="pct"/>
            <w:shd w:val="clear" w:color="auto" w:fill="auto"/>
            <w:vAlign w:val="center"/>
          </w:tcPr>
          <w:p w14:paraId="0972021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99</w:t>
            </w:r>
          </w:p>
        </w:tc>
        <w:tc>
          <w:tcPr>
            <w:tcW w:w="556" w:type="pct"/>
            <w:shd w:val="clear" w:color="auto" w:fill="auto"/>
            <w:vAlign w:val="center"/>
          </w:tcPr>
          <w:p w14:paraId="73D03D99">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05" w:type="pct"/>
            <w:shd w:val="clear" w:color="auto" w:fill="auto"/>
            <w:vAlign w:val="center"/>
          </w:tcPr>
          <w:p w14:paraId="0B2BDC2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r>
      <w:tr w14:paraId="34C3B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6BF497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w:t>
            </w:r>
          </w:p>
        </w:tc>
        <w:tc>
          <w:tcPr>
            <w:tcW w:w="662" w:type="pct"/>
            <w:shd w:val="clear" w:color="auto" w:fill="auto"/>
            <w:vAlign w:val="center"/>
          </w:tcPr>
          <w:p w14:paraId="4EF11F4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4CC6DF4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589" w:type="pct"/>
            <w:shd w:val="clear" w:color="auto" w:fill="auto"/>
            <w:vAlign w:val="center"/>
          </w:tcPr>
          <w:p w14:paraId="15ACFF8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45</w:t>
            </w:r>
          </w:p>
        </w:tc>
        <w:tc>
          <w:tcPr>
            <w:tcW w:w="589" w:type="pct"/>
            <w:shd w:val="clear" w:color="auto" w:fill="auto"/>
            <w:vAlign w:val="center"/>
          </w:tcPr>
          <w:p w14:paraId="23CE254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75" w:type="pct"/>
            <w:shd w:val="clear" w:color="auto" w:fill="auto"/>
            <w:vAlign w:val="center"/>
          </w:tcPr>
          <w:p w14:paraId="6B9B43F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110</w:t>
            </w:r>
          </w:p>
        </w:tc>
        <w:tc>
          <w:tcPr>
            <w:tcW w:w="556" w:type="pct"/>
            <w:shd w:val="clear" w:color="auto" w:fill="auto"/>
            <w:vAlign w:val="center"/>
          </w:tcPr>
          <w:p w14:paraId="3AFB07D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05" w:type="pct"/>
            <w:shd w:val="clear" w:color="auto" w:fill="auto"/>
            <w:vAlign w:val="center"/>
          </w:tcPr>
          <w:p w14:paraId="012B764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r>
      <w:tr w14:paraId="6AA62F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4BA1DB4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62" w:type="pct"/>
            <w:shd w:val="clear" w:color="auto" w:fill="auto"/>
            <w:vAlign w:val="center"/>
          </w:tcPr>
          <w:p w14:paraId="06A8D95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1B31D01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589" w:type="pct"/>
            <w:shd w:val="clear" w:color="auto" w:fill="auto"/>
            <w:vAlign w:val="center"/>
          </w:tcPr>
          <w:p w14:paraId="1F2CD98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345C629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675" w:type="pct"/>
            <w:shd w:val="clear" w:color="auto" w:fill="auto"/>
            <w:vAlign w:val="center"/>
          </w:tcPr>
          <w:p w14:paraId="66BACEBC">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123.2</w:t>
            </w:r>
          </w:p>
        </w:tc>
        <w:tc>
          <w:tcPr>
            <w:tcW w:w="556" w:type="pct"/>
            <w:shd w:val="clear" w:color="auto" w:fill="auto"/>
            <w:vAlign w:val="center"/>
          </w:tcPr>
          <w:p w14:paraId="3243970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112</w:t>
            </w:r>
          </w:p>
        </w:tc>
        <w:tc>
          <w:tcPr>
            <w:tcW w:w="605" w:type="pct"/>
            <w:shd w:val="clear" w:color="auto" w:fill="auto"/>
            <w:vAlign w:val="center"/>
          </w:tcPr>
          <w:p w14:paraId="1EE2BC8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r>
      <w:tr w14:paraId="0ACCF4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40021D2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w:t>
            </w:r>
          </w:p>
        </w:tc>
        <w:tc>
          <w:tcPr>
            <w:tcW w:w="662" w:type="pct"/>
            <w:shd w:val="clear" w:color="auto" w:fill="auto"/>
            <w:vAlign w:val="center"/>
          </w:tcPr>
          <w:p w14:paraId="3003C44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50413B1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589" w:type="pct"/>
            <w:shd w:val="clear" w:color="auto" w:fill="auto"/>
            <w:vAlign w:val="center"/>
          </w:tcPr>
          <w:p w14:paraId="272AF77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56</w:t>
            </w:r>
          </w:p>
        </w:tc>
        <w:tc>
          <w:tcPr>
            <w:tcW w:w="589" w:type="pct"/>
            <w:shd w:val="clear" w:color="auto" w:fill="auto"/>
            <w:vAlign w:val="center"/>
          </w:tcPr>
          <w:p w14:paraId="0EBAAF6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75" w:type="pct"/>
            <w:shd w:val="clear" w:color="auto" w:fill="auto"/>
            <w:vAlign w:val="center"/>
          </w:tcPr>
          <w:p w14:paraId="2BABC47E">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138.6</w:t>
            </w:r>
          </w:p>
        </w:tc>
        <w:tc>
          <w:tcPr>
            <w:tcW w:w="556" w:type="pct"/>
            <w:shd w:val="clear" w:color="auto" w:fill="auto"/>
            <w:vAlign w:val="center"/>
          </w:tcPr>
          <w:p w14:paraId="211816D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125</w:t>
            </w:r>
          </w:p>
        </w:tc>
        <w:tc>
          <w:tcPr>
            <w:tcW w:w="605" w:type="pct"/>
            <w:shd w:val="clear" w:color="auto" w:fill="auto"/>
            <w:vAlign w:val="center"/>
          </w:tcPr>
          <w:p w14:paraId="2292E2C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r>
      <w:tr w14:paraId="6D708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2C5213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w:t>
            </w:r>
          </w:p>
        </w:tc>
        <w:tc>
          <w:tcPr>
            <w:tcW w:w="662" w:type="pct"/>
            <w:shd w:val="clear" w:color="auto" w:fill="auto"/>
            <w:vAlign w:val="center"/>
          </w:tcPr>
          <w:p w14:paraId="02E6A52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2EA683CA">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589" w:type="pct"/>
            <w:shd w:val="clear" w:color="auto" w:fill="auto"/>
            <w:vAlign w:val="center"/>
          </w:tcPr>
          <w:p w14:paraId="6F0528C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571A922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675" w:type="pct"/>
            <w:shd w:val="clear" w:color="auto" w:fill="auto"/>
            <w:vAlign w:val="center"/>
          </w:tcPr>
          <w:p w14:paraId="282470C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156.2</w:t>
            </w:r>
          </w:p>
        </w:tc>
        <w:tc>
          <w:tcPr>
            <w:tcW w:w="556" w:type="pct"/>
            <w:shd w:val="clear" w:color="auto" w:fill="auto"/>
            <w:vAlign w:val="center"/>
          </w:tcPr>
          <w:p w14:paraId="000DA5D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140</w:t>
            </w:r>
          </w:p>
        </w:tc>
        <w:tc>
          <w:tcPr>
            <w:tcW w:w="605" w:type="pct"/>
            <w:shd w:val="clear" w:color="auto" w:fill="auto"/>
            <w:vAlign w:val="center"/>
          </w:tcPr>
          <w:p w14:paraId="73A3595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r>
      <w:tr w14:paraId="0E704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8ADC45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25</w:t>
            </w:r>
          </w:p>
        </w:tc>
        <w:tc>
          <w:tcPr>
            <w:tcW w:w="662" w:type="pct"/>
            <w:shd w:val="clear" w:color="auto" w:fill="auto"/>
            <w:vAlign w:val="center"/>
          </w:tcPr>
          <w:p w14:paraId="047F3D6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0DED6B2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589" w:type="pct"/>
            <w:shd w:val="clear" w:color="auto" w:fill="auto"/>
            <w:vAlign w:val="center"/>
          </w:tcPr>
          <w:p w14:paraId="6C2BAF41">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71</w:t>
            </w:r>
          </w:p>
        </w:tc>
        <w:tc>
          <w:tcPr>
            <w:tcW w:w="589" w:type="pct"/>
            <w:shd w:val="clear" w:color="auto" w:fill="auto"/>
            <w:vAlign w:val="center"/>
          </w:tcPr>
          <w:p w14:paraId="55E751B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675" w:type="pct"/>
            <w:shd w:val="clear" w:color="auto" w:fill="auto"/>
            <w:vAlign w:val="center"/>
          </w:tcPr>
          <w:p w14:paraId="3E66226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178</w:t>
            </w:r>
          </w:p>
        </w:tc>
        <w:tc>
          <w:tcPr>
            <w:tcW w:w="556" w:type="pct"/>
            <w:shd w:val="clear" w:color="auto" w:fill="auto"/>
            <w:vAlign w:val="center"/>
          </w:tcPr>
          <w:p w14:paraId="7923C9B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160</w:t>
            </w:r>
          </w:p>
        </w:tc>
        <w:tc>
          <w:tcPr>
            <w:tcW w:w="605" w:type="pct"/>
            <w:shd w:val="clear" w:color="auto" w:fill="auto"/>
            <w:vAlign w:val="center"/>
          </w:tcPr>
          <w:p w14:paraId="2E05BB33">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r>
      <w:tr w14:paraId="0BFB2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22D21F1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32</w:t>
            </w:r>
          </w:p>
        </w:tc>
        <w:tc>
          <w:tcPr>
            <w:tcW w:w="662" w:type="pct"/>
            <w:shd w:val="clear" w:color="auto" w:fill="auto"/>
            <w:vAlign w:val="center"/>
          </w:tcPr>
          <w:p w14:paraId="42B7F61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50</w:t>
            </w:r>
          </w:p>
        </w:tc>
        <w:tc>
          <w:tcPr>
            <w:tcW w:w="662" w:type="pct"/>
            <w:shd w:val="clear" w:color="auto" w:fill="auto"/>
            <w:vAlign w:val="center"/>
          </w:tcPr>
          <w:p w14:paraId="359C02A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589" w:type="pct"/>
            <w:shd w:val="clear" w:color="auto" w:fill="auto"/>
            <w:vAlign w:val="center"/>
          </w:tcPr>
          <w:p w14:paraId="2FBBBD0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20713F0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675" w:type="pct"/>
            <w:shd w:val="clear" w:color="auto" w:fill="auto"/>
            <w:vAlign w:val="center"/>
          </w:tcPr>
          <w:p w14:paraId="0AC6D75F">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198</w:t>
            </w:r>
          </w:p>
        </w:tc>
        <w:tc>
          <w:tcPr>
            <w:tcW w:w="556" w:type="pct"/>
            <w:shd w:val="clear" w:color="auto" w:fill="auto"/>
            <w:vAlign w:val="center"/>
          </w:tcPr>
          <w:p w14:paraId="61583F25">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180</w:t>
            </w:r>
          </w:p>
        </w:tc>
        <w:tc>
          <w:tcPr>
            <w:tcW w:w="605" w:type="pct"/>
            <w:shd w:val="clear" w:color="auto" w:fill="auto"/>
            <w:vAlign w:val="center"/>
          </w:tcPr>
          <w:p w14:paraId="306C8D98">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r>
      <w:tr w14:paraId="7EFD4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3EE739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40</w:t>
            </w:r>
          </w:p>
        </w:tc>
        <w:tc>
          <w:tcPr>
            <w:tcW w:w="662" w:type="pct"/>
            <w:shd w:val="clear" w:color="auto" w:fill="auto"/>
            <w:vAlign w:val="center"/>
          </w:tcPr>
          <w:p w14:paraId="384CBC20">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63</w:t>
            </w:r>
          </w:p>
        </w:tc>
        <w:tc>
          <w:tcPr>
            <w:tcW w:w="662" w:type="pct"/>
            <w:shd w:val="clear" w:color="auto" w:fill="auto"/>
            <w:vAlign w:val="center"/>
          </w:tcPr>
          <w:p w14:paraId="79B504BD">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80</w:t>
            </w:r>
          </w:p>
        </w:tc>
        <w:tc>
          <w:tcPr>
            <w:tcW w:w="589" w:type="pct"/>
            <w:shd w:val="clear" w:color="auto" w:fill="auto"/>
            <w:vAlign w:val="center"/>
          </w:tcPr>
          <w:p w14:paraId="414A4192">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90</w:t>
            </w:r>
          </w:p>
        </w:tc>
        <w:tc>
          <w:tcPr>
            <w:tcW w:w="589" w:type="pct"/>
            <w:shd w:val="clear" w:color="auto" w:fill="auto"/>
            <w:vAlign w:val="center"/>
          </w:tcPr>
          <w:p w14:paraId="5DFF15C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c>
          <w:tcPr>
            <w:tcW w:w="675" w:type="pct"/>
            <w:shd w:val="clear" w:color="auto" w:fill="auto"/>
            <w:vAlign w:val="center"/>
          </w:tcPr>
          <w:p w14:paraId="024973D4">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220</w:t>
            </w:r>
          </w:p>
        </w:tc>
        <w:tc>
          <w:tcPr>
            <w:tcW w:w="556" w:type="pct"/>
            <w:shd w:val="clear" w:color="auto" w:fill="auto"/>
            <w:vAlign w:val="center"/>
          </w:tcPr>
          <w:p w14:paraId="448F1577">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200</w:t>
            </w:r>
          </w:p>
        </w:tc>
        <w:tc>
          <w:tcPr>
            <w:tcW w:w="605" w:type="pct"/>
            <w:shd w:val="clear" w:color="auto" w:fill="auto"/>
            <w:vAlign w:val="center"/>
          </w:tcPr>
          <w:p w14:paraId="7098B7E6">
            <w:pPr>
              <w:widowControl w:val="0"/>
              <w:spacing w:line="240" w:lineRule="auto"/>
              <w:ind w:firstLine="0" w:firstLineChars="0"/>
              <w:jc w:val="center"/>
              <w:rPr>
                <w:rFonts w:ascii="Times New Roman" w:hAnsi="Times New Roman" w:eastAsia="仿宋" w:cs="Times New Roman"/>
                <w:color w:val="000000"/>
                <w:kern w:val="0"/>
                <w:sz w:val="21"/>
                <w:szCs w:val="21"/>
                <w:highlight w:val="none"/>
                <w:lang w:val="en-US" w:eastAsia="zh-CN" w:bidi="ar-SA"/>
              </w:rPr>
            </w:pPr>
            <w:r>
              <w:rPr>
                <w:rFonts w:ascii="Times New Roman" w:hAnsi="Times New Roman" w:eastAsia="仿宋" w:cs="Times New Roman"/>
                <w:color w:val="000000"/>
                <w:kern w:val="0"/>
                <w:sz w:val="21"/>
                <w:szCs w:val="21"/>
                <w:highlight w:val="none"/>
                <w:lang w:val="en-US" w:eastAsia="zh-CN" w:bidi="ar-SA"/>
              </w:rPr>
              <w:t>100</w:t>
            </w:r>
          </w:p>
        </w:tc>
      </w:tr>
    </w:tbl>
    <w:p w14:paraId="2B473CC5">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四点吊的塔吊主要部件</w:t>
      </w:r>
      <w:r>
        <w:rPr>
          <w:rFonts w:hint="eastAsia" w:cs="Times New Roman"/>
          <w:highlight w:val="none"/>
          <w:lang w:val="en-US" w:eastAsia="zh-CN"/>
        </w:rPr>
        <w:t>为</w:t>
      </w:r>
      <w:r>
        <w:rPr>
          <w:rFonts w:hint="eastAsia" w:ascii="Times New Roman" w:hAnsi="Times New Roman" w:eastAsia="宋体" w:cs="Times New Roman"/>
          <w:highlight w:val="none"/>
          <w:lang w:val="en-US" w:eastAsia="zh-CN"/>
        </w:rPr>
        <w:t>平衡臂</w:t>
      </w:r>
      <w:r>
        <w:rPr>
          <w:rFonts w:hint="eastAsia" w:cs="Times New Roman"/>
          <w:highlight w:val="none"/>
          <w:lang w:eastAsia="zh-CN"/>
        </w:rPr>
        <w:t>，</w:t>
      </w:r>
      <w:r>
        <w:rPr>
          <w:rFonts w:hint="eastAsia" w:ascii="Times New Roman" w:hAnsi="Times New Roman" w:eastAsia="宋体" w:cs="Times New Roman"/>
          <w:highlight w:val="none"/>
          <w:lang w:val="en-US" w:eastAsia="zh-CN"/>
        </w:rPr>
        <w:t>平衡臂</w:t>
      </w:r>
      <w:r>
        <w:rPr>
          <w:rFonts w:hint="eastAsia" w:ascii="Times New Roman" w:hAnsi="Times New Roman" w:eastAsia="宋体" w:cs="Times New Roman"/>
          <w:highlight w:val="none"/>
        </w:rPr>
        <w:t>最大重量约</w:t>
      </w:r>
      <w:r>
        <w:rPr>
          <w:rFonts w:hint="eastAsia" w:ascii="Times New Roman" w:hAnsi="Times New Roman" w:eastAsia="宋体" w:cs="Times New Roman"/>
          <w:highlight w:val="none"/>
          <w:lang w:val="en-US" w:eastAsia="zh-CN"/>
        </w:rPr>
        <w:t>9.8t</w:t>
      </w:r>
      <w:r>
        <w:rPr>
          <w:rFonts w:hint="eastAsia" w:ascii="Times New Roman" w:hAnsi="Times New Roman" w:eastAsia="宋体" w:cs="Times New Roman"/>
          <w:highlight w:val="none"/>
        </w:rPr>
        <w:t>，钢丝绳连接卸扣工作荷载：</w:t>
      </w:r>
    </w:p>
    <w:p w14:paraId="33190F2F">
      <w:pPr>
        <w:ind w:firstLine="480"/>
        <w:rPr>
          <w:rFonts w:ascii="Times New Roman" w:hAnsi="Times New Roman" w:eastAsia="宋体" w:cs="Times New Roman"/>
          <w:highlight w:val="none"/>
        </w:rPr>
      </w:pPr>
      <m:oMath>
        <m:r>
          <m:rPr>
            <m:nor/>
            <m:sty m:val="p"/>
          </m:rPr>
          <w:rPr>
            <w:rFonts w:hint="eastAsia" w:ascii="Cambria Math" w:hAnsi="Cambria Math" w:eastAsia="宋体" w:cs="Times New Roman"/>
            <w:b w:val="0"/>
            <w:i w:val="0"/>
            <w:highlight w:val="none"/>
            <w:lang w:val="en-US" w:eastAsia="zh-CN"/>
          </w:rPr>
          <m:t>WL</m:t>
        </m:r>
        <m:sSub>
          <m:sSubPr>
            <m:ctrlPr>
              <w:rPr>
                <w:rFonts w:hint="eastAsia" w:ascii="Cambria Math" w:hAnsi="Cambria Math" w:eastAsia="宋体" w:cs="Times New Roman"/>
                <w:highlight w:val="none"/>
                <w:lang w:val="en-US" w:eastAsia="zh-CN"/>
              </w:rPr>
            </m:ctrlPr>
          </m:sSubPr>
          <m:e>
            <m:r>
              <m:rPr>
                <m:nor/>
                <m:sty m:val="p"/>
              </m:rPr>
              <w:rPr>
                <w:rFonts w:hint="eastAsia" w:ascii="Cambria Math" w:hAnsi="Cambria Math" w:eastAsia="宋体" w:cs="Times New Roman"/>
                <w:b w:val="0"/>
                <w:i w:val="0"/>
                <w:highlight w:val="none"/>
                <w:lang w:val="en-US" w:eastAsia="zh-CN"/>
              </w:rPr>
              <m:t>L</m:t>
            </m:r>
            <m:ctrlPr>
              <w:rPr>
                <w:rFonts w:hint="eastAsia" w:ascii="Cambria Math" w:hAnsi="Cambria Math" w:eastAsia="宋体" w:cs="Times New Roman"/>
                <w:highlight w:val="none"/>
                <w:lang w:val="en-US" w:eastAsia="zh-CN"/>
              </w:rPr>
            </m:ctrlPr>
          </m:e>
          <m:sub>
            <m:r>
              <m:rPr>
                <m:nor/>
                <m:sty m:val="p"/>
              </m:rPr>
              <w:rPr>
                <w:rFonts w:hint="eastAsia" w:ascii="Cambria Math" w:hAnsi="Cambria Math" w:eastAsia="宋体" w:cs="Times New Roman"/>
                <w:b w:val="0"/>
                <w:i w:val="0"/>
                <w:highlight w:val="none"/>
                <w:lang w:val="en-US" w:eastAsia="zh-CN"/>
              </w:rPr>
              <m:t>0</m:t>
            </m:r>
            <m:ctrlPr>
              <w:rPr>
                <w:rFonts w:hint="eastAsia" w:ascii="Cambria Math" w:hAnsi="Cambria Math" w:eastAsia="宋体" w:cs="Times New Roman"/>
                <w:highlight w:val="none"/>
                <w:lang w:val="en-US" w:eastAsia="zh-CN"/>
              </w:rPr>
            </m:ctrlPr>
          </m:sub>
        </m:sSub>
        <m:r>
          <m:rPr>
            <m:nor/>
            <m:sty m:val="p"/>
          </m:rPr>
          <w:rPr>
            <w:rFonts w:hint="eastAsia" w:ascii="Cambria Math" w:hAnsi="Cambria Math" w:eastAsia="宋体" w:cs="Times New Roman"/>
            <w:b w:val="0"/>
            <w:i w:val="0"/>
            <w:highlight w:val="none"/>
            <w:lang w:val="en-US" w:eastAsia="zh-CN"/>
          </w:rPr>
          <m:t>=</m:t>
        </m:r>
        <m:f>
          <m:fPr>
            <m:ctrlPr>
              <w:rPr>
                <w:rFonts w:hint="eastAsia" w:ascii="Cambria Math" w:hAnsi="Cambria Math" w:eastAsia="宋体" w:cs="Times New Roman"/>
                <w:highlight w:val="none"/>
                <w:lang w:val="en-US" w:eastAsia="zh-CN"/>
              </w:rPr>
            </m:ctrlPr>
          </m:fPr>
          <m:num>
            <m:r>
              <m:rPr>
                <m:sty m:val="p"/>
              </m:rPr>
              <w:rPr>
                <w:rFonts w:hint="default" w:ascii="Cambria Math" w:hAnsi="Cambria Math" w:eastAsia="宋体" w:cs="Times New Roman"/>
                <w:highlight w:val="none"/>
                <w:lang w:val="en-US" w:eastAsia="zh-CN"/>
              </w:rPr>
              <m:t>305.10</m:t>
            </m:r>
            <m:ctrlPr>
              <w:rPr>
                <w:rFonts w:hint="eastAsia" w:ascii="Cambria Math" w:hAnsi="Cambria Math" w:eastAsia="宋体" w:cs="Times New Roman"/>
                <w:highlight w:val="none"/>
                <w:lang w:val="en-US" w:eastAsia="zh-CN"/>
              </w:rPr>
            </m:ctrlPr>
          </m:num>
          <m:den>
            <m:r>
              <m:rPr>
                <m:nor/>
                <m:sty m:val="p"/>
              </m:rPr>
              <w:rPr>
                <w:rFonts w:hint="eastAsia" w:ascii="Cambria Math" w:hAnsi="Cambria Math" w:eastAsia="宋体" w:cs="Times New Roman"/>
                <w:b w:val="0"/>
                <w:i w:val="0"/>
                <w:highlight w:val="none"/>
                <w:lang w:val="en-US" w:eastAsia="zh-CN"/>
              </w:rPr>
              <m:t>6</m:t>
            </m:r>
            <m:ctrlPr>
              <w:rPr>
                <w:rFonts w:hint="eastAsia" w:ascii="Cambria Math" w:hAnsi="Cambria Math" w:eastAsia="宋体" w:cs="Times New Roman"/>
                <w:highlight w:val="none"/>
                <w:lang w:val="en-US" w:eastAsia="zh-CN"/>
              </w:rPr>
            </m:ctrlPr>
          </m:den>
        </m:f>
        <m:r>
          <m:rPr>
            <m:nor/>
            <m:sty m:val="p"/>
          </m:rPr>
          <w:rPr>
            <w:rFonts w:hint="eastAsia" w:ascii="Cambria Math" w:hAnsi="Cambria Math" w:eastAsia="宋体" w:cs="Times New Roman"/>
            <w:b w:val="0"/>
            <w:i w:val="0"/>
            <w:highlight w:val="none"/>
            <w:lang w:val="en-US" w:eastAsia="zh-CN"/>
          </w:rPr>
          <m:t>=</m:t>
        </m:r>
        <m:r>
          <m:rPr>
            <m:nor/>
            <m:sty m:val="p"/>
          </m:rPr>
          <w:rPr>
            <w:rFonts w:hint="default" w:ascii="Cambria Math" w:hAnsi="Cambria Math" w:eastAsia="宋体" w:cs="Times New Roman"/>
            <w:b w:val="0"/>
            <w:i w:val="0"/>
            <w:highlight w:val="none"/>
            <w:lang w:val="en-US" w:eastAsia="zh-CN"/>
          </w:rPr>
          <m:t>50.85kN</m:t>
        </m:r>
      </m:oMath>
      <w:r>
        <w:rPr>
          <w:rFonts w:hint="eastAsia" w:ascii="Times New Roman" w:hAnsi="Times New Roman" w:eastAsia="宋体" w:cs="Times New Roman"/>
          <w:highlight w:val="none"/>
        </w:rPr>
        <w:t>，选用卸扣GB/T25854-6-DW</w:t>
      </w:r>
      <w:r>
        <w:rPr>
          <w:rFonts w:hint="eastAsia" w:ascii="Times New Roman" w:hAnsi="Times New Roman" w:eastAsia="宋体" w:cs="Times New Roman"/>
          <w:highlight w:val="none"/>
          <w:lang w:val="en-US" w:eastAsia="zh-CN"/>
        </w:rPr>
        <w:t>10</w:t>
      </w:r>
      <w:r>
        <w:rPr>
          <w:rFonts w:hint="eastAsia" w:ascii="Times New Roman" w:hAnsi="Times New Roman" w:eastAsia="宋体" w:cs="Times New Roman"/>
          <w:highlight w:val="none"/>
        </w:rPr>
        <w:t>。</w:t>
      </w:r>
    </w:p>
    <w:p w14:paraId="4899DA47">
      <w:pPr>
        <w:ind w:firstLine="480"/>
        <w:rPr>
          <w:rFonts w:ascii="Times New Roman" w:hAnsi="Times New Roman" w:eastAsia="宋体" w:cs="Times New Roman"/>
          <w:highlight w:val="none"/>
        </w:rPr>
      </w:pPr>
      <w:r>
        <w:rPr>
          <w:rFonts w:hint="eastAsia" w:cs="Times New Roman"/>
          <w:highlight w:val="none"/>
          <w:lang w:val="en-US" w:eastAsia="zh-CN"/>
        </w:rPr>
        <w:t>两</w:t>
      </w:r>
      <w:r>
        <w:rPr>
          <w:rFonts w:hint="eastAsia" w:ascii="Times New Roman" w:hAnsi="Times New Roman" w:eastAsia="宋体" w:cs="Times New Roman"/>
          <w:highlight w:val="none"/>
        </w:rPr>
        <w:t>点吊的塔吊主要部件</w:t>
      </w:r>
      <w:r>
        <w:rPr>
          <w:rFonts w:hint="eastAsia" w:cs="Times New Roman"/>
          <w:highlight w:val="none"/>
          <w:lang w:val="en-US" w:eastAsia="zh-CN"/>
        </w:rPr>
        <w:t>为</w:t>
      </w:r>
      <w:r>
        <w:rPr>
          <w:rFonts w:hint="eastAsia" w:ascii="Times New Roman" w:hAnsi="Times New Roman" w:eastAsia="宋体" w:cs="Times New Roman"/>
          <w:highlight w:val="none"/>
          <w:lang w:val="en-US" w:eastAsia="zh-CN"/>
        </w:rPr>
        <w:t>起重臂</w:t>
      </w:r>
      <w:r>
        <w:rPr>
          <w:rFonts w:hint="eastAsia" w:ascii="Times New Roman" w:hAnsi="Times New Roman" w:eastAsia="宋体" w:cs="Times New Roman"/>
          <w:highlight w:val="none"/>
        </w:rPr>
        <w:t>总成</w:t>
      </w:r>
      <w:r>
        <w:rPr>
          <w:rFonts w:hint="eastAsia" w:cs="Times New Roman"/>
          <w:highlight w:val="none"/>
          <w:lang w:eastAsia="zh-CN"/>
        </w:rPr>
        <w:t>，</w:t>
      </w:r>
      <w:r>
        <w:rPr>
          <w:rFonts w:hint="eastAsia" w:ascii="Times New Roman" w:hAnsi="Times New Roman" w:eastAsia="宋体" w:cs="Times New Roman"/>
          <w:highlight w:val="none"/>
          <w:lang w:val="en-US" w:eastAsia="zh-CN"/>
        </w:rPr>
        <w:t>起重臂</w:t>
      </w:r>
      <w:r>
        <w:rPr>
          <w:rFonts w:hint="eastAsia" w:ascii="Times New Roman" w:hAnsi="Times New Roman" w:eastAsia="宋体" w:cs="Times New Roman"/>
          <w:highlight w:val="none"/>
        </w:rPr>
        <w:t>总成最大重量</w:t>
      </w:r>
      <w:r>
        <w:rPr>
          <w:rFonts w:hint="eastAsia" w:ascii="Times New Roman" w:hAnsi="Times New Roman" w:cs="Times New Roman"/>
          <w:highlight w:val="none"/>
          <w:lang w:val="en-US" w:eastAsia="zh-CN"/>
        </w:rPr>
        <w:t>约</w:t>
      </w:r>
      <w:r>
        <w:rPr>
          <w:rFonts w:hint="eastAsia" w:ascii="Times New Roman" w:hAnsi="Times New Roman" w:eastAsia="宋体" w:cs="Times New Roman"/>
          <w:highlight w:val="none"/>
          <w:lang w:val="en-US" w:eastAsia="zh-CN"/>
        </w:rPr>
        <w:t>6.422t</w:t>
      </w:r>
      <w:r>
        <w:rPr>
          <w:rFonts w:hint="eastAsia" w:ascii="Times New Roman" w:hAnsi="Times New Roman" w:eastAsia="宋体" w:cs="Times New Roman"/>
          <w:highlight w:val="none"/>
        </w:rPr>
        <w:t>，钢丝绳连接卸扣工作荷载：</w:t>
      </w:r>
    </w:p>
    <w:p w14:paraId="4F3B97A0">
      <w:pPr>
        <w:ind w:firstLine="480"/>
        <w:rPr>
          <w:rFonts w:hint="eastAsia" w:ascii="Times New Roman" w:hAnsi="Times New Roman" w:eastAsia="宋体" w:cs="Times New Roman"/>
          <w:highlight w:val="none"/>
        </w:rPr>
      </w:pPr>
      <m:oMath>
        <m:r>
          <m:rPr>
            <m:nor/>
            <m:sty m:val="p"/>
          </m:rPr>
          <w:rPr>
            <w:rFonts w:ascii="Cambria Math" w:cs="Times New Roman"/>
            <w:b w:val="0"/>
            <w:i w:val="0"/>
            <w:highlight w:val="none"/>
          </w:rPr>
          <m:t>WL</m:t>
        </m:r>
        <m:sSub>
          <m:sSubPr>
            <m:ctrlPr>
              <w:rPr>
                <w:rFonts w:ascii="Cambria Math" w:hAnsi="Cambria Math" w:cs="Times New Roman"/>
                <w:i/>
                <w:highlight w:val="none"/>
              </w:rPr>
            </m:ctrlPr>
          </m:sSubPr>
          <m:e>
            <m:r>
              <m:rPr>
                <m:nor/>
                <m:sty m:val="p"/>
              </m:rPr>
              <w:rPr>
                <w:rFonts w:ascii="Cambria Math" w:cs="Times New Roman"/>
                <w:b w:val="0"/>
                <w:i w:val="0"/>
                <w:highlight w:val="none"/>
              </w:rPr>
              <m:t>L</m:t>
            </m:r>
            <m:ctrlPr>
              <w:rPr>
                <w:rFonts w:ascii="Cambria Math" w:hAnsi="Cambria Math" w:cs="Times New Roman"/>
                <w:i/>
                <w:highlight w:val="none"/>
              </w:rPr>
            </m:ctrlPr>
          </m:e>
          <m:sub>
            <m:r>
              <m:rPr>
                <m:nor/>
                <m:sty m:val="p"/>
              </m:rPr>
              <w:rPr>
                <w:rFonts w:ascii="Cambria Math" w:cs="Times New Roman"/>
                <w:b w:val="0"/>
                <w:i w:val="0"/>
                <w:highlight w:val="none"/>
              </w:rPr>
              <m:t>0</m:t>
            </m:r>
            <m:ctrlPr>
              <w:rPr>
                <w:rFonts w:ascii="Cambria Math" w:hAnsi="Cambria Math" w:cs="Times New Roman"/>
                <w:i/>
                <w:highlight w:val="none"/>
              </w:rPr>
            </m:ctrlPr>
          </m:sub>
        </m:sSub>
        <m:r>
          <m:rPr>
            <m:nor/>
            <m:sty m:val="p"/>
          </m:rPr>
          <w:rPr>
            <w:rFonts w:ascii="Cambria Math" w:cs="Times New Roman"/>
            <w:b w:val="0"/>
            <w:i w:val="0"/>
            <w:highlight w:val="none"/>
          </w:rPr>
          <m:t>=</m:t>
        </m:r>
        <m:f>
          <m:fPr>
            <m:ctrlPr>
              <w:rPr>
                <w:rFonts w:ascii="Cambria Math" w:hAnsi="Cambria Math" w:cs="Times New Roman"/>
                <w:i/>
                <w:highlight w:val="none"/>
              </w:rPr>
            </m:ctrlPr>
          </m:fPr>
          <m:num>
            <m:r>
              <m:rPr/>
              <w:rPr>
                <w:rFonts w:hint="default" w:ascii="Cambria Math" w:hAnsi="Cambria Math" w:cs="Times New Roman"/>
                <w:highlight w:val="none"/>
                <w:lang w:val="en-US" w:eastAsia="zh-CN"/>
              </w:rPr>
              <m:t>299.90</m:t>
            </m:r>
            <m:ctrlPr>
              <w:rPr>
                <w:rFonts w:ascii="Cambria Math" w:hAnsi="Cambria Math" w:cs="Times New Roman"/>
                <w:i/>
                <w:highlight w:val="none"/>
              </w:rPr>
            </m:ctrlPr>
          </m:num>
          <m:den>
            <m:r>
              <m:rPr>
                <m:nor/>
                <m:sty m:val="p"/>
              </m:rPr>
              <w:rPr>
                <w:rFonts w:ascii="Cambria Math" w:cs="Times New Roman"/>
                <w:b w:val="0"/>
                <w:i w:val="0"/>
                <w:highlight w:val="none"/>
              </w:rPr>
              <m:t>6</m:t>
            </m:r>
            <m:ctrlPr>
              <w:rPr>
                <w:rFonts w:ascii="Cambria Math" w:hAnsi="Cambria Math" w:cs="Times New Roman"/>
                <w:i/>
                <w:highlight w:val="none"/>
              </w:rPr>
            </m:ctrlPr>
          </m:den>
        </m:f>
        <m:r>
          <m:rPr>
            <m:nor/>
            <m:sty m:val="p"/>
          </m:rPr>
          <w:rPr>
            <w:rFonts w:ascii="Cambria Math" w:cs="Times New Roman"/>
            <w:b w:val="0"/>
            <w:i w:val="0"/>
            <w:highlight w:val="none"/>
          </w:rPr>
          <m:t>=</m:t>
        </m:r>
        <m:r>
          <m:rPr>
            <m:nor/>
            <m:sty m:val="p"/>
          </m:rPr>
          <w:rPr>
            <w:rFonts w:hint="default" w:ascii="Cambria Math" w:cs="Times New Roman"/>
            <w:b w:val="0"/>
            <w:i w:val="0"/>
            <w:highlight w:val="none"/>
            <w:lang w:val="en-US" w:eastAsia="zh-CN"/>
          </w:rPr>
          <m:t>49.99</m:t>
        </m:r>
        <m:r>
          <m:rPr>
            <m:nor/>
            <m:sty m:val="p"/>
          </m:rPr>
          <w:rPr>
            <w:rFonts w:hint="eastAsia" w:ascii="Cambria Math" w:cs="Times New Roman"/>
            <w:b w:val="0"/>
            <w:i w:val="0"/>
            <w:highlight w:val="none"/>
            <w:lang w:val="en-US" w:eastAsia="zh-CN"/>
          </w:rPr>
          <m:t>k</m:t>
        </m:r>
        <m:r>
          <m:rPr>
            <m:nor/>
            <m:sty m:val="p"/>
          </m:rPr>
          <w:rPr>
            <w:rFonts w:ascii="Cambria Math" w:cs="Times New Roman"/>
            <w:b w:val="0"/>
            <w:i w:val="0"/>
            <w:highlight w:val="none"/>
          </w:rPr>
          <m:t>N</m:t>
        </m:r>
      </m:oMath>
      <w:r>
        <w:rPr>
          <w:rFonts w:hint="eastAsia" w:ascii="Times New Roman" w:hAnsi="Times New Roman" w:eastAsia="宋体" w:cs="Times New Roman"/>
          <w:highlight w:val="none"/>
        </w:rPr>
        <w:t>，选用卸扣GB/T25854-6-DW</w:t>
      </w:r>
      <w:r>
        <w:rPr>
          <w:rFonts w:hint="eastAsia" w:ascii="Times New Roman" w:hAnsi="Times New Roman" w:eastAsia="宋体" w:cs="Times New Roman"/>
          <w:highlight w:val="none"/>
          <w:lang w:val="en-US" w:eastAsia="zh-CN"/>
        </w:rPr>
        <w:t>10</w:t>
      </w:r>
      <w:r>
        <w:rPr>
          <w:rFonts w:hint="eastAsia" w:ascii="Times New Roman" w:hAnsi="Times New Roman" w:eastAsia="宋体" w:cs="Times New Roman"/>
          <w:highlight w:val="none"/>
        </w:rPr>
        <w:t>。</w:t>
      </w:r>
    </w:p>
    <w:p w14:paraId="22DB5F92">
      <w:pPr>
        <w:ind w:firstLine="420" w:firstLineChars="0"/>
        <w:rPr>
          <w:highlight w:val="none"/>
        </w:rPr>
      </w:pPr>
      <w:r>
        <w:rPr>
          <w:color w:val="auto"/>
          <w:highlight w:val="none"/>
        </w:rPr>
        <w:t>根据塔吊基础设计参数及塔吊主要部件重量及吊</w:t>
      </w:r>
      <w:r>
        <w:rPr>
          <w:rFonts w:hint="eastAsia"/>
          <w:color w:val="auto"/>
          <w:highlight w:val="none"/>
        </w:rPr>
        <w:t>装</w:t>
      </w:r>
      <w:r>
        <w:rPr>
          <w:color w:val="auto"/>
          <w:highlight w:val="none"/>
        </w:rPr>
        <w:t>高度，确定安装过程中所需的最大吊重、最大钢丝绳夹角，结合施工现场实际情况，确定起重钢丝绳型号。钢丝绳及卸扣选型见下表。</w:t>
      </w:r>
    </w:p>
    <w:p w14:paraId="6D8DC8A9">
      <w:pPr>
        <w:pStyle w:val="15"/>
        <w:rPr>
          <w:color w:val="auto"/>
          <w:highlight w:val="none"/>
        </w:rPr>
      </w:pPr>
      <w:r>
        <w:rPr>
          <w:color w:val="auto"/>
          <w:highlight w:val="none"/>
        </w:rPr>
        <w:t xml:space="preserve">表 </w:t>
      </w:r>
      <w:r>
        <w:rPr>
          <w:rFonts w:hint="eastAsia"/>
          <w:color w:val="auto"/>
          <w:highlight w:val="none"/>
          <w:lang w:val="en-US" w:eastAsia="zh-CN"/>
        </w:rPr>
        <w:t>4.2-2</w:t>
      </w:r>
      <w:r>
        <w:rPr>
          <w:color w:val="auto"/>
          <w:highlight w:val="none"/>
        </w:rPr>
        <w:t>钢丝绳选型表</w:t>
      </w:r>
    </w:p>
    <w:tbl>
      <w:tblPr>
        <w:tblStyle w:val="31"/>
        <w:tblW w:w="650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9"/>
        <w:gridCol w:w="1559"/>
        <w:gridCol w:w="2835"/>
        <w:gridCol w:w="567"/>
        <w:gridCol w:w="567"/>
      </w:tblGrid>
      <w:tr w14:paraId="6E3A0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979" w:type="dxa"/>
            <w:vAlign w:val="center"/>
          </w:tcPr>
          <w:p w14:paraId="1E8BDD9B">
            <w:pPr>
              <w:pStyle w:val="166"/>
              <w:rPr>
                <w:b w:val="0"/>
                <w:color w:val="auto"/>
              </w:rPr>
            </w:pPr>
            <w:r>
              <w:rPr>
                <w:b/>
                <w:color w:val="auto"/>
              </w:rPr>
              <w:t>序号</w:t>
            </w:r>
          </w:p>
        </w:tc>
        <w:tc>
          <w:tcPr>
            <w:tcW w:w="1559" w:type="dxa"/>
            <w:vAlign w:val="center"/>
          </w:tcPr>
          <w:p w14:paraId="5F3CBD3C">
            <w:pPr>
              <w:pStyle w:val="166"/>
              <w:rPr>
                <w:b w:val="0"/>
                <w:color w:val="auto"/>
              </w:rPr>
            </w:pPr>
            <w:r>
              <w:rPr>
                <w:b/>
                <w:color w:val="auto"/>
              </w:rPr>
              <w:t>设备名称</w:t>
            </w:r>
          </w:p>
        </w:tc>
        <w:tc>
          <w:tcPr>
            <w:tcW w:w="2835" w:type="dxa"/>
            <w:vAlign w:val="center"/>
          </w:tcPr>
          <w:p w14:paraId="16AC168F">
            <w:pPr>
              <w:pStyle w:val="166"/>
              <w:rPr>
                <w:b w:val="0"/>
                <w:color w:val="auto"/>
              </w:rPr>
            </w:pPr>
            <w:r>
              <w:rPr>
                <w:b/>
                <w:color w:val="auto"/>
              </w:rPr>
              <w:t>规格型号</w:t>
            </w:r>
          </w:p>
        </w:tc>
        <w:tc>
          <w:tcPr>
            <w:tcW w:w="567" w:type="dxa"/>
            <w:vAlign w:val="center"/>
          </w:tcPr>
          <w:p w14:paraId="01C20C6B">
            <w:pPr>
              <w:pStyle w:val="166"/>
              <w:rPr>
                <w:b w:val="0"/>
                <w:color w:val="auto"/>
              </w:rPr>
            </w:pPr>
            <w:r>
              <w:rPr>
                <w:b/>
                <w:color w:val="auto"/>
              </w:rPr>
              <w:t>单位</w:t>
            </w:r>
          </w:p>
        </w:tc>
        <w:tc>
          <w:tcPr>
            <w:tcW w:w="567" w:type="dxa"/>
            <w:vAlign w:val="center"/>
          </w:tcPr>
          <w:p w14:paraId="06B8DE46">
            <w:pPr>
              <w:pStyle w:val="166"/>
              <w:rPr>
                <w:b w:val="0"/>
                <w:color w:val="auto"/>
              </w:rPr>
            </w:pPr>
            <w:r>
              <w:rPr>
                <w:b/>
                <w:color w:val="auto"/>
              </w:rPr>
              <w:t>数量</w:t>
            </w:r>
          </w:p>
        </w:tc>
      </w:tr>
      <w:tr w14:paraId="78442A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79" w:type="dxa"/>
            <w:vAlign w:val="center"/>
          </w:tcPr>
          <w:p w14:paraId="2FC243D7">
            <w:pPr>
              <w:pStyle w:val="166"/>
              <w:rPr>
                <w:rFonts w:hint="default" w:eastAsia="宋体"/>
                <w:color w:val="auto"/>
                <w:lang w:val="en-US" w:eastAsia="zh-CN"/>
              </w:rPr>
            </w:pPr>
            <w:r>
              <w:rPr>
                <w:rFonts w:hint="eastAsia"/>
                <w:color w:val="auto"/>
                <w:lang w:val="en-US" w:eastAsia="zh-CN"/>
              </w:rPr>
              <w:t>1</w:t>
            </w:r>
          </w:p>
        </w:tc>
        <w:tc>
          <w:tcPr>
            <w:tcW w:w="1559" w:type="dxa"/>
            <w:vAlign w:val="center"/>
          </w:tcPr>
          <w:p w14:paraId="7AA6E8E1">
            <w:pPr>
              <w:pStyle w:val="166"/>
              <w:rPr>
                <w:color w:val="auto"/>
              </w:rPr>
            </w:pPr>
            <w:r>
              <w:rPr>
                <w:color w:val="auto"/>
              </w:rPr>
              <w:t>起重用钢丝绳</w:t>
            </w:r>
          </w:p>
        </w:tc>
        <w:tc>
          <w:tcPr>
            <w:tcW w:w="2835" w:type="dxa"/>
            <w:vAlign w:val="center"/>
          </w:tcPr>
          <w:p w14:paraId="0DC5F848">
            <w:pPr>
              <w:pStyle w:val="166"/>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24mm6×19W+IWR1870Mpa</w:t>
            </w:r>
          </w:p>
        </w:tc>
        <w:tc>
          <w:tcPr>
            <w:tcW w:w="567" w:type="dxa"/>
            <w:vAlign w:val="center"/>
          </w:tcPr>
          <w:p w14:paraId="6382F595">
            <w:pPr>
              <w:pStyle w:val="166"/>
              <w:rPr>
                <w:color w:val="auto"/>
              </w:rPr>
            </w:pPr>
            <w:r>
              <w:rPr>
                <w:color w:val="auto"/>
              </w:rPr>
              <w:t>根</w:t>
            </w:r>
          </w:p>
        </w:tc>
        <w:tc>
          <w:tcPr>
            <w:tcW w:w="567" w:type="dxa"/>
            <w:vAlign w:val="center"/>
          </w:tcPr>
          <w:p w14:paraId="33DA2E9F">
            <w:pPr>
              <w:pStyle w:val="166"/>
              <w:rPr>
                <w:rFonts w:hint="eastAsia" w:eastAsia="宋体"/>
                <w:color w:val="auto"/>
                <w:lang w:eastAsia="zh-CN"/>
              </w:rPr>
            </w:pPr>
            <w:r>
              <w:rPr>
                <w:rFonts w:hint="eastAsia"/>
                <w:color w:val="auto"/>
                <w:lang w:val="en-US" w:eastAsia="zh-CN"/>
              </w:rPr>
              <w:t>4</w:t>
            </w:r>
          </w:p>
        </w:tc>
      </w:tr>
      <w:tr w14:paraId="4AB81E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79" w:type="dxa"/>
            <w:vAlign w:val="center"/>
          </w:tcPr>
          <w:p w14:paraId="5A3229ED">
            <w:pPr>
              <w:pStyle w:val="166"/>
              <w:rPr>
                <w:rFonts w:hint="default"/>
                <w:color w:val="auto"/>
                <w:lang w:val="en-US" w:eastAsia="zh-CN"/>
              </w:rPr>
            </w:pPr>
            <w:r>
              <w:rPr>
                <w:rFonts w:hint="eastAsia"/>
                <w:color w:val="auto"/>
                <w:lang w:val="en-US" w:eastAsia="zh-CN"/>
              </w:rPr>
              <w:t>2</w:t>
            </w:r>
          </w:p>
        </w:tc>
        <w:tc>
          <w:tcPr>
            <w:tcW w:w="1559" w:type="dxa"/>
            <w:vAlign w:val="center"/>
          </w:tcPr>
          <w:p w14:paraId="569D6ECB">
            <w:pPr>
              <w:pStyle w:val="166"/>
              <w:ind w:firstLine="0" w:firstLineChars="0"/>
              <w:rPr>
                <w:rFonts w:ascii="Times New Roman" w:hAnsi="Times New Roman" w:eastAsia="宋体" w:cstheme="minorBidi"/>
                <w:color w:val="auto"/>
                <w:kern w:val="2"/>
                <w:sz w:val="21"/>
                <w:szCs w:val="21"/>
                <w:lang w:val="en-US" w:eastAsia="zh-CN" w:bidi="ar-SA"/>
              </w:rPr>
            </w:pPr>
            <w:r>
              <w:rPr>
                <w:color w:val="auto"/>
              </w:rPr>
              <w:t>卸扣</w:t>
            </w:r>
          </w:p>
        </w:tc>
        <w:tc>
          <w:tcPr>
            <w:tcW w:w="2835" w:type="dxa"/>
            <w:vAlign w:val="center"/>
          </w:tcPr>
          <w:p w14:paraId="6BE2BE7A">
            <w:pPr>
              <w:pStyle w:val="166"/>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GB/T 25854-6-DW10</w:t>
            </w:r>
          </w:p>
        </w:tc>
        <w:tc>
          <w:tcPr>
            <w:tcW w:w="567" w:type="dxa"/>
            <w:vAlign w:val="center"/>
          </w:tcPr>
          <w:p w14:paraId="7C56EF10">
            <w:pPr>
              <w:pStyle w:val="166"/>
              <w:ind w:firstLine="0" w:firstLineChars="0"/>
              <w:rPr>
                <w:rFonts w:ascii="Times New Roman" w:hAnsi="Times New Roman" w:eastAsia="宋体" w:cstheme="minorBidi"/>
                <w:color w:val="auto"/>
                <w:kern w:val="2"/>
                <w:sz w:val="21"/>
                <w:szCs w:val="21"/>
                <w:lang w:val="en-US" w:eastAsia="zh-CN" w:bidi="ar-SA"/>
              </w:rPr>
            </w:pPr>
            <w:r>
              <w:rPr>
                <w:color w:val="auto"/>
              </w:rPr>
              <w:t>个</w:t>
            </w:r>
          </w:p>
        </w:tc>
        <w:tc>
          <w:tcPr>
            <w:tcW w:w="567" w:type="dxa"/>
            <w:vAlign w:val="center"/>
          </w:tcPr>
          <w:p w14:paraId="64983CE7">
            <w:pPr>
              <w:pStyle w:val="166"/>
              <w:ind w:firstLine="0" w:firstLineChars="0"/>
              <w:rPr>
                <w:rFonts w:ascii="Times New Roman" w:hAnsi="Times New Roman" w:eastAsia="宋体" w:cstheme="minorBidi"/>
                <w:color w:val="auto"/>
                <w:kern w:val="2"/>
                <w:sz w:val="21"/>
                <w:szCs w:val="21"/>
                <w:lang w:val="en-US" w:eastAsia="zh-CN" w:bidi="ar-SA"/>
              </w:rPr>
            </w:pPr>
            <w:r>
              <w:rPr>
                <w:color w:val="auto"/>
              </w:rPr>
              <w:t>4</w:t>
            </w:r>
          </w:p>
        </w:tc>
      </w:tr>
    </w:tbl>
    <w:p w14:paraId="3D94376F">
      <w:pPr>
        <w:rPr>
          <w:rFonts w:hint="eastAsia"/>
          <w:highlight w:val="none"/>
          <w:lang w:val="en-US" w:eastAsia="zh-CN"/>
        </w:rPr>
      </w:pPr>
    </w:p>
    <w:p w14:paraId="168BFC03">
      <w:pPr>
        <w:pStyle w:val="3"/>
        <w:rPr>
          <w:rFonts w:hint="eastAsia"/>
          <w:highlight w:val="none"/>
          <w:lang w:val="en-US" w:eastAsia="zh-CN"/>
        </w:rPr>
      </w:pPr>
      <w:bookmarkStart w:id="158" w:name="_Toc25257"/>
      <w:bookmarkStart w:id="159" w:name="_Toc25689"/>
      <w:bookmarkStart w:id="160" w:name="_Toc16312"/>
      <w:r>
        <w:rPr>
          <w:rFonts w:hint="eastAsia"/>
          <w:highlight w:val="none"/>
          <w:lang w:val="en-US" w:eastAsia="zh-CN"/>
        </w:rPr>
        <w:t>4.</w:t>
      </w:r>
      <w:bookmarkEnd w:id="155"/>
      <w:r>
        <w:rPr>
          <w:rFonts w:hint="eastAsia"/>
          <w:highlight w:val="none"/>
          <w:lang w:val="en-US" w:eastAsia="zh-CN"/>
        </w:rPr>
        <w:t xml:space="preserve">3 </w:t>
      </w:r>
      <w:bookmarkStart w:id="161" w:name="_Toc6030"/>
      <w:r>
        <w:rPr>
          <w:rFonts w:hint="eastAsia"/>
          <w:highlight w:val="none"/>
          <w:lang w:val="en-US" w:eastAsia="zh-CN"/>
        </w:rPr>
        <w:t>塔机安装前施工准备</w:t>
      </w:r>
      <w:bookmarkEnd w:id="158"/>
      <w:bookmarkEnd w:id="159"/>
      <w:bookmarkEnd w:id="160"/>
      <w:bookmarkEnd w:id="161"/>
    </w:p>
    <w:p w14:paraId="00BF59A8">
      <w:pPr>
        <w:pStyle w:val="4"/>
        <w:bidi w:val="0"/>
        <w:rPr>
          <w:rFonts w:hint="default"/>
          <w:highlight w:val="none"/>
          <w:lang w:val="en-US"/>
        </w:rPr>
      </w:pPr>
      <w:r>
        <w:rPr>
          <w:rFonts w:hint="eastAsia"/>
          <w:highlight w:val="none"/>
        </w:rPr>
        <w:t>4.</w:t>
      </w:r>
      <w:r>
        <w:rPr>
          <w:rFonts w:hint="eastAsia"/>
          <w:highlight w:val="none"/>
          <w:lang w:val="en-US" w:eastAsia="zh-CN"/>
        </w:rPr>
        <w:t>3</w:t>
      </w:r>
      <w:r>
        <w:rPr>
          <w:rFonts w:hint="eastAsia"/>
          <w:highlight w:val="none"/>
        </w:rPr>
        <w:t>.1</w:t>
      </w:r>
      <w:r>
        <w:rPr>
          <w:rFonts w:hint="eastAsia"/>
          <w:highlight w:val="none"/>
          <w:lang w:val="en-US" w:eastAsia="zh-CN"/>
        </w:rPr>
        <w:t>工艺准备</w:t>
      </w:r>
    </w:p>
    <w:p w14:paraId="6B15E3C3">
      <w:pPr>
        <w:bidi w:val="0"/>
        <w:spacing w:line="360" w:lineRule="auto"/>
        <w:ind w:firstLine="480" w:firstLineChars="200"/>
        <w:rPr>
          <w:rFonts w:hint="eastAsia"/>
          <w:highlight w:val="none"/>
        </w:rPr>
      </w:pPr>
      <w:r>
        <w:rPr>
          <w:rFonts w:hint="eastAsia"/>
          <w:highlight w:val="none"/>
        </w:rPr>
        <w:t>塔吊基础钢平台制作：吊装前，应根据</w:t>
      </w:r>
      <w:r>
        <w:rPr>
          <w:rFonts w:hint="eastAsia"/>
          <w:highlight w:val="none"/>
          <w:lang w:val="en-US" w:eastAsia="zh-CN"/>
        </w:rPr>
        <w:t>XGT7026-12S1</w:t>
      </w:r>
      <w:r>
        <w:rPr>
          <w:rFonts w:hint="eastAsia"/>
          <w:highlight w:val="none"/>
        </w:rPr>
        <w:t>塔式起重机的支反力及尺寸误差要求设计制作基础钢平台，制作完成后应对结构主材、焊缝及施工工艺进行检查，确认是否符合设计和塔式起重机基础规范要求。</w:t>
      </w:r>
    </w:p>
    <w:p w14:paraId="10EC24C7">
      <w:pPr>
        <w:bidi w:val="0"/>
        <w:spacing w:line="360" w:lineRule="auto"/>
        <w:ind w:firstLine="480" w:firstLineChars="200"/>
        <w:rPr>
          <w:rFonts w:hint="eastAsia"/>
          <w:highlight w:val="none"/>
        </w:rPr>
      </w:pPr>
      <w:r>
        <w:rPr>
          <w:rFonts w:hint="eastAsia"/>
          <w:highlight w:val="none"/>
        </w:rPr>
        <w:t>使用前需安装单位、项目部协同监理工程师及业主合验，并确认合格后方能用于安装施工。</w:t>
      </w:r>
    </w:p>
    <w:p w14:paraId="72063E45">
      <w:pPr>
        <w:pStyle w:val="4"/>
        <w:bidi w:val="0"/>
        <w:rPr>
          <w:rFonts w:hint="default"/>
          <w:highlight w:val="none"/>
          <w:lang w:val="en-US"/>
        </w:rPr>
      </w:pPr>
      <w:r>
        <w:rPr>
          <w:rFonts w:hint="eastAsia"/>
          <w:highlight w:val="none"/>
        </w:rPr>
        <w:t>4.</w:t>
      </w:r>
      <w:r>
        <w:rPr>
          <w:rFonts w:hint="eastAsia"/>
          <w:highlight w:val="none"/>
          <w:lang w:val="en-US" w:eastAsia="zh-CN"/>
        </w:rPr>
        <w:t>3</w:t>
      </w:r>
      <w:r>
        <w:rPr>
          <w:rFonts w:hint="eastAsia"/>
          <w:highlight w:val="none"/>
        </w:rPr>
        <w:t>.</w:t>
      </w:r>
      <w:r>
        <w:rPr>
          <w:rFonts w:hint="eastAsia"/>
          <w:highlight w:val="none"/>
          <w:lang w:val="en-US" w:eastAsia="zh-CN"/>
        </w:rPr>
        <w:t>2组织准备</w:t>
      </w:r>
    </w:p>
    <w:p w14:paraId="3A24FDE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（1）施工队伍应有合格的安装资质，且熟悉塔式起重机安</w:t>
      </w:r>
      <w:r>
        <w:rPr>
          <w:rFonts w:hint="eastAsia" w:ascii="宋体" w:hAnsi="宋体" w:eastAsia="宋体"/>
          <w:highlight w:val="none"/>
          <w:lang w:val="en-US" w:eastAsia="zh-CN"/>
        </w:rPr>
        <w:t>装</w:t>
      </w:r>
      <w:r>
        <w:rPr>
          <w:rFonts w:hint="eastAsia" w:ascii="宋体" w:hAnsi="宋体" w:eastAsia="宋体"/>
          <w:highlight w:val="none"/>
        </w:rPr>
        <w:t>工艺。</w:t>
      </w:r>
    </w:p>
    <w:p w14:paraId="7D69A8DA">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（2）成立安装安全领导小组和安装工作小组，对整个安装过程进行有效监管。</w:t>
      </w:r>
    </w:p>
    <w:p w14:paraId="44011747">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（3）组织学习安全技术措施，现场进行技术交底，落实每项工作。</w:t>
      </w:r>
    </w:p>
    <w:p w14:paraId="1D4D1EC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（4）所有进行安装的有关人员，均需持证上岗，并针对本工程经过培训。</w:t>
      </w:r>
    </w:p>
    <w:p w14:paraId="3569AA60">
      <w:pPr>
        <w:bidi w:val="0"/>
        <w:spacing w:line="360" w:lineRule="auto"/>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w:t>
      </w:r>
      <w:r>
        <w:rPr>
          <w:rFonts w:hint="eastAsia"/>
          <w:highlight w:val="none"/>
          <w:lang w:val="en-US" w:eastAsia="zh-CN"/>
        </w:rPr>
        <w:t>5</w:t>
      </w:r>
      <w:r>
        <w:rPr>
          <w:rFonts w:hint="default" w:ascii="宋体" w:hAnsi="宋体" w:eastAsia="宋体"/>
          <w:highlight w:val="none"/>
          <w:lang w:val="en-US" w:eastAsia="zh-CN"/>
        </w:rPr>
        <w:t>）塔吊在施工现场的安装位置，必须保证塔吊的最大旋转部分与周围建筑物的距离不小于1.5m，塔吊任何部位与架空电线的安全距离应符合下表的规定。</w:t>
      </w:r>
    </w:p>
    <w:p w14:paraId="25CDD003">
      <w:pPr>
        <w:bidi w:val="0"/>
        <w:spacing w:line="360" w:lineRule="auto"/>
        <w:ind w:firstLine="480" w:firstLineChars="200"/>
        <w:jc w:val="center"/>
        <w:rPr>
          <w:rFonts w:hint="default" w:ascii="宋体" w:hAnsi="宋体" w:eastAsia="宋体"/>
          <w:highlight w:val="none"/>
          <w:lang w:val="en-US" w:eastAsia="zh-CN"/>
        </w:rPr>
      </w:pPr>
      <w:r>
        <w:rPr>
          <w:rFonts w:hint="eastAsia" w:ascii="宋体" w:hAnsi="宋体" w:eastAsia="宋体"/>
          <w:highlight w:val="none"/>
        </w:rPr>
        <w:t>表4-</w:t>
      </w:r>
      <w:r>
        <w:rPr>
          <w:rFonts w:hint="eastAsia" w:ascii="宋体" w:hAnsi="宋体" w:eastAsia="宋体"/>
          <w:highlight w:val="none"/>
        </w:rPr>
        <w:fldChar w:fldCharType="begin"/>
      </w:r>
      <w:r>
        <w:rPr>
          <w:rFonts w:hint="eastAsia" w:ascii="宋体" w:hAnsi="宋体" w:eastAsia="宋体"/>
          <w:highlight w:val="none"/>
        </w:rPr>
        <w:instrText xml:space="preserve"> SEQ 表4- \* ARABIC </w:instrText>
      </w:r>
      <w:r>
        <w:rPr>
          <w:rFonts w:hint="eastAsia" w:ascii="宋体" w:hAnsi="宋体" w:eastAsia="宋体"/>
          <w:highlight w:val="none"/>
        </w:rPr>
        <w:fldChar w:fldCharType="separate"/>
      </w:r>
      <w:r>
        <w:rPr>
          <w:rFonts w:hint="eastAsia" w:ascii="宋体" w:hAnsi="宋体" w:eastAsia="宋体"/>
          <w:highlight w:val="none"/>
        </w:rPr>
        <w:t>1</w:t>
      </w:r>
      <w:r>
        <w:rPr>
          <w:rFonts w:hint="eastAsia" w:ascii="宋体" w:hAnsi="宋体" w:eastAsia="宋体"/>
          <w:highlight w:val="none"/>
        </w:rPr>
        <w:fldChar w:fldCharType="end"/>
      </w:r>
      <w:r>
        <w:rPr>
          <w:rFonts w:hint="eastAsia" w:ascii="宋体" w:hAnsi="宋体" w:eastAsia="宋体"/>
          <w:highlight w:val="none"/>
          <w:lang w:val="en-US" w:eastAsia="zh-CN"/>
        </w:rPr>
        <w:t>起重机在带电线路之间安全距离</w:t>
      </w:r>
    </w:p>
    <w:tbl>
      <w:tblPr>
        <w:tblStyle w:val="30"/>
        <w:tblW w:w="4999"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Layout w:type="autofit"/>
        <w:tblCellMar>
          <w:top w:w="15" w:type="dxa"/>
          <w:left w:w="15" w:type="dxa"/>
          <w:bottom w:w="15" w:type="dxa"/>
          <w:right w:w="15" w:type="dxa"/>
        </w:tblCellMar>
      </w:tblPr>
      <w:tblGrid>
        <w:gridCol w:w="2698"/>
        <w:gridCol w:w="857"/>
        <w:gridCol w:w="1129"/>
        <w:gridCol w:w="1129"/>
        <w:gridCol w:w="1654"/>
        <w:gridCol w:w="867"/>
      </w:tblGrid>
      <w:tr w14:paraId="7D4DA87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15" w:type="dxa"/>
            <w:left w:w="15" w:type="dxa"/>
            <w:bottom w:w="15" w:type="dxa"/>
            <w:right w:w="15" w:type="dxa"/>
          </w:tblCellMar>
        </w:tblPrEx>
        <w:trPr>
          <w:trHeight w:val="397" w:hRule="atLeast"/>
          <w:jc w:val="center"/>
        </w:trPr>
        <w:tc>
          <w:tcPr>
            <w:tcW w:w="1619" w:type="pct"/>
            <w:vMerge w:val="restart"/>
            <w:tcBorders>
              <w:tl2br w:val="nil"/>
              <w:tr2bl w:val="nil"/>
            </w:tcBorders>
            <w:shd w:val="clear" w:color="auto" w:fill="DAE3F3" w:themeFill="accent5" w:themeFillTint="32"/>
            <w:noWrap/>
            <w:vAlign w:val="center"/>
          </w:tcPr>
          <w:p w14:paraId="208A6C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安全距离/m</w:t>
            </w:r>
          </w:p>
        </w:tc>
        <w:tc>
          <w:tcPr>
            <w:tcW w:w="3380" w:type="pct"/>
            <w:gridSpan w:val="5"/>
            <w:tcBorders>
              <w:tl2br w:val="nil"/>
              <w:tr2bl w:val="nil"/>
            </w:tcBorders>
            <w:shd w:val="clear" w:color="auto" w:fill="DAE3F3" w:themeFill="accent5" w:themeFillTint="32"/>
            <w:noWrap/>
            <w:vAlign w:val="center"/>
          </w:tcPr>
          <w:p w14:paraId="1878F7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电压/kV</w:t>
            </w:r>
          </w:p>
        </w:tc>
      </w:tr>
      <w:tr w14:paraId="444F176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15" w:type="dxa"/>
            <w:left w:w="15" w:type="dxa"/>
            <w:bottom w:w="15" w:type="dxa"/>
            <w:right w:w="15" w:type="dxa"/>
          </w:tblCellMar>
        </w:tblPrEx>
        <w:trPr>
          <w:trHeight w:val="397" w:hRule="atLeast"/>
          <w:jc w:val="center"/>
        </w:trPr>
        <w:tc>
          <w:tcPr>
            <w:tcW w:w="1619" w:type="pct"/>
            <w:vMerge w:val="continue"/>
            <w:tcBorders>
              <w:tl2br w:val="nil"/>
              <w:tr2bl w:val="nil"/>
            </w:tcBorders>
            <w:shd w:val="clear" w:color="auto" w:fill="DAE3F3" w:themeFill="accent5" w:themeFillTint="32"/>
            <w:noWrap/>
            <w:vAlign w:val="center"/>
          </w:tcPr>
          <w:p w14:paraId="371B20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p>
        </w:tc>
        <w:tc>
          <w:tcPr>
            <w:tcW w:w="514" w:type="pct"/>
            <w:tcBorders>
              <w:tl2br w:val="nil"/>
              <w:tr2bl w:val="nil"/>
            </w:tcBorders>
            <w:shd w:val="clear" w:color="auto" w:fill="DAE3F3" w:themeFill="accent5" w:themeFillTint="32"/>
            <w:noWrap/>
            <w:vAlign w:val="center"/>
          </w:tcPr>
          <w:p w14:paraId="438F71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w:t>
            </w:r>
          </w:p>
        </w:tc>
        <w:tc>
          <w:tcPr>
            <w:tcW w:w="677" w:type="pct"/>
            <w:tcBorders>
              <w:tl2br w:val="nil"/>
              <w:tr2bl w:val="nil"/>
            </w:tcBorders>
            <w:shd w:val="clear" w:color="auto" w:fill="DAE3F3" w:themeFill="accent5" w:themeFillTint="32"/>
            <w:noWrap/>
            <w:vAlign w:val="center"/>
          </w:tcPr>
          <w:p w14:paraId="64F65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1~15</w:t>
            </w:r>
          </w:p>
        </w:tc>
        <w:tc>
          <w:tcPr>
            <w:tcW w:w="677" w:type="pct"/>
            <w:tcBorders>
              <w:tl2br w:val="nil"/>
              <w:tr2bl w:val="nil"/>
            </w:tcBorders>
            <w:shd w:val="clear" w:color="auto" w:fill="DAE3F3" w:themeFill="accent5" w:themeFillTint="32"/>
            <w:noWrap/>
            <w:vAlign w:val="center"/>
          </w:tcPr>
          <w:p w14:paraId="46BA28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20</w:t>
            </w:r>
            <w:r>
              <w:rPr>
                <w:rFonts w:hint="eastAsia" w:ascii="宋体" w:hAnsi="宋体" w:eastAsia="宋体"/>
                <w:highlight w:val="none"/>
                <w:lang w:val="en-US" w:eastAsia="zh-CN"/>
              </w:rPr>
              <w:t>~</w:t>
            </w:r>
            <w:r>
              <w:rPr>
                <w:rFonts w:hint="default" w:ascii="宋体" w:hAnsi="宋体" w:eastAsia="宋体"/>
                <w:highlight w:val="none"/>
                <w:lang w:val="en-US" w:eastAsia="zh-CN"/>
              </w:rPr>
              <w:t>40</w:t>
            </w:r>
          </w:p>
        </w:tc>
        <w:tc>
          <w:tcPr>
            <w:tcW w:w="992" w:type="pct"/>
            <w:tcBorders>
              <w:tl2br w:val="nil"/>
              <w:tr2bl w:val="nil"/>
            </w:tcBorders>
            <w:shd w:val="clear" w:color="auto" w:fill="DAE3F3" w:themeFill="accent5" w:themeFillTint="32"/>
            <w:noWrap/>
            <w:vAlign w:val="center"/>
          </w:tcPr>
          <w:p w14:paraId="54192B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60~110</w:t>
            </w:r>
          </w:p>
        </w:tc>
        <w:tc>
          <w:tcPr>
            <w:tcW w:w="519" w:type="pct"/>
            <w:tcBorders>
              <w:tl2br w:val="nil"/>
              <w:tr2bl w:val="nil"/>
            </w:tcBorders>
            <w:shd w:val="clear" w:color="auto" w:fill="DAE3F3" w:themeFill="accent5" w:themeFillTint="32"/>
            <w:noWrap/>
            <w:vAlign w:val="center"/>
          </w:tcPr>
          <w:p w14:paraId="7A6223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22</w:t>
            </w:r>
            <w:r>
              <w:rPr>
                <w:rFonts w:hint="eastAsia" w:ascii="宋体" w:hAnsi="宋体" w:eastAsia="宋体"/>
                <w:highlight w:val="none"/>
                <w:lang w:val="en-US" w:eastAsia="zh-CN"/>
              </w:rPr>
              <w:t>0</w:t>
            </w:r>
          </w:p>
        </w:tc>
      </w:tr>
      <w:tr w14:paraId="24C5C55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15" w:type="dxa"/>
            <w:left w:w="15" w:type="dxa"/>
            <w:bottom w:w="15" w:type="dxa"/>
            <w:right w:w="15" w:type="dxa"/>
          </w:tblCellMar>
        </w:tblPrEx>
        <w:trPr>
          <w:trHeight w:val="397" w:hRule="atLeast"/>
          <w:jc w:val="center"/>
        </w:trPr>
        <w:tc>
          <w:tcPr>
            <w:tcW w:w="1619" w:type="pct"/>
            <w:tcBorders>
              <w:tl2br w:val="nil"/>
              <w:tr2bl w:val="nil"/>
            </w:tcBorders>
            <w:shd w:val="clear" w:color="auto" w:fill="auto"/>
            <w:noWrap/>
            <w:vAlign w:val="center"/>
          </w:tcPr>
          <w:p w14:paraId="17B6F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沿垂直方向</w:t>
            </w:r>
          </w:p>
        </w:tc>
        <w:tc>
          <w:tcPr>
            <w:tcW w:w="514" w:type="pct"/>
            <w:tcBorders>
              <w:tl2br w:val="nil"/>
              <w:tr2bl w:val="nil"/>
            </w:tcBorders>
            <w:shd w:val="clear" w:color="auto" w:fill="auto"/>
            <w:noWrap/>
            <w:vAlign w:val="center"/>
          </w:tcPr>
          <w:p w14:paraId="58460D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1.5</w:t>
            </w:r>
          </w:p>
        </w:tc>
        <w:tc>
          <w:tcPr>
            <w:tcW w:w="677" w:type="pct"/>
            <w:tcBorders>
              <w:tl2br w:val="nil"/>
              <w:tr2bl w:val="nil"/>
            </w:tcBorders>
            <w:shd w:val="clear" w:color="auto" w:fill="auto"/>
            <w:noWrap/>
            <w:vAlign w:val="center"/>
          </w:tcPr>
          <w:p w14:paraId="43BD1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3.</w:t>
            </w:r>
            <w:r>
              <w:rPr>
                <w:rFonts w:hint="eastAsia" w:ascii="宋体" w:hAnsi="宋体" w:eastAsia="宋体"/>
                <w:highlight w:val="none"/>
                <w:lang w:val="en-US" w:eastAsia="zh-CN"/>
              </w:rPr>
              <w:t>0</w:t>
            </w:r>
          </w:p>
        </w:tc>
        <w:tc>
          <w:tcPr>
            <w:tcW w:w="677" w:type="pct"/>
            <w:tcBorders>
              <w:tl2br w:val="nil"/>
              <w:tr2bl w:val="nil"/>
            </w:tcBorders>
            <w:shd w:val="clear" w:color="auto" w:fill="auto"/>
            <w:noWrap/>
            <w:vAlign w:val="center"/>
          </w:tcPr>
          <w:p w14:paraId="329303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.0</w:t>
            </w:r>
          </w:p>
        </w:tc>
        <w:tc>
          <w:tcPr>
            <w:tcW w:w="992" w:type="pct"/>
            <w:tcBorders>
              <w:tl2br w:val="nil"/>
              <w:tr2bl w:val="nil"/>
            </w:tcBorders>
            <w:shd w:val="clear" w:color="auto" w:fill="auto"/>
            <w:noWrap/>
            <w:vAlign w:val="center"/>
          </w:tcPr>
          <w:p w14:paraId="270B81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5</w:t>
            </w:r>
            <w:r>
              <w:rPr>
                <w:rFonts w:hint="eastAsia" w:ascii="宋体" w:hAnsi="宋体" w:eastAsia="宋体"/>
                <w:highlight w:val="none"/>
                <w:lang w:val="en-US" w:eastAsia="zh-CN"/>
              </w:rPr>
              <w:t>.0</w:t>
            </w:r>
          </w:p>
        </w:tc>
        <w:tc>
          <w:tcPr>
            <w:tcW w:w="519" w:type="pct"/>
            <w:tcBorders>
              <w:tl2br w:val="nil"/>
              <w:tr2bl w:val="nil"/>
            </w:tcBorders>
            <w:shd w:val="clear" w:color="auto" w:fill="auto"/>
            <w:noWrap/>
            <w:vAlign w:val="center"/>
          </w:tcPr>
          <w:p w14:paraId="2B53E6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w:t>
            </w:r>
            <w:r>
              <w:rPr>
                <w:rFonts w:hint="eastAsia" w:ascii="宋体" w:hAnsi="宋体" w:eastAsia="宋体"/>
                <w:highlight w:val="none"/>
                <w:lang w:val="en-US" w:eastAsia="zh-CN"/>
              </w:rPr>
              <w:t>.0</w:t>
            </w:r>
          </w:p>
        </w:tc>
      </w:tr>
      <w:tr w14:paraId="6007C54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15" w:type="dxa"/>
            <w:left w:w="15" w:type="dxa"/>
            <w:bottom w:w="15" w:type="dxa"/>
            <w:right w:w="15" w:type="dxa"/>
          </w:tblCellMar>
        </w:tblPrEx>
        <w:trPr>
          <w:trHeight w:val="397" w:hRule="atLeast"/>
          <w:jc w:val="center"/>
        </w:trPr>
        <w:tc>
          <w:tcPr>
            <w:tcW w:w="1619" w:type="pct"/>
            <w:tcBorders>
              <w:tl2br w:val="nil"/>
              <w:tr2bl w:val="nil"/>
            </w:tcBorders>
            <w:shd w:val="clear" w:color="auto" w:fill="auto"/>
            <w:noWrap/>
            <w:vAlign w:val="center"/>
          </w:tcPr>
          <w:p w14:paraId="74E18C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沿水平方向</w:t>
            </w:r>
          </w:p>
        </w:tc>
        <w:tc>
          <w:tcPr>
            <w:tcW w:w="514" w:type="pct"/>
            <w:tcBorders>
              <w:tl2br w:val="nil"/>
              <w:tr2bl w:val="nil"/>
            </w:tcBorders>
            <w:shd w:val="clear" w:color="auto" w:fill="auto"/>
            <w:noWrap/>
            <w:vAlign w:val="center"/>
          </w:tcPr>
          <w:p w14:paraId="0366C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w:t>
            </w:r>
            <w:r>
              <w:rPr>
                <w:rFonts w:hint="eastAsia" w:ascii="宋体" w:hAnsi="宋体" w:eastAsia="宋体"/>
                <w:highlight w:val="none"/>
                <w:lang w:val="en-US" w:eastAsia="zh-CN"/>
              </w:rPr>
              <w:t>0</w:t>
            </w:r>
          </w:p>
        </w:tc>
        <w:tc>
          <w:tcPr>
            <w:tcW w:w="677" w:type="pct"/>
            <w:tcBorders>
              <w:tl2br w:val="nil"/>
              <w:tr2bl w:val="nil"/>
            </w:tcBorders>
            <w:shd w:val="clear" w:color="auto" w:fill="auto"/>
            <w:noWrap/>
            <w:vAlign w:val="center"/>
          </w:tcPr>
          <w:p w14:paraId="76867E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1.5</w:t>
            </w:r>
          </w:p>
        </w:tc>
        <w:tc>
          <w:tcPr>
            <w:tcW w:w="677" w:type="pct"/>
            <w:tcBorders>
              <w:tl2br w:val="nil"/>
              <w:tr2bl w:val="nil"/>
            </w:tcBorders>
            <w:shd w:val="clear" w:color="auto" w:fill="auto"/>
            <w:noWrap/>
            <w:vAlign w:val="center"/>
          </w:tcPr>
          <w:p w14:paraId="4F40A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2</w:t>
            </w:r>
            <w:r>
              <w:rPr>
                <w:rFonts w:hint="eastAsia" w:ascii="宋体" w:hAnsi="宋体" w:eastAsia="宋体"/>
                <w:highlight w:val="none"/>
                <w:lang w:val="en-US" w:eastAsia="zh-CN"/>
              </w:rPr>
              <w:t>.0</w:t>
            </w:r>
          </w:p>
        </w:tc>
        <w:tc>
          <w:tcPr>
            <w:tcW w:w="992" w:type="pct"/>
            <w:tcBorders>
              <w:tl2br w:val="nil"/>
              <w:tr2bl w:val="nil"/>
            </w:tcBorders>
            <w:shd w:val="clear" w:color="auto" w:fill="auto"/>
            <w:noWrap/>
            <w:vAlign w:val="center"/>
          </w:tcPr>
          <w:p w14:paraId="3332F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.0</w:t>
            </w:r>
          </w:p>
        </w:tc>
        <w:tc>
          <w:tcPr>
            <w:tcW w:w="519" w:type="pct"/>
            <w:tcBorders>
              <w:tl2br w:val="nil"/>
              <w:tr2bl w:val="nil"/>
            </w:tcBorders>
            <w:shd w:val="clear" w:color="auto" w:fill="auto"/>
            <w:noWrap/>
            <w:vAlign w:val="center"/>
          </w:tcPr>
          <w:p w14:paraId="20DB4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highlight w:val="none"/>
                <w:lang w:val="en-US" w:eastAsia="zh-CN"/>
              </w:rPr>
            </w:pPr>
            <w:r>
              <w:rPr>
                <w:rFonts w:hint="default" w:ascii="宋体" w:hAnsi="宋体" w:eastAsia="宋体"/>
                <w:highlight w:val="none"/>
                <w:lang w:val="en-US" w:eastAsia="zh-CN"/>
              </w:rPr>
              <w:t>6.</w:t>
            </w:r>
            <w:r>
              <w:rPr>
                <w:rFonts w:hint="eastAsia" w:ascii="宋体" w:hAnsi="宋体" w:eastAsia="宋体"/>
                <w:highlight w:val="none"/>
                <w:lang w:val="en-US" w:eastAsia="zh-CN"/>
              </w:rPr>
              <w:t>0</w:t>
            </w:r>
          </w:p>
        </w:tc>
      </w:tr>
    </w:tbl>
    <w:p w14:paraId="4DA858A3">
      <w:pPr>
        <w:bidi w:val="0"/>
        <w:spacing w:line="360" w:lineRule="auto"/>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w:t>
      </w:r>
      <w:r>
        <w:rPr>
          <w:rFonts w:hint="eastAsia"/>
          <w:highlight w:val="none"/>
          <w:lang w:val="en-US" w:eastAsia="zh-CN"/>
        </w:rPr>
        <w:t>6</w:t>
      </w:r>
      <w:r>
        <w:rPr>
          <w:rFonts w:hint="eastAsia" w:ascii="宋体" w:hAnsi="宋体" w:eastAsia="宋体"/>
          <w:highlight w:val="none"/>
          <w:lang w:val="en-US" w:eastAsia="zh-CN"/>
        </w:rPr>
        <w:t>）</w:t>
      </w:r>
      <w:r>
        <w:rPr>
          <w:rFonts w:hint="default" w:ascii="宋体" w:hAnsi="宋体" w:eastAsia="宋体"/>
          <w:highlight w:val="none"/>
          <w:lang w:val="en-US" w:eastAsia="zh-CN"/>
        </w:rPr>
        <w:t>两台塔机之间的最小架设距离应保证处于低位塔机的起重臂端部与另一台塔机的塔身之间至少有2m的距离</w:t>
      </w:r>
      <w:r>
        <w:rPr>
          <w:rFonts w:hint="eastAsia" w:ascii="宋体" w:hAnsi="宋体" w:eastAsia="宋体"/>
          <w:highlight w:val="none"/>
          <w:lang w:val="en-US" w:eastAsia="zh-CN"/>
        </w:rPr>
        <w:t>；</w:t>
      </w:r>
      <w:r>
        <w:rPr>
          <w:rFonts w:hint="default" w:ascii="宋体" w:hAnsi="宋体" w:eastAsia="宋体"/>
          <w:highlight w:val="none"/>
          <w:lang w:val="en-US" w:eastAsia="zh-CN"/>
        </w:rPr>
        <w:t>处于高位塔机的最低位置的部件</w:t>
      </w:r>
      <w:r>
        <w:rPr>
          <w:rFonts w:hint="eastAsia" w:ascii="宋体" w:hAnsi="宋体" w:eastAsia="宋体"/>
          <w:highlight w:val="none"/>
          <w:lang w:val="en-US" w:eastAsia="zh-CN"/>
        </w:rPr>
        <w:t>（</w:t>
      </w:r>
      <w:r>
        <w:rPr>
          <w:rFonts w:hint="default" w:ascii="宋体" w:hAnsi="宋体" w:eastAsia="宋体"/>
          <w:highlight w:val="none"/>
          <w:lang w:val="en-US" w:eastAsia="zh-CN"/>
        </w:rPr>
        <w:t>吊钩升至最高点或平衡重的最低部位</w:t>
      </w:r>
      <w:r>
        <w:rPr>
          <w:rFonts w:hint="eastAsia" w:ascii="宋体" w:hAnsi="宋体" w:eastAsia="宋体"/>
          <w:highlight w:val="none"/>
          <w:lang w:val="en-US" w:eastAsia="zh-CN"/>
        </w:rPr>
        <w:t>）</w:t>
      </w:r>
      <w:r>
        <w:rPr>
          <w:rFonts w:hint="default" w:ascii="宋体" w:hAnsi="宋体" w:eastAsia="宋体"/>
          <w:highlight w:val="none"/>
          <w:lang w:val="en-US" w:eastAsia="zh-CN"/>
        </w:rPr>
        <w:t>与低位塔机中处于最高位置部件之间的垂直距离不应小于2m</w:t>
      </w:r>
      <w:r>
        <w:rPr>
          <w:rFonts w:hint="eastAsia" w:ascii="宋体" w:hAnsi="宋体" w:eastAsia="宋体"/>
          <w:highlight w:val="none"/>
          <w:lang w:val="en-US" w:eastAsia="zh-CN"/>
        </w:rPr>
        <w:t>。</w:t>
      </w:r>
    </w:p>
    <w:p w14:paraId="51B1023A">
      <w:pPr>
        <w:bidi w:val="0"/>
        <w:ind w:left="0" w:leftChars="0" w:firstLine="0" w:firstLineChars="0"/>
        <w:jc w:val="center"/>
        <w:rPr>
          <w:highlight w:val="none"/>
        </w:rPr>
      </w:pPr>
      <w:r>
        <w:rPr>
          <w:highlight w:val="none"/>
        </w:rPr>
        <w:drawing>
          <wp:inline distT="0" distB="0" distL="0" distR="0">
            <wp:extent cx="2167890" cy="3743325"/>
            <wp:effectExtent l="0" t="0" r="381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1"/>
                    <a:srcRect l="8275" t="3236" r="4255" b="2941"/>
                    <a:stretch>
                      <a:fillRect/>
                    </a:stretch>
                  </pic:blipFill>
                  <pic:spPr>
                    <a:xfrm>
                      <a:off x="0" y="0"/>
                      <a:ext cx="2167890" cy="3743325"/>
                    </a:xfrm>
                    <a:prstGeom prst="rect">
                      <a:avLst/>
                    </a:prstGeom>
                    <a:ln>
                      <a:noFill/>
                    </a:ln>
                  </pic:spPr>
                </pic:pic>
              </a:graphicData>
            </a:graphic>
          </wp:inline>
        </w:drawing>
      </w:r>
    </w:p>
    <w:p w14:paraId="6576141D">
      <w:pPr>
        <w:pStyle w:val="15"/>
        <w:bidi w:val="0"/>
        <w:ind w:left="0" w:leftChars="0" w:firstLine="0" w:firstLineChars="0"/>
        <w:jc w:val="center"/>
        <w:rPr>
          <w:rFonts w:hint="default" w:eastAsia="黑体"/>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2</w:t>
      </w:r>
      <w:r>
        <w:rPr>
          <w:highlight w:val="none"/>
        </w:rPr>
        <w:fldChar w:fldCharType="end"/>
      </w:r>
      <w:r>
        <w:rPr>
          <w:rFonts w:hint="eastAsia"/>
          <w:highlight w:val="none"/>
          <w:lang w:val="en-US" w:eastAsia="zh-CN"/>
        </w:rPr>
        <w:t>相邻塔机安装示意图</w:t>
      </w:r>
    </w:p>
    <w:p w14:paraId="007C6CB6">
      <w:pPr>
        <w:pStyle w:val="4"/>
        <w:bidi w:val="0"/>
        <w:rPr>
          <w:rFonts w:hint="default"/>
          <w:highlight w:val="none"/>
          <w:lang w:val="en-US"/>
        </w:rPr>
      </w:pPr>
      <w:r>
        <w:rPr>
          <w:rFonts w:hint="eastAsia"/>
          <w:highlight w:val="none"/>
        </w:rPr>
        <w:t>4.</w:t>
      </w:r>
      <w:r>
        <w:rPr>
          <w:rFonts w:hint="eastAsia"/>
          <w:highlight w:val="none"/>
          <w:lang w:val="en-US" w:eastAsia="zh-CN"/>
        </w:rPr>
        <w:t>3</w:t>
      </w:r>
      <w:r>
        <w:rPr>
          <w:rFonts w:hint="eastAsia"/>
          <w:highlight w:val="none"/>
        </w:rPr>
        <w:t>.</w:t>
      </w:r>
      <w:r>
        <w:rPr>
          <w:rFonts w:hint="eastAsia"/>
          <w:highlight w:val="none"/>
          <w:lang w:val="en-US" w:eastAsia="zh-CN"/>
        </w:rPr>
        <w:t>3</w:t>
      </w:r>
      <w:r>
        <w:rPr>
          <w:rFonts w:hint="eastAsia"/>
          <w:highlight w:val="none"/>
        </w:rPr>
        <w:t>工索具、起重设备</w:t>
      </w:r>
      <w:r>
        <w:rPr>
          <w:rFonts w:hint="eastAsia"/>
          <w:highlight w:val="none"/>
          <w:lang w:val="en-US" w:eastAsia="zh-CN"/>
        </w:rPr>
        <w:t>准备</w:t>
      </w:r>
    </w:p>
    <w:p w14:paraId="1589AD04">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（1）准备好安装人员的安全带，安全绳，防滑鞋，安全帽等。</w:t>
      </w:r>
    </w:p>
    <w:p w14:paraId="4FABCD2E">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（2）定好吊装主要部件的尺寸，重量，高度，确定起重设备规格，并准备好吊装机具，安装工具（扳手、大锤、钢丝绳、手拉葫芦、氧气乙炔）等。</w:t>
      </w:r>
    </w:p>
    <w:p w14:paraId="016BFDB2">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（3）所有起重设备应进行试吊，确保设备完好。</w:t>
      </w:r>
    </w:p>
    <w:p w14:paraId="629301A1">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（4）所有手动吊装、焊接、测量等工具，均需经计量检验合格，方可用于本工程。</w:t>
      </w:r>
    </w:p>
    <w:p w14:paraId="2FAA8BD8">
      <w:pPr>
        <w:pStyle w:val="4"/>
        <w:bidi w:val="0"/>
        <w:rPr>
          <w:rFonts w:hint="default"/>
          <w:highlight w:val="none"/>
          <w:lang w:val="en-US"/>
        </w:rPr>
      </w:pPr>
      <w:r>
        <w:rPr>
          <w:rFonts w:hint="eastAsia"/>
          <w:highlight w:val="none"/>
        </w:rPr>
        <w:t>4.</w:t>
      </w:r>
      <w:r>
        <w:rPr>
          <w:rFonts w:hint="eastAsia"/>
          <w:highlight w:val="none"/>
          <w:lang w:val="en-US" w:eastAsia="zh-CN"/>
        </w:rPr>
        <w:t>3</w:t>
      </w:r>
      <w:r>
        <w:rPr>
          <w:rFonts w:hint="eastAsia"/>
          <w:highlight w:val="none"/>
        </w:rPr>
        <w:t>.</w:t>
      </w:r>
      <w:r>
        <w:rPr>
          <w:rFonts w:hint="eastAsia"/>
          <w:highlight w:val="none"/>
          <w:lang w:val="en-US" w:eastAsia="zh-CN"/>
        </w:rPr>
        <w:t>4检查准备</w:t>
      </w:r>
    </w:p>
    <w:p w14:paraId="5169E823">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正式施工前，做好主要施工机具和分项工艺的检验工作。根据检验结果，对工艺进行进一步的修改及细化。</w:t>
      </w:r>
    </w:p>
    <w:p w14:paraId="46BF7F5C">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（1）设备检查</w:t>
      </w:r>
    </w:p>
    <w:p w14:paraId="7EFE75D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a塔吊所有钢构件无变形、无裂纹；塔吊所有电机机座是否固定牢靠，传动部位有无变形、裂纹；</w:t>
      </w:r>
    </w:p>
    <w:p w14:paraId="6E7FC721">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b塔吊所有滑轮部位有无防钢丝绳脱槽装置，滑轮轴有无磨损，滑轮座是否固定牢靠；塔吊所有防护栏杆是否完好，焊接牢靠，无锈蚀；</w:t>
      </w:r>
    </w:p>
    <w:p w14:paraId="02C340FB">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c塔吊所有柱销孔和销柱体符合要求，无晃动、无严重磨损；</w:t>
      </w:r>
    </w:p>
    <w:p w14:paraId="3631657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d塔吊所有柱销上的开口销是否配套，并开口；</w:t>
      </w:r>
    </w:p>
    <w:p w14:paraId="173292BA">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e检查钢丝绳磨损状况；检查顶升套架围栏支撑连接部位部件是否完好；</w:t>
      </w:r>
    </w:p>
    <w:p w14:paraId="25339D47">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f检查顶升套架机构滑动部位及支撑的爪钩等处是否完好；</w:t>
      </w:r>
    </w:p>
    <w:p w14:paraId="22A8C7D8">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 xml:space="preserve">g检查顶升套架标准节安装推入机构是否完好，各部件无变形； </w:t>
      </w:r>
    </w:p>
    <w:p w14:paraId="7131C63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h检查回转支撑机构是否润滑良好，螺栓是否紧固；</w:t>
      </w:r>
    </w:p>
    <w:p w14:paraId="739EFBB5">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i检查电器是否完好无损，电缆线无老化、裸露，各电气绝缘保证良好；</w:t>
      </w:r>
    </w:p>
    <w:p w14:paraId="394BD18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j幅度、力矩、超重、回转、吊钩高度限位器和电铃等安全装置齐全，并保证其灵敏可靠；检查吊钩保险、大钢丝绳卷筒保险、防小钢丝绳断绳装置等保险装置是否完好；检查司机楼、闸箱等是否完好，固定牢靠；</w:t>
      </w:r>
    </w:p>
    <w:p w14:paraId="2CA15208">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k检查刹车部位是否完好，刹车皮是否磨损严重；</w:t>
      </w:r>
    </w:p>
    <w:p w14:paraId="04B8435D">
      <w:pPr>
        <w:bidi w:val="0"/>
        <w:spacing w:line="360" w:lineRule="auto"/>
        <w:ind w:firstLine="480" w:firstLineChars="200"/>
        <w:rPr>
          <w:rFonts w:hint="eastAsia" w:ascii="宋体" w:hAnsi="宋体" w:eastAsia="宋体"/>
          <w:highlight w:val="none"/>
        </w:rPr>
      </w:pPr>
      <w:r>
        <w:rPr>
          <w:rFonts w:hint="eastAsia" w:ascii="宋体" w:hAnsi="宋体" w:eastAsia="宋体"/>
          <w:highlight w:val="none"/>
        </w:rPr>
        <w:t>l查塔吊小车行走轮是否润滑良好，有无严重磨损和裂纹；检查配重、配重吊环是否牢固，完好。</w:t>
      </w:r>
    </w:p>
    <w:p w14:paraId="24362B61">
      <w:pPr>
        <w:pStyle w:val="3"/>
        <w:bidi w:val="0"/>
        <w:rPr>
          <w:rFonts w:hint="eastAsia"/>
          <w:highlight w:val="none"/>
        </w:rPr>
      </w:pPr>
      <w:bookmarkStart w:id="162" w:name="_Toc4365"/>
      <w:bookmarkStart w:id="163" w:name="_Toc18873"/>
      <w:bookmarkStart w:id="164" w:name="_Toc19703"/>
      <w:r>
        <w:rPr>
          <w:rFonts w:hint="eastAsia"/>
          <w:highlight w:val="none"/>
        </w:rPr>
        <w:t>4.</w:t>
      </w:r>
      <w:r>
        <w:rPr>
          <w:rFonts w:hint="eastAsia"/>
          <w:highlight w:val="none"/>
          <w:lang w:val="en-US" w:eastAsia="zh-CN"/>
        </w:rPr>
        <w:t>4</w:t>
      </w:r>
      <w:r>
        <w:rPr>
          <w:rFonts w:hint="eastAsia"/>
          <w:highlight w:val="none"/>
        </w:rPr>
        <w:t xml:space="preserve"> 塔机安装具体步骤</w:t>
      </w:r>
      <w:bookmarkEnd w:id="162"/>
      <w:bookmarkEnd w:id="163"/>
      <w:bookmarkEnd w:id="164"/>
    </w:p>
    <w:p w14:paraId="60F0F265">
      <w:pPr>
        <w:pStyle w:val="4"/>
        <w:bidi w:val="0"/>
        <w:rPr>
          <w:rFonts w:hint="default"/>
          <w:highlight w:val="none"/>
          <w:lang w:val="en-US" w:eastAsia="zh-CN"/>
        </w:rPr>
      </w:pPr>
      <w:r>
        <w:rPr>
          <w:rFonts w:hint="eastAsia"/>
          <w:highlight w:val="none"/>
        </w:rPr>
        <w:t>4.</w:t>
      </w:r>
      <w:r>
        <w:rPr>
          <w:rFonts w:hint="eastAsia"/>
          <w:highlight w:val="none"/>
          <w:lang w:val="en-US" w:eastAsia="zh-CN"/>
        </w:rPr>
        <w:t>4</w:t>
      </w:r>
      <w:r>
        <w:rPr>
          <w:rFonts w:hint="eastAsia"/>
          <w:highlight w:val="none"/>
        </w:rPr>
        <w:t>.1塔吊基础</w:t>
      </w:r>
      <w:r>
        <w:rPr>
          <w:rFonts w:hint="eastAsia"/>
          <w:highlight w:val="none"/>
          <w:lang w:val="en-US" w:eastAsia="zh-CN"/>
        </w:rPr>
        <w:t>安装与验收</w:t>
      </w:r>
    </w:p>
    <w:p w14:paraId="4350E5DA">
      <w:pPr>
        <w:bidi w:val="0"/>
        <w:ind w:firstLine="480" w:firstLineChars="200"/>
        <w:rPr>
          <w:rFonts w:hint="default"/>
          <w:highlight w:val="none"/>
          <w:lang w:val="en-US" w:eastAsia="zh-CN"/>
        </w:rPr>
      </w:pPr>
      <w:bookmarkStart w:id="165" w:name="_Toc436231254"/>
      <w:bookmarkStart w:id="166" w:name="_Toc530055670"/>
      <w:bookmarkStart w:id="167" w:name="_Toc436231006"/>
      <w:bookmarkStart w:id="168" w:name="_Toc455129802"/>
      <w:bookmarkStart w:id="169" w:name="_Toc437075970"/>
      <w:r>
        <w:rPr>
          <w:rFonts w:hint="eastAsia"/>
          <w:highlight w:val="none"/>
          <w:lang w:val="en-US" w:eastAsia="zh-CN"/>
        </w:rPr>
        <w:t>徐工XGT7026-12S1</w:t>
      </w:r>
      <w:r>
        <w:rPr>
          <w:rFonts w:hint="default"/>
          <w:highlight w:val="none"/>
          <w:lang w:val="en-US" w:eastAsia="zh-CN"/>
        </w:rPr>
        <w:t>塔吊基础选用预埋螺栓固定的方式，在桥墩承台外侧制作尺寸为</w:t>
      </w:r>
      <w:r>
        <w:rPr>
          <w:rFonts w:hint="eastAsia"/>
          <w:highlight w:val="none"/>
          <w:lang w:val="en-US" w:eastAsia="zh-CN"/>
        </w:rPr>
        <w:t>7.5</w:t>
      </w:r>
      <w:r>
        <w:rPr>
          <w:rFonts w:hint="default"/>
          <w:highlight w:val="none"/>
          <w:lang w:val="en-US" w:eastAsia="zh-CN"/>
        </w:rPr>
        <w:t>m</w:t>
      </w:r>
      <w:r>
        <w:rPr>
          <w:rFonts w:hint="eastAsia"/>
          <w:highlight w:val="none"/>
          <w:lang w:val="en-US" w:eastAsia="zh-CN"/>
        </w:rPr>
        <w:t>×7.5</w:t>
      </w:r>
      <w:r>
        <w:rPr>
          <w:rFonts w:hint="default"/>
          <w:highlight w:val="none"/>
          <w:lang w:val="en-US" w:eastAsia="zh-CN"/>
        </w:rPr>
        <w:t>m</w:t>
      </w:r>
      <w:r>
        <w:rPr>
          <w:rFonts w:hint="eastAsia"/>
          <w:highlight w:val="none"/>
          <w:lang w:val="en-US" w:eastAsia="zh-CN"/>
        </w:rPr>
        <w:t>×1.65</w:t>
      </w:r>
      <w:r>
        <w:rPr>
          <w:rFonts w:hint="default"/>
          <w:highlight w:val="none"/>
          <w:lang w:val="en-US" w:eastAsia="zh-CN"/>
        </w:rPr>
        <w:t>m</w:t>
      </w:r>
      <w:r>
        <w:rPr>
          <w:rFonts w:hint="eastAsia"/>
          <w:highlight w:val="none"/>
          <w:lang w:val="en-US" w:eastAsia="zh-CN"/>
        </w:rPr>
        <w:t>的</w:t>
      </w:r>
      <w:r>
        <w:rPr>
          <w:rFonts w:hint="default"/>
          <w:highlight w:val="none"/>
          <w:lang w:val="en-US" w:eastAsia="zh-CN"/>
        </w:rPr>
        <w:t>基础。如下图、表所示：</w:t>
      </w:r>
    </w:p>
    <w:p w14:paraId="46A78D1A">
      <w:pPr>
        <w:bidi w:val="0"/>
        <w:ind w:left="0" w:leftChars="0" w:firstLine="0" w:firstLineChars="0"/>
        <w:jc w:val="center"/>
        <w:rPr>
          <w:highlight w:val="none"/>
        </w:rPr>
      </w:pPr>
      <w:r>
        <w:drawing>
          <wp:inline distT="0" distB="0" distL="114300" distR="114300">
            <wp:extent cx="5265420" cy="1358900"/>
            <wp:effectExtent l="0" t="0" r="11430" b="12700"/>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2"/>
                    <a:stretch>
                      <a:fillRect/>
                    </a:stretch>
                  </pic:blipFill>
                  <pic:spPr>
                    <a:xfrm>
                      <a:off x="0" y="0"/>
                      <a:ext cx="5265420" cy="1358900"/>
                    </a:xfrm>
                    <a:prstGeom prst="rect">
                      <a:avLst/>
                    </a:prstGeom>
                    <a:noFill/>
                    <a:ln>
                      <a:noFill/>
                    </a:ln>
                  </pic:spPr>
                </pic:pic>
              </a:graphicData>
            </a:graphic>
          </wp:inline>
        </w:drawing>
      </w:r>
    </w:p>
    <w:p w14:paraId="06EA214D">
      <w:pPr>
        <w:pStyle w:val="15"/>
        <w:bidi w:val="0"/>
        <w:rPr>
          <w:highlight w:val="none"/>
        </w:rPr>
      </w:pPr>
      <w:r>
        <w:drawing>
          <wp:inline distT="0" distB="0" distL="114300" distR="114300">
            <wp:extent cx="4476115" cy="2812415"/>
            <wp:effectExtent l="0" t="0" r="635" b="6985"/>
            <wp:docPr id="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
                    <pic:cNvPicPr>
                      <a:picLocks noChangeAspect="1"/>
                    </pic:cNvPicPr>
                  </pic:nvPicPr>
                  <pic:blipFill>
                    <a:blip r:embed="rId23"/>
                    <a:stretch>
                      <a:fillRect/>
                    </a:stretch>
                  </pic:blipFill>
                  <pic:spPr>
                    <a:xfrm>
                      <a:off x="0" y="0"/>
                      <a:ext cx="4476115" cy="2812415"/>
                    </a:xfrm>
                    <a:prstGeom prst="rect">
                      <a:avLst/>
                    </a:prstGeom>
                    <a:noFill/>
                    <a:ln>
                      <a:noFill/>
                    </a:ln>
                  </pic:spPr>
                </pic:pic>
              </a:graphicData>
            </a:graphic>
          </wp:inline>
        </w:drawing>
      </w:r>
    </w:p>
    <w:p w14:paraId="1DB684C5">
      <w:pPr>
        <w:pStyle w:val="15"/>
        <w:bidi w:val="0"/>
        <w:rPr>
          <w:rFonts w:hint="default"/>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3</w:t>
      </w:r>
      <w:r>
        <w:rPr>
          <w:highlight w:val="none"/>
        </w:rPr>
        <w:fldChar w:fldCharType="end"/>
      </w:r>
      <w:r>
        <w:rPr>
          <w:rFonts w:hint="default"/>
          <w:highlight w:val="none"/>
          <w:lang w:val="en-US" w:eastAsia="zh-CN"/>
        </w:rPr>
        <w:t>塔机基础施工图</w:t>
      </w:r>
    </w:p>
    <w:p w14:paraId="060799AD">
      <w:pPr>
        <w:pStyle w:val="4"/>
        <w:tabs>
          <w:tab w:val="left" w:pos="0"/>
          <w:tab w:val="left" w:pos="630"/>
        </w:tabs>
        <w:bidi w:val="0"/>
        <w:rPr>
          <w:rFonts w:hint="default"/>
          <w:highlight w:val="none"/>
          <w:lang w:val="en-US" w:eastAsia="zh-CN"/>
        </w:rPr>
      </w:pPr>
      <w:r>
        <w:rPr>
          <w:rFonts w:hint="eastAsia"/>
          <w:highlight w:val="none"/>
        </w:rPr>
        <w:t>4.</w:t>
      </w:r>
      <w:r>
        <w:rPr>
          <w:rFonts w:hint="eastAsia"/>
          <w:highlight w:val="none"/>
          <w:lang w:val="en-US" w:eastAsia="zh-CN"/>
        </w:rPr>
        <w:t>4</w:t>
      </w:r>
      <w:r>
        <w:rPr>
          <w:rFonts w:hint="eastAsia"/>
          <w:highlight w:val="none"/>
        </w:rPr>
        <w:t>.2</w:t>
      </w:r>
      <w:bookmarkEnd w:id="165"/>
      <w:bookmarkEnd w:id="166"/>
      <w:bookmarkEnd w:id="167"/>
      <w:bookmarkEnd w:id="168"/>
      <w:bookmarkEnd w:id="169"/>
      <w:bookmarkStart w:id="170" w:name="_Toc27855"/>
      <w:bookmarkStart w:id="171" w:name="_Toc21000"/>
      <w:bookmarkStart w:id="172" w:name="_Toc29396"/>
      <w:r>
        <w:rPr>
          <w:rFonts w:hint="eastAsia"/>
          <w:highlight w:val="none"/>
          <w:lang w:val="en-US" w:eastAsia="zh-CN"/>
        </w:rPr>
        <w:t>塔吊安装步骤</w:t>
      </w:r>
      <w:bookmarkEnd w:id="170"/>
      <w:bookmarkEnd w:id="171"/>
      <w:bookmarkEnd w:id="172"/>
    </w:p>
    <w:p w14:paraId="7521C7B3">
      <w:pPr>
        <w:spacing w:line="360" w:lineRule="auto"/>
        <w:ind w:firstLine="480" w:firstLineChars="200"/>
        <w:rPr>
          <w:rFonts w:hint="default"/>
          <w:highlight w:val="none"/>
          <w:lang w:val="en-US" w:eastAsia="zh-CN"/>
        </w:rPr>
      </w:pPr>
      <w:bookmarkStart w:id="173" w:name="_Toc12424"/>
      <w:bookmarkStart w:id="174" w:name="_Toc16960"/>
      <w:bookmarkStart w:id="175" w:name="_Toc26757"/>
      <w:r>
        <w:rPr>
          <w:rFonts w:hint="eastAsia"/>
          <w:highlight w:val="none"/>
          <w:lang w:val="en-US" w:eastAsia="zh-CN"/>
        </w:rPr>
        <w:t>安装基础节→安装一节标准节→安装爬升架→安装特殊节、回转总成→安装起重臂臂节一→安装平衡臂、平衡臂拉杆→安装2块2.85t平衡重→安装剩余起重臂→安装剩余平衡重→穿绕牵引、起升钢丝绳→塔机试运行</w:t>
      </w:r>
    </w:p>
    <w:p w14:paraId="4EC434BB">
      <w:pPr>
        <w:pStyle w:val="4"/>
        <w:tabs>
          <w:tab w:val="left" w:pos="0"/>
          <w:tab w:val="left" w:pos="630"/>
        </w:tabs>
        <w:bidi w:val="0"/>
        <w:rPr>
          <w:rFonts w:hint="default"/>
          <w:highlight w:val="none"/>
          <w:lang w:val="en-US" w:eastAsia="zh-CN"/>
        </w:rPr>
      </w:pPr>
      <w:r>
        <w:rPr>
          <w:rFonts w:hint="eastAsia"/>
          <w:highlight w:val="none"/>
          <w:lang w:val="en-US" w:eastAsia="zh-CN"/>
        </w:rPr>
        <w:t>4.4.3 XGT7026-12S1</w:t>
      </w:r>
      <w:r>
        <w:rPr>
          <w:rFonts w:hint="default"/>
          <w:highlight w:val="none"/>
          <w:lang w:val="en-US" w:eastAsia="zh-CN"/>
        </w:rPr>
        <w:t>塔吊安装</w:t>
      </w:r>
      <w:bookmarkEnd w:id="173"/>
      <w:bookmarkEnd w:id="174"/>
      <w:bookmarkEnd w:id="175"/>
    </w:p>
    <w:p w14:paraId="0C5CDE75">
      <w:pPr>
        <w:pStyle w:val="5"/>
        <w:bidi w:val="0"/>
        <w:rPr>
          <w:rFonts w:hint="default"/>
          <w:highlight w:val="none"/>
          <w:lang w:val="en-US" w:eastAsia="zh-CN"/>
        </w:rPr>
      </w:pPr>
      <w:r>
        <w:rPr>
          <w:rFonts w:hint="eastAsia"/>
          <w:highlight w:val="none"/>
          <w:lang w:val="en-US" w:eastAsia="zh-CN"/>
        </w:rPr>
        <w:t>4.4.3.1吊装设备的设置</w:t>
      </w:r>
    </w:p>
    <w:p w14:paraId="1F20EA52">
      <w:pPr>
        <w:ind w:firstLine="482" w:firstLineChars="200"/>
        <w:rPr>
          <w:rFonts w:hint="default"/>
          <w:b/>
          <w:bCs/>
          <w:highlight w:val="none"/>
          <w:lang w:val="en-US" w:eastAsia="zh-CN"/>
        </w:rPr>
      </w:pPr>
      <w:r>
        <w:rPr>
          <w:rFonts w:hint="eastAsia"/>
          <w:b/>
          <w:bCs/>
          <w:highlight w:val="none"/>
          <w:lang w:val="en-US" w:eastAsia="zh-CN"/>
        </w:rPr>
        <w:t>1、</w:t>
      </w:r>
      <w:r>
        <w:rPr>
          <w:rFonts w:hint="default"/>
          <w:b/>
          <w:bCs/>
          <w:highlight w:val="none"/>
          <w:lang w:val="en-US" w:eastAsia="zh-CN"/>
        </w:rPr>
        <w:t>塔吊各安装部件重量表及吊点位置</w:t>
      </w:r>
    </w:p>
    <w:p w14:paraId="2A18AC04">
      <w:pPr>
        <w:bidi w:val="0"/>
        <w:ind w:firstLine="480" w:firstLineChars="200"/>
        <w:rPr>
          <w:highlight w:val="none"/>
        </w:rPr>
      </w:pPr>
      <w:r>
        <w:rPr>
          <w:rFonts w:hint="eastAsia"/>
          <w:highlight w:val="none"/>
        </w:rPr>
        <w:t>安装臂架时吊索吊挂的位置：</w:t>
      </w:r>
    </w:p>
    <w:p w14:paraId="3A442A77">
      <w:pPr>
        <w:spacing w:line="360" w:lineRule="auto"/>
        <w:ind w:left="0" w:leftChars="0" w:firstLine="0" w:firstLineChars="0"/>
        <w:jc w:val="center"/>
        <w:rPr>
          <w:color w:val="000000"/>
          <w:szCs w:val="21"/>
          <w:highlight w:val="none"/>
        </w:rPr>
      </w:pPr>
      <w:r>
        <w:rPr>
          <w:color w:val="000000"/>
          <w:sz w:val="24"/>
          <w:szCs w:val="24"/>
          <w:highlight w:val="none"/>
        </w:rPr>
        <w:drawing>
          <wp:inline distT="0" distB="0" distL="114300" distR="114300">
            <wp:extent cx="4087495" cy="1127760"/>
            <wp:effectExtent l="0" t="0" r="8255" b="15240"/>
            <wp:docPr id="10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8"/>
                    <pic:cNvPicPr>
                      <a:picLocks noChangeAspect="1"/>
                    </pic:cNvPicPr>
                  </pic:nvPicPr>
                  <pic:blipFill>
                    <a:blip r:embed="rId24"/>
                    <a:stretch>
                      <a:fillRect/>
                    </a:stretch>
                  </pic:blipFill>
                  <pic:spPr>
                    <a:xfrm>
                      <a:off x="0" y="0"/>
                      <a:ext cx="4087495" cy="1127760"/>
                    </a:xfrm>
                    <a:prstGeom prst="rect">
                      <a:avLst/>
                    </a:prstGeom>
                    <a:noFill/>
                    <a:ln w="9525" cap="flat" cmpd="sng">
                      <a:noFill/>
                      <a:prstDash val="solid"/>
                      <a:miter/>
                      <a:headEnd type="none" w="med" len="med"/>
                      <a:tailEnd type="none" w="med" len="med"/>
                    </a:ln>
                  </pic:spPr>
                </pic:pic>
              </a:graphicData>
            </a:graphic>
          </wp:inline>
        </w:drawing>
      </w:r>
    </w:p>
    <w:p w14:paraId="17E3BDF3">
      <w:pPr>
        <w:pStyle w:val="15"/>
        <w:rPr>
          <w:highlight w:val="none"/>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4</w:t>
      </w:r>
      <w:r>
        <w:rPr>
          <w:highlight w:val="none"/>
        </w:rPr>
        <w:fldChar w:fldCharType="end"/>
      </w:r>
      <w:r>
        <w:rPr>
          <w:rFonts w:hint="eastAsia"/>
          <w:highlight w:val="none"/>
        </w:rPr>
        <w:t>各个安装部件上均设置有固定吊点</w:t>
      </w:r>
      <w:bookmarkStart w:id="176" w:name="_Toc320967324"/>
    </w:p>
    <w:bookmarkEnd w:id="176"/>
    <w:p w14:paraId="6185F756">
      <w:pPr>
        <w:ind w:firstLine="482" w:firstLineChars="200"/>
        <w:rPr>
          <w:rFonts w:hint="default"/>
          <w:b/>
          <w:bCs/>
          <w:highlight w:val="none"/>
          <w:lang w:val="en-US" w:eastAsia="zh-CN"/>
        </w:rPr>
      </w:pPr>
      <w:r>
        <w:rPr>
          <w:rFonts w:hint="eastAsia"/>
          <w:b/>
          <w:bCs/>
          <w:highlight w:val="none"/>
          <w:lang w:val="en-US" w:eastAsia="zh-CN"/>
        </w:rPr>
        <w:t>2、</w:t>
      </w:r>
      <w:r>
        <w:rPr>
          <w:rFonts w:hint="default"/>
          <w:b/>
          <w:bCs/>
          <w:highlight w:val="none"/>
          <w:lang w:val="en-US" w:eastAsia="zh-CN"/>
        </w:rPr>
        <w:t>塔吊安装用吊车型号、性能及布置位置</w:t>
      </w:r>
    </w:p>
    <w:p w14:paraId="6BB6CEE4">
      <w:pPr>
        <w:ind w:firstLine="480" w:firstLineChars="200"/>
        <w:rPr>
          <w:rFonts w:hint="default"/>
          <w:highlight w:val="none"/>
          <w:lang w:val="en-US" w:eastAsia="zh-CN"/>
        </w:rPr>
      </w:pPr>
      <w:r>
        <w:rPr>
          <w:rFonts w:hint="eastAsia"/>
          <w:highlight w:val="none"/>
          <w:lang w:val="en-US" w:eastAsia="zh-CN"/>
        </w:rPr>
        <w:t>XGT7026-12S1</w:t>
      </w:r>
      <w:r>
        <w:rPr>
          <w:rFonts w:hint="default"/>
          <w:highlight w:val="none"/>
          <w:lang w:val="en-US" w:eastAsia="zh-CN"/>
        </w:rPr>
        <w:t>塔吊安装汽车吊选择为：选用一台</w:t>
      </w:r>
      <w:r>
        <w:rPr>
          <w:rFonts w:hint="eastAsia"/>
          <w:highlight w:val="none"/>
          <w:lang w:val="en-US" w:eastAsia="zh-CN"/>
        </w:rPr>
        <w:t>50吨</w:t>
      </w:r>
      <w:r>
        <w:rPr>
          <w:rFonts w:hint="default"/>
          <w:highlight w:val="none"/>
          <w:lang w:val="en-US" w:eastAsia="zh-CN"/>
        </w:rPr>
        <w:t>汽车吊进行塔吊部件组装同时进行吊装，</w:t>
      </w:r>
      <w:r>
        <w:rPr>
          <w:rFonts w:hint="eastAsia"/>
          <w:highlight w:val="none"/>
          <w:lang w:val="en-US" w:eastAsia="zh-CN"/>
        </w:rPr>
        <w:t>工作半径12米，</w:t>
      </w:r>
      <w:r>
        <w:rPr>
          <w:rFonts w:hint="default"/>
          <w:highlight w:val="none"/>
          <w:lang w:val="en-US" w:eastAsia="zh-CN"/>
        </w:rPr>
        <w:t>满足使用要求。</w:t>
      </w:r>
    </w:p>
    <w:p w14:paraId="49E0B11D">
      <w:pPr>
        <w:pStyle w:val="15"/>
        <w:bidi w:val="0"/>
        <w:spacing w:line="360" w:lineRule="auto"/>
        <w:ind w:left="0" w:leftChars="0" w:firstLine="0" w:firstLineChars="0"/>
        <w:jc w:val="center"/>
        <w:rPr>
          <w:rFonts w:hint="eastAsia"/>
          <w:highlight w:val="none"/>
          <w:lang w:val="en-US" w:eastAsia="zh-CN"/>
        </w:rPr>
      </w:pPr>
      <w:r>
        <w:rPr>
          <w:highlight w:val="none"/>
        </w:rPr>
        <w:t>表4-</w:t>
      </w:r>
      <w:r>
        <w:rPr>
          <w:highlight w:val="none"/>
        </w:rPr>
        <w:fldChar w:fldCharType="begin"/>
      </w:r>
      <w:r>
        <w:rPr>
          <w:highlight w:val="none"/>
        </w:rPr>
        <w:instrText xml:space="preserve"> SEQ 表4- \* ARABIC </w:instrText>
      </w:r>
      <w:r>
        <w:rPr>
          <w:highlight w:val="none"/>
        </w:rPr>
        <w:fldChar w:fldCharType="separate"/>
      </w:r>
      <w:r>
        <w:rPr>
          <w:highlight w:val="none"/>
        </w:rPr>
        <w:t>2</w:t>
      </w:r>
      <w:r>
        <w:rPr>
          <w:highlight w:val="none"/>
        </w:rPr>
        <w:fldChar w:fldCharType="end"/>
      </w:r>
      <w:r>
        <w:rPr>
          <w:rFonts w:hint="eastAsia"/>
          <w:highlight w:val="none"/>
          <w:lang w:val="en-US" w:eastAsia="zh-CN"/>
        </w:rPr>
        <w:t xml:space="preserve"> XGT7026-12S1塔吊各部件重量表</w:t>
      </w:r>
    </w:p>
    <w:p w14:paraId="63017848">
      <w:pPr>
        <w:jc w:val="center"/>
        <w:rPr>
          <w:rFonts w:hint="default"/>
          <w:highlight w:val="none"/>
          <w:lang w:val="en-US" w:eastAsia="zh-CN"/>
        </w:rPr>
      </w:pPr>
      <w:r>
        <w:drawing>
          <wp:inline distT="0" distB="0" distL="114300" distR="114300">
            <wp:extent cx="5271135" cy="2334260"/>
            <wp:effectExtent l="0" t="0" r="5715" b="8890"/>
            <wp:docPr id="9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7"/>
                    <pic:cNvPicPr>
                      <a:picLocks noChangeAspect="1"/>
                    </pic:cNvPicPr>
                  </pic:nvPicPr>
                  <pic:blipFill>
                    <a:blip r:embed="rId25"/>
                    <a:stretch>
                      <a:fillRect/>
                    </a:stretch>
                  </pic:blipFill>
                  <pic:spPr>
                    <a:xfrm>
                      <a:off x="0" y="0"/>
                      <a:ext cx="5271135" cy="2334260"/>
                    </a:xfrm>
                    <a:prstGeom prst="rect">
                      <a:avLst/>
                    </a:prstGeom>
                    <a:noFill/>
                    <a:ln>
                      <a:noFill/>
                    </a:ln>
                  </pic:spPr>
                </pic:pic>
              </a:graphicData>
            </a:graphic>
          </wp:inline>
        </w:drawing>
      </w:r>
      <w:r>
        <w:drawing>
          <wp:inline distT="0" distB="0" distL="114300" distR="114300">
            <wp:extent cx="5268595" cy="6730365"/>
            <wp:effectExtent l="0" t="0" r="8255" b="13335"/>
            <wp:docPr id="1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1"/>
                    </pic:cNvPicPr>
                  </pic:nvPicPr>
                  <pic:blipFill>
                    <a:blip r:embed="rId26"/>
                    <a:stretch>
                      <a:fillRect/>
                    </a:stretch>
                  </pic:blipFill>
                  <pic:spPr>
                    <a:xfrm>
                      <a:off x="0" y="0"/>
                      <a:ext cx="5268595" cy="6730365"/>
                    </a:xfrm>
                    <a:prstGeom prst="rect">
                      <a:avLst/>
                    </a:prstGeom>
                    <a:noFill/>
                    <a:ln>
                      <a:noFill/>
                    </a:ln>
                  </pic:spPr>
                </pic:pic>
              </a:graphicData>
            </a:graphic>
          </wp:inline>
        </w:drawing>
      </w:r>
      <w:r>
        <w:drawing>
          <wp:inline distT="0" distB="0" distL="114300" distR="114300">
            <wp:extent cx="5092065" cy="6129655"/>
            <wp:effectExtent l="0" t="0" r="13335" b="4445"/>
            <wp:docPr id="10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0"/>
                    <pic:cNvPicPr>
                      <a:picLocks noChangeAspect="1"/>
                    </pic:cNvPicPr>
                  </pic:nvPicPr>
                  <pic:blipFill>
                    <a:blip r:embed="rId27"/>
                    <a:stretch>
                      <a:fillRect/>
                    </a:stretch>
                  </pic:blipFill>
                  <pic:spPr>
                    <a:xfrm>
                      <a:off x="0" y="0"/>
                      <a:ext cx="5092065" cy="6129655"/>
                    </a:xfrm>
                    <a:prstGeom prst="rect">
                      <a:avLst/>
                    </a:prstGeom>
                    <a:noFill/>
                    <a:ln>
                      <a:noFill/>
                    </a:ln>
                  </pic:spPr>
                </pic:pic>
              </a:graphicData>
            </a:graphic>
          </wp:inline>
        </w:drawing>
      </w:r>
      <w:r>
        <w:drawing>
          <wp:inline distT="0" distB="0" distL="114300" distR="114300">
            <wp:extent cx="5273040" cy="6824980"/>
            <wp:effectExtent l="0" t="0" r="3810" b="13970"/>
            <wp:docPr id="10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1"/>
                    <pic:cNvPicPr>
                      <a:picLocks noChangeAspect="1"/>
                    </pic:cNvPicPr>
                  </pic:nvPicPr>
                  <pic:blipFill>
                    <a:blip r:embed="rId28"/>
                    <a:stretch>
                      <a:fillRect/>
                    </a:stretch>
                  </pic:blipFill>
                  <pic:spPr>
                    <a:xfrm>
                      <a:off x="0" y="0"/>
                      <a:ext cx="5273040" cy="6824980"/>
                    </a:xfrm>
                    <a:prstGeom prst="rect">
                      <a:avLst/>
                    </a:prstGeom>
                    <a:noFill/>
                    <a:ln>
                      <a:noFill/>
                    </a:ln>
                  </pic:spPr>
                </pic:pic>
              </a:graphicData>
            </a:graphic>
          </wp:inline>
        </w:drawing>
      </w:r>
      <w:r>
        <w:drawing>
          <wp:inline distT="0" distB="0" distL="114300" distR="114300">
            <wp:extent cx="5269865" cy="7084695"/>
            <wp:effectExtent l="0" t="0" r="6985" b="1905"/>
            <wp:docPr id="10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pic:cNvPicPr>
                      <a:picLocks noChangeAspect="1"/>
                    </pic:cNvPicPr>
                  </pic:nvPicPr>
                  <pic:blipFill>
                    <a:blip r:embed="rId29"/>
                    <a:stretch>
                      <a:fillRect/>
                    </a:stretch>
                  </pic:blipFill>
                  <pic:spPr>
                    <a:xfrm>
                      <a:off x="0" y="0"/>
                      <a:ext cx="5269865" cy="7084695"/>
                    </a:xfrm>
                    <a:prstGeom prst="rect">
                      <a:avLst/>
                    </a:prstGeom>
                    <a:noFill/>
                    <a:ln>
                      <a:noFill/>
                    </a:ln>
                  </pic:spPr>
                </pic:pic>
              </a:graphicData>
            </a:graphic>
          </wp:inline>
        </w:drawing>
      </w:r>
    </w:p>
    <w:p w14:paraId="70D819D3">
      <w:pPr>
        <w:bidi w:val="0"/>
        <w:jc w:val="center"/>
        <w:rPr>
          <w:rFonts w:hint="eastAsia"/>
          <w:highlight w:val="none"/>
          <w:lang w:val="en-US" w:eastAsia="zh-CN"/>
        </w:rPr>
      </w:pPr>
      <w:r>
        <w:drawing>
          <wp:inline distT="0" distB="0" distL="114300" distR="114300">
            <wp:extent cx="5271135" cy="4257040"/>
            <wp:effectExtent l="0" t="0" r="5715" b="10160"/>
            <wp:docPr id="1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
                    <pic:cNvPicPr>
                      <a:picLocks noChangeAspect="1"/>
                    </pic:cNvPicPr>
                  </pic:nvPicPr>
                  <pic:blipFill>
                    <a:blip r:embed="rId19"/>
                    <a:stretch>
                      <a:fillRect/>
                    </a:stretch>
                  </pic:blipFill>
                  <pic:spPr>
                    <a:xfrm>
                      <a:off x="0" y="0"/>
                      <a:ext cx="5271135" cy="4257040"/>
                    </a:xfrm>
                    <a:prstGeom prst="rect">
                      <a:avLst/>
                    </a:prstGeom>
                    <a:noFill/>
                    <a:ln>
                      <a:noFill/>
                    </a:ln>
                  </pic:spPr>
                </pic:pic>
              </a:graphicData>
            </a:graphic>
          </wp:inline>
        </w:drawing>
      </w:r>
    </w:p>
    <w:p w14:paraId="42952920">
      <w:pPr>
        <w:pStyle w:val="41"/>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5</w:t>
      </w:r>
      <w:r>
        <w:rPr>
          <w:highlight w:val="none"/>
        </w:rPr>
        <w:fldChar w:fldCharType="end"/>
      </w:r>
      <w:r>
        <w:rPr>
          <w:rFonts w:hint="eastAsia"/>
          <w:highlight w:val="none"/>
          <w:lang w:val="en-US" w:eastAsia="zh-CN"/>
        </w:rPr>
        <w:t xml:space="preserve"> 50吨</w:t>
      </w:r>
      <w:r>
        <w:rPr>
          <w:rFonts w:hint="eastAsia"/>
          <w:highlight w:val="none"/>
        </w:rPr>
        <w:t>汽车吊起重量表</w:t>
      </w:r>
    </w:p>
    <w:p w14:paraId="419E8188">
      <w:pPr>
        <w:bidi w:val="0"/>
        <w:jc w:val="center"/>
        <w:rPr>
          <w:rFonts w:hint="default" w:eastAsia="宋体"/>
          <w:highlight w:val="none"/>
          <w:lang w:val="en-US" w:eastAsia="zh-CN"/>
        </w:rPr>
      </w:pPr>
      <w:r>
        <w:drawing>
          <wp:inline distT="0" distB="0" distL="114300" distR="114300">
            <wp:extent cx="5073015" cy="4930140"/>
            <wp:effectExtent l="0" t="0" r="13335" b="3810"/>
            <wp:docPr id="1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
                    <pic:cNvPicPr>
                      <a:picLocks noChangeAspect="1"/>
                    </pic:cNvPicPr>
                  </pic:nvPicPr>
                  <pic:blipFill>
                    <a:blip r:embed="rId20"/>
                    <a:stretch>
                      <a:fillRect/>
                    </a:stretch>
                  </pic:blipFill>
                  <pic:spPr>
                    <a:xfrm>
                      <a:off x="0" y="0"/>
                      <a:ext cx="5073015" cy="4930140"/>
                    </a:xfrm>
                    <a:prstGeom prst="rect">
                      <a:avLst/>
                    </a:prstGeom>
                    <a:noFill/>
                    <a:ln>
                      <a:noFill/>
                    </a:ln>
                  </pic:spPr>
                </pic:pic>
              </a:graphicData>
            </a:graphic>
          </wp:inline>
        </w:drawing>
      </w:r>
    </w:p>
    <w:p w14:paraId="4BFCCAC6">
      <w:pPr>
        <w:pStyle w:val="15"/>
        <w:bidi w:val="0"/>
        <w:ind w:left="0" w:leftChars="0" w:firstLine="0" w:firstLineChars="0"/>
        <w:jc w:val="center"/>
        <w:rPr>
          <w:rFonts w:hint="eastAsia"/>
          <w:highlight w:val="none"/>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6</w:t>
      </w:r>
      <w:r>
        <w:rPr>
          <w:highlight w:val="none"/>
        </w:rPr>
        <w:fldChar w:fldCharType="end"/>
      </w:r>
      <w:r>
        <w:rPr>
          <w:rFonts w:hint="eastAsia"/>
          <w:highlight w:val="none"/>
          <w:lang w:val="en-US" w:eastAsia="zh-CN"/>
        </w:rPr>
        <w:t xml:space="preserve"> 50t</w:t>
      </w:r>
      <w:r>
        <w:rPr>
          <w:rFonts w:hint="eastAsia"/>
          <w:highlight w:val="none"/>
        </w:rPr>
        <w:t>汽车吊起重量表</w:t>
      </w:r>
    </w:p>
    <w:p w14:paraId="49CFA25E">
      <w:pPr>
        <w:pStyle w:val="5"/>
        <w:bidi w:val="0"/>
        <w:rPr>
          <w:rFonts w:hint="default" w:eastAsia="宋体"/>
          <w:highlight w:val="none"/>
          <w:lang w:val="en-US" w:eastAsia="zh-CN"/>
        </w:rPr>
      </w:pPr>
      <w:r>
        <w:rPr>
          <w:rFonts w:hint="eastAsia" w:cs="宋体"/>
          <w:bCs/>
          <w:color w:val="000000" w:themeColor="text1"/>
          <w:highlight w:val="none"/>
          <w:lang w:val="en-US" w:eastAsia="zh-CN"/>
          <w14:textFill>
            <w14:solidFill>
              <w14:schemeClr w14:val="tx1"/>
            </w14:solidFill>
          </w14:textFill>
        </w:rPr>
        <w:t>4.4.3.2</w:t>
      </w:r>
      <w:r>
        <w:rPr>
          <w:rFonts w:hint="eastAsia" w:ascii="宋体" w:hAnsi="宋体" w:eastAsia="宋体" w:cs="宋体"/>
          <w:bCs/>
          <w:color w:val="000000" w:themeColor="text1"/>
          <w:highlight w:val="none"/>
          <w14:textFill>
            <w14:solidFill>
              <w14:schemeClr w14:val="tx1"/>
            </w14:solidFill>
          </w14:textFill>
        </w:rPr>
        <w:t>安装基础节</w:t>
      </w:r>
      <w:r>
        <w:rPr>
          <w:rFonts w:hint="eastAsia" w:cs="宋体"/>
          <w:bCs/>
          <w:color w:val="000000" w:themeColor="text1"/>
          <w:highlight w:val="none"/>
          <w:lang w:val="en-US" w:eastAsia="zh-CN"/>
          <w14:textFill>
            <w14:solidFill>
              <w14:schemeClr w14:val="tx1"/>
            </w14:solidFill>
          </w14:textFill>
        </w:rPr>
        <w:t>和一节标准节</w:t>
      </w:r>
    </w:p>
    <w:p w14:paraId="609F81C7">
      <w:pPr>
        <w:widowControl w:val="0"/>
        <w:adjustRightInd/>
        <w:snapToGrid/>
        <w:ind w:firstLine="480"/>
        <w:rPr>
          <w:rFonts w:ascii="Times New Roman" w:hAnsi="Times New Roman" w:eastAsia="宋体" w:cs="Times New Roman"/>
          <w:szCs w:val="21"/>
          <w:highlight w:val="none"/>
        </w:rPr>
      </w:pP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吊装采用四点吊，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以顶部四个销轴孔作为吊装孔，采用4根</w:t>
      </w:r>
      <w:r>
        <w:rPr>
          <w:rFonts w:hint="eastAsia" w:ascii="Times New Roman" w:hAnsi="Times New Roman" w:cs="Times New Roman"/>
          <w:szCs w:val="21"/>
          <w:highlight w:val="none"/>
          <w:lang w:eastAsia="zh-CN"/>
        </w:rPr>
        <w:t>24mm6×19W+IWR1870Mpa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25854-6-DW10</w:t>
      </w:r>
      <w:r>
        <w:rPr>
          <w:rFonts w:hint="eastAsia" w:ascii="Times New Roman" w:hAnsi="Times New Roman" w:eastAsia="宋体" w:cs="Times New Roman"/>
          <w:szCs w:val="21"/>
          <w:highlight w:val="none"/>
        </w:rPr>
        <w:t>卸扣进行吊装。</w:t>
      </w:r>
    </w:p>
    <w:p w14:paraId="73D2DB6D">
      <w:pPr>
        <w:ind w:left="0" w:leftChars="0" w:firstLine="420" w:firstLineChars="0"/>
        <w:jc w:val="left"/>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至塔吊固定支腿上方，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底部销轴孔与预埋固定支腿轴孔对齐，作业人员插入与预埋固定支腿的连接销轴，完成</w:t>
      </w:r>
      <w:r>
        <w:rPr>
          <w:rFonts w:hint="eastAsia" w:cs="Times New Roman"/>
          <w:szCs w:val="21"/>
          <w:highlight w:val="none"/>
          <w:lang w:val="en-US" w:eastAsia="zh-CN"/>
        </w:rPr>
        <w:t>基础节</w:t>
      </w:r>
      <w:r>
        <w:rPr>
          <w:rFonts w:hint="eastAsia" w:ascii="Times New Roman" w:hAnsi="Times New Roman" w:eastAsia="宋体" w:cs="Times New Roman"/>
          <w:szCs w:val="21"/>
          <w:highlight w:val="none"/>
        </w:rPr>
        <w:t>与固定支腿的连接，并在销轴端部插入开口销固定。</w:t>
      </w:r>
      <w:r>
        <w:rPr>
          <w:rFonts w:hint="eastAsia" w:ascii="Times New Roman" w:hAnsi="Times New Roman" w:cs="Times New Roman"/>
          <w:szCs w:val="21"/>
          <w:highlight w:val="none"/>
          <w:lang w:val="en-US" w:eastAsia="zh-CN"/>
        </w:rPr>
        <w:t>采用同样的方法吊装一节标准节，</w:t>
      </w:r>
      <w:r>
        <w:rPr>
          <w:rFonts w:hint="eastAsia" w:ascii="Times New Roman" w:hAnsi="Times New Roman" w:eastAsia="宋体" w:cs="Times New Roman"/>
          <w:szCs w:val="21"/>
          <w:highlight w:val="none"/>
        </w:rPr>
        <w:t>吊装示意如下图所示</w:t>
      </w:r>
    </w:p>
    <w:p w14:paraId="50068BED">
      <w:pPr>
        <w:ind w:left="0" w:leftChars="0" w:firstLine="420" w:firstLineChars="0"/>
        <w:jc w:val="center"/>
        <w:rPr>
          <w:highlight w:val="none"/>
        </w:rPr>
      </w:pPr>
      <w:r>
        <w:drawing>
          <wp:inline distT="0" distB="0" distL="114300" distR="114300">
            <wp:extent cx="4321810" cy="3478530"/>
            <wp:effectExtent l="0" t="0" r="2540" b="7620"/>
            <wp:docPr id="1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
                    <pic:cNvPicPr>
                      <a:picLocks noChangeAspect="1"/>
                    </pic:cNvPicPr>
                  </pic:nvPicPr>
                  <pic:blipFill>
                    <a:blip r:embed="rId30"/>
                    <a:stretch>
                      <a:fillRect/>
                    </a:stretch>
                  </pic:blipFill>
                  <pic:spPr>
                    <a:xfrm>
                      <a:off x="0" y="0"/>
                      <a:ext cx="4321810" cy="3478530"/>
                    </a:xfrm>
                    <a:prstGeom prst="rect">
                      <a:avLst/>
                    </a:prstGeom>
                    <a:noFill/>
                    <a:ln>
                      <a:noFill/>
                    </a:ln>
                  </pic:spPr>
                </pic:pic>
              </a:graphicData>
            </a:graphic>
          </wp:inline>
        </w:drawing>
      </w:r>
      <w:r>
        <w:drawing>
          <wp:inline distT="0" distB="0" distL="114300" distR="114300">
            <wp:extent cx="5269230" cy="3507105"/>
            <wp:effectExtent l="0" t="0" r="7620" b="17145"/>
            <wp:docPr id="19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39"/>
                    <pic:cNvPicPr>
                      <a:picLocks noChangeAspect="1"/>
                    </pic:cNvPicPr>
                  </pic:nvPicPr>
                  <pic:blipFill>
                    <a:blip r:embed="rId31"/>
                    <a:stretch>
                      <a:fillRect/>
                    </a:stretch>
                  </pic:blipFill>
                  <pic:spPr>
                    <a:xfrm>
                      <a:off x="0" y="0"/>
                      <a:ext cx="5269230" cy="3507105"/>
                    </a:xfrm>
                    <a:prstGeom prst="rect">
                      <a:avLst/>
                    </a:prstGeom>
                    <a:noFill/>
                    <a:ln>
                      <a:noFill/>
                    </a:ln>
                  </pic:spPr>
                </pic:pic>
              </a:graphicData>
            </a:graphic>
          </wp:inline>
        </w:drawing>
      </w:r>
    </w:p>
    <w:p w14:paraId="51E04350">
      <w:pPr>
        <w:pStyle w:val="15"/>
        <w:ind w:left="0" w:leftChars="0" w:firstLine="0" w:firstLineChars="0"/>
        <w:jc w:val="center"/>
        <w:rPr>
          <w:rFonts w:hint="default" w:eastAsia="黑体"/>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7</w:t>
      </w:r>
      <w:r>
        <w:rPr>
          <w:highlight w:val="none"/>
        </w:rPr>
        <w:fldChar w:fldCharType="end"/>
      </w:r>
      <w:r>
        <w:rPr>
          <w:rFonts w:hint="eastAsia"/>
          <w:highlight w:val="none"/>
          <w:lang w:val="en-US" w:eastAsia="zh-CN"/>
        </w:rPr>
        <w:t>基础节吊装示意图</w:t>
      </w:r>
    </w:p>
    <w:p w14:paraId="287F4BEA">
      <w:pPr>
        <w:pStyle w:val="5"/>
        <w:bidi w:val="0"/>
        <w:rPr>
          <w:rFonts w:hint="eastAsia"/>
          <w:highlight w:val="none"/>
          <w:lang w:val="en-US" w:eastAsia="zh-CN"/>
        </w:rPr>
      </w:pPr>
      <w:r>
        <w:rPr>
          <w:rFonts w:hint="eastAsia"/>
          <w:highlight w:val="none"/>
          <w:lang w:val="en-US" w:eastAsia="zh-CN"/>
        </w:rPr>
        <w:t>4.4.3.3安装装爬升架</w:t>
      </w:r>
    </w:p>
    <w:p w14:paraId="04C7922E">
      <w:pPr>
        <w:widowControl w:val="0"/>
        <w:adjustRightInd/>
        <w:snapToGrid/>
        <w:ind w:firstLine="480"/>
        <w:rPr>
          <w:rFonts w:hint="eastAsia" w:ascii="Times New Roman" w:hAnsi="Times New Roman" w:eastAsia="宋体" w:cs="Times New Roman"/>
          <w:szCs w:val="21"/>
          <w:highlight w:val="none"/>
        </w:rPr>
      </w:pPr>
      <w:r>
        <w:rPr>
          <w:rFonts w:hint="eastAsia" w:ascii="宋体" w:hAnsi="宋体" w:eastAsia="宋体" w:cs="宋体"/>
          <w:szCs w:val="21"/>
          <w:highlight w:val="none"/>
        </w:rPr>
        <w:t>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配合人工在地面上将</w:t>
      </w:r>
      <w:r>
        <w:rPr>
          <w:rFonts w:hint="eastAsia" w:ascii="宋体" w:hAnsi="宋体" w:cs="宋体"/>
          <w:szCs w:val="21"/>
          <w:highlight w:val="none"/>
          <w:lang w:eastAsia="zh-CN"/>
        </w:rPr>
        <w:t>套架</w:t>
      </w:r>
      <w:r>
        <w:rPr>
          <w:rFonts w:hint="eastAsia" w:ascii="宋体" w:hAnsi="宋体" w:eastAsia="宋体" w:cs="宋体"/>
          <w:szCs w:val="21"/>
          <w:highlight w:val="none"/>
        </w:rPr>
        <w:t>架体、平台、顶升横梁、油缸及液压站等拼装成整体，</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吊装采用四点吊，以</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24mm6×19W+IWR1870Mpa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25854-6-DW10</w:t>
      </w:r>
      <w:r>
        <w:rPr>
          <w:rFonts w:hint="eastAsia" w:ascii="Times New Roman" w:hAnsi="Times New Roman" w:eastAsia="宋体" w:cs="Times New Roman"/>
          <w:szCs w:val="21"/>
          <w:highlight w:val="none"/>
        </w:rPr>
        <w:t>卸扣进行吊装。</w:t>
      </w:r>
    </w:p>
    <w:p w14:paraId="77438A1E">
      <w:pPr>
        <w:widowControl w:val="0"/>
        <w:adjustRightInd/>
        <w:snapToGrid/>
        <w:ind w:firstLine="480"/>
        <w:rPr>
          <w:rFonts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cs="Times New Roman"/>
          <w:szCs w:val="21"/>
          <w:highlight w:val="none"/>
          <w:lang w:eastAsia="zh-CN"/>
        </w:rPr>
        <w:t>套架</w:t>
      </w:r>
      <w:r>
        <w:rPr>
          <w:rFonts w:hint="eastAsia" w:ascii="Times New Roman" w:hAnsi="Times New Roman" w:eastAsia="宋体" w:cs="Times New Roman"/>
          <w:szCs w:val="21"/>
          <w:highlight w:val="none"/>
        </w:rPr>
        <w:t>立杆上栓好2根溜绳。启动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cs="Times New Roman"/>
          <w:szCs w:val="21"/>
          <w:highlight w:val="none"/>
          <w:lang w:eastAsia="zh-CN"/>
        </w:rPr>
        <w:t>套架</w:t>
      </w:r>
      <w:r>
        <w:rPr>
          <w:rFonts w:hint="eastAsia" w:ascii="Times New Roman" w:hAnsi="Times New Roman" w:eastAsia="宋体" w:cs="Times New Roman"/>
          <w:szCs w:val="21"/>
          <w:highlight w:val="none"/>
        </w:rPr>
        <w:t>缓慢提升，用溜绳控制其摆动。起吊</w:t>
      </w:r>
      <w:r>
        <w:rPr>
          <w:rFonts w:hint="eastAsia" w:cs="Times New Roman"/>
          <w:szCs w:val="21"/>
          <w:highlight w:val="none"/>
          <w:lang w:eastAsia="zh-CN"/>
        </w:rPr>
        <w:t>套架</w:t>
      </w:r>
      <w:r>
        <w:rPr>
          <w:rFonts w:hint="eastAsia" w:ascii="Times New Roman" w:hAnsi="Times New Roman" w:eastAsia="宋体" w:cs="Times New Roman"/>
          <w:szCs w:val="21"/>
          <w:highlight w:val="none"/>
        </w:rPr>
        <w:t>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缓慢落钩，将</w:t>
      </w:r>
      <w:r>
        <w:rPr>
          <w:rFonts w:hint="eastAsia" w:cs="Times New Roman"/>
          <w:szCs w:val="21"/>
          <w:highlight w:val="none"/>
          <w:lang w:eastAsia="zh-CN"/>
        </w:rPr>
        <w:t>套架</w:t>
      </w:r>
      <w:r>
        <w:rPr>
          <w:rFonts w:hint="eastAsia" w:ascii="Times New Roman" w:hAnsi="Times New Roman" w:eastAsia="宋体" w:cs="Times New Roman"/>
          <w:szCs w:val="21"/>
          <w:highlight w:val="none"/>
        </w:rPr>
        <w:t>套入</w:t>
      </w:r>
      <w:r>
        <w:rPr>
          <w:rFonts w:hint="eastAsia" w:cs="Times New Roman"/>
          <w:szCs w:val="21"/>
          <w:highlight w:val="none"/>
          <w:lang w:eastAsia="zh-CN"/>
        </w:rPr>
        <w:t>基础节</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eastAsia="zh-CN"/>
        </w:rPr>
        <w:t>基础节</w:t>
      </w:r>
      <w:r>
        <w:rPr>
          <w:rFonts w:hint="eastAsia" w:ascii="Times New Roman" w:hAnsi="Times New Roman" w:eastAsia="宋体" w:cs="Times New Roman"/>
          <w:szCs w:val="21"/>
          <w:highlight w:val="none"/>
        </w:rPr>
        <w:t>对应的</w:t>
      </w:r>
      <w:r>
        <w:rPr>
          <w:rFonts w:hint="eastAsia" w:cs="Times New Roman"/>
          <w:szCs w:val="21"/>
          <w:highlight w:val="none"/>
          <w:lang w:eastAsia="zh-CN"/>
        </w:rPr>
        <w:t>套架</w:t>
      </w:r>
      <w:r>
        <w:rPr>
          <w:rFonts w:hint="eastAsia" w:ascii="Times New Roman" w:hAnsi="Times New Roman" w:eastAsia="宋体" w:cs="Times New Roman"/>
          <w:szCs w:val="21"/>
          <w:highlight w:val="none"/>
        </w:rPr>
        <w:t>爬爪处，将安全带系挂在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横杆上，将爬爪放在</w:t>
      </w:r>
      <w:r>
        <w:rPr>
          <w:rFonts w:hint="eastAsia" w:cs="Times New Roman"/>
          <w:szCs w:val="21"/>
          <w:highlight w:val="none"/>
          <w:lang w:eastAsia="zh-CN"/>
        </w:rPr>
        <w:t>基础节</w:t>
      </w:r>
      <w:r>
        <w:rPr>
          <w:rFonts w:hint="eastAsia" w:ascii="Times New Roman" w:hAnsi="Times New Roman" w:eastAsia="宋体" w:cs="Times New Roman"/>
          <w:szCs w:val="21"/>
          <w:highlight w:val="none"/>
        </w:rPr>
        <w:t>踏步上，并通过安全销固定。</w:t>
      </w:r>
      <w:r>
        <w:rPr>
          <w:rFonts w:hint="eastAsia" w:cs="Times New Roman"/>
          <w:szCs w:val="21"/>
          <w:highlight w:val="none"/>
          <w:lang w:eastAsia="zh-CN"/>
        </w:rPr>
        <w:t>套架</w:t>
      </w:r>
      <w:r>
        <w:rPr>
          <w:rFonts w:hint="eastAsia" w:ascii="Times New Roman" w:hAnsi="Times New Roman" w:eastAsia="宋体" w:cs="Times New Roman"/>
          <w:szCs w:val="21"/>
          <w:highlight w:val="none"/>
        </w:rPr>
        <w:t>吊装示意如下图所示。</w:t>
      </w:r>
    </w:p>
    <w:p w14:paraId="0F2369F1">
      <w:pPr>
        <w:bidi w:val="0"/>
        <w:ind w:left="0" w:leftChars="0" w:firstLine="0" w:firstLineChars="0"/>
        <w:jc w:val="center"/>
        <w:rPr>
          <w:rFonts w:hint="eastAsia"/>
          <w:highlight w:val="none"/>
          <w:lang w:val="en-US" w:eastAsia="zh-CN"/>
        </w:rPr>
      </w:pPr>
      <w:r>
        <w:drawing>
          <wp:inline distT="0" distB="0" distL="114300" distR="114300">
            <wp:extent cx="3534410" cy="2845435"/>
            <wp:effectExtent l="0" t="0" r="8890" b="12065"/>
            <wp:docPr id="1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4"/>
                    <pic:cNvPicPr>
                      <a:picLocks noChangeAspect="1"/>
                    </pic:cNvPicPr>
                  </pic:nvPicPr>
                  <pic:blipFill>
                    <a:blip r:embed="rId30"/>
                    <a:stretch>
                      <a:fillRect/>
                    </a:stretch>
                  </pic:blipFill>
                  <pic:spPr>
                    <a:xfrm>
                      <a:off x="0" y="0"/>
                      <a:ext cx="3534410" cy="2845435"/>
                    </a:xfrm>
                    <a:prstGeom prst="rect">
                      <a:avLst/>
                    </a:prstGeom>
                    <a:noFill/>
                    <a:ln>
                      <a:noFill/>
                    </a:ln>
                  </pic:spPr>
                </pic:pic>
              </a:graphicData>
            </a:graphic>
          </wp:inline>
        </w:drawing>
      </w:r>
      <w:r>
        <w:drawing>
          <wp:inline distT="0" distB="0" distL="114300" distR="114300">
            <wp:extent cx="1663700" cy="2800985"/>
            <wp:effectExtent l="0" t="0" r="12700" b="18415"/>
            <wp:docPr id="19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38"/>
                    <pic:cNvPicPr>
                      <a:picLocks noChangeAspect="1"/>
                    </pic:cNvPicPr>
                  </pic:nvPicPr>
                  <pic:blipFill>
                    <a:blip r:embed="rId32"/>
                    <a:stretch>
                      <a:fillRect/>
                    </a:stretch>
                  </pic:blipFill>
                  <pic:spPr>
                    <a:xfrm>
                      <a:off x="0" y="0"/>
                      <a:ext cx="1663700" cy="2800985"/>
                    </a:xfrm>
                    <a:prstGeom prst="rect">
                      <a:avLst/>
                    </a:prstGeom>
                    <a:noFill/>
                    <a:ln>
                      <a:noFill/>
                    </a:ln>
                  </pic:spPr>
                </pic:pic>
              </a:graphicData>
            </a:graphic>
          </wp:inline>
        </w:drawing>
      </w:r>
    </w:p>
    <w:p w14:paraId="5300592F">
      <w:pPr>
        <w:pStyle w:val="15"/>
        <w:bidi w:val="0"/>
        <w:rPr>
          <w:rFonts w:hint="eastAsia"/>
          <w:highlight w:val="none"/>
          <w:lang w:val="en-US" w:eastAsia="zh-CN"/>
        </w:rPr>
      </w:pPr>
      <w:bookmarkStart w:id="177" w:name="_Toc12300"/>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8</w:t>
      </w:r>
      <w:r>
        <w:rPr>
          <w:highlight w:val="none"/>
        </w:rPr>
        <w:fldChar w:fldCharType="end"/>
      </w:r>
      <w:r>
        <w:rPr>
          <w:rFonts w:hint="eastAsia"/>
          <w:highlight w:val="none"/>
          <w:lang w:val="en-US" w:eastAsia="zh-CN"/>
        </w:rPr>
        <w:t>顶升套架总成整体吊装示意图</w:t>
      </w:r>
      <w:bookmarkEnd w:id="177"/>
    </w:p>
    <w:p w14:paraId="5242DB1E">
      <w:pPr>
        <w:pStyle w:val="5"/>
        <w:bidi w:val="0"/>
        <w:rPr>
          <w:rFonts w:hint="eastAsia"/>
          <w:highlight w:val="none"/>
          <w:lang w:val="en-US" w:eastAsia="zh-CN"/>
        </w:rPr>
      </w:pPr>
      <w:bookmarkStart w:id="178" w:name="_Toc7277"/>
      <w:bookmarkStart w:id="179" w:name="_Toc8128"/>
      <w:r>
        <w:rPr>
          <w:rFonts w:hint="eastAsia"/>
          <w:highlight w:val="none"/>
          <w:lang w:val="en-US" w:eastAsia="zh-CN"/>
        </w:rPr>
        <w:t>4.4.3.5安装</w:t>
      </w:r>
      <w:bookmarkEnd w:id="178"/>
      <w:bookmarkEnd w:id="179"/>
      <w:r>
        <w:rPr>
          <w:rFonts w:hint="eastAsia"/>
          <w:highlight w:val="none"/>
          <w:lang w:val="en-US" w:eastAsia="zh-CN"/>
        </w:rPr>
        <w:t>特殊节、回转总成</w:t>
      </w:r>
    </w:p>
    <w:p w14:paraId="60612DAD">
      <w:pPr>
        <w:widowControl w:val="0"/>
        <w:adjustRightInd/>
        <w:snapToGrid/>
        <w:ind w:firstLine="480"/>
        <w:rPr>
          <w:rFonts w:hint="eastAsia" w:ascii="Times New Roman" w:hAnsi="Times New Roman" w:eastAsia="宋体" w:cs="Times New Roman"/>
          <w:szCs w:val="21"/>
          <w:highlight w:val="none"/>
        </w:rPr>
      </w:pPr>
      <w:r>
        <w:rPr>
          <w:rFonts w:hint="eastAsia"/>
          <w:highlight w:val="none"/>
          <w:lang w:val="en-US" w:eastAsia="zh-CN"/>
        </w:rPr>
        <w:t>特殊节</w:t>
      </w:r>
      <w:r>
        <w:rPr>
          <w:rFonts w:hint="eastAsia" w:ascii="Times New Roman" w:hAnsi="Times New Roman" w:eastAsia="宋体" w:cs="Times New Roman"/>
          <w:szCs w:val="21"/>
          <w:highlight w:val="none"/>
        </w:rPr>
        <w:t>吊装采用四点吊，以</w:t>
      </w:r>
      <w:r>
        <w:rPr>
          <w:rFonts w:hint="eastAsia"/>
          <w:highlight w:val="none"/>
          <w:lang w:val="en-US" w:eastAsia="zh-CN"/>
        </w:rPr>
        <w:t>特殊节</w:t>
      </w:r>
      <w:r>
        <w:rPr>
          <w:rFonts w:hint="eastAsia" w:ascii="Times New Roman" w:hAnsi="Times New Roman" w:eastAsia="宋体" w:cs="Times New Roman"/>
          <w:szCs w:val="21"/>
          <w:highlight w:val="none"/>
        </w:rPr>
        <w:t>顶部四个销轴孔作为吊装孔，采用4根</w:t>
      </w:r>
      <w:r>
        <w:rPr>
          <w:rFonts w:hint="eastAsia" w:cs="Times New Roman"/>
          <w:szCs w:val="21"/>
          <w:highlight w:val="none"/>
          <w:lang w:val="en-US" w:eastAsia="zh-CN"/>
        </w:rPr>
        <w:t>24mm6×19W+IWR1870Mpa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25854-6-DW10</w:t>
      </w:r>
      <w:r>
        <w:rPr>
          <w:rFonts w:hint="eastAsia" w:ascii="Times New Roman" w:hAnsi="Times New Roman" w:eastAsia="宋体" w:cs="Times New Roman"/>
          <w:szCs w:val="21"/>
          <w:highlight w:val="none"/>
        </w:rPr>
        <w:t>卸扣进行吊装。</w:t>
      </w:r>
    </w:p>
    <w:p w14:paraId="2EDF091A">
      <w:pPr>
        <w:spacing w:line="360" w:lineRule="auto"/>
        <w:ind w:firstLine="480" w:firstLineChars="20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特殊节</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特殊节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特殊节</w:t>
      </w:r>
      <w:r>
        <w:rPr>
          <w:rFonts w:hint="eastAsia" w:ascii="Times New Roman" w:hAnsi="Times New Roman" w:eastAsia="宋体" w:cs="Times New Roman"/>
          <w:szCs w:val="21"/>
          <w:highlight w:val="none"/>
        </w:rPr>
        <w:t>至</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上方，</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缓慢落钩，直至</w:t>
      </w:r>
      <w:r>
        <w:rPr>
          <w:rFonts w:hint="eastAsia"/>
          <w:highlight w:val="none"/>
          <w:lang w:val="en-US" w:eastAsia="zh-CN"/>
        </w:rPr>
        <w:t>特殊节</w:t>
      </w:r>
      <w:r>
        <w:rPr>
          <w:rFonts w:hint="eastAsia" w:ascii="Times New Roman" w:hAnsi="Times New Roman" w:eastAsia="宋体" w:cs="Times New Roman"/>
          <w:szCs w:val="21"/>
          <w:highlight w:val="none"/>
        </w:rPr>
        <w:t>销轴孔与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销轴孔对齐，将安全带系挂在</w:t>
      </w:r>
      <w:r>
        <w:rPr>
          <w:rFonts w:hint="eastAsia" w:cs="Times New Roman"/>
          <w:szCs w:val="21"/>
          <w:highlight w:val="none"/>
          <w:lang w:eastAsia="zh-CN"/>
        </w:rPr>
        <w:t>套架</w:t>
      </w:r>
      <w:r>
        <w:rPr>
          <w:rFonts w:hint="eastAsia" w:ascii="Times New Roman" w:hAnsi="Times New Roman" w:eastAsia="宋体" w:cs="Times New Roman"/>
          <w:szCs w:val="21"/>
          <w:highlight w:val="none"/>
        </w:rPr>
        <w:t>顶部的横杆上，站立在</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顶部的平台上，插入</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与</w:t>
      </w:r>
      <w:r>
        <w:rPr>
          <w:rFonts w:hint="eastAsia"/>
          <w:highlight w:val="none"/>
          <w:lang w:val="en-US" w:eastAsia="zh-CN"/>
        </w:rPr>
        <w:t>特殊节</w:t>
      </w:r>
      <w:r>
        <w:rPr>
          <w:rFonts w:hint="eastAsia" w:ascii="Times New Roman" w:hAnsi="Times New Roman" w:eastAsia="宋体" w:cs="Times New Roman"/>
          <w:szCs w:val="21"/>
          <w:highlight w:val="none"/>
        </w:rPr>
        <w:t>的连接销轴，完成</w:t>
      </w:r>
      <w:r>
        <w:rPr>
          <w:rFonts w:hint="eastAsia"/>
          <w:highlight w:val="none"/>
          <w:lang w:val="en-US" w:eastAsia="zh-CN"/>
        </w:rPr>
        <w:t>特殊节</w:t>
      </w:r>
      <w:r>
        <w:rPr>
          <w:rFonts w:hint="eastAsia" w:ascii="Times New Roman" w:hAnsi="Times New Roman" w:eastAsia="宋体" w:cs="Times New Roman"/>
          <w:szCs w:val="21"/>
          <w:highlight w:val="none"/>
        </w:rPr>
        <w:t>与</w:t>
      </w:r>
      <w:r>
        <w:rPr>
          <w:rFonts w:hint="eastAsia" w:cs="Times New Roman"/>
          <w:szCs w:val="21"/>
          <w:highlight w:val="none"/>
          <w:lang w:val="en-US" w:eastAsia="zh-CN"/>
        </w:rPr>
        <w:t>标准节</w:t>
      </w:r>
      <w:r>
        <w:rPr>
          <w:rFonts w:hint="eastAsia" w:ascii="Times New Roman" w:hAnsi="Times New Roman" w:eastAsia="宋体" w:cs="Times New Roman"/>
          <w:szCs w:val="21"/>
          <w:highlight w:val="none"/>
        </w:rPr>
        <w:t>的连接。</w:t>
      </w:r>
    </w:p>
    <w:p w14:paraId="712CEF30">
      <w:pPr>
        <w:spacing w:line="360" w:lineRule="auto"/>
        <w:ind w:firstLine="480" w:firstLineChars="200"/>
        <w:rPr>
          <w:rFonts w:hint="eastAsia" w:cs="宋体"/>
          <w:sz w:val="24"/>
          <w:szCs w:val="24"/>
          <w:highlight w:val="none"/>
          <w:lang w:val="en-US" w:eastAsia="zh-CN"/>
        </w:rPr>
      </w:pPr>
      <w:r>
        <w:rPr>
          <w:rFonts w:hint="eastAsia"/>
          <w:highlight w:val="none"/>
          <w:lang w:val="en-US" w:eastAsia="zh-CN"/>
        </w:rPr>
        <w:t>特殊节</w:t>
      </w:r>
      <w:r>
        <w:rPr>
          <w:rFonts w:hint="eastAsia" w:cs="宋体"/>
          <w:sz w:val="24"/>
          <w:szCs w:val="24"/>
          <w:highlight w:val="none"/>
          <w:lang w:val="en-US" w:eastAsia="zh-CN"/>
        </w:rPr>
        <w:t>的安装示意图如下</w:t>
      </w:r>
    </w:p>
    <w:p w14:paraId="330B1E2B">
      <w:pPr>
        <w:spacing w:line="360" w:lineRule="auto"/>
        <w:ind w:firstLine="480" w:firstLineChars="200"/>
        <w:jc w:val="center"/>
        <w:rPr>
          <w:highlight w:val="none"/>
        </w:rPr>
      </w:pPr>
      <w:r>
        <w:drawing>
          <wp:inline distT="0" distB="0" distL="114300" distR="114300">
            <wp:extent cx="3360420" cy="2708275"/>
            <wp:effectExtent l="0" t="0" r="11430" b="15875"/>
            <wp:docPr id="1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4"/>
                    <pic:cNvPicPr>
                      <a:picLocks noChangeAspect="1"/>
                    </pic:cNvPicPr>
                  </pic:nvPicPr>
                  <pic:blipFill>
                    <a:blip r:embed="rId30"/>
                    <a:stretch>
                      <a:fillRect/>
                    </a:stretch>
                  </pic:blipFill>
                  <pic:spPr>
                    <a:xfrm>
                      <a:off x="0" y="0"/>
                      <a:ext cx="3360420" cy="2708275"/>
                    </a:xfrm>
                    <a:prstGeom prst="rect">
                      <a:avLst/>
                    </a:prstGeom>
                    <a:noFill/>
                    <a:ln>
                      <a:noFill/>
                    </a:ln>
                  </pic:spPr>
                </pic:pic>
              </a:graphicData>
            </a:graphic>
          </wp:inline>
        </w:drawing>
      </w:r>
      <w:r>
        <w:drawing>
          <wp:inline distT="0" distB="0" distL="114300" distR="114300">
            <wp:extent cx="1520190" cy="2559050"/>
            <wp:effectExtent l="0" t="0" r="3810" b="12700"/>
            <wp:docPr id="19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7"/>
                    <pic:cNvPicPr>
                      <a:picLocks noChangeAspect="1"/>
                    </pic:cNvPicPr>
                  </pic:nvPicPr>
                  <pic:blipFill>
                    <a:blip r:embed="rId33"/>
                    <a:srcRect l="5196" r="1352" b="4587"/>
                    <a:stretch>
                      <a:fillRect/>
                    </a:stretch>
                  </pic:blipFill>
                  <pic:spPr>
                    <a:xfrm>
                      <a:off x="0" y="0"/>
                      <a:ext cx="1520190" cy="2559050"/>
                    </a:xfrm>
                    <a:prstGeom prst="rect">
                      <a:avLst/>
                    </a:prstGeom>
                    <a:noFill/>
                    <a:ln>
                      <a:noFill/>
                    </a:ln>
                  </pic:spPr>
                </pic:pic>
              </a:graphicData>
            </a:graphic>
          </wp:inline>
        </w:drawing>
      </w:r>
    </w:p>
    <w:p w14:paraId="6A7866EC">
      <w:pPr>
        <w:pStyle w:val="15"/>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9</w:t>
      </w:r>
      <w:r>
        <w:rPr>
          <w:highlight w:val="none"/>
        </w:rPr>
        <w:fldChar w:fldCharType="end"/>
      </w:r>
      <w:r>
        <w:rPr>
          <w:rFonts w:hint="eastAsia"/>
          <w:highlight w:val="none"/>
          <w:lang w:val="en-US" w:eastAsia="zh-CN"/>
        </w:rPr>
        <w:t>特殊节整体吊装示意图</w:t>
      </w:r>
    </w:p>
    <w:p w14:paraId="04F6944F">
      <w:pPr>
        <w:keepNext w:val="0"/>
        <w:keepLines w:val="0"/>
        <w:widowControl/>
        <w:suppressLineNumbers w:val="0"/>
        <w:ind w:firstLine="420" w:firstLineChars="0"/>
        <w:jc w:val="left"/>
        <w:rPr>
          <w:rFonts w:hint="eastAsia" w:ascii="宋体" w:hAnsi="宋体" w:eastAsia="宋体" w:cs="宋体"/>
          <w:szCs w:val="21"/>
          <w:highlight w:val="none"/>
          <w:lang w:val="en-US" w:eastAsia="zh-CN"/>
        </w:rPr>
      </w:pPr>
      <w:r>
        <w:rPr>
          <w:rFonts w:hint="eastAsia" w:cs="宋体"/>
          <w:szCs w:val="21"/>
          <w:highlight w:val="none"/>
          <w:lang w:val="en-US" w:eastAsia="zh-CN"/>
        </w:rPr>
        <w:t>采用吊机</w:t>
      </w:r>
      <w:r>
        <w:rPr>
          <w:rFonts w:hint="eastAsia" w:ascii="宋体" w:hAnsi="宋体" w:eastAsia="宋体" w:cs="宋体"/>
          <w:szCs w:val="21"/>
          <w:highlight w:val="none"/>
        </w:rPr>
        <w:t>配合人工</w:t>
      </w:r>
      <w:r>
        <w:rPr>
          <w:rFonts w:hint="eastAsia" w:ascii="宋体" w:hAnsi="宋体" w:eastAsia="宋体" w:cs="宋体"/>
          <w:szCs w:val="21"/>
          <w:highlight w:val="none"/>
          <w:lang w:val="en-US" w:eastAsia="zh-CN"/>
        </w:rPr>
        <w:t>在地面上</w:t>
      </w:r>
      <w:r>
        <w:rPr>
          <w:rFonts w:hint="eastAsia" w:cs="宋体"/>
          <w:szCs w:val="21"/>
          <w:highlight w:val="none"/>
          <w:lang w:val="en-US" w:eastAsia="zh-CN"/>
        </w:rPr>
        <w:t xml:space="preserve"> </w:t>
      </w:r>
      <w:r>
        <w:rPr>
          <w:rFonts w:hint="eastAsia" w:ascii="宋体" w:hAnsi="宋体" w:eastAsia="宋体" w:cs="宋体"/>
          <w:szCs w:val="21"/>
          <w:highlight w:val="none"/>
          <w:lang w:val="en-US" w:eastAsia="zh-CN"/>
        </w:rPr>
        <w:t>，先将</w:t>
      </w:r>
      <w:r>
        <w:rPr>
          <w:rFonts w:hint="eastAsia" w:ascii="宋体" w:hAnsi="宋体" w:eastAsia="宋体" w:cs="宋体"/>
          <w:color w:val="000000"/>
          <w:kern w:val="0"/>
          <w:sz w:val="24"/>
          <w:szCs w:val="24"/>
          <w:lang w:val="en-US" w:eastAsia="zh-CN" w:bidi="ar"/>
        </w:rPr>
        <w:t>下支座、回转支承、上支座、回转机构及司机室</w:t>
      </w:r>
      <w:r>
        <w:rPr>
          <w:rFonts w:hint="eastAsia" w:ascii="宋体" w:hAnsi="宋体" w:eastAsia="宋体" w:cs="宋体"/>
          <w:szCs w:val="21"/>
          <w:highlight w:val="none"/>
          <w:lang w:val="en-US" w:eastAsia="zh-CN"/>
        </w:rPr>
        <w:t>等装为一体</w:t>
      </w:r>
      <w:r>
        <w:rPr>
          <w:rFonts w:hint="eastAsia" w:cs="宋体"/>
          <w:szCs w:val="21"/>
          <w:highlight w:val="none"/>
          <w:lang w:val="en-US" w:eastAsia="zh-CN"/>
        </w:rPr>
        <w:t>，</w:t>
      </w:r>
      <w:r>
        <w:rPr>
          <w:rFonts w:hint="eastAsia" w:ascii="宋体" w:hAnsi="宋体" w:eastAsia="宋体" w:cs="宋体"/>
          <w:color w:val="000000"/>
          <w:kern w:val="0"/>
          <w:sz w:val="24"/>
          <w:szCs w:val="24"/>
          <w:lang w:val="en-US" w:eastAsia="zh-CN" w:bidi="ar"/>
        </w:rPr>
        <w:t>同时检查回转支承上的高强螺栓的预紧力矩是否达</w:t>
      </w:r>
      <w:r>
        <w:rPr>
          <w:rFonts w:hint="eastAsia" w:ascii="Times New Roman" w:hAnsi="Times New Roman" w:eastAsia="宋体" w:cs="Times New Roman"/>
          <w:color w:val="000000"/>
          <w:kern w:val="0"/>
          <w:sz w:val="24"/>
          <w:szCs w:val="24"/>
          <w:lang w:val="en-US" w:eastAsia="zh-CN" w:bidi="ar"/>
        </w:rPr>
        <w:t>1350</w:t>
      </w:r>
      <w:r>
        <w:rPr>
          <w:rFonts w:hint="default" w:ascii="Times New Roman" w:hAnsi="Times New Roman" w:eastAsia="宋体" w:cs="Times New Roman"/>
          <w:color w:val="000000"/>
          <w:kern w:val="0"/>
          <w:sz w:val="24"/>
          <w:szCs w:val="24"/>
          <w:lang w:val="en-US" w:eastAsia="zh-CN" w:bidi="ar"/>
        </w:rPr>
        <w:t>N·m</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且防松螺母的预紧力矩稍大于</w:t>
      </w:r>
      <w:r>
        <w:rPr>
          <w:rFonts w:hint="default" w:ascii="Times New Roman" w:hAnsi="Times New Roman" w:eastAsia="宋体" w:cs="Times New Roman"/>
          <w:color w:val="000000"/>
          <w:kern w:val="0"/>
          <w:sz w:val="24"/>
          <w:szCs w:val="24"/>
          <w:lang w:val="en-US" w:eastAsia="zh-CN" w:bidi="ar"/>
        </w:rPr>
        <w:t>1350N·m</w:t>
      </w:r>
      <w:r>
        <w:rPr>
          <w:rFonts w:hint="eastAsia" w:ascii="宋体" w:hAnsi="宋体" w:eastAsia="宋体" w:cs="宋体"/>
          <w:szCs w:val="21"/>
          <w:highlight w:val="none"/>
          <w:lang w:val="en-US" w:eastAsia="zh-CN"/>
        </w:rPr>
        <w:t>，</w:t>
      </w:r>
      <w:r>
        <w:rPr>
          <w:rFonts w:hint="eastAsia" w:cs="宋体"/>
          <w:szCs w:val="21"/>
          <w:highlight w:val="none"/>
          <w:lang w:val="en-US" w:eastAsia="zh-CN"/>
        </w:rPr>
        <w:t>然后</w:t>
      </w:r>
      <w:r>
        <w:rPr>
          <w:rFonts w:hint="eastAsia" w:ascii="宋体" w:hAnsi="宋体" w:eastAsia="宋体" w:cs="宋体"/>
          <w:szCs w:val="21"/>
          <w:highlight w:val="none"/>
          <w:lang w:val="en-US" w:eastAsia="zh-CN"/>
        </w:rPr>
        <w:t>安装到特殊节上。</w:t>
      </w:r>
    </w:p>
    <w:p w14:paraId="3D948623">
      <w:pPr>
        <w:pStyle w:val="15"/>
        <w:bidi w:val="0"/>
      </w:pPr>
      <w:r>
        <w:drawing>
          <wp:inline distT="0" distB="0" distL="114300" distR="114300">
            <wp:extent cx="2028190" cy="3241675"/>
            <wp:effectExtent l="0" t="0" r="10160" b="15875"/>
            <wp:docPr id="19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36"/>
                    <pic:cNvPicPr>
                      <a:picLocks noChangeAspect="1"/>
                    </pic:cNvPicPr>
                  </pic:nvPicPr>
                  <pic:blipFill>
                    <a:blip r:embed="rId34"/>
                    <a:stretch>
                      <a:fillRect/>
                    </a:stretch>
                  </pic:blipFill>
                  <pic:spPr>
                    <a:xfrm>
                      <a:off x="0" y="0"/>
                      <a:ext cx="2028190" cy="3241675"/>
                    </a:xfrm>
                    <a:prstGeom prst="rect">
                      <a:avLst/>
                    </a:prstGeom>
                    <a:noFill/>
                    <a:ln>
                      <a:noFill/>
                    </a:ln>
                  </pic:spPr>
                </pic:pic>
              </a:graphicData>
            </a:graphic>
          </wp:inline>
        </w:drawing>
      </w:r>
    </w:p>
    <w:p w14:paraId="0C73755B">
      <w:pPr>
        <w:pStyle w:val="15"/>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10</w:t>
      </w:r>
      <w:r>
        <w:rPr>
          <w:highlight w:val="none"/>
        </w:rPr>
        <w:fldChar w:fldCharType="end"/>
      </w:r>
      <w:r>
        <w:rPr>
          <w:rFonts w:hint="eastAsia"/>
          <w:highlight w:val="none"/>
          <w:lang w:val="en-US" w:eastAsia="zh-CN"/>
        </w:rPr>
        <w:t xml:space="preserve"> 回转总成吊装示意图</w:t>
      </w:r>
    </w:p>
    <w:p w14:paraId="68DC4224">
      <w:pPr>
        <w:pStyle w:val="5"/>
        <w:bidi w:val="0"/>
        <w:rPr>
          <w:rFonts w:hint="default"/>
          <w:highlight w:val="none"/>
          <w:lang w:val="en-US" w:eastAsia="zh-CN"/>
        </w:rPr>
      </w:pPr>
      <w:r>
        <w:rPr>
          <w:rFonts w:hint="eastAsia"/>
          <w:highlight w:val="none"/>
          <w:lang w:val="en-US" w:eastAsia="zh-CN"/>
        </w:rPr>
        <w:t>4.4.3.6安装臂根节</w:t>
      </w:r>
    </w:p>
    <w:p w14:paraId="60E63DB3">
      <w:pPr>
        <w:ind w:firstLine="480"/>
        <w:rPr>
          <w:highlight w:val="green"/>
        </w:rPr>
      </w:pPr>
      <w:r>
        <w:rPr>
          <w:rFonts w:hint="eastAsia"/>
          <w:highlight w:val="none"/>
        </w:rPr>
        <w:t>采用吊机配合人工在地面上将臂根节拼装完成，臂根节吊装采用四点吊，以臂根节顶部四个销轴孔作为吊装孔，采用4根</w:t>
      </w:r>
      <w:r>
        <w:rPr>
          <w:rFonts w:hint="eastAsia"/>
          <w:highlight w:val="none"/>
          <w:lang w:eastAsia="zh-CN"/>
        </w:rPr>
        <w:t>24mm6×19W+IWR1870Mpa</w:t>
      </w:r>
      <w:r>
        <w:rPr>
          <w:rFonts w:hint="eastAsia"/>
          <w:highlight w:val="none"/>
        </w:rPr>
        <w:t>的钢丝绳配套</w:t>
      </w:r>
      <w:r>
        <w:rPr>
          <w:highlight w:val="none"/>
        </w:rPr>
        <w:t>GB/T 25854-6-DW</w:t>
      </w:r>
      <w:r>
        <w:rPr>
          <w:rFonts w:hint="eastAsia"/>
          <w:highlight w:val="none"/>
          <w:lang w:val="en-US" w:eastAsia="zh-CN"/>
        </w:rPr>
        <w:t>10</w:t>
      </w:r>
      <w:r>
        <w:rPr>
          <w:rFonts w:hint="eastAsia"/>
          <w:highlight w:val="none"/>
        </w:rPr>
        <w:t>卸扣进行吊装</w:t>
      </w:r>
      <w:r>
        <w:rPr>
          <w:rFonts w:hint="eastAsia"/>
        </w:rPr>
        <w:t>。</w:t>
      </w:r>
    </w:p>
    <w:p w14:paraId="757E6458">
      <w:pPr>
        <w:ind w:firstLine="480"/>
      </w:pPr>
      <w:r>
        <w:rPr>
          <w:rFonts w:hint="eastAsia"/>
        </w:rPr>
        <w:t>作业人员在地面上先将钢丝绳一端挂在吊机吊钩，另一端与卸扣连接，卸扣与吊装孔连接，并在臂根节上栓好2根溜绳。启动吊机，将臂根节缓慢提升，用溜绳控制其摆动。起吊臂根节至回转总成上方，吊机缓慢落钩，直至回转总成上支座销轴孔与臂根节销轴孔对齐，将安全带系挂在臂根节顶部的横杆上，插入臂根节与回转总成上支座的连接销轴，完成回转总成与臂根节的连接。臂根节的安装示意图如下：</w:t>
      </w:r>
    </w:p>
    <w:p w14:paraId="6ED01F16">
      <w:pPr>
        <w:rPr>
          <w:highlight w:val="none"/>
        </w:rPr>
      </w:pPr>
    </w:p>
    <w:p w14:paraId="301B868F">
      <w:pPr>
        <w:bidi w:val="0"/>
        <w:ind w:left="0" w:leftChars="0" w:firstLine="0" w:firstLineChars="0"/>
        <w:jc w:val="center"/>
        <w:rPr>
          <w:highlight w:val="none"/>
        </w:rPr>
      </w:pPr>
      <w:r>
        <w:drawing>
          <wp:inline distT="0" distB="0" distL="114300" distR="114300">
            <wp:extent cx="3117850" cy="2804160"/>
            <wp:effectExtent l="0" t="0" r="6350" b="15240"/>
            <wp:docPr id="1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8"/>
                    <pic:cNvPicPr>
                      <a:picLocks noChangeAspect="1"/>
                    </pic:cNvPicPr>
                  </pic:nvPicPr>
                  <pic:blipFill>
                    <a:blip r:embed="rId35"/>
                    <a:stretch>
                      <a:fillRect/>
                    </a:stretch>
                  </pic:blipFill>
                  <pic:spPr>
                    <a:xfrm>
                      <a:off x="0" y="0"/>
                      <a:ext cx="3117850" cy="2804160"/>
                    </a:xfrm>
                    <a:prstGeom prst="rect">
                      <a:avLst/>
                    </a:prstGeom>
                    <a:noFill/>
                    <a:ln>
                      <a:noFill/>
                    </a:ln>
                  </pic:spPr>
                </pic:pic>
              </a:graphicData>
            </a:graphic>
          </wp:inline>
        </w:drawing>
      </w:r>
      <w:r>
        <w:drawing>
          <wp:inline distT="0" distB="0" distL="114300" distR="114300">
            <wp:extent cx="1523365" cy="2196465"/>
            <wp:effectExtent l="0" t="0" r="635" b="13335"/>
            <wp:docPr id="1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35"/>
                    <pic:cNvPicPr>
                      <a:picLocks noChangeAspect="1"/>
                    </pic:cNvPicPr>
                  </pic:nvPicPr>
                  <pic:blipFill>
                    <a:blip r:embed="rId36"/>
                    <a:stretch>
                      <a:fillRect/>
                    </a:stretch>
                  </pic:blipFill>
                  <pic:spPr>
                    <a:xfrm>
                      <a:off x="0" y="0"/>
                      <a:ext cx="1523365" cy="2196465"/>
                    </a:xfrm>
                    <a:prstGeom prst="rect">
                      <a:avLst/>
                    </a:prstGeom>
                    <a:noFill/>
                    <a:ln>
                      <a:noFill/>
                    </a:ln>
                  </pic:spPr>
                </pic:pic>
              </a:graphicData>
            </a:graphic>
          </wp:inline>
        </w:drawing>
      </w:r>
    </w:p>
    <w:p w14:paraId="6C7A4381">
      <w:pPr>
        <w:pStyle w:val="15"/>
        <w:bidi w:val="0"/>
        <w:rPr>
          <w:rFonts w:hint="default" w:ascii="Times New Roman" w:hAnsi="Times New Roman" w:cs="Times New Roman"/>
          <w:highlight w:val="none"/>
          <w:lang w:val="en-US" w:eastAsia="zh-CN"/>
        </w:rPr>
      </w:pPr>
      <w:r>
        <w:rPr>
          <w:rFonts w:ascii="Times New Roman" w:hAnsi="Times New Roman" w:cs="Times New Roman"/>
          <w:highlight w:val="none"/>
        </w:rPr>
        <w:t>图4-</w:t>
      </w:r>
      <w:r>
        <w:rPr>
          <w:rFonts w:ascii="Times New Roman" w:hAnsi="Times New Roman" w:cs="Times New Roman"/>
          <w:highlight w:val="none"/>
        </w:rPr>
        <w:fldChar w:fldCharType="begin"/>
      </w:r>
      <w:r>
        <w:rPr>
          <w:rFonts w:ascii="Times New Roman" w:hAnsi="Times New Roman" w:cs="Times New Roman"/>
          <w:highlight w:val="none"/>
        </w:rPr>
        <w:instrText xml:space="preserve"> SEQ 图4- \* ARABIC </w:instrText>
      </w:r>
      <w:r>
        <w:rPr>
          <w:rFonts w:ascii="Times New Roman" w:hAnsi="Times New Roman" w:cs="Times New Roman"/>
          <w:highlight w:val="none"/>
        </w:rPr>
        <w:fldChar w:fldCharType="separate"/>
      </w:r>
      <w:r>
        <w:rPr>
          <w:rFonts w:ascii="Times New Roman" w:hAnsi="Times New Roman" w:cs="Times New Roman"/>
          <w:highlight w:val="none"/>
        </w:rPr>
        <w:t>11</w:t>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 xml:space="preserve"> 安装臂根节吊装示意图</w:t>
      </w:r>
    </w:p>
    <w:p w14:paraId="7587E44A">
      <w:pPr>
        <w:pStyle w:val="5"/>
        <w:bidi w:val="0"/>
        <w:rPr>
          <w:rFonts w:hint="eastAsia" w:cstheme="majorBidi"/>
          <w:b/>
          <w:bCs/>
          <w:color w:val="000000" w:themeColor="text1"/>
          <w:kern w:val="2"/>
          <w:sz w:val="24"/>
          <w:szCs w:val="28"/>
          <w:highlight w:val="none"/>
          <w:lang w:val="en-US" w:eastAsia="zh-CN" w:bidi="ar-SA"/>
          <w14:textFill>
            <w14:solidFill>
              <w14:schemeClr w14:val="tx1"/>
            </w14:solidFill>
          </w14:textFill>
        </w:rPr>
      </w:pPr>
      <w:bookmarkStart w:id="180" w:name="_Toc25574"/>
      <w:bookmarkStart w:id="181" w:name="_Toc11593"/>
      <w:r>
        <w:rPr>
          <w:rFonts w:hint="eastAsia" w:cstheme="majorBidi"/>
          <w:b/>
          <w:bCs/>
          <w:color w:val="000000" w:themeColor="text1"/>
          <w:kern w:val="2"/>
          <w:sz w:val="24"/>
          <w:szCs w:val="28"/>
          <w:highlight w:val="none"/>
          <w:lang w:val="en-US" w:eastAsia="zh-CN" w:bidi="ar-SA"/>
          <w14:textFill>
            <w14:solidFill>
              <w14:schemeClr w14:val="tx1"/>
            </w14:solidFill>
          </w14:textFill>
        </w:rPr>
        <w:t>4.4.3.7安装平衡臂和平衡臂拉杆</w:t>
      </w:r>
    </w:p>
    <w:p w14:paraId="4A60CCAC">
      <w:pPr>
        <w:ind w:firstLine="420" w:firstLineChars="0"/>
        <w:rPr>
          <w:rFonts w:ascii="宋体" w:hAnsi="宋体" w:eastAsia="宋体" w:cs="宋体"/>
          <w:szCs w:val="21"/>
          <w:highlight w:val="none"/>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采用</w:t>
      </w:r>
      <w:r>
        <w:rPr>
          <w:rFonts w:hint="eastAsia" w:ascii="宋体" w:hAnsi="宋体" w:eastAsia="宋体" w:cs="宋体"/>
          <w:szCs w:val="21"/>
          <w:highlight w:val="none"/>
          <w:lang w:eastAsia="zh-CN"/>
        </w:rPr>
        <w:t>吊机</w:t>
      </w:r>
      <w:r>
        <w:rPr>
          <w:rFonts w:hint="eastAsia" w:ascii="宋体" w:hAnsi="宋体" w:eastAsia="宋体" w:cs="宋体"/>
          <w:szCs w:val="21"/>
          <w:highlight w:val="none"/>
        </w:rPr>
        <w:t>配合人工在地面上</w:t>
      </w:r>
      <w:r>
        <w:rPr>
          <w:rFonts w:hint="eastAsia"/>
          <w:highlight w:val="none"/>
          <w:lang w:val="en-US" w:eastAsia="zh-CN"/>
        </w:rPr>
        <w:t>将平衡臂组装好（含走台及栏杆），</w:t>
      </w:r>
      <w:r>
        <w:rPr>
          <w:rFonts w:hint="eastAsia" w:ascii="Times New Roman" w:hAnsi="Times New Roman" w:eastAsia="宋体" w:cs="Times New Roman"/>
          <w:szCs w:val="21"/>
          <w:highlight w:val="none"/>
        </w:rPr>
        <w:t>吊装采用四点吊，以</w:t>
      </w:r>
      <w:r>
        <w:rPr>
          <w:rFonts w:hint="eastAsia"/>
          <w:highlight w:val="none"/>
          <w:lang w:val="en-US" w:eastAsia="zh-CN"/>
        </w:rPr>
        <w:t>平衡臂臂节3</w:t>
      </w:r>
      <w:r>
        <w:rPr>
          <w:rFonts w:hint="eastAsia" w:ascii="Times New Roman" w:hAnsi="Times New Roman" w:eastAsia="宋体" w:cs="Times New Roman"/>
          <w:szCs w:val="21"/>
          <w:highlight w:val="none"/>
        </w:rPr>
        <w:t>上弦杆吊耳作为吊装孔，采用4根</w:t>
      </w:r>
      <w:r>
        <w:rPr>
          <w:rFonts w:hint="eastAsia" w:cs="Times New Roman"/>
          <w:szCs w:val="21"/>
          <w:highlight w:val="none"/>
          <w:lang w:val="en-US" w:eastAsia="zh-CN"/>
        </w:rPr>
        <w:t>24mm6×19W+IWR1870Mpa</w:t>
      </w:r>
      <w:r>
        <w:rPr>
          <w:rFonts w:hint="eastAsia" w:ascii="Times New Roman" w:hAnsi="Times New Roman" w:eastAsia="宋体" w:cs="Times New Roman"/>
          <w:szCs w:val="21"/>
          <w:highlight w:val="none"/>
        </w:rPr>
        <w:t>的钢丝绳配套</w:t>
      </w:r>
      <w:r>
        <w:rPr>
          <w:rFonts w:hint="eastAsia" w:ascii="Times New Roman" w:hAnsi="Times New Roman" w:cs="Times New Roman"/>
          <w:szCs w:val="21"/>
          <w:highlight w:val="none"/>
          <w:lang w:eastAsia="zh-CN"/>
        </w:rPr>
        <w:t>GB/T 25854-6-DW10</w:t>
      </w:r>
      <w:r>
        <w:rPr>
          <w:rFonts w:hint="eastAsia" w:ascii="Times New Roman" w:hAnsi="Times New Roman" w:eastAsia="宋体" w:cs="Times New Roman"/>
          <w:szCs w:val="21"/>
          <w:highlight w:val="none"/>
        </w:rPr>
        <w:t>卸扣进行吊装。</w:t>
      </w:r>
    </w:p>
    <w:p w14:paraId="0F298786">
      <w:pPr>
        <w:widowControl w:val="0"/>
        <w:adjustRightInd/>
        <w:snapToGrid/>
        <w:ind w:firstLine="480"/>
        <w:rPr>
          <w:rFonts w:hint="eastAsia"/>
          <w:highlight w:val="none"/>
          <w:lang w:val="en-US" w:eastAsia="zh-CN"/>
        </w:rPr>
      </w:pPr>
      <w:r>
        <w:rPr>
          <w:rFonts w:hint="eastAsia" w:cs="Times New Roman"/>
          <w:szCs w:val="21"/>
          <w:highlight w:val="none"/>
          <w:lang w:eastAsia="zh-CN"/>
        </w:rPr>
        <w:t>（</w:t>
      </w:r>
      <w:r>
        <w:rPr>
          <w:rFonts w:hint="eastAsia" w:cs="Times New Roman"/>
          <w:szCs w:val="21"/>
          <w:highlight w:val="none"/>
          <w:lang w:val="en-US" w:eastAsia="zh-CN"/>
        </w:rPr>
        <w:t>2</w:t>
      </w:r>
      <w:r>
        <w:rPr>
          <w:rFonts w:hint="eastAsia" w:cs="Times New Roman"/>
          <w:szCs w:val="21"/>
          <w:highlight w:val="none"/>
          <w:lang w:eastAsia="zh-CN"/>
        </w:rPr>
        <w:t>）</w:t>
      </w:r>
      <w:r>
        <w:rPr>
          <w:rFonts w:hint="eastAsia" w:ascii="Times New Roman" w:hAnsi="Times New Roman" w:eastAsia="宋体" w:cs="Times New Roman"/>
          <w:szCs w:val="21"/>
          <w:highlight w:val="none"/>
        </w:rPr>
        <w:t>作业人员在地面上先将钢丝绳一端挂在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吊钩，另一端与卸扣连接，卸扣与吊装孔连接，并在</w:t>
      </w:r>
      <w:r>
        <w:rPr>
          <w:rFonts w:hint="eastAsia"/>
          <w:highlight w:val="none"/>
          <w:lang w:val="en-US" w:eastAsia="zh-CN"/>
        </w:rPr>
        <w:t>平衡臂臂节3</w:t>
      </w:r>
      <w:r>
        <w:rPr>
          <w:rFonts w:hint="eastAsia" w:ascii="Times New Roman" w:hAnsi="Times New Roman" w:eastAsia="宋体" w:cs="Times New Roman"/>
          <w:szCs w:val="21"/>
          <w:highlight w:val="none"/>
        </w:rPr>
        <w:t>上栓好2根溜绳。启动</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，将</w:t>
      </w:r>
      <w:r>
        <w:rPr>
          <w:rFonts w:hint="eastAsia"/>
          <w:highlight w:val="none"/>
          <w:lang w:val="en-US" w:eastAsia="zh-CN"/>
        </w:rPr>
        <w:t>平衡臂</w:t>
      </w:r>
      <w:r>
        <w:rPr>
          <w:rFonts w:hint="eastAsia" w:ascii="Times New Roman" w:hAnsi="Times New Roman" w:eastAsia="宋体" w:cs="Times New Roman"/>
          <w:szCs w:val="21"/>
          <w:highlight w:val="none"/>
        </w:rPr>
        <w:t>缓慢提升，用溜绳控制其摆动。起吊</w:t>
      </w:r>
      <w:r>
        <w:rPr>
          <w:rFonts w:hint="eastAsia"/>
          <w:highlight w:val="none"/>
          <w:lang w:val="en-US" w:eastAsia="zh-CN"/>
        </w:rPr>
        <w:t>平衡臂臂节3</w:t>
      </w:r>
      <w:r>
        <w:rPr>
          <w:rFonts w:hint="eastAsia" w:ascii="Times New Roman" w:hAnsi="Times New Roman" w:eastAsia="宋体" w:cs="Times New Roman"/>
          <w:szCs w:val="21"/>
          <w:highlight w:val="none"/>
        </w:rPr>
        <w:t>至</w:t>
      </w:r>
      <w:r>
        <w:rPr>
          <w:rFonts w:hint="eastAsia"/>
          <w:highlight w:val="none"/>
          <w:lang w:val="en-US" w:eastAsia="zh-CN"/>
        </w:rPr>
        <w:t>平衡臂臂节1</w:t>
      </w:r>
      <w:r>
        <w:rPr>
          <w:rFonts w:hint="eastAsia" w:ascii="Times New Roman" w:hAnsi="Times New Roman" w:eastAsia="宋体" w:cs="Times New Roman"/>
          <w:szCs w:val="21"/>
          <w:highlight w:val="none"/>
        </w:rPr>
        <w:t>上</w:t>
      </w:r>
      <w:r>
        <w:rPr>
          <w:rFonts w:hint="eastAsia" w:cs="Times New Roman"/>
          <w:szCs w:val="21"/>
          <w:highlight w:val="none"/>
          <w:lang w:val="en-US" w:eastAsia="zh-CN"/>
        </w:rPr>
        <w:t>后</w:t>
      </w:r>
      <w:r>
        <w:rPr>
          <w:rFonts w:hint="eastAsia" w:ascii="Times New Roman" w:hAnsi="Times New Roman" w:eastAsia="宋体" w:cs="Times New Roman"/>
          <w:szCs w:val="21"/>
          <w:highlight w:val="none"/>
        </w:rPr>
        <w:t>方，</w:t>
      </w:r>
      <w:r>
        <w:rPr>
          <w:rFonts w:hint="eastAsia" w:eastAsia="宋体" w:cs="Times New Roman"/>
          <w:szCs w:val="21"/>
          <w:highlight w:val="none"/>
          <w:lang w:eastAsia="zh-CN"/>
        </w:rPr>
        <w:t>将组装好的平衡臂</w:t>
      </w:r>
      <w:r>
        <w:rPr>
          <w:rFonts w:hint="eastAsia" w:eastAsia="宋体" w:cs="Times New Roman"/>
          <w:szCs w:val="21"/>
          <w:highlight w:val="none"/>
          <w:lang w:val="en-US" w:eastAsia="zh-CN"/>
        </w:rPr>
        <w:t>臂节3</w:t>
      </w:r>
      <w:r>
        <w:rPr>
          <w:rFonts w:hint="eastAsia" w:eastAsia="宋体" w:cs="Times New Roman"/>
          <w:szCs w:val="21"/>
          <w:highlight w:val="none"/>
          <w:lang w:eastAsia="zh-CN"/>
        </w:rPr>
        <w:t>吊起，对接</w:t>
      </w:r>
      <w:r>
        <w:rPr>
          <w:rFonts w:hint="eastAsia"/>
          <w:highlight w:val="none"/>
          <w:lang w:val="en-US" w:eastAsia="zh-CN"/>
        </w:rPr>
        <w:t>平衡臂臂节1</w:t>
      </w:r>
      <w:r>
        <w:rPr>
          <w:rFonts w:hint="eastAsia" w:eastAsia="宋体" w:cs="Times New Roman"/>
          <w:szCs w:val="21"/>
          <w:highlight w:val="none"/>
          <w:lang w:eastAsia="zh-CN"/>
        </w:rPr>
        <w:t>连接耳板，插入销轴、及R形销，缓慢放下。将平衡臂</w:t>
      </w:r>
      <w:r>
        <w:rPr>
          <w:rFonts w:hint="eastAsia" w:eastAsia="宋体" w:cs="Times New Roman"/>
          <w:szCs w:val="21"/>
          <w:highlight w:val="none"/>
          <w:lang w:val="en-US" w:eastAsia="zh-CN"/>
        </w:rPr>
        <w:t>臂节3</w:t>
      </w:r>
      <w:r>
        <w:rPr>
          <w:rFonts w:hint="eastAsia" w:eastAsia="宋体" w:cs="Times New Roman"/>
          <w:szCs w:val="21"/>
          <w:highlight w:val="none"/>
          <w:lang w:eastAsia="zh-CN"/>
        </w:rPr>
        <w:t>放置一定程度，把安装在</w:t>
      </w:r>
      <w:r>
        <w:rPr>
          <w:rFonts w:hint="eastAsia"/>
          <w:highlight w:val="none"/>
          <w:lang w:val="en-US" w:eastAsia="zh-CN"/>
        </w:rPr>
        <w:t>平衡臂臂节1</w:t>
      </w:r>
      <w:r>
        <w:rPr>
          <w:rFonts w:hint="eastAsia" w:eastAsia="宋体" w:cs="Times New Roman"/>
          <w:szCs w:val="21"/>
          <w:highlight w:val="none"/>
          <w:lang w:eastAsia="zh-CN"/>
        </w:rPr>
        <w:t>的短拉杆和平衡臂</w:t>
      </w:r>
      <w:r>
        <w:rPr>
          <w:rFonts w:hint="eastAsia" w:eastAsia="宋体" w:cs="Times New Roman"/>
          <w:szCs w:val="21"/>
          <w:highlight w:val="none"/>
          <w:lang w:val="en-US" w:eastAsia="zh-CN"/>
        </w:rPr>
        <w:t>臂节3</w:t>
      </w:r>
      <w:r>
        <w:rPr>
          <w:rFonts w:hint="eastAsia" w:eastAsia="宋体" w:cs="Times New Roman"/>
          <w:szCs w:val="21"/>
          <w:highlight w:val="none"/>
          <w:lang w:eastAsia="zh-CN"/>
        </w:rPr>
        <w:t>上的长拉杆对接好后，插入销轴及开口销缓慢放下，直到拉绷紧，平衡水平。</w:t>
      </w:r>
      <w:r>
        <w:rPr>
          <w:rFonts w:hint="eastAsia" w:cs="Times New Roman"/>
          <w:szCs w:val="21"/>
          <w:highlight w:val="none"/>
          <w:lang w:val="en-US" w:eastAsia="zh-CN"/>
        </w:rPr>
        <w:t>安装示意图如下：</w:t>
      </w:r>
    </w:p>
    <w:p w14:paraId="3BF84136">
      <w:pPr>
        <w:jc w:val="center"/>
        <w:rPr>
          <w:highlight w:val="none"/>
        </w:rPr>
      </w:pPr>
      <w:r>
        <w:drawing>
          <wp:inline distT="0" distB="0" distL="114300" distR="114300">
            <wp:extent cx="3632200" cy="2905125"/>
            <wp:effectExtent l="0" t="0" r="6350" b="9525"/>
            <wp:docPr id="1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1"/>
                    <pic:cNvPicPr>
                      <a:picLocks noChangeAspect="1"/>
                    </pic:cNvPicPr>
                  </pic:nvPicPr>
                  <pic:blipFill>
                    <a:blip r:embed="rId37"/>
                    <a:stretch>
                      <a:fillRect/>
                    </a:stretch>
                  </pic:blipFill>
                  <pic:spPr>
                    <a:xfrm>
                      <a:off x="0" y="0"/>
                      <a:ext cx="3632200" cy="2905125"/>
                    </a:xfrm>
                    <a:prstGeom prst="rect">
                      <a:avLst/>
                    </a:prstGeom>
                    <a:noFill/>
                    <a:ln>
                      <a:noFill/>
                    </a:ln>
                  </pic:spPr>
                </pic:pic>
              </a:graphicData>
            </a:graphic>
          </wp:inline>
        </w:drawing>
      </w:r>
      <w:r>
        <w:drawing>
          <wp:inline distT="0" distB="0" distL="114300" distR="114300">
            <wp:extent cx="3829050" cy="3409950"/>
            <wp:effectExtent l="0" t="0" r="0" b="0"/>
            <wp:docPr id="1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4"/>
                    <pic:cNvPicPr>
                      <a:picLocks noChangeAspect="1"/>
                    </pic:cNvPicPr>
                  </pic:nvPicPr>
                  <pic:blipFill>
                    <a:blip r:embed="rId38"/>
                    <a:stretch>
                      <a:fillRect/>
                    </a:stretch>
                  </pic:blipFill>
                  <pic:spPr>
                    <a:xfrm>
                      <a:off x="0" y="0"/>
                      <a:ext cx="3829050" cy="3409950"/>
                    </a:xfrm>
                    <a:prstGeom prst="rect">
                      <a:avLst/>
                    </a:prstGeom>
                    <a:noFill/>
                    <a:ln>
                      <a:noFill/>
                    </a:ln>
                  </pic:spPr>
                </pic:pic>
              </a:graphicData>
            </a:graphic>
          </wp:inline>
        </w:drawing>
      </w:r>
    </w:p>
    <w:p w14:paraId="698AE032">
      <w:pPr>
        <w:pStyle w:val="15"/>
        <w:bidi w:val="0"/>
        <w:rPr>
          <w:highlight w:val="none"/>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12</w:t>
      </w:r>
      <w:r>
        <w:rPr>
          <w:highlight w:val="none"/>
        </w:rPr>
        <w:fldChar w:fldCharType="end"/>
      </w:r>
      <w:r>
        <w:rPr>
          <w:rFonts w:hint="eastAsia"/>
          <w:highlight w:val="none"/>
          <w:lang w:val="en-US" w:eastAsia="zh-CN"/>
        </w:rPr>
        <w:t>安装平衡臂和平衡臂拉杆</w:t>
      </w:r>
    </w:p>
    <w:p w14:paraId="211B457D">
      <w:pPr>
        <w:widowControl w:val="0"/>
        <w:adjustRightInd/>
        <w:snapToGrid/>
        <w:ind w:firstLine="480"/>
        <w:rPr>
          <w:rFonts w:ascii="Times New Roman" w:hAnsi="Times New Roman" w:eastAsia="宋体" w:cs="Times New Roman"/>
          <w:szCs w:val="21"/>
          <w:highlight w:val="none"/>
        </w:rPr>
      </w:pPr>
      <w:r>
        <w:rPr>
          <w:rFonts w:hint="eastAsia" w:ascii="宋体" w:hAnsi="宋体" w:eastAsia="宋体" w:cs="宋体"/>
          <w:szCs w:val="21"/>
          <w:highlight w:val="none"/>
        </w:rPr>
        <w:t>（</w:t>
      </w:r>
      <w:r>
        <w:rPr>
          <w:rFonts w:hint="eastAsia" w:ascii="宋体" w:hAnsi="宋体" w:cs="宋体"/>
          <w:szCs w:val="21"/>
          <w:highlight w:val="none"/>
          <w:lang w:val="en-US" w:eastAsia="zh-CN"/>
        </w:rPr>
        <w:t>3</w:t>
      </w:r>
      <w:r>
        <w:rPr>
          <w:rFonts w:hint="eastAsia" w:ascii="宋体" w:hAnsi="宋体" w:eastAsia="宋体" w:cs="宋体"/>
          <w:szCs w:val="21"/>
          <w:highlight w:val="none"/>
        </w:rPr>
        <w:t>）</w:t>
      </w:r>
      <w:r>
        <w:rPr>
          <w:rFonts w:hint="eastAsia" w:ascii="Times New Roman" w:hAnsi="Times New Roman" w:eastAsia="宋体" w:cs="Times New Roman"/>
          <w:szCs w:val="21"/>
          <w:highlight w:val="none"/>
        </w:rPr>
        <w:t>作业人员通过爬梯爬至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，将安全带交替系挂在</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w:t>
      </w:r>
      <w:r>
        <w:rPr>
          <w:rFonts w:hint="eastAsia" w:cs="Times New Roman"/>
          <w:szCs w:val="21"/>
          <w:highlight w:val="none"/>
          <w:lang w:val="en-US" w:eastAsia="zh-CN"/>
        </w:rPr>
        <w:t>护栏</w:t>
      </w:r>
      <w:r>
        <w:rPr>
          <w:rFonts w:hint="eastAsia" w:ascii="Times New Roman" w:hAnsi="Times New Roman" w:eastAsia="宋体" w:cs="Times New Roman"/>
          <w:szCs w:val="21"/>
          <w:highlight w:val="none"/>
        </w:rPr>
        <w:t>，沿</w:t>
      </w:r>
      <w:r>
        <w:rPr>
          <w:rFonts w:hint="eastAsia" w:cs="Times New Roman"/>
          <w:szCs w:val="21"/>
          <w:highlight w:val="none"/>
          <w:lang w:val="en-US" w:eastAsia="zh-CN"/>
        </w:rPr>
        <w:t>走道</w:t>
      </w:r>
      <w:r>
        <w:rPr>
          <w:rFonts w:hint="eastAsia" w:ascii="Times New Roman" w:hAnsi="Times New Roman" w:eastAsia="宋体" w:cs="Times New Roman"/>
          <w:szCs w:val="21"/>
          <w:highlight w:val="none"/>
        </w:rPr>
        <w:t>走行至</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臂节吊点位置，</w:t>
      </w:r>
      <w:r>
        <w:rPr>
          <w:rFonts w:hint="eastAsia" w:eastAsia="宋体" w:cs="Times New Roman"/>
          <w:szCs w:val="21"/>
          <w:highlight w:val="none"/>
          <w:lang w:eastAsia="zh-CN"/>
        </w:rPr>
        <w:t>吊机</w:t>
      </w:r>
      <w:r>
        <w:rPr>
          <w:rFonts w:hint="eastAsia" w:ascii="Times New Roman" w:hAnsi="Times New Roman" w:eastAsia="宋体" w:cs="Times New Roman"/>
          <w:szCs w:val="21"/>
          <w:highlight w:val="none"/>
        </w:rPr>
        <w:t>放松吊钩，作业人员解除钢丝绳与</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臂节吊点的连接。</w:t>
      </w:r>
    </w:p>
    <w:p w14:paraId="1E64D8D9">
      <w:pPr>
        <w:widowControl w:val="0"/>
        <w:adjustRightInd/>
        <w:snapToGrid/>
        <w:ind w:firstLine="480"/>
        <w:rPr>
          <w:rFonts w:hint="default"/>
          <w:highlight w:val="none"/>
          <w:lang w:val="en-US" w:eastAsia="zh-CN"/>
        </w:rPr>
      </w:pPr>
      <w:r>
        <w:rPr>
          <w:rFonts w:hint="eastAsia" w:ascii="宋体" w:hAnsi="宋体" w:eastAsia="宋体" w:cs="宋体"/>
          <w:szCs w:val="21"/>
          <w:highlight w:val="none"/>
        </w:rPr>
        <w:t>（</w:t>
      </w:r>
      <w:r>
        <w:rPr>
          <w:rFonts w:hint="eastAsia" w:ascii="宋体" w:hAnsi="宋体" w:cs="宋体"/>
          <w:szCs w:val="21"/>
          <w:highlight w:val="none"/>
          <w:lang w:val="en-US" w:eastAsia="zh-CN"/>
        </w:rPr>
        <w:t>4</w:t>
      </w:r>
      <w:r>
        <w:rPr>
          <w:rFonts w:hint="eastAsia" w:ascii="宋体" w:hAnsi="宋体" w:eastAsia="宋体" w:cs="宋体"/>
          <w:szCs w:val="21"/>
          <w:highlight w:val="none"/>
        </w:rPr>
        <w:t>）</w:t>
      </w:r>
      <w:r>
        <w:rPr>
          <w:rFonts w:hint="eastAsia" w:cs="Times New Roman"/>
          <w:szCs w:val="21"/>
          <w:highlight w:val="none"/>
          <w:lang w:val="en-US" w:eastAsia="zh-CN"/>
        </w:rPr>
        <w:t>平衡臂</w:t>
      </w:r>
      <w:r>
        <w:rPr>
          <w:rFonts w:hint="eastAsia" w:ascii="Times New Roman" w:hAnsi="Times New Roman" w:eastAsia="宋体" w:cs="Times New Roman"/>
          <w:szCs w:val="21"/>
          <w:highlight w:val="none"/>
        </w:rPr>
        <w:t>安装时设置警戒区，起吊安排专人负责指挥，专人操作，严禁无关人员进入起重作业范围内。</w:t>
      </w:r>
    </w:p>
    <w:p w14:paraId="5F8112AC">
      <w:pPr>
        <w:pStyle w:val="5"/>
        <w:bidi w:val="0"/>
        <w:rPr>
          <w:rFonts w:hint="eastAsia"/>
          <w:highlight w:val="none"/>
          <w:lang w:val="en-US" w:eastAsia="zh-CN"/>
        </w:rPr>
      </w:pPr>
      <w:r>
        <w:rPr>
          <w:rFonts w:hint="eastAsia"/>
          <w:highlight w:val="none"/>
          <w:lang w:val="en-US" w:eastAsia="zh-CN"/>
        </w:rPr>
        <w:t>4.4.3.9安装2块2.85t平衡重</w:t>
      </w:r>
      <w:bookmarkEnd w:id="180"/>
      <w:bookmarkEnd w:id="181"/>
    </w:p>
    <w:p w14:paraId="3A491B25">
      <w:pPr>
        <w:bidi w:val="0"/>
        <w:ind w:firstLine="480" w:firstLineChars="200"/>
        <w:rPr>
          <w:rFonts w:hint="eastAsia"/>
          <w:lang w:val="en-US" w:eastAsia="zh-CN"/>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17E731F6">
      <w:pPr>
        <w:bidi w:val="0"/>
        <w:ind w:left="0" w:leftChars="0" w:firstLine="0" w:firstLineChars="0"/>
        <w:jc w:val="center"/>
        <w:rPr>
          <w:rFonts w:hint="eastAsia"/>
          <w:highlight w:val="none"/>
          <w:lang w:val="en-US" w:eastAsia="zh-CN"/>
        </w:rPr>
      </w:pPr>
      <w:r>
        <w:drawing>
          <wp:inline distT="0" distB="0" distL="114300" distR="114300">
            <wp:extent cx="3632200" cy="2905125"/>
            <wp:effectExtent l="0" t="0" r="6350" b="9525"/>
            <wp:docPr id="1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1"/>
                    <pic:cNvPicPr>
                      <a:picLocks noChangeAspect="1"/>
                    </pic:cNvPicPr>
                  </pic:nvPicPr>
                  <pic:blipFill>
                    <a:blip r:embed="rId37"/>
                    <a:stretch>
                      <a:fillRect/>
                    </a:stretch>
                  </pic:blipFill>
                  <pic:spPr>
                    <a:xfrm>
                      <a:off x="0" y="0"/>
                      <a:ext cx="3632200" cy="2905125"/>
                    </a:xfrm>
                    <a:prstGeom prst="rect">
                      <a:avLst/>
                    </a:prstGeom>
                    <a:noFill/>
                    <a:ln>
                      <a:noFill/>
                    </a:ln>
                  </pic:spPr>
                </pic:pic>
              </a:graphicData>
            </a:graphic>
          </wp:inline>
        </w:drawing>
      </w:r>
      <w:r>
        <w:drawing>
          <wp:inline distT="0" distB="0" distL="114300" distR="114300">
            <wp:extent cx="3848100" cy="3352800"/>
            <wp:effectExtent l="0" t="0" r="0" b="0"/>
            <wp:docPr id="18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3"/>
                    <pic:cNvPicPr>
                      <a:picLocks noChangeAspect="1"/>
                    </pic:cNvPicPr>
                  </pic:nvPicPr>
                  <pic:blipFill>
                    <a:blip r:embed="rId39"/>
                    <a:stretch>
                      <a:fillRect/>
                    </a:stretch>
                  </pic:blipFill>
                  <pic:spPr>
                    <a:xfrm>
                      <a:off x="0" y="0"/>
                      <a:ext cx="3848100" cy="3352800"/>
                    </a:xfrm>
                    <a:prstGeom prst="rect">
                      <a:avLst/>
                    </a:prstGeom>
                    <a:noFill/>
                    <a:ln>
                      <a:noFill/>
                    </a:ln>
                  </pic:spPr>
                </pic:pic>
              </a:graphicData>
            </a:graphic>
          </wp:inline>
        </w:drawing>
      </w:r>
    </w:p>
    <w:p w14:paraId="50F74128">
      <w:pPr>
        <w:pStyle w:val="15"/>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13</w:t>
      </w:r>
      <w:r>
        <w:rPr>
          <w:highlight w:val="none"/>
        </w:rPr>
        <w:fldChar w:fldCharType="end"/>
      </w:r>
      <w:r>
        <w:rPr>
          <w:rFonts w:hint="eastAsia"/>
          <w:highlight w:val="none"/>
          <w:lang w:val="en-US" w:eastAsia="zh-CN"/>
        </w:rPr>
        <w:t>吊装平衡重</w:t>
      </w:r>
    </w:p>
    <w:p w14:paraId="1658A5B0">
      <w:pPr>
        <w:pStyle w:val="5"/>
        <w:bidi w:val="0"/>
        <w:rPr>
          <w:rFonts w:hint="eastAsia"/>
          <w:highlight w:val="none"/>
          <w:lang w:val="en-US" w:eastAsia="zh-CN"/>
        </w:rPr>
      </w:pPr>
      <w:bookmarkStart w:id="182" w:name="_Toc23299"/>
      <w:bookmarkStart w:id="183" w:name="_Toc21892"/>
      <w:r>
        <w:rPr>
          <w:rFonts w:hint="eastAsia"/>
          <w:highlight w:val="none"/>
          <w:lang w:val="en-US" w:eastAsia="zh-CN"/>
        </w:rPr>
        <w:t>4.4.3.10安装剩余起重臂</w:t>
      </w:r>
      <w:bookmarkEnd w:id="182"/>
      <w:bookmarkEnd w:id="183"/>
    </w:p>
    <w:p w14:paraId="213E65E4">
      <w:pPr>
        <w:rPr>
          <w:rFonts w:hint="eastAsia"/>
          <w:lang w:val="en-US" w:eastAsia="zh-CN"/>
        </w:rPr>
      </w:pPr>
      <w:r>
        <w:rPr>
          <w:rFonts w:hint="eastAsia"/>
          <w:lang w:val="en-US" w:eastAsia="zh-CN"/>
        </w:rPr>
        <w:t>1、起重臂组装</w:t>
      </w:r>
    </w:p>
    <w:p w14:paraId="0F947BD7">
      <w:pPr>
        <w:ind w:firstLine="420" w:firstLineChars="0"/>
        <w:rPr>
          <w:rFonts w:hint="eastAsia"/>
          <w:lang w:val="en-US" w:eastAsia="zh-CN"/>
        </w:rPr>
      </w:pPr>
      <w:r>
        <w:rPr>
          <w:rFonts w:hint="eastAsia"/>
          <w:lang w:val="en-US" w:eastAsia="zh-CN"/>
        </w:rPr>
        <w:t>起重臂组装时，必须严格按照每节臂上的序号标记组装，不允许错位或随意组装。根据施工要求可以将起重臂组装成如下图起重臂臂长组合所示组合。</w:t>
      </w:r>
    </w:p>
    <w:p w14:paraId="3ABCAF39">
      <w:pPr>
        <w:rPr>
          <w:highlight w:val="none"/>
        </w:rPr>
      </w:pPr>
      <w:r>
        <w:drawing>
          <wp:inline distT="0" distB="0" distL="114300" distR="114300">
            <wp:extent cx="5273675" cy="3869690"/>
            <wp:effectExtent l="0" t="0" r="3175" b="16510"/>
            <wp:docPr id="16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3"/>
                    <pic:cNvPicPr>
                      <a:picLocks noChangeAspect="1"/>
                    </pic:cNvPicPr>
                  </pic:nvPicPr>
                  <pic:blipFill>
                    <a:blip r:embed="rId40"/>
                    <a:stretch>
                      <a:fillRect/>
                    </a:stretch>
                  </pic:blipFill>
                  <pic:spPr>
                    <a:xfrm>
                      <a:off x="0" y="0"/>
                      <a:ext cx="5273675" cy="3869690"/>
                    </a:xfrm>
                    <a:prstGeom prst="rect">
                      <a:avLst/>
                    </a:prstGeom>
                    <a:noFill/>
                    <a:ln>
                      <a:noFill/>
                    </a:ln>
                  </pic:spPr>
                </pic:pic>
              </a:graphicData>
            </a:graphic>
          </wp:inline>
        </w:drawing>
      </w:r>
    </w:p>
    <w:p w14:paraId="6BB0E7DE">
      <w:pPr>
        <w:pStyle w:val="15"/>
        <w:bidi w:val="0"/>
        <w:rPr>
          <w:rFonts w:hint="eastAsia" w:ascii="Times New Roman" w:hAnsi="Times New Roman" w:cs="Times New Roman"/>
          <w:highlight w:val="none"/>
          <w:lang w:val="en-US" w:eastAsia="zh-CN"/>
        </w:rPr>
      </w:pPr>
      <w:r>
        <w:rPr>
          <w:rFonts w:ascii="Times New Roman" w:hAnsi="Times New Roman" w:cs="Times New Roman"/>
          <w:highlight w:val="none"/>
        </w:rPr>
        <w:t>图4-</w:t>
      </w:r>
      <w:r>
        <w:rPr>
          <w:rFonts w:ascii="Times New Roman" w:hAnsi="Times New Roman" w:cs="Times New Roman"/>
          <w:highlight w:val="none"/>
        </w:rPr>
        <w:fldChar w:fldCharType="begin"/>
      </w:r>
      <w:r>
        <w:rPr>
          <w:rFonts w:ascii="Times New Roman" w:hAnsi="Times New Roman" w:cs="Times New Roman"/>
          <w:highlight w:val="none"/>
        </w:rPr>
        <w:instrText xml:space="preserve"> SEQ 图4- \* ARABIC </w:instrText>
      </w:r>
      <w:r>
        <w:rPr>
          <w:rFonts w:ascii="Times New Roman" w:hAnsi="Times New Roman" w:cs="Times New Roman"/>
          <w:highlight w:val="none"/>
        </w:rPr>
        <w:fldChar w:fldCharType="separate"/>
      </w:r>
      <w:r>
        <w:rPr>
          <w:rFonts w:ascii="Times New Roman" w:hAnsi="Times New Roman" w:cs="Times New Roman"/>
          <w:highlight w:val="none"/>
        </w:rPr>
        <w:t>14</w:t>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 xml:space="preserve"> 起重臂组合图</w:t>
      </w:r>
    </w:p>
    <w:p w14:paraId="4D11F15E">
      <w:pPr>
        <w:bidi w:val="0"/>
        <w:rPr>
          <w:rFonts w:hint="eastAsia"/>
          <w:b/>
          <w:bCs/>
          <w:lang w:val="en-US" w:eastAsia="zh-CN"/>
        </w:rPr>
      </w:pPr>
      <w:r>
        <w:rPr>
          <w:rFonts w:hint="eastAsia"/>
          <w:b/>
          <w:bCs/>
          <w:lang w:val="en-US" w:eastAsia="zh-CN"/>
        </w:rPr>
        <w:t>2、起重臂吊装</w:t>
      </w:r>
    </w:p>
    <w:p w14:paraId="412DFF2D">
      <w:pPr>
        <w:bidi w:val="0"/>
        <w:rPr>
          <w:rFonts w:hint="eastAsia"/>
          <w:lang w:val="en-US" w:eastAsia="zh-CN"/>
        </w:rPr>
      </w:pPr>
      <w:r>
        <w:rPr>
          <w:rFonts w:hint="eastAsia"/>
          <w:lang w:val="en-US" w:eastAsia="zh-CN"/>
        </w:rPr>
        <w:t>（1）操纵回转机构转动或者使用回转机构摇把，将塔机上部结构回转至方便安装起重臂的方位。</w:t>
      </w:r>
    </w:p>
    <w:p w14:paraId="4C0D1925">
      <w:pPr>
        <w:bidi w:val="0"/>
        <w:rPr>
          <w:rFonts w:hint="eastAsia"/>
          <w:lang w:val="en-US" w:eastAsia="zh-CN"/>
        </w:rPr>
      </w:pPr>
      <w:r>
        <w:rPr>
          <w:rFonts w:hint="eastAsia"/>
          <w:lang w:val="en-US" w:eastAsia="zh-CN"/>
        </w:rPr>
        <w:t>（2）按各种臂长的起重臂总成重心位置进行挂绳，如下图和下表所示，试吊是否平衡，否则可适当移动挂绳位置，吊装时两吊点距离10m≤d≤25m。</w:t>
      </w:r>
    </w:p>
    <w:p w14:paraId="785310F1">
      <w:pPr>
        <w:bidi w:val="0"/>
        <w:ind w:left="0" w:leftChars="0" w:firstLine="0" w:firstLineChars="0"/>
        <w:jc w:val="center"/>
        <w:rPr>
          <w:highlight w:val="none"/>
        </w:rPr>
      </w:pPr>
    </w:p>
    <w:p w14:paraId="170A8A9F">
      <w:pPr>
        <w:bidi w:val="0"/>
        <w:ind w:left="0" w:leftChars="0" w:firstLine="0" w:firstLineChars="0"/>
        <w:jc w:val="center"/>
        <w:rPr>
          <w:highlight w:val="none"/>
        </w:rPr>
      </w:pPr>
      <w:r>
        <w:drawing>
          <wp:inline distT="0" distB="0" distL="114300" distR="114300">
            <wp:extent cx="5271770" cy="1266190"/>
            <wp:effectExtent l="0" t="0" r="5080" b="10160"/>
            <wp:docPr id="1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4"/>
                    <pic:cNvPicPr>
                      <a:picLocks noChangeAspect="1"/>
                    </pic:cNvPicPr>
                  </pic:nvPicPr>
                  <pic:blipFill>
                    <a:blip r:embed="rId41"/>
                    <a:stretch>
                      <a:fillRect/>
                    </a:stretch>
                  </pic:blipFill>
                  <pic:spPr>
                    <a:xfrm>
                      <a:off x="0" y="0"/>
                      <a:ext cx="5271770" cy="1266190"/>
                    </a:xfrm>
                    <a:prstGeom prst="rect">
                      <a:avLst/>
                    </a:prstGeom>
                    <a:noFill/>
                    <a:ln>
                      <a:noFill/>
                    </a:ln>
                  </pic:spPr>
                </pic:pic>
              </a:graphicData>
            </a:graphic>
          </wp:inline>
        </w:drawing>
      </w:r>
    </w:p>
    <w:p w14:paraId="1340FD84">
      <w:pPr>
        <w:bidi w:val="0"/>
        <w:ind w:left="0" w:leftChars="0" w:firstLine="0" w:firstLineChars="0"/>
        <w:jc w:val="center"/>
        <w:rPr>
          <w:highlight w:val="none"/>
        </w:rPr>
      </w:pPr>
      <w:r>
        <w:drawing>
          <wp:inline distT="0" distB="0" distL="114300" distR="114300">
            <wp:extent cx="5270500" cy="2838450"/>
            <wp:effectExtent l="0" t="0" r="6350" b="0"/>
            <wp:docPr id="1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6"/>
                    <pic:cNvPicPr>
                      <a:picLocks noChangeAspect="1"/>
                    </pic:cNvPicPr>
                  </pic:nvPicPr>
                  <pic:blipFill>
                    <a:blip r:embed="rId42"/>
                    <a:stretch>
                      <a:fillRect/>
                    </a:stretch>
                  </pic:blipFill>
                  <pic:spPr>
                    <a:xfrm>
                      <a:off x="0" y="0"/>
                      <a:ext cx="5270500" cy="2838450"/>
                    </a:xfrm>
                    <a:prstGeom prst="rect">
                      <a:avLst/>
                    </a:prstGeom>
                    <a:noFill/>
                    <a:ln>
                      <a:noFill/>
                    </a:ln>
                  </pic:spPr>
                </pic:pic>
              </a:graphicData>
            </a:graphic>
          </wp:inline>
        </w:drawing>
      </w:r>
    </w:p>
    <w:p w14:paraId="6840CAE9">
      <w:pPr>
        <w:pStyle w:val="15"/>
        <w:bidi w:val="0"/>
        <w:rPr>
          <w:rFonts w:hint="eastAsia" w:ascii="Times New Roman" w:hAnsi="Times New Roman" w:cs="Times New Roman"/>
          <w:highlight w:val="none"/>
          <w:lang w:val="en-US" w:eastAsia="zh-CN"/>
        </w:rPr>
      </w:pPr>
      <w:r>
        <w:rPr>
          <w:rFonts w:ascii="Times New Roman" w:hAnsi="Times New Roman" w:cs="Times New Roman"/>
          <w:highlight w:val="none"/>
        </w:rPr>
        <w:t>图4-</w:t>
      </w:r>
      <w:r>
        <w:rPr>
          <w:rFonts w:ascii="Times New Roman" w:hAnsi="Times New Roman" w:cs="Times New Roman"/>
          <w:highlight w:val="none"/>
        </w:rPr>
        <w:fldChar w:fldCharType="begin"/>
      </w:r>
      <w:r>
        <w:rPr>
          <w:rFonts w:ascii="Times New Roman" w:hAnsi="Times New Roman" w:cs="Times New Roman"/>
          <w:highlight w:val="none"/>
        </w:rPr>
        <w:instrText xml:space="preserve"> SEQ 图4- \* ARABIC </w:instrText>
      </w:r>
      <w:r>
        <w:rPr>
          <w:rFonts w:ascii="Times New Roman" w:hAnsi="Times New Roman" w:cs="Times New Roman"/>
          <w:highlight w:val="none"/>
        </w:rPr>
        <w:fldChar w:fldCharType="separate"/>
      </w:r>
      <w:r>
        <w:rPr>
          <w:rFonts w:ascii="Times New Roman" w:hAnsi="Times New Roman" w:cs="Times New Roman"/>
          <w:highlight w:val="none"/>
        </w:rPr>
        <w:t>15</w:t>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 xml:space="preserve"> 起重臂参考重心位置</w:t>
      </w:r>
    </w:p>
    <w:p w14:paraId="27B66F51">
      <w:pPr>
        <w:pStyle w:val="16"/>
      </w:pPr>
      <w:r>
        <w:drawing>
          <wp:inline distT="0" distB="0" distL="114300" distR="114300">
            <wp:extent cx="4234180" cy="4192905"/>
            <wp:effectExtent l="0" t="0" r="0" b="0"/>
            <wp:docPr id="16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9"/>
                    <pic:cNvPicPr>
                      <a:picLocks noChangeAspect="1"/>
                    </pic:cNvPicPr>
                  </pic:nvPicPr>
                  <pic:blipFill>
                    <a:blip r:embed="rId43"/>
                    <a:srcRect t="8761" r="16452"/>
                    <a:stretch>
                      <a:fillRect/>
                    </a:stretch>
                  </pic:blipFill>
                  <pic:spPr>
                    <a:xfrm>
                      <a:off x="0" y="0"/>
                      <a:ext cx="4234180" cy="4192905"/>
                    </a:xfrm>
                    <a:prstGeom prst="rect">
                      <a:avLst/>
                    </a:prstGeom>
                    <a:noFill/>
                    <a:ln>
                      <a:noFill/>
                    </a:ln>
                  </pic:spPr>
                </pic:pic>
              </a:graphicData>
            </a:graphic>
          </wp:inline>
        </w:drawing>
      </w:r>
      <w:r>
        <w:drawing>
          <wp:inline distT="0" distB="0" distL="114300" distR="114300">
            <wp:extent cx="5270500" cy="3492500"/>
            <wp:effectExtent l="0" t="0" r="6350" b="12700"/>
            <wp:docPr id="18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2"/>
                    <pic:cNvPicPr>
                      <a:picLocks noChangeAspect="1"/>
                    </pic:cNvPicPr>
                  </pic:nvPicPr>
                  <pic:blipFill>
                    <a:blip r:embed="rId44"/>
                    <a:stretch>
                      <a:fillRect/>
                    </a:stretch>
                  </pic:blipFill>
                  <pic:spPr>
                    <a:xfrm>
                      <a:off x="0" y="0"/>
                      <a:ext cx="5270500" cy="3492500"/>
                    </a:xfrm>
                    <a:prstGeom prst="rect">
                      <a:avLst/>
                    </a:prstGeom>
                    <a:noFill/>
                    <a:ln>
                      <a:noFill/>
                    </a:ln>
                  </pic:spPr>
                </pic:pic>
              </a:graphicData>
            </a:graphic>
          </wp:inline>
        </w:drawing>
      </w:r>
    </w:p>
    <w:p w14:paraId="79838DB2">
      <w:pPr>
        <w:pStyle w:val="15"/>
        <w:bidi w:val="0"/>
        <w:rPr>
          <w:rFonts w:hint="default" w:ascii="Times New Roman" w:hAnsi="Times New Roman" w:cs="Times New Roman"/>
          <w:highlight w:val="none"/>
          <w:lang w:val="en-US" w:eastAsia="zh-CN"/>
        </w:rPr>
      </w:pPr>
      <w:r>
        <w:rPr>
          <w:rFonts w:ascii="Times New Roman" w:hAnsi="Times New Roman" w:cs="Times New Roman"/>
          <w:highlight w:val="none"/>
        </w:rPr>
        <w:t>图4-</w:t>
      </w:r>
      <w:r>
        <w:rPr>
          <w:rFonts w:ascii="Times New Roman" w:hAnsi="Times New Roman" w:cs="Times New Roman"/>
          <w:highlight w:val="none"/>
        </w:rPr>
        <w:fldChar w:fldCharType="begin"/>
      </w:r>
      <w:r>
        <w:rPr>
          <w:rFonts w:ascii="Times New Roman" w:hAnsi="Times New Roman" w:cs="Times New Roman"/>
          <w:highlight w:val="none"/>
        </w:rPr>
        <w:instrText xml:space="preserve"> SEQ 图4- \* ARABIC </w:instrText>
      </w:r>
      <w:r>
        <w:rPr>
          <w:rFonts w:ascii="Times New Roman" w:hAnsi="Times New Roman" w:cs="Times New Roman"/>
          <w:highlight w:val="none"/>
        </w:rPr>
        <w:fldChar w:fldCharType="separate"/>
      </w:r>
      <w:r>
        <w:rPr>
          <w:rFonts w:ascii="Times New Roman" w:hAnsi="Times New Roman" w:cs="Times New Roman"/>
          <w:highlight w:val="none"/>
        </w:rPr>
        <w:t>16</w:t>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 xml:space="preserve"> 起重臂吊装示意图</w:t>
      </w:r>
    </w:p>
    <w:p w14:paraId="570E76F2">
      <w:pPr>
        <w:pStyle w:val="5"/>
        <w:bidi w:val="0"/>
        <w:rPr>
          <w:rFonts w:hint="eastAsia"/>
          <w:highlight w:val="none"/>
          <w:lang w:val="en-US" w:eastAsia="zh-CN"/>
        </w:rPr>
      </w:pPr>
      <w:r>
        <w:rPr>
          <w:rFonts w:hint="eastAsia"/>
          <w:highlight w:val="none"/>
          <w:lang w:val="en-US" w:eastAsia="zh-CN"/>
        </w:rPr>
        <w:t>4.4.3.11安装剩余平衡重</w:t>
      </w:r>
    </w:p>
    <w:p w14:paraId="0C815A65">
      <w:pPr>
        <w:bidi w:val="0"/>
        <w:ind w:firstLine="480" w:firstLineChars="200"/>
        <w:rPr>
          <w:rFonts w:hint="eastAsia"/>
          <w:highlight w:val="none"/>
          <w:lang w:val="en-US" w:eastAsia="zh-CN"/>
        </w:rPr>
      </w:pPr>
      <w:r>
        <w:rPr>
          <w:rFonts w:hint="eastAsia"/>
          <w:highlight w:val="none"/>
          <w:lang w:val="en-US" w:eastAsia="zh-CN"/>
        </w:rPr>
        <w:t>平衡重的重量随起重臂长度、平衡臂长度的改变而改变，根据所使用的起重臂及相应平衡臂长度吊装平衡臂。</w:t>
      </w:r>
    </w:p>
    <w:p w14:paraId="208C695C">
      <w:pPr>
        <w:pStyle w:val="15"/>
        <w:rPr>
          <w:rFonts w:hint="eastAsia" w:eastAsia="黑体"/>
          <w:highlight w:val="none"/>
          <w:lang w:val="en-US" w:eastAsia="zh-CN"/>
        </w:rPr>
      </w:pPr>
      <w:r>
        <w:rPr>
          <w:highlight w:val="none"/>
        </w:rPr>
        <w:t>表4-</w:t>
      </w:r>
      <w:r>
        <w:rPr>
          <w:highlight w:val="none"/>
        </w:rPr>
        <w:fldChar w:fldCharType="begin"/>
      </w:r>
      <w:r>
        <w:rPr>
          <w:highlight w:val="none"/>
        </w:rPr>
        <w:instrText xml:space="preserve"> SEQ 表4- \* ARABIC </w:instrText>
      </w:r>
      <w:r>
        <w:rPr>
          <w:highlight w:val="none"/>
        </w:rPr>
        <w:fldChar w:fldCharType="separate"/>
      </w:r>
      <w:r>
        <w:rPr>
          <w:highlight w:val="none"/>
        </w:rPr>
        <w:t>3</w:t>
      </w:r>
      <w:r>
        <w:rPr>
          <w:highlight w:val="none"/>
        </w:rPr>
        <w:fldChar w:fldCharType="end"/>
      </w:r>
      <w:r>
        <w:rPr>
          <w:rFonts w:hint="eastAsia"/>
          <w:highlight w:val="none"/>
        </w:rPr>
        <w:t>平衡重安装</w:t>
      </w:r>
      <w:r>
        <w:rPr>
          <w:rFonts w:hint="eastAsia"/>
          <w:highlight w:val="none"/>
          <w:lang w:val="en-US" w:eastAsia="zh-CN"/>
        </w:rPr>
        <w:t>表</w:t>
      </w:r>
    </w:p>
    <w:p w14:paraId="6D515655">
      <w:pPr>
        <w:bidi w:val="0"/>
        <w:ind w:left="0" w:leftChars="0" w:firstLine="0" w:firstLineChars="0"/>
        <w:jc w:val="center"/>
        <w:rPr>
          <w:highlight w:val="none"/>
        </w:rPr>
      </w:pPr>
      <w:r>
        <w:drawing>
          <wp:inline distT="0" distB="0" distL="114300" distR="114300">
            <wp:extent cx="5274310" cy="946785"/>
            <wp:effectExtent l="0" t="0" r="2540" b="5715"/>
            <wp:docPr id="16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7"/>
                    <pic:cNvPicPr>
                      <a:picLocks noChangeAspect="1"/>
                    </pic:cNvPicPr>
                  </pic:nvPicPr>
                  <pic:blipFill>
                    <a:blip r:embed="rId45"/>
                    <a:stretch>
                      <a:fillRect/>
                    </a:stretch>
                  </pic:blipFill>
                  <pic:spPr>
                    <a:xfrm>
                      <a:off x="0" y="0"/>
                      <a:ext cx="5274310" cy="946785"/>
                    </a:xfrm>
                    <a:prstGeom prst="rect">
                      <a:avLst/>
                    </a:prstGeom>
                    <a:noFill/>
                    <a:ln>
                      <a:noFill/>
                    </a:ln>
                  </pic:spPr>
                </pic:pic>
              </a:graphicData>
            </a:graphic>
          </wp:inline>
        </w:drawing>
      </w:r>
    </w:p>
    <w:p w14:paraId="712023E8">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剩余平衡重吊装方</w:t>
      </w:r>
      <w:r>
        <w:rPr>
          <w:rFonts w:hint="eastAsia" w:ascii="Times New Roman" w:hAnsi="Times New Roman" w:eastAsia="宋体" w:cs="Times New Roman"/>
          <w:color w:val="auto"/>
          <w:szCs w:val="21"/>
          <w:highlight w:val="none"/>
        </w:rPr>
        <w:t>法同安装第1块平衡重。吊装完成后检查并确</w:t>
      </w:r>
      <w:r>
        <w:rPr>
          <w:rFonts w:hint="eastAsia" w:ascii="Times New Roman" w:hAnsi="Times New Roman" w:eastAsia="宋体" w:cs="Times New Roman"/>
          <w:szCs w:val="21"/>
          <w:highlight w:val="none"/>
        </w:rPr>
        <w:t>认相邻平衡重块的整个表面是否贴紧。</w:t>
      </w:r>
    </w:p>
    <w:p w14:paraId="6C39BA03">
      <w:pPr>
        <w:bidi w:val="0"/>
        <w:ind w:firstLine="480" w:firstLineChars="200"/>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按从起升机构侧向塔身侧依次吊装平衡重。</w:t>
      </w:r>
    </w:p>
    <w:p w14:paraId="73D97418">
      <w:pPr>
        <w:bidi w:val="0"/>
        <w:ind w:firstLine="480" w:firstLineChars="200"/>
        <w:rPr>
          <w:rFonts w:ascii="Times New Roman" w:hAnsi="Times New Roman" w:eastAsia="宋体" w:cs="Times New Roman"/>
          <w:color w:val="auto"/>
          <w:szCs w:val="21"/>
          <w:highlight w:val="none"/>
        </w:rPr>
      </w:pPr>
      <w:r>
        <w:rPr>
          <w:rFonts w:hint="eastAsia" w:ascii="宋体" w:hAnsi="宋体" w:eastAsia="宋体" w:cs="Times New Roman"/>
          <w:highlight w:val="none"/>
          <w:lang w:val="en-US" w:eastAsia="zh-CN"/>
        </w:rPr>
        <w:t>作业人员在地面上先将钢丝绳一端挂在吊机吊钩上，另一端与卸扣连接，启动吊机，将卸扣缓慢提升至平衡重上方时，缓慢放松吊钩，作业人员通过平衡臂走道走行至平衡臂尾部，将安全带</w:t>
      </w:r>
      <w:r>
        <w:rPr>
          <w:rFonts w:hint="eastAsia" w:ascii="Times New Roman" w:hAnsi="Times New Roman" w:eastAsia="宋体" w:cs="Times New Roman"/>
          <w:color w:val="auto"/>
          <w:szCs w:val="21"/>
          <w:highlight w:val="none"/>
        </w:rPr>
        <w:t>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3E0E6089">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color w:val="auto"/>
          <w:szCs w:val="21"/>
          <w:highlight w:val="none"/>
        </w:rPr>
        <w:t>塔吊平衡重</w:t>
      </w:r>
      <w:r>
        <w:rPr>
          <w:rFonts w:hint="eastAsia" w:eastAsia="宋体" w:cs="Times New Roman"/>
          <w:color w:val="auto"/>
          <w:szCs w:val="21"/>
          <w:highlight w:val="none"/>
          <w:lang w:val="en-US" w:eastAsia="zh-CN"/>
        </w:rPr>
        <w:t>安装</w:t>
      </w:r>
      <w:r>
        <w:rPr>
          <w:rFonts w:hint="eastAsia" w:ascii="Times New Roman" w:hAnsi="Times New Roman" w:eastAsia="宋体" w:cs="Times New Roman"/>
          <w:color w:val="auto"/>
          <w:szCs w:val="21"/>
          <w:highlight w:val="none"/>
        </w:rPr>
        <w:t>时设置警戒区，起吊安排专人负责指挥，专人操作，严禁无关人员进入起重作业范围内。</w:t>
      </w:r>
    </w:p>
    <w:p w14:paraId="62457457">
      <w:pPr>
        <w:bidi w:val="0"/>
        <w:ind w:left="0" w:leftChars="0" w:firstLine="0" w:firstLineChars="0"/>
        <w:jc w:val="center"/>
        <w:rPr>
          <w:highlight w:val="none"/>
        </w:rPr>
      </w:pPr>
    </w:p>
    <w:p w14:paraId="3A02EB6E">
      <w:pPr>
        <w:bidi w:val="0"/>
        <w:ind w:left="0" w:leftChars="0" w:firstLine="0" w:firstLineChars="0"/>
        <w:jc w:val="center"/>
        <w:rPr>
          <w:highlight w:val="none"/>
        </w:rPr>
      </w:pPr>
      <w:r>
        <w:drawing>
          <wp:inline distT="0" distB="0" distL="114300" distR="114300">
            <wp:extent cx="4251325" cy="3542665"/>
            <wp:effectExtent l="0" t="0" r="15875" b="635"/>
            <wp:docPr id="1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30"/>
                    <pic:cNvPicPr>
                      <a:picLocks noChangeAspect="1"/>
                    </pic:cNvPicPr>
                  </pic:nvPicPr>
                  <pic:blipFill>
                    <a:blip r:embed="rId46"/>
                    <a:stretch>
                      <a:fillRect/>
                    </a:stretch>
                  </pic:blipFill>
                  <pic:spPr>
                    <a:xfrm>
                      <a:off x="0" y="0"/>
                      <a:ext cx="4251325" cy="3542665"/>
                    </a:xfrm>
                    <a:prstGeom prst="rect">
                      <a:avLst/>
                    </a:prstGeom>
                    <a:noFill/>
                    <a:ln>
                      <a:noFill/>
                    </a:ln>
                  </pic:spPr>
                </pic:pic>
              </a:graphicData>
            </a:graphic>
          </wp:inline>
        </w:drawing>
      </w:r>
      <w:r>
        <w:drawing>
          <wp:inline distT="0" distB="0" distL="114300" distR="114300">
            <wp:extent cx="4365625" cy="2590165"/>
            <wp:effectExtent l="0" t="0" r="15875" b="635"/>
            <wp:docPr id="18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1"/>
                    <pic:cNvPicPr>
                      <a:picLocks noChangeAspect="1"/>
                    </pic:cNvPicPr>
                  </pic:nvPicPr>
                  <pic:blipFill>
                    <a:blip r:embed="rId47"/>
                    <a:stretch>
                      <a:fillRect/>
                    </a:stretch>
                  </pic:blipFill>
                  <pic:spPr>
                    <a:xfrm>
                      <a:off x="0" y="0"/>
                      <a:ext cx="4365625" cy="2590165"/>
                    </a:xfrm>
                    <a:prstGeom prst="rect">
                      <a:avLst/>
                    </a:prstGeom>
                    <a:noFill/>
                    <a:ln>
                      <a:noFill/>
                    </a:ln>
                  </pic:spPr>
                </pic:pic>
              </a:graphicData>
            </a:graphic>
          </wp:inline>
        </w:drawing>
      </w:r>
    </w:p>
    <w:p w14:paraId="78D64B98">
      <w:pPr>
        <w:pStyle w:val="15"/>
        <w:rPr>
          <w:rFonts w:hint="eastAsia" w:ascii="Times New Roman" w:hAnsi="Times New Roman" w:cs="Times New Roman"/>
          <w:highlight w:val="none"/>
          <w:lang w:val="en-US" w:eastAsia="zh-CN"/>
        </w:rPr>
      </w:pPr>
      <w:r>
        <w:rPr>
          <w:rFonts w:ascii="Times New Roman" w:hAnsi="Times New Roman" w:cs="Times New Roman"/>
          <w:highlight w:val="none"/>
        </w:rPr>
        <w:t>图4-</w:t>
      </w:r>
      <w:r>
        <w:rPr>
          <w:rFonts w:ascii="Times New Roman" w:hAnsi="Times New Roman" w:cs="Times New Roman"/>
          <w:highlight w:val="none"/>
        </w:rPr>
        <w:fldChar w:fldCharType="begin"/>
      </w:r>
      <w:r>
        <w:rPr>
          <w:rFonts w:ascii="Times New Roman" w:hAnsi="Times New Roman" w:cs="Times New Roman"/>
          <w:highlight w:val="none"/>
        </w:rPr>
        <w:instrText xml:space="preserve"> SEQ 图4- \* ARABIC </w:instrText>
      </w:r>
      <w:r>
        <w:rPr>
          <w:rFonts w:ascii="Times New Roman" w:hAnsi="Times New Roman" w:cs="Times New Roman"/>
          <w:highlight w:val="none"/>
        </w:rPr>
        <w:fldChar w:fldCharType="separate"/>
      </w:r>
      <w:r>
        <w:rPr>
          <w:rFonts w:ascii="Times New Roman" w:hAnsi="Times New Roman" w:cs="Times New Roman"/>
          <w:highlight w:val="none"/>
        </w:rPr>
        <w:t>17</w:t>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 xml:space="preserve"> 剩余平衡重吊装示意图</w:t>
      </w:r>
    </w:p>
    <w:p w14:paraId="763539B0">
      <w:pPr>
        <w:pStyle w:val="5"/>
        <w:bidi w:val="0"/>
        <w:rPr>
          <w:rFonts w:hint="eastAsia"/>
          <w:highlight w:val="none"/>
          <w:lang w:val="en-US" w:eastAsia="zh-CN"/>
        </w:rPr>
      </w:pPr>
      <w:r>
        <w:rPr>
          <w:rFonts w:hint="eastAsia"/>
          <w:highlight w:val="none"/>
          <w:lang w:val="en-US" w:eastAsia="zh-CN"/>
        </w:rPr>
        <w:t>4.4.3.12安装电控系统</w:t>
      </w:r>
    </w:p>
    <w:p w14:paraId="2D32D989">
      <w:pPr>
        <w:bidi w:val="0"/>
        <w:ind w:firstLine="480" w:firstLineChars="200"/>
        <w:rPr>
          <w:rFonts w:hint="eastAsia"/>
          <w:highlight w:val="none"/>
          <w:lang w:val="en-US" w:eastAsia="zh-CN"/>
        </w:rPr>
      </w:pPr>
      <w:r>
        <w:rPr>
          <w:rFonts w:hint="eastAsia"/>
          <w:highlight w:val="none"/>
          <w:lang w:val="en-US" w:eastAsia="zh-CN"/>
        </w:rPr>
        <w:t>起重臂安装完成后，司机室、各机构及相关安全装置就全部可以进行接线试电调试。其中除了起重量限制、变幅机构及其安全限位装置以外，其他电控系统在平衡臂安装完成后就可以进行接线安装。</w:t>
      </w:r>
    </w:p>
    <w:p w14:paraId="0B528FFA">
      <w:pPr>
        <w:keepNext w:val="0"/>
        <w:keepLines w:val="0"/>
        <w:widowControl/>
        <w:suppressLineNumbers w:val="0"/>
        <w:jc w:val="left"/>
      </w:pPr>
      <w:r>
        <w:rPr>
          <w:rFonts w:hint="eastAsia" w:ascii="宋体" w:hAnsi="宋体" w:eastAsia="宋体" w:cs="宋体"/>
          <w:color w:val="000000"/>
          <w:kern w:val="0"/>
          <w:sz w:val="24"/>
          <w:szCs w:val="24"/>
          <w:lang w:val="en-US" w:eastAsia="zh-CN" w:bidi="ar"/>
        </w:rPr>
        <w:t>控系统的连接见下图</w:t>
      </w:r>
    </w:p>
    <w:p w14:paraId="7985E5ED">
      <w:pPr>
        <w:bidi w:val="0"/>
        <w:rPr>
          <w:rFonts w:hint="eastAsia"/>
          <w:highlight w:val="none"/>
          <w:lang w:val="en-US" w:eastAsia="zh-CN"/>
        </w:rPr>
      </w:pPr>
    </w:p>
    <w:p w14:paraId="2FC2B2F1">
      <w:pPr>
        <w:bidi w:val="0"/>
        <w:ind w:left="0" w:leftChars="0" w:firstLine="0" w:firstLineChars="0"/>
        <w:jc w:val="center"/>
        <w:rPr>
          <w:rFonts w:hint="eastAsia"/>
          <w:highlight w:val="none"/>
          <w:lang w:val="en-US" w:eastAsia="zh-CN"/>
        </w:rPr>
      </w:pPr>
      <w:r>
        <w:drawing>
          <wp:inline distT="0" distB="0" distL="114300" distR="114300">
            <wp:extent cx="3843020" cy="2998470"/>
            <wp:effectExtent l="0" t="0" r="5080" b="11430"/>
            <wp:docPr id="19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40"/>
                    <pic:cNvPicPr>
                      <a:picLocks noChangeAspect="1"/>
                    </pic:cNvPicPr>
                  </pic:nvPicPr>
                  <pic:blipFill>
                    <a:blip r:embed="rId48"/>
                    <a:stretch>
                      <a:fillRect/>
                    </a:stretch>
                  </pic:blipFill>
                  <pic:spPr>
                    <a:xfrm>
                      <a:off x="0" y="0"/>
                      <a:ext cx="3843020" cy="2998470"/>
                    </a:xfrm>
                    <a:prstGeom prst="rect">
                      <a:avLst/>
                    </a:prstGeom>
                    <a:noFill/>
                    <a:ln>
                      <a:noFill/>
                    </a:ln>
                  </pic:spPr>
                </pic:pic>
              </a:graphicData>
            </a:graphic>
          </wp:inline>
        </w:drawing>
      </w:r>
    </w:p>
    <w:p w14:paraId="526C6F91">
      <w:pPr>
        <w:pStyle w:val="15"/>
        <w:bidi w:val="0"/>
        <w:rPr>
          <w:rFonts w:hint="eastAsia"/>
          <w:highlight w:val="none"/>
          <w:lang w:val="en-US" w:eastAsia="zh-CN"/>
        </w:rPr>
      </w:pPr>
      <w:r>
        <w:rPr>
          <w:highlight w:val="none"/>
        </w:rPr>
        <w:t>图4-</w:t>
      </w:r>
      <w:r>
        <w:rPr>
          <w:highlight w:val="none"/>
        </w:rPr>
        <w:fldChar w:fldCharType="begin"/>
      </w:r>
      <w:r>
        <w:rPr>
          <w:highlight w:val="none"/>
        </w:rPr>
        <w:instrText xml:space="preserve"> SEQ 图4- \* ARABIC </w:instrText>
      </w:r>
      <w:r>
        <w:rPr>
          <w:highlight w:val="none"/>
        </w:rPr>
        <w:fldChar w:fldCharType="separate"/>
      </w:r>
      <w:r>
        <w:rPr>
          <w:highlight w:val="none"/>
        </w:rPr>
        <w:t>18</w:t>
      </w:r>
      <w:r>
        <w:rPr>
          <w:highlight w:val="none"/>
        </w:rPr>
        <w:fldChar w:fldCharType="end"/>
      </w:r>
      <w:r>
        <w:rPr>
          <w:rFonts w:hint="eastAsia"/>
          <w:highlight w:val="none"/>
          <w:lang w:val="en-US" w:eastAsia="zh-CN"/>
        </w:rPr>
        <w:t xml:space="preserve"> 警示灯和风速仪安装位置示意图</w:t>
      </w:r>
    </w:p>
    <w:p w14:paraId="5378DC40">
      <w:pPr>
        <w:pStyle w:val="5"/>
        <w:bidi w:val="0"/>
        <w:rPr>
          <w:rFonts w:hint="eastAsia" w:ascii="宋体" w:hAnsi="宋体" w:eastAsia="宋体"/>
          <w:highlight w:val="none"/>
          <w:lang w:val="en-US" w:eastAsia="zh-CN"/>
        </w:rPr>
      </w:pPr>
      <w:bookmarkStart w:id="184" w:name="_Toc18449"/>
      <w:bookmarkStart w:id="185" w:name="_Toc1846"/>
      <w:bookmarkStart w:id="186" w:name="_Toc32421"/>
      <w:r>
        <w:rPr>
          <w:rFonts w:hint="eastAsia" w:ascii="宋体" w:hAnsi="宋体" w:eastAsia="宋体"/>
          <w:highlight w:val="none"/>
          <w:lang w:val="en-US" w:eastAsia="zh-CN"/>
        </w:rPr>
        <w:t>4.4.3.13穿绕钢丝绳</w:t>
      </w:r>
    </w:p>
    <w:p w14:paraId="55CB4564">
      <w:pPr>
        <w:bidi w:val="0"/>
      </w:pPr>
      <w:r>
        <w:rPr>
          <w:rFonts w:hint="eastAsia"/>
          <w:lang w:val="en-US" w:eastAsia="zh-CN"/>
        </w:rPr>
        <w:t>1.</w:t>
      </w:r>
      <w:r>
        <w:rPr>
          <w:rFonts w:hint="eastAsia"/>
        </w:rPr>
        <w:t>穿绕变幅钢丝绳</w:t>
      </w:r>
    </w:p>
    <w:p w14:paraId="17A4658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将变幅小车临时锁定，作业人员通过爬梯爬至回转总成平台上，将安全带交替系挂在起重臂臂根节上弦杆，沿下弦杆走行至变幅卷筒处，启动变幅卷筒放出后变幅钢丝绳，人工牵引变幅钢丝绳穿过起重臂根部滑轮，使用销轴将后变幅钢丝绳上的楔形接头固定在小车上。</w:t>
      </w:r>
    </w:p>
    <w:p w14:paraId="0C1E7F74">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（2）启动变幅卷扬机收紧后变幅钢丝绳，并将后变幅钢丝绳缓慢卷绕至变幅卷筒上。</w:t>
      </w:r>
    </w:p>
    <w:p w14:paraId="769B978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从变幅卷筒内放出前变幅钢丝绳，作业人员安全带交替系挂在起重臂安全绳上，沿下弦杆牵引前变幅钢丝绳至起重臂臂端滑轮处，将变幅钢丝绳穿过起重臂臂端滑轮，再将前变幅钢丝绳牵引至小车处进行固定，并用小车上的张紧卷筒张紧钢丝绳。</w:t>
      </w:r>
    </w:p>
    <w:p w14:paraId="1DBB0DD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变幅钢丝绳绕绳总体示意如下图所示。</w:t>
      </w:r>
    </w:p>
    <w:p w14:paraId="2C2AD591">
      <w:pPr>
        <w:widowControl w:val="0"/>
        <w:adjustRightInd/>
        <w:snapToGrid/>
        <w:ind w:firstLine="480"/>
        <w:jc w:val="center"/>
        <w:rPr>
          <w:rFonts w:ascii="Times New Roman" w:hAnsi="Times New Roman" w:eastAsia="宋体" w:cs="Times New Roman"/>
          <w:szCs w:val="21"/>
        </w:rPr>
      </w:pPr>
      <w:r>
        <w:drawing>
          <wp:inline distT="0" distB="0" distL="114300" distR="114300">
            <wp:extent cx="5756275" cy="2272030"/>
            <wp:effectExtent l="0" t="0" r="15875" b="13970"/>
            <wp:docPr id="20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41"/>
                    <pic:cNvPicPr>
                      <a:picLocks noChangeAspect="1"/>
                    </pic:cNvPicPr>
                  </pic:nvPicPr>
                  <pic:blipFill>
                    <a:blip r:embed="rId49"/>
                    <a:stretch>
                      <a:fillRect/>
                    </a:stretch>
                  </pic:blipFill>
                  <pic:spPr>
                    <a:xfrm>
                      <a:off x="0" y="0"/>
                      <a:ext cx="5756275" cy="2272030"/>
                    </a:xfrm>
                    <a:prstGeom prst="rect">
                      <a:avLst/>
                    </a:prstGeom>
                    <a:noFill/>
                    <a:ln>
                      <a:noFill/>
                    </a:ln>
                  </pic:spPr>
                </pic:pic>
              </a:graphicData>
            </a:graphic>
          </wp:inline>
        </w:drawing>
      </w:r>
    </w:p>
    <w:p w14:paraId="582D8D23">
      <w:pPr>
        <w:widowControl w:val="0"/>
        <w:adjustRightInd/>
        <w:snapToGrid/>
        <w:ind w:firstLine="480"/>
        <w:jc w:val="center"/>
        <w:rPr>
          <w:rFonts w:hint="eastAsia" w:ascii="Times New Roman" w:hAnsi="Times New Roman" w:eastAsia="黑体" w:cs="Times New Roman"/>
          <w:kern w:val="2"/>
          <w:sz w:val="21"/>
          <w:szCs w:val="21"/>
          <w:highlight w:val="none"/>
          <w:lang w:val="en-US" w:eastAsia="zh-CN" w:bidi="ar-SA"/>
        </w:rPr>
      </w:pPr>
      <w:r>
        <w:rPr>
          <w:rFonts w:hint="eastAsia" w:ascii="Times New Roman" w:hAnsi="Times New Roman" w:eastAsia="黑体" w:cs="Times New Roman"/>
          <w:kern w:val="2"/>
          <w:sz w:val="21"/>
          <w:szCs w:val="21"/>
          <w:highlight w:val="none"/>
          <w:lang w:val="en-US" w:eastAsia="zh-CN" w:bidi="ar-SA"/>
        </w:rPr>
        <w:t>图4-</w:t>
      </w:r>
      <w:r>
        <w:rPr>
          <w:rFonts w:hint="eastAsia" w:ascii="Times New Roman" w:hAnsi="Times New Roman" w:eastAsia="黑体" w:cs="Times New Roman"/>
          <w:kern w:val="2"/>
          <w:sz w:val="21"/>
          <w:szCs w:val="21"/>
          <w:highlight w:val="none"/>
          <w:lang w:val="en-US" w:eastAsia="zh-CN" w:bidi="ar-SA"/>
        </w:rPr>
        <w:fldChar w:fldCharType="begin"/>
      </w:r>
      <w:r>
        <w:rPr>
          <w:rFonts w:hint="eastAsia" w:ascii="Times New Roman" w:hAnsi="Times New Roman" w:eastAsia="黑体" w:cs="Times New Roman"/>
          <w:kern w:val="2"/>
          <w:sz w:val="21"/>
          <w:szCs w:val="21"/>
          <w:highlight w:val="none"/>
          <w:lang w:val="en-US" w:eastAsia="zh-CN" w:bidi="ar-SA"/>
        </w:rPr>
        <w:instrText xml:space="preserve"> SEQ 图4- \* ARABIC </w:instrText>
      </w:r>
      <w:r>
        <w:rPr>
          <w:rFonts w:hint="eastAsia" w:ascii="Times New Roman" w:hAnsi="Times New Roman" w:eastAsia="黑体" w:cs="Times New Roman"/>
          <w:kern w:val="2"/>
          <w:sz w:val="21"/>
          <w:szCs w:val="21"/>
          <w:highlight w:val="none"/>
          <w:lang w:val="en-US" w:eastAsia="zh-CN" w:bidi="ar-SA"/>
        </w:rPr>
        <w:fldChar w:fldCharType="separate"/>
      </w:r>
      <w:r>
        <w:rPr>
          <w:rFonts w:hint="eastAsia" w:ascii="Times New Roman" w:hAnsi="Times New Roman" w:eastAsia="黑体" w:cs="Times New Roman"/>
          <w:kern w:val="2"/>
          <w:sz w:val="21"/>
          <w:szCs w:val="21"/>
          <w:highlight w:val="none"/>
          <w:lang w:val="en-US" w:eastAsia="zh-CN" w:bidi="ar-SA"/>
        </w:rPr>
        <w:t>19</w:t>
      </w:r>
      <w:r>
        <w:rPr>
          <w:rFonts w:hint="eastAsia" w:ascii="Times New Roman" w:hAnsi="Times New Roman" w:eastAsia="黑体" w:cs="Times New Roman"/>
          <w:kern w:val="2"/>
          <w:sz w:val="21"/>
          <w:szCs w:val="21"/>
          <w:highlight w:val="none"/>
          <w:lang w:val="en-US" w:eastAsia="zh-CN" w:bidi="ar-SA"/>
        </w:rPr>
        <w:fldChar w:fldCharType="end"/>
      </w:r>
      <w:r>
        <w:rPr>
          <w:rFonts w:hint="eastAsia" w:ascii="Times New Roman" w:hAnsi="Times New Roman" w:eastAsia="黑体" w:cs="Times New Roman"/>
          <w:kern w:val="2"/>
          <w:sz w:val="21"/>
          <w:szCs w:val="21"/>
          <w:highlight w:val="none"/>
          <w:lang w:val="en-US" w:eastAsia="zh-CN" w:bidi="ar-SA"/>
        </w:rPr>
        <w:t xml:space="preserve"> 变幅钢丝绳穿绕示意图</w:t>
      </w:r>
    </w:p>
    <w:p w14:paraId="26C76F1D">
      <w:pPr>
        <w:bidi w:val="0"/>
      </w:pPr>
      <w:r>
        <w:rPr>
          <w:rFonts w:hint="eastAsia"/>
          <w:lang w:val="en-US" w:eastAsia="zh-CN"/>
        </w:rPr>
        <w:t>2.</w:t>
      </w:r>
      <w:r>
        <w:rPr>
          <w:rFonts w:hint="eastAsia"/>
        </w:rPr>
        <w:t>穿绕起升钢丝绳</w:t>
      </w:r>
    </w:p>
    <w:p w14:paraId="485C73AC">
      <w:pPr>
        <w:keepNext w:val="0"/>
        <w:keepLines w:val="0"/>
        <w:widowControl w:val="0"/>
        <w:suppressLineNumbers w:val="0"/>
        <w:tabs>
          <w:tab w:val="left" w:pos="404"/>
        </w:tabs>
        <w:ind w:firstLine="480"/>
        <w:jc w:val="left"/>
        <w:rPr>
          <w:rFonts w:hint="eastAsia"/>
        </w:rPr>
      </w:pPr>
      <w:r>
        <w:rPr>
          <w:rFonts w:hint="eastAsia" w:ascii="Times New Roman" w:hAnsi="Times New Roman" w:eastAsia="宋体" w:cs="Times New Roman"/>
          <w:color w:val="auto"/>
          <w:kern w:val="2"/>
          <w:sz w:val="24"/>
          <w:szCs w:val="21"/>
          <w:lang w:val="en-US" w:eastAsia="zh-CN" w:bidi="ar"/>
        </w:rPr>
        <w:t>钢丝绳从起升机构（1）卷筒上端出绳，穿过起重臂臂根节上托绳轮（2），再穿过起重臂臂根节上起重量限制器滑轮（3），再穿过起重臂臂根部滑轮（4），然后钢丝绳伸出连接小车。</w:t>
      </w:r>
    </w:p>
    <w:p w14:paraId="2799682D">
      <w:pPr>
        <w:widowControl w:val="0"/>
        <w:adjustRightInd/>
        <w:snapToGrid/>
        <w:ind w:firstLine="480"/>
        <w:rPr>
          <w:rFonts w:hint="eastAsia" w:ascii="Times New Roman" w:hAnsi="Times New Roman" w:eastAsia="宋体" w:cs="Times New Roman"/>
          <w:szCs w:val="21"/>
          <w:lang w:eastAsia="zh-CN"/>
        </w:rPr>
      </w:pPr>
      <w:r>
        <w:drawing>
          <wp:inline distT="0" distB="0" distL="114300" distR="114300">
            <wp:extent cx="5758180" cy="3295650"/>
            <wp:effectExtent l="0" t="0" r="13970" b="0"/>
            <wp:docPr id="20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42"/>
                    <pic:cNvPicPr>
                      <a:picLocks noChangeAspect="1"/>
                    </pic:cNvPicPr>
                  </pic:nvPicPr>
                  <pic:blipFill>
                    <a:blip r:embed="rId50"/>
                    <a:stretch>
                      <a:fillRect/>
                    </a:stretch>
                  </pic:blipFill>
                  <pic:spPr>
                    <a:xfrm>
                      <a:off x="0" y="0"/>
                      <a:ext cx="5758180" cy="3295650"/>
                    </a:xfrm>
                    <a:prstGeom prst="rect">
                      <a:avLst/>
                    </a:prstGeom>
                    <a:noFill/>
                    <a:ln>
                      <a:noFill/>
                    </a:ln>
                  </pic:spPr>
                </pic:pic>
              </a:graphicData>
            </a:graphic>
          </wp:inline>
        </w:drawing>
      </w:r>
    </w:p>
    <w:p w14:paraId="7DB8D777">
      <w:pPr>
        <w:keepNext w:val="0"/>
        <w:keepLines w:val="0"/>
        <w:widowControl w:val="0"/>
        <w:suppressLineNumbers w:val="0"/>
        <w:ind w:firstLine="480"/>
        <w:jc w:val="left"/>
        <w:rPr>
          <w:rFonts w:hint="eastAsia" w:ascii="Times New Roman" w:hAnsi="Times New Roman" w:eastAsia="宋体" w:cs="Times New Roman"/>
          <w:kern w:val="2"/>
          <w:sz w:val="24"/>
          <w:szCs w:val="21"/>
          <w:lang w:val="en-US" w:eastAsia="zh-CN" w:bidi="ar"/>
        </w:rPr>
      </w:pPr>
      <w:r>
        <w:rPr>
          <w:rFonts w:hint="eastAsia" w:ascii="Times New Roman" w:hAnsi="Times New Roman" w:eastAsia="宋体" w:cs="Times New Roman"/>
          <w:color w:val="auto"/>
          <w:kern w:val="2"/>
          <w:sz w:val="24"/>
          <w:szCs w:val="21"/>
          <w:lang w:val="en-US" w:eastAsia="zh-CN" w:bidi="ar"/>
        </w:rPr>
        <w:t>穿绕变幅小车上起升钢丝绳。由于本小车和吊钩为自动变倍率方式，变倍率时通过吊 钩上上下滑轮组自动断开方式实现，因此起升钢丝绳的绕绳方式不变。</w:t>
      </w:r>
    </w:p>
    <w:p w14:paraId="50F44EFA">
      <w:pPr>
        <w:keepNext w:val="0"/>
        <w:keepLines w:val="0"/>
        <w:widowControl w:val="0"/>
        <w:suppressLineNumbers w:val="0"/>
        <w:ind w:firstLine="0" w:firstLineChars="0"/>
        <w:jc w:val="center"/>
      </w:pPr>
      <w:r>
        <w:drawing>
          <wp:inline distT="0" distB="0" distL="114300" distR="114300">
            <wp:extent cx="3038475" cy="2628900"/>
            <wp:effectExtent l="0" t="0" r="9525" b="0"/>
            <wp:docPr id="20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43"/>
                    <pic:cNvPicPr>
                      <a:picLocks noChangeAspect="1"/>
                    </pic:cNvPicPr>
                  </pic:nvPicPr>
                  <pic:blipFill>
                    <a:blip r:embed="rId51"/>
                    <a:stretch>
                      <a:fillRect/>
                    </a:stretch>
                  </pic:blipFill>
                  <pic:spPr>
                    <a:xfrm>
                      <a:off x="0" y="0"/>
                      <a:ext cx="3038475" cy="2628900"/>
                    </a:xfrm>
                    <a:prstGeom prst="rect">
                      <a:avLst/>
                    </a:prstGeom>
                    <a:noFill/>
                    <a:ln>
                      <a:noFill/>
                    </a:ln>
                  </pic:spPr>
                </pic:pic>
              </a:graphicData>
            </a:graphic>
          </wp:inline>
        </w:drawing>
      </w:r>
    </w:p>
    <w:p w14:paraId="6B61EE40">
      <w:pPr>
        <w:keepNext w:val="0"/>
        <w:keepLines w:val="0"/>
        <w:widowControl/>
        <w:suppressLineNumbers w:val="0"/>
        <w:ind w:firstLine="480"/>
        <w:jc w:val="left"/>
        <w:rPr>
          <w:rFonts w:hint="default" w:ascii="Times New Roman" w:hAnsi="Times New Roman" w:eastAsia="宋体" w:cs="Times New Roman"/>
          <w:kern w:val="2"/>
          <w:sz w:val="24"/>
          <w:szCs w:val="21"/>
          <w:lang w:val="en-US" w:eastAsia="zh-CN" w:bidi="ar"/>
        </w:rPr>
      </w:pPr>
      <w:r>
        <w:rPr>
          <w:rFonts w:hint="default" w:ascii="Times New Roman" w:hAnsi="Times New Roman" w:eastAsia="宋体" w:cs="Times New Roman"/>
          <w:color w:val="auto"/>
          <w:kern w:val="2"/>
          <w:sz w:val="24"/>
          <w:szCs w:val="21"/>
          <w:lang w:val="en-US" w:eastAsia="zh-CN" w:bidi="ar"/>
        </w:rPr>
        <w:t>起升钢丝绳从小车绕出之后进入起重臂臂头防扭装置。用楔块（3）锁住钢丝绳（1） 至楔套（2），并在钢丝绳末端装上一个绳夹（4）。用销轴（6）和开口销（7）安装楔套（2） 至钢丝绳防扭器（5）。安装完毕后检查防扭器是否旋转自如。</w:t>
      </w:r>
    </w:p>
    <w:p w14:paraId="27C1700D">
      <w:pPr>
        <w:keepNext w:val="0"/>
        <w:keepLines w:val="0"/>
        <w:widowControl/>
        <w:suppressLineNumbers w:val="0"/>
        <w:ind w:firstLine="0" w:firstLineChars="0"/>
        <w:jc w:val="center"/>
        <w:rPr>
          <w:rFonts w:hint="eastAsia"/>
          <w:lang w:bidi="ar"/>
        </w:rPr>
      </w:pPr>
      <w:r>
        <w:drawing>
          <wp:inline distT="0" distB="0" distL="114300" distR="114300">
            <wp:extent cx="5758815" cy="2462530"/>
            <wp:effectExtent l="0" t="0" r="13335" b="13970"/>
            <wp:docPr id="20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4"/>
                    <pic:cNvPicPr>
                      <a:picLocks noChangeAspect="1"/>
                    </pic:cNvPicPr>
                  </pic:nvPicPr>
                  <pic:blipFill>
                    <a:blip r:embed="rId52"/>
                    <a:stretch>
                      <a:fillRect/>
                    </a:stretch>
                  </pic:blipFill>
                  <pic:spPr>
                    <a:xfrm>
                      <a:off x="0" y="0"/>
                      <a:ext cx="5758815" cy="2462530"/>
                    </a:xfrm>
                    <a:prstGeom prst="rect">
                      <a:avLst/>
                    </a:prstGeom>
                    <a:noFill/>
                    <a:ln>
                      <a:noFill/>
                    </a:ln>
                  </pic:spPr>
                </pic:pic>
              </a:graphicData>
            </a:graphic>
          </wp:inline>
        </w:drawing>
      </w:r>
    </w:p>
    <w:p w14:paraId="0685FCE0">
      <w:pPr>
        <w:pStyle w:val="5"/>
        <w:bidi w:val="0"/>
        <w:rPr>
          <w:rFonts w:hint="eastAsia" w:ascii="宋体" w:hAnsi="宋体" w:eastAsia="宋体"/>
          <w:highlight w:val="none"/>
          <w:lang w:val="en-US" w:eastAsia="zh-CN"/>
        </w:rPr>
      </w:pPr>
      <w:r>
        <w:rPr>
          <w:rFonts w:hint="eastAsia" w:ascii="宋体" w:hAnsi="宋体" w:eastAsia="宋体"/>
          <w:highlight w:val="none"/>
          <w:lang w:val="en-US" w:eastAsia="zh-CN"/>
        </w:rPr>
        <w:t>4.4.3.14电气系统安装及试运转</w:t>
      </w:r>
    </w:p>
    <w:p w14:paraId="01D6AF25">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（1）起重臂安装完成后，按照说明书的要求，进行</w:t>
      </w:r>
      <w:r>
        <w:rPr>
          <w:rFonts w:ascii="Times New Roman" w:hAnsi="Times New Roman" w:eastAsia="宋体" w:cs="Times New Roman"/>
          <w:szCs w:val="21"/>
        </w:rPr>
        <w:t>驾配箱、主控柜</w:t>
      </w:r>
      <w:r>
        <w:rPr>
          <w:rFonts w:hint="eastAsia" w:ascii="Times New Roman" w:hAnsi="Times New Roman" w:eastAsia="宋体" w:cs="Times New Roman"/>
          <w:szCs w:val="21"/>
        </w:rPr>
        <w:t>、</w:t>
      </w:r>
      <w:r>
        <w:rPr>
          <w:rFonts w:ascii="Times New Roman" w:hAnsi="Times New Roman" w:eastAsia="宋体" w:cs="Times New Roman"/>
          <w:szCs w:val="21"/>
        </w:rPr>
        <w:t>重量限制器、力矩限制器、起升限位器、回转限位器、变幅限位器、行走限位器</w:t>
      </w:r>
      <w:r>
        <w:rPr>
          <w:rFonts w:hint="eastAsia" w:ascii="Times New Roman" w:hAnsi="Times New Roman" w:eastAsia="宋体" w:cs="Times New Roman"/>
          <w:szCs w:val="21"/>
        </w:rPr>
        <w:t>等的安装。</w:t>
      </w:r>
    </w:p>
    <w:p w14:paraId="29A753C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（2）在塔头顶部安装风速仪，平衡臂尾部以及起重臂前端部各安装一个警示灯。</w:t>
      </w:r>
    </w:p>
    <w:p w14:paraId="2540392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（3）在风速不大于3m/s且空载状态下，检查塔身轴线的垂直度，允许偏差为 4/1000。</w:t>
      </w:r>
    </w:p>
    <w:p w14:paraId="056CEEC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（4）侧向垂直度在使用高度、空载状态，臂架相当于塔身0°和90°时分别沿臂架方向测量，标尺贴靠在塔身结构中心的最低处和最高处，用全站仪读出两处的偏位值。</w:t>
      </w:r>
    </w:p>
    <w:p w14:paraId="6A2EA18F">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（5）塔吊接通电源，试运转各机构，检查各机构运转是否正常，同时检查各钢丝绳是否处于正常工作状态，是否与各机构有干扰。</w:t>
      </w:r>
    </w:p>
    <w:p w14:paraId="703DDC1C">
      <w:pPr>
        <w:pStyle w:val="5"/>
        <w:bidi w:val="0"/>
        <w:ind w:left="864" w:leftChars="0" w:hanging="864" w:firstLineChars="0"/>
        <w:rPr>
          <w:b/>
          <w:bCs w:val="0"/>
        </w:rPr>
      </w:pPr>
      <w:r>
        <w:rPr>
          <w:rFonts w:hint="eastAsia" w:ascii="宋体" w:hAnsi="宋体" w:eastAsia="宋体"/>
          <w:highlight w:val="none"/>
          <w:lang w:val="en-US" w:eastAsia="zh-CN"/>
        </w:rPr>
        <w:t>4.4.3.15</w:t>
      </w:r>
      <w:r>
        <w:rPr>
          <w:rFonts w:hint="eastAsia"/>
          <w:b/>
          <w:bCs w:val="0"/>
        </w:rPr>
        <w:t>操作系统的调试</w:t>
      </w:r>
    </w:p>
    <w:p w14:paraId="056B1EC5">
      <w:pPr>
        <w:widowControl w:val="0"/>
        <w:adjustRightInd/>
        <w:snapToGrid/>
        <w:ind w:firstLine="480"/>
        <w:rPr>
          <w:rFonts w:ascii="Times New Roman" w:hAnsi="Times New Roman" w:eastAsia="宋体" w:cs="Times New Roman"/>
          <w:szCs w:val="21"/>
        </w:rPr>
      </w:pPr>
      <w:r>
        <w:rPr>
          <w:rFonts w:ascii="宋体" w:hAnsi="宋体" w:eastAsia="宋体" w:cs="宋体"/>
          <w:szCs w:val="21"/>
        </w:rPr>
        <w:t>①</w:t>
      </w:r>
      <w:r>
        <w:rPr>
          <w:rFonts w:hint="eastAsia" w:ascii="Times New Roman" w:hAnsi="Times New Roman" w:eastAsia="宋体" w:cs="Times New Roman"/>
          <w:szCs w:val="21"/>
        </w:rPr>
        <w:t>电源检查：</w:t>
      </w:r>
    </w:p>
    <w:p w14:paraId="121E7B36">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连通电源，检查三相电源的相序是否正确，电压是否满足要求（380V±5%）。</w:t>
      </w:r>
    </w:p>
    <w:p w14:paraId="5C30AC99">
      <w:pPr>
        <w:widowControl w:val="0"/>
        <w:adjustRightInd/>
        <w:snapToGrid/>
        <w:ind w:firstLine="480"/>
        <w:rPr>
          <w:rFonts w:ascii="Times New Roman" w:hAnsi="Times New Roman" w:eastAsia="宋体" w:cs="Times New Roman"/>
          <w:szCs w:val="21"/>
        </w:rPr>
      </w:pPr>
      <w:r>
        <w:rPr>
          <w:rFonts w:hint="eastAsia" w:ascii="宋体" w:hAnsi="宋体" w:eastAsia="宋体" w:cs="宋体"/>
          <w:szCs w:val="21"/>
        </w:rPr>
        <w:t>②</w:t>
      </w:r>
      <w:r>
        <w:rPr>
          <w:rFonts w:hint="eastAsia" w:ascii="Times New Roman" w:hAnsi="Times New Roman" w:eastAsia="宋体" w:cs="Times New Roman"/>
          <w:szCs w:val="21"/>
        </w:rPr>
        <w:t>操作系统逻辑关系检查：</w:t>
      </w:r>
    </w:p>
    <w:p w14:paraId="384726DA">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操作起升手柄，观察吊钩起升运转情况，当起升手柄向内拉时，吊钩应向上运动；当起升手柄向外推时，吊钩应向下运动，否则应调整起升电机电源的相序。</w:t>
      </w:r>
    </w:p>
    <w:p w14:paraId="1F7686A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操作回转手柄，当回转手柄向左推时，起重臂应向左转；当回转手柄向右推时，起重臂应向右转，否则应调整回转电机电源的相序。</w:t>
      </w:r>
    </w:p>
    <w:p w14:paraId="338FE2B0">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操作变幅手柄，当变幅手柄向内拉时，变幅小车应该向内行走；当变幅手柄向外推时，变幅小车应该向外行走，否则应调整变幅小车电机电源的相序。</w:t>
      </w:r>
    </w:p>
    <w:p w14:paraId="39A034AD">
      <w:pPr>
        <w:pStyle w:val="4"/>
        <w:tabs>
          <w:tab w:val="left" w:pos="0"/>
        </w:tabs>
        <w:bidi w:val="0"/>
        <w:ind w:left="720" w:leftChars="0" w:hanging="720" w:firstLineChars="0"/>
        <w:rPr>
          <w:rFonts w:hint="eastAsia"/>
          <w:b/>
          <w:bCs w:val="0"/>
          <w:lang w:val="en-US" w:eastAsia="zh-CN"/>
        </w:rPr>
      </w:pPr>
      <w:r>
        <w:rPr>
          <w:rFonts w:hint="eastAsia"/>
          <w:highlight w:val="none"/>
          <w:lang w:val="en-US" w:eastAsia="zh-CN"/>
        </w:rPr>
        <w:t>4.4.4</w:t>
      </w:r>
      <w:r>
        <w:rPr>
          <w:rFonts w:hint="eastAsia"/>
          <w:b/>
          <w:bCs w:val="0"/>
          <w:lang w:val="en-US" w:eastAsia="zh-CN"/>
        </w:rPr>
        <w:t>塔吊顶升加节</w:t>
      </w:r>
    </w:p>
    <w:p w14:paraId="50DAA9ED">
      <w:pPr>
        <w:pStyle w:val="5"/>
        <w:bidi w:val="0"/>
        <w:ind w:left="864" w:leftChars="0" w:hanging="864" w:firstLineChars="0"/>
        <w:rPr>
          <w:b/>
          <w:bCs w:val="0"/>
        </w:rPr>
      </w:pPr>
      <w:r>
        <w:rPr>
          <w:rFonts w:hint="eastAsia"/>
          <w:b/>
          <w:bCs w:val="0"/>
          <w:lang w:val="en-US" w:eastAsia="zh-CN"/>
        </w:rPr>
        <w:t>4.4.4.1</w:t>
      </w:r>
      <w:r>
        <w:rPr>
          <w:rFonts w:hint="eastAsia"/>
          <w:b/>
          <w:bCs w:val="0"/>
        </w:rPr>
        <w:t>顶升前准备工作</w:t>
      </w:r>
    </w:p>
    <w:p w14:paraId="75E07A3F">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按液压泵站要求给其油箱加油，顶升横梁防脱装置的销轴退出踏步的圆孔； </w:t>
      </w:r>
    </w:p>
    <w:p w14:paraId="4C698BE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清理好各个塔身节，在塔身节连接套内涂上黄油，将待顶升加高用的标准节在顶升位 置时的起重臂下排成一排，这样能使塔机在整个顶升加节过程中不用回转机构，能使顶升加节过程所用时间最短； </w:t>
      </w:r>
    </w:p>
    <w:p w14:paraId="513D20B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放松电缆长度略大于总的顶升高度，并紧固好电缆； </w:t>
      </w:r>
    </w:p>
    <w:p w14:paraId="7BD3D8B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将起重臂旋转至爬升架前方，平衡臂处于爬升架的后方（顶升油缸必须位于平衡臂下方）； </w:t>
      </w:r>
    </w:p>
    <w:p w14:paraId="131662F2">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爬升架平台上准备好塔身高强度螺栓； </w:t>
      </w:r>
    </w:p>
    <w:p w14:paraId="02E16413">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检查、调试并确认顶升机构工作正确、可靠，保证爬升架能按塔机爬升规定的程序上 升、下降、可靠停止；运行过程中应平稳，无爬行、振动现象； </w:t>
      </w:r>
    </w:p>
    <w:p w14:paraId="3B01818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检查爬升架支承系统，确保各部分运动灵活，承重可靠； </w:t>
      </w:r>
    </w:p>
    <w:p w14:paraId="73A9579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液压顶升机构应保证安全，溢流阀的调整压力不得大于系统额定工作压力的 </w:t>
      </w:r>
      <w:r>
        <w:rPr>
          <w:rFonts w:hint="default" w:ascii="Times New Roman" w:hAnsi="Times New Roman" w:eastAsia="宋体" w:cs="Times New Roman"/>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w:t>
      </w:r>
    </w:p>
    <w:p w14:paraId="78796074">
      <w:pPr>
        <w:pStyle w:val="5"/>
        <w:bidi w:val="0"/>
        <w:ind w:left="864" w:leftChars="0" w:hanging="864" w:firstLineChars="0"/>
        <w:rPr>
          <w:rFonts w:hint="default"/>
          <w:b/>
          <w:bCs w:val="0"/>
          <w:lang w:val="en-US" w:eastAsia="zh-CN"/>
        </w:rPr>
      </w:pPr>
      <w:r>
        <w:rPr>
          <w:rFonts w:hint="eastAsia"/>
          <w:b/>
          <w:bCs w:val="0"/>
          <w:lang w:val="en-US" w:eastAsia="zh-CN"/>
        </w:rPr>
        <w:t>4.4.4.2顶升作业注意事项</w:t>
      </w:r>
    </w:p>
    <w:p w14:paraId="7B36177A">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塔机最高处风速大于 </w:t>
      </w:r>
      <w:r>
        <w:rPr>
          <w:rFonts w:hint="default" w:ascii="Times New Roman" w:hAnsi="Times New Roman" w:eastAsia="宋体" w:cs="Times New Roman"/>
          <w:color w:val="000000"/>
          <w:kern w:val="0"/>
          <w:sz w:val="24"/>
          <w:szCs w:val="24"/>
          <w:lang w:val="en-US" w:eastAsia="zh-CN" w:bidi="ar"/>
        </w:rPr>
        <w:t xml:space="preserve">12m/s </w:t>
      </w:r>
      <w:r>
        <w:rPr>
          <w:rFonts w:hint="eastAsia" w:ascii="宋体" w:hAnsi="宋体" w:eastAsia="宋体" w:cs="宋体"/>
          <w:color w:val="000000"/>
          <w:kern w:val="0"/>
          <w:sz w:val="24"/>
          <w:szCs w:val="24"/>
          <w:lang w:val="en-US" w:eastAsia="zh-CN" w:bidi="ar"/>
        </w:rPr>
        <w:t xml:space="preserve">时，不得进行顶升作业； </w:t>
      </w:r>
    </w:p>
    <w:p w14:paraId="0080B10C">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塔机的爬升机构，其爬升作业时应确保爬升架上支承在塔身上的受力部位与塔身顶升 支承部位应可靠定位和结合。并应及时查看顶升支承部位焊缝情况，若有异常情况应排除后才能继续进行爬升作业； </w:t>
      </w:r>
    </w:p>
    <w:p w14:paraId="7ABCA8D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顶升过程中必须保证起重臂与引入标准节方向一致，并利用回转机构制动器将起重臂 制动住，载重小车必须停靠在顶升配平位置； </w:t>
      </w:r>
    </w:p>
    <w:p w14:paraId="2E4DB18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若要连续加高几节标准节，则每加完一节后，用塔机自身起吊下一节标准节前，塔身 </w:t>
      </w:r>
      <w:r>
        <w:rPr>
          <w:rFonts w:hint="default" w:ascii="Times New Roman" w:hAnsi="Times New Roman" w:eastAsia="宋体" w:cs="Times New Roman"/>
          <w:color w:val="000000"/>
          <w:kern w:val="0"/>
          <w:sz w:val="24"/>
          <w:szCs w:val="24"/>
          <w:lang w:val="en-US" w:eastAsia="zh-CN" w:bidi="ar"/>
        </w:rPr>
        <w:t xml:space="preserve">4 </w:t>
      </w:r>
      <w:r>
        <w:rPr>
          <w:rFonts w:hint="eastAsia" w:ascii="宋体" w:hAnsi="宋体" w:eastAsia="宋体" w:cs="宋体"/>
          <w:color w:val="000000"/>
          <w:kern w:val="0"/>
          <w:sz w:val="24"/>
          <w:szCs w:val="24"/>
          <w:lang w:val="en-US" w:eastAsia="zh-CN" w:bidi="ar"/>
        </w:rPr>
        <w:t xml:space="preserve">个主弦杆和特殊节必须有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 xml:space="preserve">个安全销轴连接； </w:t>
      </w:r>
    </w:p>
    <w:p w14:paraId="7AE7CFD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所加标准节上的踏步，必须与已有塔身节对正； </w:t>
      </w:r>
    </w:p>
    <w:p w14:paraId="79FA2AA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在特殊节与塔身没有用销轴连接好之前，严禁起重臂回转、载重小车变幅和吊装作业； </w:t>
      </w:r>
    </w:p>
    <w:p w14:paraId="0221706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在顶升过程中，若液压顶升系统出现异常，应立即停止顶升，收回油缸，将特殊节落在塔身顶部，并用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根销轴将特殊节与塔身连接牢靠后，再排除液压系统的故障；</w:t>
      </w:r>
    </w:p>
    <w:p w14:paraId="2A87BE75">
      <w:pPr>
        <w:bidi w:val="0"/>
        <w:rPr>
          <w:rFonts w:hint="eastAsia"/>
        </w:rPr>
      </w:pPr>
      <w:r>
        <w:rPr>
          <w:rFonts w:hint="eastAsia" w:ascii="宋体" w:hAnsi="宋体" w:eastAsia="宋体" w:cs="宋体"/>
          <w:color w:val="000000"/>
          <w:kern w:val="0"/>
          <w:sz w:val="24"/>
          <w:szCs w:val="24"/>
          <w:lang w:val="en-US" w:eastAsia="zh-CN" w:bidi="ar"/>
        </w:rPr>
        <w:t>塔机加节达到所需工作高度（但不超过独立高度）后，应旋转起重臂至不同的角度， 检查塔身各接头处销轴的装配、基础支脚处螺栓的拧紧问题。</w:t>
      </w:r>
      <w:r>
        <w:rPr>
          <w:rFonts w:hint="eastAsia"/>
          <w:lang w:val="en-US" w:eastAsia="zh-CN"/>
        </w:rPr>
        <w:t xml:space="preserve">钢丝绳防脱装置 </w:t>
      </w:r>
    </w:p>
    <w:p w14:paraId="4A0C8F9C">
      <w:pPr>
        <w:keepNext w:val="0"/>
        <w:keepLines w:val="0"/>
        <w:widowControl/>
        <w:suppressLineNumbers w:val="0"/>
        <w:jc w:val="left"/>
        <w:rPr>
          <w:rFonts w:hint="eastAsia"/>
          <w:b/>
          <w:bCs/>
          <w:color w:val="FF0000"/>
          <w:kern w:val="44"/>
          <w:sz w:val="28"/>
          <w:szCs w:val="44"/>
          <w:lang w:val="en-US" w:eastAsia="zh-CN"/>
        </w:rPr>
      </w:pPr>
      <w:r>
        <w:rPr>
          <w:rFonts w:hint="eastAsia" w:ascii="宋体" w:hAnsi="宋体" w:eastAsia="宋体" w:cs="宋体"/>
          <w:b w:val="0"/>
          <w:bCs w:val="0"/>
          <w:color w:val="000000"/>
          <w:kern w:val="0"/>
          <w:sz w:val="24"/>
          <w:szCs w:val="24"/>
          <w:lang w:val="en-US" w:eastAsia="zh-CN" w:bidi="ar"/>
        </w:rPr>
        <w:t>该塔机的滑轮、起升卷筒均设有钢丝绳防脱装置，该装置表面与滑轮或卷筒侧板外缘间的间隙不超过钢丝绳直径的 20% ,该装置可能与钢丝绳接触的表面没有棱角，目测检验防脱是否有效。</w:t>
      </w:r>
    </w:p>
    <w:p w14:paraId="3078A9E6">
      <w:pPr>
        <w:pStyle w:val="5"/>
        <w:bidi w:val="0"/>
        <w:ind w:left="864" w:leftChars="0" w:hanging="864" w:firstLineChars="0"/>
        <w:rPr>
          <w:b/>
          <w:bCs w:val="0"/>
        </w:rPr>
      </w:pPr>
      <w:r>
        <w:rPr>
          <w:rFonts w:hint="eastAsia"/>
          <w:b/>
          <w:bCs w:val="0"/>
          <w:lang w:val="en-US" w:eastAsia="zh-CN"/>
        </w:rPr>
        <w:t>4.4.4.3</w:t>
      </w:r>
      <w:r>
        <w:rPr>
          <w:rFonts w:hint="eastAsia"/>
          <w:b/>
          <w:bCs w:val="0"/>
        </w:rPr>
        <w:t>顶升时的配平</w:t>
      </w:r>
    </w:p>
    <w:p w14:paraId="7A841E28">
      <w:pPr>
        <w:spacing w:line="240" w:lineRule="auto"/>
        <w:jc w:val="left"/>
        <w:rPr>
          <w:rFonts w:hint="eastAsia" w:eastAsia="宋体"/>
          <w:b/>
          <w:sz w:val="21"/>
          <w:lang w:eastAsia="zh-CN"/>
        </w:rPr>
      </w:pPr>
      <w:r>
        <w:rPr>
          <w:rFonts w:hint="eastAsia" w:eastAsia="宋体"/>
          <w:b/>
          <w:sz w:val="21"/>
          <w:lang w:eastAsia="zh-CN"/>
        </w:rPr>
        <w:drawing>
          <wp:inline distT="0" distB="0" distL="114300" distR="114300">
            <wp:extent cx="2578100" cy="2991485"/>
            <wp:effectExtent l="0" t="0" r="12700" b="18415"/>
            <wp:docPr id="84" name="图片 84" descr="17206793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720679320783"/>
                    <pic:cNvPicPr>
                      <a:picLocks noChangeAspect="1"/>
                    </pic:cNvPicPr>
                  </pic:nvPicPr>
                  <pic:blipFill>
                    <a:blip r:embed="rId53"/>
                    <a:stretch>
                      <a:fillRect/>
                    </a:stretch>
                  </pic:blipFill>
                  <pic:spPr>
                    <a:xfrm>
                      <a:off x="0" y="0"/>
                      <a:ext cx="2578100" cy="2991485"/>
                    </a:xfrm>
                    <a:prstGeom prst="rect">
                      <a:avLst/>
                    </a:prstGeom>
                  </pic:spPr>
                </pic:pic>
              </a:graphicData>
            </a:graphic>
          </wp:inline>
        </w:drawing>
      </w:r>
      <w:r>
        <w:rPr>
          <w:rFonts w:hint="eastAsia"/>
          <w:lang w:eastAsia="zh-CN"/>
        </w:rPr>
        <w:drawing>
          <wp:inline distT="0" distB="0" distL="114300" distR="114300">
            <wp:extent cx="1999615" cy="3013075"/>
            <wp:effectExtent l="0" t="0" r="635" b="15875"/>
            <wp:docPr id="205" name="图片 205" descr="1720679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720679417501"/>
                    <pic:cNvPicPr>
                      <a:picLocks noChangeAspect="1"/>
                    </pic:cNvPicPr>
                  </pic:nvPicPr>
                  <pic:blipFill>
                    <a:blip r:embed="rId54"/>
                    <a:stretch>
                      <a:fillRect/>
                    </a:stretch>
                  </pic:blipFill>
                  <pic:spPr>
                    <a:xfrm>
                      <a:off x="0" y="0"/>
                      <a:ext cx="1999615" cy="3013075"/>
                    </a:xfrm>
                    <a:prstGeom prst="rect">
                      <a:avLst/>
                    </a:prstGeom>
                  </pic:spPr>
                </pic:pic>
              </a:graphicData>
            </a:graphic>
          </wp:inline>
        </w:drawing>
      </w:r>
    </w:p>
    <w:p w14:paraId="7719812F">
      <w:pPr>
        <w:pStyle w:val="15"/>
        <w:bidi w:val="0"/>
        <w:rPr>
          <w:rFonts w:hint="eastAsia" w:ascii="Times New Roman" w:hAnsi="Times New Roman" w:cs="Times New Roman"/>
          <w:highlight w:val="none"/>
          <w:lang w:val="en-US" w:eastAsia="zh-CN"/>
        </w:rPr>
      </w:pPr>
      <w:r>
        <w:rPr>
          <w:rFonts w:ascii="Times New Roman" w:hAnsi="Times New Roman" w:cs="Times New Roman"/>
          <w:highlight w:val="none"/>
        </w:rPr>
        <w:t>图4-</w:t>
      </w:r>
      <w:r>
        <w:rPr>
          <w:rFonts w:ascii="Times New Roman" w:hAnsi="Times New Roman" w:cs="Times New Roman"/>
          <w:highlight w:val="none"/>
        </w:rPr>
        <w:fldChar w:fldCharType="begin"/>
      </w:r>
      <w:r>
        <w:rPr>
          <w:rFonts w:ascii="Times New Roman" w:hAnsi="Times New Roman" w:cs="Times New Roman"/>
          <w:highlight w:val="none"/>
        </w:rPr>
        <w:instrText xml:space="preserve"> SEQ 图4- \* ARABIC </w:instrText>
      </w:r>
      <w:r>
        <w:rPr>
          <w:rFonts w:ascii="Times New Roman" w:hAnsi="Times New Roman" w:cs="Times New Roman"/>
          <w:highlight w:val="none"/>
        </w:rPr>
        <w:fldChar w:fldCharType="separate"/>
      </w:r>
      <w:r>
        <w:rPr>
          <w:rFonts w:ascii="Times New Roman" w:hAnsi="Times New Roman" w:cs="Times New Roman"/>
          <w:highlight w:val="none"/>
        </w:rPr>
        <w:t>20</w:t>
      </w:r>
      <w:r>
        <w:rPr>
          <w:rFonts w:ascii="Times New Roman" w:hAnsi="Times New Roman" w:cs="Times New Roman"/>
          <w:highlight w:val="none"/>
        </w:rPr>
        <w:fldChar w:fldCharType="end"/>
      </w:r>
      <w:r>
        <w:rPr>
          <w:rFonts w:hint="eastAsia" w:ascii="Times New Roman" w:hAnsi="Times New Roman" w:cs="Times New Roman"/>
          <w:highlight w:val="none"/>
          <w:lang w:val="en-US" w:eastAsia="zh-CN"/>
        </w:rPr>
        <w:t xml:space="preserve"> 标准节引进示意图</w:t>
      </w:r>
    </w:p>
    <w:p w14:paraId="3F3524F0">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（1）塔机配平前，必须先吊一节标准节放在下支座的引进横梁上（标准节的平台、平台栏杆和爬梯要固定好），钢丝绳挂在标准节的对角吊耳上，再将载重小车吊一节标准节运行到配平参考位置见表4.4.14.3-</w:t>
      </w:r>
      <w:r>
        <w:rPr>
          <w:rFonts w:hint="eastAsia" w:ascii="宋体" w:hAnsi="宋体" w:cs="宋体"/>
          <w:b w:val="0"/>
          <w:bCs w:val="0"/>
          <w:color w:val="000000"/>
          <w:kern w:val="0"/>
          <w:sz w:val="24"/>
          <w:szCs w:val="24"/>
          <w:lang w:val="en-US" w:eastAsia="zh-CN" w:bidi="ar"/>
        </w:rPr>
        <w:t>3</w:t>
      </w:r>
      <w:r>
        <w:rPr>
          <w:rFonts w:hint="eastAsia" w:ascii="宋体" w:hAnsi="宋体" w:eastAsia="宋体" w:cs="宋体"/>
          <w:b w:val="0"/>
          <w:bCs w:val="0"/>
          <w:color w:val="000000"/>
          <w:kern w:val="0"/>
          <w:sz w:val="24"/>
          <w:szCs w:val="24"/>
          <w:lang w:val="en-US" w:eastAsia="zh-CN" w:bidi="ar"/>
        </w:rPr>
        <w:t>，然后拆除</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 xml:space="preserve"> 4 个支腿与标准节连接的 8 个销轴。</w:t>
      </w:r>
    </w:p>
    <w:p w14:paraId="218BD96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（2）将液压顶升系统操纵杆推至“顶升”方向，使套架顶升至</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支腿刚刚脱离塔身的主弦杆的位置。</w:t>
      </w:r>
    </w:p>
    <w:p w14:paraId="324FB0D4">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（3）通过检验</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1F76FB7A">
      <w:pPr>
        <w:pStyle w:val="15"/>
        <w:bidi w:val="0"/>
        <w:rPr>
          <w:rFonts w:hint="default" w:ascii="Times New Roman" w:hAnsi="Times New Roman" w:cs="Times New Roman"/>
          <w:highlight w:val="none"/>
          <w:lang w:val="en-US" w:eastAsia="zh-CN"/>
        </w:rPr>
      </w:pPr>
      <w:r>
        <w:rPr>
          <w:highlight w:val="none"/>
        </w:rPr>
        <w:t>表4-</w:t>
      </w:r>
      <w:r>
        <w:rPr>
          <w:highlight w:val="none"/>
        </w:rPr>
        <w:fldChar w:fldCharType="begin"/>
      </w:r>
      <w:r>
        <w:rPr>
          <w:highlight w:val="none"/>
        </w:rPr>
        <w:instrText xml:space="preserve"> SEQ 表4- \* ARABIC </w:instrText>
      </w:r>
      <w:r>
        <w:rPr>
          <w:highlight w:val="none"/>
        </w:rPr>
        <w:fldChar w:fldCharType="separate"/>
      </w:r>
      <w:r>
        <w:rPr>
          <w:highlight w:val="none"/>
        </w:rPr>
        <w:t>4</w:t>
      </w:r>
      <w:r>
        <w:rPr>
          <w:highlight w:val="none"/>
        </w:rPr>
        <w:fldChar w:fldCharType="end"/>
      </w:r>
      <w:r>
        <w:rPr>
          <w:rFonts w:hint="eastAsia"/>
          <w:highlight w:val="none"/>
          <w:lang w:val="en-US" w:eastAsia="zh-CN"/>
        </w:rPr>
        <w:t xml:space="preserve"> </w:t>
      </w:r>
      <w:r>
        <w:rPr>
          <w:rFonts w:hint="eastAsia" w:ascii="Times New Roman" w:hAnsi="Times New Roman" w:cs="Times New Roman"/>
          <w:highlight w:val="none"/>
          <w:lang w:val="en-US" w:eastAsia="zh-CN"/>
        </w:rPr>
        <w:t>不同臂长理论顶升配平位置表</w:t>
      </w:r>
    </w:p>
    <w:p w14:paraId="5700CAD0">
      <w:pPr>
        <w:pStyle w:val="27"/>
        <w:jc w:val="center"/>
        <w:rPr>
          <w:b/>
          <w:sz w:val="21"/>
        </w:rPr>
      </w:pPr>
      <w:r>
        <w:drawing>
          <wp:inline distT="0" distB="0" distL="114300" distR="114300">
            <wp:extent cx="5268595" cy="3154680"/>
            <wp:effectExtent l="0" t="0" r="8255" b="7620"/>
            <wp:docPr id="2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6"/>
                    <pic:cNvPicPr>
                      <a:picLocks noChangeAspect="1"/>
                    </pic:cNvPicPr>
                  </pic:nvPicPr>
                  <pic:blipFill>
                    <a:blip r:embed="rId55"/>
                    <a:stretch>
                      <a:fillRect/>
                    </a:stretch>
                  </pic:blipFill>
                  <pic:spPr>
                    <a:xfrm>
                      <a:off x="0" y="0"/>
                      <a:ext cx="5268595" cy="3154680"/>
                    </a:xfrm>
                    <a:prstGeom prst="rect">
                      <a:avLst/>
                    </a:prstGeom>
                    <a:noFill/>
                    <a:ln>
                      <a:noFill/>
                    </a:ln>
                  </pic:spPr>
                </pic:pic>
              </a:graphicData>
            </a:graphic>
          </wp:inline>
        </w:drawing>
      </w:r>
      <w:r>
        <w:drawing>
          <wp:inline distT="0" distB="0" distL="114300" distR="114300">
            <wp:extent cx="4711700" cy="1301750"/>
            <wp:effectExtent l="0" t="0" r="12700" b="12700"/>
            <wp:docPr id="7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0"/>
                    <pic:cNvPicPr>
                      <a:picLocks noChangeAspect="1"/>
                    </pic:cNvPicPr>
                  </pic:nvPicPr>
                  <pic:blipFill>
                    <a:blip r:embed="rId56"/>
                    <a:stretch>
                      <a:fillRect/>
                    </a:stretch>
                  </pic:blipFill>
                  <pic:spPr>
                    <a:xfrm>
                      <a:off x="0" y="0"/>
                      <a:ext cx="4711700" cy="1301750"/>
                    </a:xfrm>
                    <a:prstGeom prst="rect">
                      <a:avLst/>
                    </a:prstGeom>
                    <a:noFill/>
                    <a:ln>
                      <a:noFill/>
                    </a:ln>
                  </pic:spPr>
                </pic:pic>
              </a:graphicData>
            </a:graphic>
          </wp:inline>
        </w:drawing>
      </w:r>
    </w:p>
    <w:p w14:paraId="216F5BE0">
      <w:pPr>
        <w:pStyle w:val="15"/>
        <w:bidi w:val="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图4-</w:t>
      </w:r>
      <w:r>
        <w:rPr>
          <w:rFonts w:hint="eastAsia" w:ascii="Times New Roman" w:hAnsi="Times New Roman" w:cs="Times New Roman"/>
          <w:highlight w:val="none"/>
          <w:lang w:val="en-US" w:eastAsia="zh-CN"/>
        </w:rPr>
        <w:fldChar w:fldCharType="begin"/>
      </w:r>
      <w:r>
        <w:rPr>
          <w:rFonts w:hint="eastAsia" w:ascii="Times New Roman" w:hAnsi="Times New Roman" w:cs="Times New Roman"/>
          <w:highlight w:val="none"/>
          <w:lang w:val="en-US" w:eastAsia="zh-CN"/>
        </w:rPr>
        <w:instrText xml:space="preserve"> SEQ 图4- \* ARABIC </w:instrText>
      </w:r>
      <w:r>
        <w:rPr>
          <w:rFonts w:hint="eastAsia" w:ascii="Times New Roman" w:hAnsi="Times New Roman" w:cs="Times New Roman"/>
          <w:highlight w:val="none"/>
          <w:lang w:val="en-US" w:eastAsia="zh-CN"/>
        </w:rPr>
        <w:fldChar w:fldCharType="separate"/>
      </w:r>
      <w:r>
        <w:rPr>
          <w:rFonts w:hint="eastAsia" w:ascii="Times New Roman" w:hAnsi="Times New Roman" w:cs="Times New Roman"/>
          <w:highlight w:val="none"/>
          <w:lang w:val="en-US" w:eastAsia="zh-CN"/>
        </w:rPr>
        <w:t>21</w:t>
      </w:r>
      <w:r>
        <w:rPr>
          <w:rFonts w:hint="eastAsia" w:ascii="Times New Roman" w:hAnsi="Times New Roman" w:cs="Times New Roman"/>
          <w:highlight w:val="none"/>
          <w:lang w:val="en-US" w:eastAsia="zh-CN"/>
        </w:rPr>
        <w:fldChar w:fldCharType="end"/>
      </w:r>
      <w:r>
        <w:rPr>
          <w:rFonts w:hint="eastAsia" w:ascii="Times New Roman" w:hAnsi="Times New Roman" w:cs="Times New Roman"/>
          <w:highlight w:val="none"/>
          <w:lang w:val="en-US" w:eastAsia="zh-CN"/>
        </w:rPr>
        <w:t xml:space="preserve">  顶升前配平示意图</w:t>
      </w:r>
    </w:p>
    <w:p w14:paraId="3D7961C4">
      <w:pPr>
        <w:pStyle w:val="5"/>
        <w:bidi w:val="0"/>
        <w:ind w:left="864" w:leftChars="0" w:hanging="864" w:firstLineChars="0"/>
        <w:rPr>
          <w:b/>
          <w:bCs w:val="0"/>
        </w:rPr>
      </w:pPr>
      <w:r>
        <w:rPr>
          <w:rFonts w:hint="eastAsia"/>
          <w:b/>
          <w:bCs w:val="0"/>
          <w:lang w:val="en-US" w:eastAsia="zh-CN"/>
        </w:rPr>
        <w:t>4.4.4.4</w:t>
      </w:r>
      <w:r>
        <w:rPr>
          <w:rFonts w:hint="eastAsia"/>
          <w:b/>
          <w:bCs w:val="0"/>
        </w:rPr>
        <w:t>顶升作业</w:t>
      </w:r>
    </w:p>
    <w:p w14:paraId="0D508CB5">
      <w:pPr>
        <w:keepNext w:val="0"/>
        <w:keepLines w:val="0"/>
        <w:widowControl/>
        <w:suppressLineNumbers w:val="0"/>
        <w:ind w:firstLine="720" w:firstLineChars="3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顶升作业为多人配合作业，专人负责操作泵站、其余人负责操作标准节及销轴。</w:t>
      </w:r>
    </w:p>
    <w:p w14:paraId="0CD142E7">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（1）按在引进梁上吊挂标准节的方法将一节标准节吊挂在引进梁上，并保证标准节上端面与引进小车下端面的距离在 100～250mm 之间。</w:t>
      </w:r>
    </w:p>
    <w:p w14:paraId="2BA70BF6">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再吊配平标准节，将载重小车开至顶升平衡位置，塔机处于配平状态。</w:t>
      </w:r>
    </w:p>
    <w:p w14:paraId="046C20BA">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使用回转机构上的回转制动器，将塔机上部机构处于制动状态；</w:t>
      </w:r>
    </w:p>
    <w:p w14:paraId="608D9612">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（4）卸下塔身顶部与下支座连接的顶升用临时销轴。</w:t>
      </w:r>
    </w:p>
    <w:p w14:paraId="62C3F913">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开动液压顶升系统，使油缸活塞杆伸出，将顶升横梁两端的止动靴挂在距顶升横梁最近的塔身节踏步上（要设专人负责观察顶升横梁两端止动靴都必须落入踏步圆弧槽内）；</w:t>
      </w:r>
    </w:p>
    <w:p w14:paraId="4E5CAB2A">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（6）打开套架上止动靴操纵杆，使套架止动靴与塔身分开，继续顶升，将套架及以上部分顶起 0.1~0.5m 时停止。</w:t>
      </w:r>
    </w:p>
    <w:p w14:paraId="26CDBCC6">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（7） 当液压油缸活塞接近下止点位置时，推动套架止动靴操纵杆使上止动靴挂入踏步上的圆弧槽内，使塔机套架以上部分临时固定在顶升踏步上。</w:t>
      </w:r>
    </w:p>
    <w:p w14:paraId="5D660675">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（8）将顶升横梁上的止动靴从塔身节踏步上脱开。</w:t>
      </w:r>
    </w:p>
    <w:p w14:paraId="5F8FF206">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（9） 液压泵站操纵杆搬向“向下”位置，使顶升横梁收回。在收回的过程中，注意不要使顶升梁与塔身上螺栓或鱼尾板卡住，防止造成事故。</w:t>
      </w:r>
    </w:p>
    <w:p w14:paraId="6CFDB62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（10）当顶升横梁止动靴开口与上一级顶升踏步对齐时，搬动顶升横梁止动靴使其挂入顶升踏步上。</w:t>
      </w:r>
    </w:p>
    <w:p w14:paraId="0BA56732">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 打开顶升套架上止动靴操纵杆，使套架止动靴与塔身分开，液压泵站操纵杆搬向“向上”位置，继续顶升。</w:t>
      </w:r>
    </w:p>
    <w:p w14:paraId="1B7D5881">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该过程要重复三次方能形成可将一节标准节放进顶升套架内的空间。</w:t>
      </w:r>
    </w:p>
    <w:p w14:paraId="4FBE2034">
      <w:pPr>
        <w:pStyle w:val="5"/>
        <w:bidi w:val="0"/>
        <w:ind w:left="864" w:leftChars="0" w:hanging="864" w:firstLineChars="0"/>
        <w:rPr>
          <w:b/>
          <w:bCs w:val="0"/>
        </w:rPr>
      </w:pPr>
      <w:r>
        <w:rPr>
          <w:rFonts w:hint="eastAsia"/>
          <w:b/>
          <w:bCs w:val="0"/>
          <w:lang w:val="en-US" w:eastAsia="zh-CN"/>
        </w:rPr>
        <w:t>4.4.4.5</w:t>
      </w:r>
      <w:r>
        <w:rPr>
          <w:rFonts w:hint="eastAsia"/>
          <w:b/>
          <w:bCs w:val="0"/>
        </w:rPr>
        <w:t>引进标准节作业</w:t>
      </w:r>
    </w:p>
    <w:p w14:paraId="407BF838">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 当顶升第三循环接近完成、顶升套架内空间可以容纳标准节时，将挂在引进梁上的标准节轻轻推向塔身、引入套架内；</w:t>
      </w:r>
    </w:p>
    <w:p w14:paraId="2CE0158E">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液压泵站操纵杆搬向“向下”位置，引进的标准节下端与塔身原标准节上端鱼尾板对齐相联，打入 8 个标准节联接销轴，并用锁销固定。在联接标准节时注意使两标准节上爬梯对正，上下插接在一起。</w:t>
      </w:r>
    </w:p>
    <w:p w14:paraId="561964E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拆下引进小车上 4 根固定标准节的螺栓，将螺栓装在引进小车吊环内。向外推出引进小车至标准节以外位置；</w:t>
      </w:r>
    </w:p>
    <w:p w14:paraId="793ED7D4">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 继续下降顶升套架使下支座 4 个支腿落在新安装好的标准节上端鱼尾板内。用顶升套架上附带的四个临时固定销轴将下支座与标准节联接起来；</w:t>
      </w:r>
    </w:p>
    <w:p w14:paraId="638B7E99">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重复上述顶升程序，直到塔机顶升作业完成为止。</w:t>
      </w:r>
    </w:p>
    <w:p w14:paraId="7C463D73">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注意： 在 4 个临时销轴没有安装以前， 塔机不能做任何动作 （包括小车、 起升和回转）。否则有可能造成塔机倾翻的事故。</w:t>
      </w:r>
    </w:p>
    <w:p w14:paraId="180732BD">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关于顶升用临时销轴的说明：</w:t>
      </w:r>
    </w:p>
    <w:p w14:paraId="5E9D1DDA">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为方便顶升作业，配有 4 个临时销轴，此销轴直径比标准节销轴小 2mm 。此销轴只做顶升时联接下支座与塔身用， 塔机正式作业时不允许用此销轴替代标准节销轴。</w:t>
      </w:r>
    </w:p>
    <w:p w14:paraId="09392587">
      <w:pPr>
        <w:pStyle w:val="5"/>
        <w:bidi w:val="0"/>
        <w:ind w:left="864" w:leftChars="0" w:hanging="864" w:firstLineChars="0"/>
        <w:rPr>
          <w:rFonts w:hint="eastAsia"/>
          <w:b/>
          <w:bCs w:val="0"/>
          <w:lang w:val="en-US" w:eastAsia="zh-CN"/>
        </w:rPr>
      </w:pPr>
      <w:r>
        <w:rPr>
          <w:rFonts w:hint="eastAsia"/>
          <w:b/>
          <w:bCs w:val="0"/>
          <w:lang w:val="en-US" w:eastAsia="zh-CN"/>
        </w:rPr>
        <w:t>4.4.4.6顶升过程的注意事项</w:t>
      </w:r>
    </w:p>
    <w:p w14:paraId="41B0DEC9">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 xml:space="preserve"> 塔机最高处风速大于 12m/s 时，不得进行顶升作业；</w:t>
      </w:r>
    </w:p>
    <w:p w14:paraId="35351AEA">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塔机的爬升机构，其爬升作业时应确保套架上支承在塔身上的受力部位与塔身顶升支承部位应可靠定位和结合。并应及时查看顶升支承部位焊缝情况，若有异常情况应排除后才能继续进行爬升作业。</w:t>
      </w:r>
    </w:p>
    <w:p w14:paraId="75371B6A">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 xml:space="preserve"> 顶升过程中必须保证起重臂与引入标准节方向一致，并利用回转机构制动器将起重臂制动住，载重小车必须停靠在顶升配平位置；</w:t>
      </w:r>
    </w:p>
    <w:p w14:paraId="66DE1647">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所加标准节上的踏步，必须与已有塔身节对正；</w:t>
      </w:r>
    </w:p>
    <w:p w14:paraId="120E0C34">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 xml:space="preserve"> 在下支座与塔身没有用销轴连接好之前，严禁起重臂回转、载重小车变幅和吊装作业；</w:t>
      </w:r>
    </w:p>
    <w:p w14:paraId="1E769B32">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在顶升过程中，若液压顶升系统出现异常，应立即停止顶升，收回油缸，将下支座落在塔身顶部，并用 8 个销轴将下支座与塔身连接牢靠后，再排除液压系统的故障；</w:t>
      </w:r>
    </w:p>
    <w:p w14:paraId="2C6DECAE">
      <w:pPr>
        <w:pStyle w:val="5"/>
        <w:bidi w:val="0"/>
        <w:ind w:left="864" w:leftChars="0" w:hanging="864" w:firstLineChars="0"/>
        <w:rPr>
          <w:rFonts w:hint="eastAsia"/>
          <w:b/>
          <w:bCs w:val="0"/>
          <w:lang w:val="en-US" w:eastAsia="zh-CN"/>
        </w:rPr>
      </w:pPr>
      <w:r>
        <w:rPr>
          <w:rFonts w:hint="eastAsia"/>
          <w:b/>
          <w:bCs w:val="0"/>
          <w:lang w:val="en-US" w:eastAsia="zh-CN"/>
        </w:rPr>
        <w:t>4.4.4.7顶升作业完成后注意事项</w:t>
      </w:r>
    </w:p>
    <w:p w14:paraId="6629786F">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引进小车不要放在塔身内；</w:t>
      </w:r>
    </w:p>
    <w:p w14:paraId="22756E23">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必要时可以放下引进梁；</w:t>
      </w:r>
    </w:p>
    <w:p w14:paraId="57FF5F85">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下支座与塔身必须用 8 个标准节销轴联接好并用锁销固定；</w:t>
      </w:r>
    </w:p>
    <w:p w14:paraId="3585E0E1">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顶升梁必须轻挂在最后一级顶升踏步上，注意要使液压油缸卸荷；</w:t>
      </w:r>
    </w:p>
    <w:p w14:paraId="64E56198">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拆掉液压泵站的电源线，整理好塔机电源随线；</w:t>
      </w:r>
    </w:p>
    <w:p w14:paraId="5BC75AF9">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整个塔机安装完毕后，将套架降到塔身最底部，固定牢固，以降低风载；</w:t>
      </w:r>
    </w:p>
    <w:p w14:paraId="43AC84BF">
      <w:pPr>
        <w:widowControl w:val="0"/>
        <w:spacing w:line="240" w:lineRule="auto"/>
        <w:ind w:firstLine="0" w:firstLineChars="0"/>
        <w:jc w:val="center"/>
        <w:rPr>
          <w:rFonts w:hint="eastAsia" w:eastAsia="宋体"/>
          <w:lang w:eastAsia="zh-CN"/>
        </w:rPr>
      </w:pPr>
    </w:p>
    <w:p w14:paraId="6417378F">
      <w:pPr>
        <w:pStyle w:val="4"/>
        <w:tabs>
          <w:tab w:val="left" w:pos="0"/>
        </w:tabs>
        <w:bidi w:val="0"/>
        <w:ind w:left="720" w:leftChars="0" w:hanging="720" w:firstLineChars="0"/>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4.4.5塔机附着</w:t>
      </w:r>
    </w:p>
    <w:p w14:paraId="5A2B8296">
      <w:pPr>
        <w:pStyle w:val="5"/>
        <w:bidi w:val="0"/>
        <w:ind w:left="864" w:leftChars="0" w:hanging="864" w:firstLineChars="0"/>
        <w:rPr>
          <w:rFonts w:hint="eastAsia" w:ascii="宋体" w:hAnsi="宋体" w:eastAsia="宋体"/>
          <w:b/>
          <w:bCs w:val="0"/>
          <w:lang w:val="en-US" w:eastAsia="zh-CN"/>
        </w:rPr>
      </w:pPr>
      <w:r>
        <w:rPr>
          <w:rFonts w:hint="eastAsia" w:ascii="宋体" w:hAnsi="宋体" w:eastAsia="宋体"/>
          <w:b/>
          <w:bCs w:val="0"/>
          <w:lang w:val="en-US" w:eastAsia="zh-CN"/>
        </w:rPr>
        <w:t>4.4.5.1塔吊附着布置</w:t>
      </w:r>
    </w:p>
    <w:p w14:paraId="6DF6C49D">
      <w:pPr>
        <w:ind w:firstLine="480"/>
        <w:rPr>
          <w:rFonts w:hint="eastAsia" w:ascii="Times New Roman" w:hAnsi="Times New Roman" w:eastAsia="宋体" w:cs="Times New Roman"/>
          <w:color w:val="000000"/>
        </w:rPr>
      </w:pPr>
      <w:r>
        <w:rPr>
          <w:rFonts w:hint="eastAsia" w:ascii="Times New Roman" w:hAnsi="Times New Roman" w:eastAsia="宋体" w:cs="Times New Roman"/>
          <w:color w:val="000000"/>
          <w:lang w:val="en-US" w:eastAsia="zh-CN"/>
        </w:rPr>
        <w:t>塔机</w:t>
      </w:r>
      <w:r>
        <w:rPr>
          <w:rFonts w:hint="eastAsia" w:ascii="Times New Roman" w:hAnsi="Times New Roman" w:eastAsia="宋体" w:cs="Times New Roman"/>
          <w:color w:val="000000"/>
        </w:rPr>
        <w:t>设置</w:t>
      </w:r>
      <w:r>
        <w:rPr>
          <w:rFonts w:hint="eastAsia" w:ascii="Times New Roman" w:hAnsi="Times New Roman" w:cs="Times New Roman"/>
          <w:color w:val="000000"/>
          <w:lang w:val="en-US" w:eastAsia="zh-CN"/>
        </w:rPr>
        <w:t>1</w:t>
      </w:r>
      <w:r>
        <w:rPr>
          <w:rFonts w:hint="eastAsia" w:ascii="Times New Roman" w:hAnsi="Times New Roman" w:eastAsia="宋体" w:cs="Times New Roman"/>
          <w:color w:val="000000"/>
        </w:rPr>
        <w:t>道附着，附着平面布置见下图所示。</w:t>
      </w:r>
    </w:p>
    <w:p w14:paraId="421BE18D">
      <w:pPr>
        <w:pStyle w:val="12"/>
        <w:jc w:val="center"/>
        <w:rPr>
          <w:rFonts w:hint="eastAsia" w:ascii="Times New Roman" w:hAnsi="Times New Roman" w:eastAsia="宋体" w:cs="Times New Roman"/>
          <w:color w:val="000000"/>
        </w:rPr>
      </w:pPr>
    </w:p>
    <w:p w14:paraId="0CC78A3C">
      <w:pPr>
        <w:pStyle w:val="13"/>
        <w:jc w:val="center"/>
        <w:rPr>
          <w:rFonts w:hint="eastAsia" w:ascii="Times New Roman" w:hAnsi="Times New Roman" w:eastAsia="宋体" w:cs="Times New Roman"/>
          <w:color w:val="000000"/>
          <w:lang w:eastAsia="zh-CN"/>
        </w:rPr>
      </w:pPr>
      <w:r>
        <w:drawing>
          <wp:inline distT="0" distB="0" distL="114300" distR="114300">
            <wp:extent cx="4365625" cy="3154045"/>
            <wp:effectExtent l="0" t="0" r="15875" b="8255"/>
            <wp:docPr id="20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4"/>
                    <pic:cNvPicPr>
                      <a:picLocks noChangeAspect="1"/>
                    </pic:cNvPicPr>
                  </pic:nvPicPr>
                  <pic:blipFill>
                    <a:blip r:embed="rId57"/>
                    <a:srcRect b="4491"/>
                    <a:stretch>
                      <a:fillRect/>
                    </a:stretch>
                  </pic:blipFill>
                  <pic:spPr>
                    <a:xfrm>
                      <a:off x="0" y="0"/>
                      <a:ext cx="4365625" cy="3154045"/>
                    </a:xfrm>
                    <a:prstGeom prst="rect">
                      <a:avLst/>
                    </a:prstGeom>
                    <a:noFill/>
                    <a:ln>
                      <a:noFill/>
                    </a:ln>
                  </pic:spPr>
                </pic:pic>
              </a:graphicData>
            </a:graphic>
          </wp:inline>
        </w:drawing>
      </w:r>
    </w:p>
    <w:p w14:paraId="2F977834">
      <w:pPr>
        <w:ind w:firstLine="480"/>
        <w:jc w:val="center"/>
        <w:rPr>
          <w:rFonts w:hint="eastAsia" w:eastAsia="宋体" w:cs="Times New Roman"/>
          <w:color w:val="000000"/>
          <w:lang w:val="en-US" w:eastAsia="zh-CN"/>
        </w:rPr>
      </w:pPr>
      <w:r>
        <w:rPr>
          <w:rFonts w:hint="eastAsia" w:ascii="Times New Roman" w:hAnsi="Times New Roman" w:cs="Times New Roman"/>
          <w:highlight w:val="none"/>
          <w:lang w:val="en-US" w:eastAsia="zh-CN"/>
        </w:rPr>
        <w:t>图4-</w:t>
      </w:r>
      <w:r>
        <w:rPr>
          <w:rFonts w:hint="eastAsia" w:ascii="Times New Roman" w:hAnsi="Times New Roman" w:cs="Times New Roman"/>
          <w:highlight w:val="none"/>
          <w:lang w:val="en-US" w:eastAsia="zh-CN"/>
        </w:rPr>
        <w:fldChar w:fldCharType="begin"/>
      </w:r>
      <w:r>
        <w:rPr>
          <w:rFonts w:hint="eastAsia" w:ascii="Times New Roman" w:hAnsi="Times New Roman" w:cs="Times New Roman"/>
          <w:highlight w:val="none"/>
          <w:lang w:val="en-US" w:eastAsia="zh-CN"/>
        </w:rPr>
        <w:instrText xml:space="preserve"> SEQ 图4- \* ARABIC </w:instrText>
      </w:r>
      <w:r>
        <w:rPr>
          <w:rFonts w:hint="eastAsia" w:ascii="Times New Roman" w:hAnsi="Times New Roman" w:cs="Times New Roman"/>
          <w:highlight w:val="none"/>
          <w:lang w:val="en-US" w:eastAsia="zh-CN"/>
        </w:rPr>
        <w:fldChar w:fldCharType="separate"/>
      </w:r>
      <w:r>
        <w:rPr>
          <w:rFonts w:hint="eastAsia" w:ascii="Times New Roman" w:hAnsi="Times New Roman" w:cs="Times New Roman"/>
          <w:highlight w:val="none"/>
          <w:lang w:val="en-US" w:eastAsia="zh-CN"/>
        </w:rPr>
        <w:t>22</w:t>
      </w:r>
      <w:r>
        <w:rPr>
          <w:rFonts w:hint="eastAsia" w:ascii="Times New Roman" w:hAnsi="Times New Roman" w:cs="Times New Roman"/>
          <w:highlight w:val="none"/>
          <w:lang w:val="en-US" w:eastAsia="zh-CN"/>
        </w:rPr>
        <w:fldChar w:fldCharType="end"/>
      </w:r>
      <w:r>
        <w:rPr>
          <w:rFonts w:hint="eastAsia" w:ascii="Times New Roman" w:hAnsi="Times New Roman" w:cs="Times New Roman"/>
          <w:highlight w:val="none"/>
          <w:lang w:val="en-US" w:eastAsia="zh-CN"/>
        </w:rPr>
        <w:t xml:space="preserve"> </w:t>
      </w:r>
      <w:r>
        <w:rPr>
          <w:rFonts w:hint="eastAsia" w:eastAsia="宋体" w:cs="Times New Roman"/>
          <w:color w:val="000000"/>
          <w:lang w:val="en-US" w:eastAsia="zh-CN"/>
        </w:rPr>
        <w:t xml:space="preserve"> 塔机附着平面布置图</w:t>
      </w:r>
    </w:p>
    <w:p w14:paraId="3EB99F11">
      <w:pPr>
        <w:pStyle w:val="27"/>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eastAsia"/>
          <w:lang w:val="en-US" w:eastAsia="zh-CN"/>
        </w:rPr>
      </w:pPr>
      <w:r>
        <w:drawing>
          <wp:inline distT="0" distB="0" distL="114300" distR="114300">
            <wp:extent cx="3973830" cy="4754880"/>
            <wp:effectExtent l="0" t="0" r="7620" b="7620"/>
            <wp:docPr id="20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5"/>
                    <pic:cNvPicPr>
                      <a:picLocks noChangeAspect="1"/>
                    </pic:cNvPicPr>
                  </pic:nvPicPr>
                  <pic:blipFill>
                    <a:blip r:embed="rId58"/>
                    <a:stretch>
                      <a:fillRect/>
                    </a:stretch>
                  </pic:blipFill>
                  <pic:spPr>
                    <a:xfrm>
                      <a:off x="0" y="0"/>
                      <a:ext cx="3973830" cy="4754880"/>
                    </a:xfrm>
                    <a:prstGeom prst="rect">
                      <a:avLst/>
                    </a:prstGeom>
                    <a:noFill/>
                    <a:ln>
                      <a:noFill/>
                    </a:ln>
                  </pic:spPr>
                </pic:pic>
              </a:graphicData>
            </a:graphic>
          </wp:inline>
        </w:drawing>
      </w:r>
    </w:p>
    <w:p w14:paraId="14DD4EFE">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80"/>
        <w:jc w:val="center"/>
        <w:textAlignment w:val="auto"/>
        <w:rPr>
          <w:rFonts w:hint="eastAsia" w:eastAsia="宋体" w:cs="Times New Roman"/>
          <w:color w:val="000000"/>
          <w:lang w:val="en-US" w:eastAsia="zh-CN"/>
        </w:rPr>
      </w:pPr>
      <w:r>
        <w:rPr>
          <w:rFonts w:hint="eastAsia" w:ascii="Times New Roman" w:hAnsi="Times New Roman" w:cs="Times New Roman"/>
          <w:highlight w:val="none"/>
          <w:lang w:val="en-US" w:eastAsia="zh-CN"/>
        </w:rPr>
        <w:t>图4-</w:t>
      </w:r>
      <w:r>
        <w:rPr>
          <w:rFonts w:hint="eastAsia" w:ascii="Times New Roman" w:hAnsi="Times New Roman" w:cs="Times New Roman"/>
          <w:highlight w:val="none"/>
          <w:lang w:val="en-US" w:eastAsia="zh-CN"/>
        </w:rPr>
        <w:fldChar w:fldCharType="begin"/>
      </w:r>
      <w:r>
        <w:rPr>
          <w:rFonts w:hint="eastAsia" w:ascii="Times New Roman" w:hAnsi="Times New Roman" w:cs="Times New Roman"/>
          <w:highlight w:val="none"/>
          <w:lang w:val="en-US" w:eastAsia="zh-CN"/>
        </w:rPr>
        <w:instrText xml:space="preserve"> SEQ 图4- \* ARABIC </w:instrText>
      </w:r>
      <w:r>
        <w:rPr>
          <w:rFonts w:hint="eastAsia" w:ascii="Times New Roman" w:hAnsi="Times New Roman" w:cs="Times New Roman"/>
          <w:highlight w:val="none"/>
          <w:lang w:val="en-US" w:eastAsia="zh-CN"/>
        </w:rPr>
        <w:fldChar w:fldCharType="separate"/>
      </w:r>
      <w:r>
        <w:rPr>
          <w:rFonts w:hint="eastAsia" w:ascii="Times New Roman" w:hAnsi="Times New Roman" w:cs="Times New Roman"/>
          <w:highlight w:val="none"/>
          <w:lang w:val="en-US" w:eastAsia="zh-CN"/>
        </w:rPr>
        <w:t>23</w:t>
      </w:r>
      <w:r>
        <w:rPr>
          <w:rFonts w:hint="eastAsia" w:ascii="Times New Roman" w:hAnsi="Times New Roman" w:cs="Times New Roman"/>
          <w:highlight w:val="none"/>
          <w:lang w:val="en-US" w:eastAsia="zh-CN"/>
        </w:rPr>
        <w:fldChar w:fldCharType="end"/>
      </w:r>
      <w:r>
        <w:rPr>
          <w:rFonts w:hint="eastAsia" w:ascii="Times New Roman" w:hAnsi="Times New Roman" w:cs="Times New Roman"/>
          <w:highlight w:val="none"/>
          <w:lang w:val="en-US" w:eastAsia="zh-CN"/>
        </w:rPr>
        <w:t xml:space="preserve"> </w:t>
      </w:r>
      <w:r>
        <w:rPr>
          <w:rFonts w:hint="eastAsia" w:eastAsia="宋体" w:cs="Times New Roman"/>
          <w:color w:val="000000"/>
          <w:lang w:val="en-US" w:eastAsia="zh-CN"/>
        </w:rPr>
        <w:t>塔机附着立面布置图</w:t>
      </w:r>
    </w:p>
    <w:p w14:paraId="7A2F0197">
      <w:pPr>
        <w:pStyle w:val="5"/>
        <w:bidi w:val="0"/>
        <w:rPr>
          <w:lang w:val="en-US" w:eastAsia="zh-CN"/>
        </w:rPr>
      </w:pPr>
      <w:r>
        <w:rPr>
          <w:rFonts w:hint="eastAsia"/>
          <w:lang w:val="en-US" w:eastAsia="zh-CN"/>
        </w:rPr>
        <w:t>4.4.5.2附着安装</w:t>
      </w:r>
    </w:p>
    <w:p w14:paraId="77190DE4">
      <w:pPr>
        <w:ind w:firstLine="480"/>
        <w:rPr>
          <w:rFonts w:ascii="Times New Roman" w:hAnsi="Times New Roman" w:eastAsia="宋体" w:cs="Times New Roman"/>
          <w:color w:val="000000"/>
        </w:rPr>
      </w:pPr>
      <w:r>
        <w:rPr>
          <w:rFonts w:hint="eastAsia" w:ascii="Times New Roman" w:hAnsi="Times New Roman" w:eastAsia="宋体" w:cs="Times New Roman"/>
          <w:color w:val="000000"/>
        </w:rPr>
        <w:t>塔吊附着安装步骤如下：</w:t>
      </w:r>
    </w:p>
    <w:p w14:paraId="621AA8F2">
      <w:pPr>
        <w:ind w:firstLine="480"/>
        <w:rPr>
          <w:rFonts w:ascii="Times New Roman" w:hAnsi="Times New Roman" w:eastAsia="宋体" w:cs="Times New Roman"/>
          <w:color w:val="000000"/>
        </w:rPr>
      </w:pPr>
      <w:r>
        <w:rPr>
          <w:rFonts w:hint="eastAsia" w:ascii="Times New Roman" w:hAnsi="Times New Roman" w:eastAsia="宋体" w:cs="Times New Roman"/>
          <w:color w:val="000000"/>
        </w:rPr>
        <w:t>1）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14:paraId="76F29D6D">
      <w:pPr>
        <w:ind w:firstLine="480"/>
        <w:rPr>
          <w:rFonts w:ascii="Times New Roman" w:hAnsi="Times New Roman" w:eastAsia="宋体" w:cs="Times New Roman"/>
          <w:color w:val="000000"/>
        </w:rPr>
      </w:pPr>
      <w:r>
        <w:rPr>
          <w:rFonts w:hint="eastAsia" w:ascii="Times New Roman" w:hAnsi="Times New Roman" w:cs="Times New Roman"/>
          <w:color w:val="000000"/>
          <w:lang w:val="en-US" w:eastAsia="zh-CN"/>
        </w:rPr>
        <w:t>2</w:t>
      </w:r>
      <w:r>
        <w:rPr>
          <w:rFonts w:hint="eastAsia" w:ascii="Times New Roman" w:hAnsi="Times New Roman" w:eastAsia="宋体" w:cs="Times New Roman"/>
          <w:color w:val="000000"/>
        </w:rPr>
        <w:t>）附着杆件采用两点吊，以附着杆件上4个固定吊耳孔为吊装孔，采用2根</w:t>
      </w:r>
      <w:r>
        <w:rPr>
          <w:rFonts w:hint="eastAsia" w:ascii="Times New Roman" w:hAnsi="Times New Roman" w:eastAsia="宋体" w:cs="Times New Roman"/>
          <w:color w:val="000000"/>
          <w:lang w:val="en-US" w:eastAsia="zh-CN"/>
        </w:rPr>
        <w:t>24mm6×19W+IWR1870Mpa</w:t>
      </w:r>
      <w:r>
        <w:rPr>
          <w:rFonts w:ascii="Times New Roman" w:hAnsi="Times New Roman" w:eastAsia="宋体" w:cs="Times New Roman"/>
          <w:color w:val="000000"/>
        </w:rPr>
        <w:t>的钢丝绳配套GB/T 25854-6-</w:t>
      </w:r>
      <w:r>
        <w:rPr>
          <w:rFonts w:hint="eastAsia" w:ascii="Times New Roman" w:hAnsi="Times New Roman" w:cs="Times New Roman"/>
          <w:color w:val="000000"/>
          <w:lang w:val="en-US" w:eastAsia="zh-CN"/>
        </w:rPr>
        <w:t>D</w:t>
      </w:r>
      <w:r>
        <w:rPr>
          <w:rFonts w:ascii="Times New Roman" w:hAnsi="Times New Roman" w:eastAsia="宋体" w:cs="Times New Roman"/>
          <w:color w:val="000000"/>
        </w:rPr>
        <w:t>W</w:t>
      </w:r>
      <w:r>
        <w:rPr>
          <w:rFonts w:hint="eastAsia" w:cs="Times New Roman"/>
          <w:color w:val="000000"/>
          <w:lang w:val="en-US" w:eastAsia="zh-CN"/>
        </w:rPr>
        <w:t>10</w:t>
      </w:r>
      <w:r>
        <w:rPr>
          <w:rFonts w:ascii="Times New Roman" w:hAnsi="Times New Roman" w:eastAsia="宋体" w:cs="Times New Roman"/>
          <w:color w:val="000000"/>
        </w:rPr>
        <w:t>卸扣进行吊装。</w:t>
      </w:r>
    </w:p>
    <w:p w14:paraId="2DB2AEDE">
      <w:pPr>
        <w:ind w:firstLine="480"/>
        <w:rPr>
          <w:rFonts w:ascii="Times New Roman" w:hAnsi="Times New Roman" w:eastAsia="宋体" w:cs="Times New Roman"/>
          <w:color w:val="000000"/>
        </w:rPr>
      </w:pPr>
      <w:r>
        <w:rPr>
          <w:rFonts w:hint="eastAsia" w:ascii="Times New Roman" w:hAnsi="Times New Roman" w:cs="Times New Roman"/>
          <w:color w:val="000000"/>
          <w:lang w:val="en-US" w:eastAsia="zh-CN"/>
        </w:rPr>
        <w:t>3</w:t>
      </w:r>
      <w:r>
        <w:rPr>
          <w:rFonts w:hint="eastAsia" w:ascii="Times New Roman" w:hAnsi="Times New Roman" w:eastAsia="宋体" w:cs="Times New Roman"/>
          <w:color w:val="000000"/>
        </w:rPr>
        <w:t>）作业人员先在地面上将钢丝绳一端与吊环连接，另一端与卸扣连接，卸扣与吊装孔连接，并在附着杆上拴好两根溜绳。启动起升机构，将附着杆件缓慢提升，用溜绳控制其摆动。起吊附着杆件至对应高度，溜绳辅助附着杆件就位，两侧的作业人员通过销轴将附着杆件分别与塔吊附着框和主墩预埋件连接固定。</w:t>
      </w:r>
    </w:p>
    <w:p w14:paraId="29E52240">
      <w:pPr>
        <w:ind w:firstLine="480"/>
        <w:rPr>
          <w:rFonts w:ascii="Times New Roman" w:hAnsi="Times New Roman" w:eastAsia="宋体" w:cs="Times New Roman"/>
          <w:color w:val="000000"/>
        </w:rPr>
      </w:pPr>
      <w:r>
        <w:rPr>
          <w:rFonts w:hint="eastAsia" w:ascii="Times New Roman" w:hAnsi="Times New Roman" w:cs="Times New Roman"/>
          <w:color w:val="000000"/>
          <w:lang w:val="en-US" w:eastAsia="zh-CN"/>
        </w:rPr>
        <w:t>4</w:t>
      </w:r>
      <w:r>
        <w:rPr>
          <w:rFonts w:hint="eastAsia" w:ascii="Times New Roman" w:hAnsi="Times New Roman" w:eastAsia="宋体" w:cs="Times New Roman"/>
          <w:color w:val="000000"/>
        </w:rPr>
        <w:t>）重复以上步骤</w:t>
      </w:r>
      <w:bookmarkStart w:id="492" w:name="_GoBack"/>
      <w:bookmarkEnd w:id="492"/>
      <w:r>
        <w:rPr>
          <w:rFonts w:hint="eastAsia" w:ascii="Times New Roman" w:hAnsi="Times New Roman" w:eastAsia="宋体" w:cs="Times New Roman"/>
          <w:color w:val="000000"/>
        </w:rPr>
        <w:t>，安装4根附着杆件。安装完成后，主墩侧平台上的作业人员通过爬梯上到筑塔机平台，再通过电梯下至地面；塔吊塔身侧作业人员通过塔身内爬梯下到地面。</w:t>
      </w:r>
    </w:p>
    <w:p w14:paraId="00D8617D">
      <w:pPr>
        <w:ind w:firstLine="480"/>
        <w:rPr>
          <w:rFonts w:ascii="Times New Roman" w:hAnsi="Times New Roman" w:eastAsia="宋体" w:cs="Times New Roman"/>
          <w:color w:val="000000"/>
        </w:rPr>
      </w:pPr>
      <w:r>
        <w:rPr>
          <w:rFonts w:ascii="Times New Roman" w:hAnsi="Times New Roman" w:eastAsia="宋体" w:cs="Times New Roman"/>
          <w:color w:val="000000"/>
        </w:rPr>
        <w:t>塔吊附着安装要求如下：</w:t>
      </w:r>
    </w:p>
    <w:p w14:paraId="53125E8B">
      <w:pPr>
        <w:ind w:firstLine="480"/>
        <w:rPr>
          <w:rFonts w:ascii="Times New Roman" w:hAnsi="Times New Roman" w:eastAsia="宋体" w:cs="Times New Roman"/>
          <w:color w:val="000000"/>
        </w:rPr>
      </w:pPr>
      <w:r>
        <w:rPr>
          <w:rFonts w:ascii="Times New Roman" w:hAnsi="Times New Roman" w:eastAsia="宋体" w:cs="Times New Roman"/>
          <w:color w:val="000000"/>
        </w:rPr>
        <w:t>（1）先将附着外框梁套在塔身上，并通过楔块和斜撑将塔身的四根主弦杆顶紧；通过销轴将附着撑杆的一端与附着框架连接，另一端与固定在主墩上的耳座连接。</w:t>
      </w:r>
    </w:p>
    <w:p w14:paraId="369E24AB">
      <w:pPr>
        <w:ind w:firstLine="480"/>
        <w:rPr>
          <w:rFonts w:ascii="Times New Roman" w:hAnsi="Times New Roman" w:eastAsia="宋体" w:cs="Times New Roman"/>
          <w:color w:val="000000"/>
        </w:rPr>
      </w:pPr>
      <w:r>
        <w:rPr>
          <w:rFonts w:ascii="Times New Roman" w:hAnsi="Times New Roman" w:eastAsia="宋体" w:cs="Times New Roman"/>
          <w:color w:val="000000"/>
        </w:rPr>
        <w:t>（2）每道附着架的4组附着撑杆应尽量处于同一水平面上。但在安装附着框架时，若与塔身标准节的某些部位发生干涉，可适当升高或降低附着框架的安装高度。允许附着框架与耳座高度差不大于0.01L（L为下图中撑杆的长度）</w:t>
      </w:r>
    </w:p>
    <w:p w14:paraId="6A47FB5C">
      <w:pPr>
        <w:ind w:firstLine="480"/>
        <w:rPr>
          <w:rFonts w:ascii="Times New Roman" w:hAnsi="Times New Roman" w:eastAsia="宋体" w:cs="Times New Roman"/>
          <w:color w:val="000000"/>
        </w:rPr>
      </w:pPr>
      <w:r>
        <w:rPr>
          <w:rFonts w:ascii="Times New Roman" w:hAnsi="Times New Roman" w:eastAsia="宋体" w:cs="Times New Roman"/>
          <w:color w:val="000000"/>
        </w:rPr>
        <w:t>（3）附着撑杆上允许搭设供人从建筑物通向塔机的通道，但严禁堆放重物。</w:t>
      </w:r>
    </w:p>
    <w:p w14:paraId="73BE9F5B">
      <w:pPr>
        <w:ind w:firstLine="480"/>
        <w:rPr>
          <w:rFonts w:ascii="Times New Roman" w:hAnsi="Times New Roman" w:eastAsia="宋体" w:cs="Times New Roman"/>
          <w:color w:val="000000"/>
        </w:rPr>
      </w:pPr>
      <w:r>
        <w:rPr>
          <w:rFonts w:ascii="Times New Roman" w:hAnsi="Times New Roman" w:eastAsia="宋体" w:cs="Times New Roman"/>
          <w:color w:val="000000"/>
        </w:rPr>
        <w:t>（4）安装塔机前，应对建筑物附着点（耳座固定处）的承载能力以及影响附着点强度的钢筋混凝土骨架的施工日期等因素预先估计。</w:t>
      </w:r>
    </w:p>
    <w:p w14:paraId="7DEC3A84">
      <w:pPr>
        <w:ind w:firstLine="480"/>
        <w:rPr>
          <w:rFonts w:ascii="Times New Roman" w:hAnsi="Times New Roman" w:eastAsia="宋体" w:cs="Times New Roman"/>
          <w:color w:val="000000"/>
        </w:rPr>
      </w:pPr>
      <w:r>
        <w:rPr>
          <w:rFonts w:ascii="Times New Roman" w:hAnsi="Times New Roman" w:eastAsia="宋体" w:cs="Times New Roman"/>
          <w:color w:val="000000"/>
        </w:rPr>
        <w:t>（</w:t>
      </w:r>
      <w:r>
        <w:rPr>
          <w:rFonts w:hint="eastAsia" w:cs="Times New Roman"/>
          <w:color w:val="000000"/>
          <w:lang w:val="en-US" w:eastAsia="zh-CN"/>
        </w:rPr>
        <w:t>5</w:t>
      </w:r>
      <w:r>
        <w:rPr>
          <w:rFonts w:ascii="Times New Roman" w:hAnsi="Times New Roman" w:eastAsia="宋体" w:cs="Times New Roman"/>
          <w:color w:val="000000"/>
        </w:rPr>
        <w:t>）安装附着装置时，应当用全站仪检查塔身轴心线的垂直度，最上一道附着架以上塔身轴心线的侧向垂直度允差为4/1000，最上一道附着架以下塔身轴心线的垂直度允差为2/1000，可通过调节附着撑杆的长度来控制塔身垂直度。</w:t>
      </w:r>
    </w:p>
    <w:p w14:paraId="340270F5">
      <w:pPr>
        <w:bidi w:val="0"/>
        <w:ind w:firstLine="420" w:firstLineChars="0"/>
        <w:rPr>
          <w:rFonts w:hint="eastAsia" w:ascii="Times New Roman" w:hAnsi="Times New Roman" w:eastAsia="宋体" w:cstheme="majorBidi"/>
          <w:b/>
          <w:bCs w:val="0"/>
          <w:kern w:val="2"/>
          <w:szCs w:val="28"/>
          <w:lang w:val="en-US" w:eastAsia="zh-CN" w:bidi="ar-SA"/>
        </w:rPr>
      </w:pPr>
      <w:r>
        <w:t>（</w:t>
      </w:r>
      <w:r>
        <w:rPr>
          <w:rFonts w:hint="eastAsia"/>
          <w:lang w:val="en-US" w:eastAsia="zh-CN"/>
        </w:rPr>
        <w:t>6</w:t>
      </w:r>
      <w:r>
        <w:t>）附着撑杆与附着框架，连接耳座，以及附着框架与塔身、内撑杆的连接必须可靠。内撑杆应可靠地将塔身主弦杆顶紧，并与塔身的主弦夹紧，各连接螺栓应紧固好。各调节螺栓调整好后，应将螺母可靠地</w:t>
      </w:r>
      <w:r>
        <w:rPr>
          <w:rFonts w:hint="eastAsia"/>
        </w:rPr>
        <w:t>拧</w:t>
      </w:r>
      <w:r>
        <w:t>紧。开口销应按规定张开，运行后应经常检查是否发生松动，并及时进行调整。</w:t>
      </w:r>
    </w:p>
    <w:p w14:paraId="3B050524">
      <w:pPr>
        <w:pStyle w:val="4"/>
        <w:tabs>
          <w:tab w:val="left" w:pos="0"/>
          <w:tab w:val="left" w:pos="630"/>
        </w:tabs>
        <w:bidi w:val="0"/>
        <w:rPr>
          <w:rFonts w:hint="eastAsia"/>
          <w:highlight w:val="none"/>
          <w:lang w:val="en-US" w:eastAsia="zh-CN"/>
        </w:rPr>
      </w:pPr>
      <w:r>
        <w:rPr>
          <w:rFonts w:hint="eastAsia"/>
          <w:highlight w:val="none"/>
          <w:lang w:val="en-US" w:eastAsia="zh-CN"/>
        </w:rPr>
        <w:t>4.4.6安全装置的调试</w:t>
      </w:r>
      <w:bookmarkEnd w:id="184"/>
      <w:bookmarkEnd w:id="185"/>
      <w:bookmarkEnd w:id="186"/>
    </w:p>
    <w:p w14:paraId="1A761D97">
      <w:pPr>
        <w:ind w:firstLine="482" w:firstLineChars="200"/>
        <w:rPr>
          <w:rFonts w:hint="eastAsia"/>
          <w:b/>
          <w:bCs/>
          <w:highlight w:val="none"/>
          <w:lang w:val="en-US" w:eastAsia="zh-CN"/>
        </w:rPr>
      </w:pPr>
      <w:r>
        <w:rPr>
          <w:rFonts w:hint="eastAsia"/>
          <w:b/>
          <w:bCs/>
          <w:highlight w:val="none"/>
          <w:lang w:val="en-US" w:eastAsia="zh-CN"/>
        </w:rPr>
        <w:t>1、起升高度限位器</w:t>
      </w:r>
    </w:p>
    <w:p w14:paraId="3EB76D12">
      <w:pPr>
        <w:ind w:firstLine="480" w:firstLineChars="200"/>
        <w:rPr>
          <w:rFonts w:hint="eastAsia"/>
          <w:highlight w:val="none"/>
          <w:lang w:val="en-US" w:eastAsia="zh-CN"/>
        </w:rPr>
      </w:pPr>
      <w:r>
        <w:rPr>
          <w:rFonts w:hint="eastAsia"/>
          <w:highlight w:val="none"/>
          <w:lang w:val="en-US" w:eastAsia="zh-CN"/>
        </w:rPr>
        <w:t>起升高度限位器是通过装在起升卷筒轴一端的减速机构和限位开关来实现的。起升机构运行时，轴端减速机构随着转动，当吊钩超过设定的起升高度时，限位开关被触发，切断起升机构电机的电源并制动，向上不能提升。</w:t>
      </w:r>
    </w:p>
    <w:p w14:paraId="151DD539">
      <w:pPr>
        <w:ind w:firstLine="482" w:firstLineChars="200"/>
        <w:rPr>
          <w:rFonts w:hint="eastAsia"/>
          <w:b/>
          <w:bCs/>
          <w:highlight w:val="none"/>
          <w:lang w:val="en-US" w:eastAsia="zh-CN"/>
        </w:rPr>
      </w:pPr>
      <w:r>
        <w:rPr>
          <w:rFonts w:hint="eastAsia"/>
          <w:b/>
          <w:bCs/>
          <w:highlight w:val="none"/>
          <w:lang w:val="en-US" w:eastAsia="zh-CN"/>
        </w:rPr>
        <w:t>2、回转限位器</w:t>
      </w:r>
    </w:p>
    <w:p w14:paraId="196060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回转限位器是通过装在回转上支座前方并与回转支承外齿圈相啮合的一套机构和限位开关来实现的。塔机回转时，回转限位机构随之转动，当塔机起重臂向左（或向右）回转超过540°时，限位开关被触发，从而切断回转电机电源，使之不能再向左（或向右）回转，只能向右（或向左）回转。</w:t>
      </w:r>
    </w:p>
    <w:p w14:paraId="27FD607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3、变幅限位器</w:t>
      </w:r>
    </w:p>
    <w:p w14:paraId="0CD5CF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变幅限位器是通过装在变幅卷筒轴一端的减速装置和限位开关来实现的。当小车在变幅运行中将超过最大幅度50.00m或超出最小幅度3.00m时，限位开关分别被触发，切断变幅电机电源，使小车不能再向外（或向内）运行，只能向内（或向外）变幅。</w:t>
      </w:r>
    </w:p>
    <w:p w14:paraId="27561F1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4、起重量限位器</w:t>
      </w:r>
    </w:p>
    <w:p w14:paraId="01575D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（1）当起重量达50%额定值时，限制起升高速上升，自动转换为中速提升运行，下降则容许以任意档速度运行。</w:t>
      </w:r>
    </w:p>
    <w:p w14:paraId="431D66B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（2）当起重量达90%额定值时，司机室联动台上闪光蜂鸣器发讯。</w:t>
      </w:r>
    </w:p>
    <w:p w14:paraId="0601CA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（3）当起重量达100%额定值时，限制提升运行，容许下降运行，变幅小车停止向外运行。司机室联动台上起重红色信号灯亮。</w:t>
      </w:r>
    </w:p>
    <w:p w14:paraId="2612DE7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highlight w:val="none"/>
          <w:lang w:val="en-US" w:eastAsia="zh-CN"/>
        </w:rPr>
      </w:pPr>
      <w:r>
        <w:rPr>
          <w:rFonts w:hint="eastAsia"/>
          <w:b/>
          <w:bCs/>
          <w:highlight w:val="none"/>
          <w:lang w:val="en-US" w:eastAsia="zh-CN"/>
        </w:rPr>
        <w:t>5、起重力矩限位器</w:t>
      </w:r>
    </w:p>
    <w:p w14:paraId="47AEBF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在塔机的塔顶（或回转塔身）后侧主弦杆上装有起重力矩限位器。起重力矩限位器由变形装置和两个行程开关组成。当力矩达到额定力矩的90%时，其中一个行程开关被触发，发出音响警告，提示司机注意，同时限制小车高速档向外，自动转换为低速向外运行，当达到额定力矩的100%时，另一个行程开发被触发，切断起升电机和变幅电机电源。吊钩不能起升，小车不能向外变幅，只能下降和向内变幅。</w:t>
      </w:r>
    </w:p>
    <w:p w14:paraId="00AE4597">
      <w:pPr>
        <w:pStyle w:val="4"/>
        <w:tabs>
          <w:tab w:val="left" w:pos="0"/>
          <w:tab w:val="left" w:pos="630"/>
        </w:tabs>
        <w:bidi w:val="0"/>
        <w:rPr>
          <w:rFonts w:hint="eastAsia"/>
          <w:highlight w:val="none"/>
          <w:lang w:val="en-US" w:eastAsia="zh-CN"/>
        </w:rPr>
      </w:pPr>
      <w:bookmarkStart w:id="187" w:name="_Toc10267"/>
      <w:bookmarkStart w:id="188" w:name="_Toc26099"/>
      <w:bookmarkStart w:id="189" w:name="_Toc13697"/>
      <w:r>
        <w:rPr>
          <w:rFonts w:hint="eastAsia"/>
          <w:highlight w:val="none"/>
          <w:lang w:val="en-US" w:eastAsia="zh-CN"/>
        </w:rPr>
        <w:t>4.4.7塔吊的维修与保养</w:t>
      </w:r>
      <w:bookmarkEnd w:id="187"/>
      <w:bookmarkEnd w:id="188"/>
      <w:bookmarkEnd w:id="189"/>
    </w:p>
    <w:p w14:paraId="39239EAB">
      <w:pPr>
        <w:pStyle w:val="5"/>
        <w:bidi w:val="0"/>
        <w:rPr>
          <w:rFonts w:hint="eastAsia"/>
          <w:highlight w:val="none"/>
          <w:lang w:val="en-US" w:eastAsia="zh-CN"/>
        </w:rPr>
      </w:pPr>
      <w:r>
        <w:rPr>
          <w:rFonts w:hint="eastAsia"/>
          <w:highlight w:val="none"/>
          <w:lang w:val="en-US" w:eastAsia="zh-CN"/>
        </w:rPr>
        <w:t>4.4.7.1日常保养</w:t>
      </w:r>
    </w:p>
    <w:p w14:paraId="7EC1521A">
      <w:pPr>
        <w:ind w:firstLine="480" w:firstLineChars="200"/>
        <w:rPr>
          <w:rFonts w:hint="eastAsia"/>
          <w:highlight w:val="none"/>
          <w:lang w:val="en-US" w:eastAsia="zh-CN"/>
        </w:rPr>
      </w:pPr>
      <w:r>
        <w:rPr>
          <w:rFonts w:hint="eastAsia"/>
          <w:highlight w:val="none"/>
          <w:lang w:val="en-US" w:eastAsia="zh-CN"/>
        </w:rPr>
        <w:t>每班前进行检查，并做好检查记录。</w:t>
      </w:r>
    </w:p>
    <w:p w14:paraId="147140DF">
      <w:pPr>
        <w:ind w:firstLine="480" w:firstLineChars="200"/>
        <w:rPr>
          <w:rFonts w:hint="eastAsia"/>
          <w:highlight w:val="none"/>
          <w:lang w:val="en-US" w:eastAsia="zh-CN"/>
        </w:rPr>
      </w:pPr>
      <w:r>
        <w:rPr>
          <w:rFonts w:hint="eastAsia"/>
          <w:highlight w:val="none"/>
          <w:lang w:val="en-US" w:eastAsia="zh-CN"/>
        </w:rPr>
        <w:t>（1）检查各减速机油量，如低于规定油面高度时，应及时加油，油质必须纯净，不得含有腐蚀剂或有不清洁的油混入，加油时应使用过滤网进行过滤。</w:t>
      </w:r>
    </w:p>
    <w:p w14:paraId="35BAA8A5">
      <w:pPr>
        <w:ind w:firstLine="480" w:firstLineChars="200"/>
        <w:rPr>
          <w:rFonts w:hint="eastAsia"/>
          <w:highlight w:val="none"/>
          <w:lang w:val="en-US" w:eastAsia="zh-CN"/>
        </w:rPr>
      </w:pPr>
      <w:r>
        <w:rPr>
          <w:rFonts w:hint="eastAsia"/>
          <w:highlight w:val="none"/>
          <w:lang w:val="en-US" w:eastAsia="zh-CN"/>
        </w:rPr>
        <w:t>（2）检查起升机构卷筒轴承与牵引机构卷筒两端轴承的润滑情况。各减速器用油标号：起升机构减速器70#工业齿轮油，回转机构减速器90#齿轮油，牵引机构减速器70#工业齿轮油。在无70#工业齿轮油时，可用40#机械油代替。</w:t>
      </w:r>
    </w:p>
    <w:p w14:paraId="3EB381D5">
      <w:pPr>
        <w:ind w:firstLine="480" w:firstLineChars="200"/>
        <w:rPr>
          <w:rFonts w:hint="eastAsia"/>
          <w:highlight w:val="none"/>
          <w:lang w:val="en-US" w:eastAsia="zh-CN"/>
        </w:rPr>
      </w:pPr>
      <w:r>
        <w:rPr>
          <w:rFonts w:hint="eastAsia"/>
          <w:highlight w:val="none"/>
          <w:lang w:val="en-US" w:eastAsia="zh-CN"/>
        </w:rPr>
        <w:t>（3）检查电源电缆线有无损坏、各连接处有无松动与磨损，消除电器设备的灰尘。检查各接触器、控制器的触头接触情况及腐蚀程度。</w:t>
      </w:r>
    </w:p>
    <w:p w14:paraId="5809AF00">
      <w:pPr>
        <w:ind w:firstLine="480" w:firstLineChars="200"/>
        <w:rPr>
          <w:rFonts w:hint="eastAsia"/>
          <w:highlight w:val="none"/>
          <w:lang w:val="en-US" w:eastAsia="zh-CN"/>
        </w:rPr>
      </w:pPr>
      <w:r>
        <w:rPr>
          <w:rFonts w:hint="eastAsia"/>
          <w:highlight w:val="none"/>
          <w:lang w:val="en-US" w:eastAsia="zh-CN"/>
        </w:rPr>
        <w:t>（4）检查各连接螺栓是否有松动或脱落，如有松动或脱落现象应及时拧紧或添补。</w:t>
      </w:r>
    </w:p>
    <w:p w14:paraId="64EA3D3D">
      <w:pPr>
        <w:ind w:firstLine="480" w:firstLineChars="200"/>
        <w:rPr>
          <w:rFonts w:hint="eastAsia"/>
          <w:highlight w:val="none"/>
          <w:lang w:val="en-US" w:eastAsia="zh-CN"/>
        </w:rPr>
      </w:pPr>
      <w:r>
        <w:rPr>
          <w:rFonts w:hint="eastAsia"/>
          <w:highlight w:val="none"/>
          <w:lang w:val="en-US" w:eastAsia="zh-CN"/>
        </w:rPr>
        <w:t>（5）检查各其重钢丝绳及牵引钢丝绳，如发现有断股或名义直径磨损超过5%的，应及时更换新钢丝绳。检查钢丝绳固定处是否牢固，绳卡螺栓是否松动，并及时进行处理。</w:t>
      </w:r>
    </w:p>
    <w:p w14:paraId="564A2463">
      <w:pPr>
        <w:ind w:firstLine="480" w:firstLineChars="200"/>
        <w:rPr>
          <w:rFonts w:hint="eastAsia"/>
          <w:highlight w:val="none"/>
          <w:lang w:val="en-US" w:eastAsia="zh-CN"/>
        </w:rPr>
      </w:pPr>
      <w:r>
        <w:rPr>
          <w:rFonts w:hint="eastAsia"/>
          <w:highlight w:val="none"/>
          <w:lang w:val="en-US" w:eastAsia="zh-CN"/>
        </w:rPr>
        <w:t>（6）检查各安全装置有无失灵，尤其是起重力矩和起重量限位器，如发现有可疑现象时，必须进行调整维修，确保其工作可靠性。检查起升和回转机构的制动效能，如不十分灵敏可靠，应及时进行维修调整。</w:t>
      </w:r>
    </w:p>
    <w:p w14:paraId="6C0CA192">
      <w:pPr>
        <w:pStyle w:val="5"/>
        <w:bidi w:val="0"/>
        <w:rPr>
          <w:rFonts w:hint="eastAsia"/>
          <w:highlight w:val="none"/>
          <w:lang w:val="en-US" w:eastAsia="zh-CN"/>
        </w:rPr>
      </w:pPr>
      <w:r>
        <w:rPr>
          <w:rFonts w:hint="eastAsia"/>
          <w:highlight w:val="none"/>
          <w:lang w:val="en-US" w:eastAsia="zh-CN"/>
        </w:rPr>
        <w:t>4.4.7.2定期保养</w:t>
      </w:r>
    </w:p>
    <w:p w14:paraId="136238BA">
      <w:pPr>
        <w:ind w:firstLine="480" w:firstLineChars="200"/>
        <w:rPr>
          <w:rFonts w:hint="eastAsia"/>
          <w:highlight w:val="none"/>
          <w:lang w:val="en-US" w:eastAsia="zh-CN"/>
        </w:rPr>
      </w:pPr>
      <w:r>
        <w:rPr>
          <w:rFonts w:hint="eastAsia"/>
          <w:highlight w:val="none"/>
          <w:lang w:val="en-US" w:eastAsia="zh-CN"/>
        </w:rPr>
        <w:t>每半月一次，并做好检查保养记录。</w:t>
      </w:r>
    </w:p>
    <w:p w14:paraId="1D4A836F">
      <w:pPr>
        <w:ind w:firstLine="480" w:firstLineChars="200"/>
        <w:rPr>
          <w:rFonts w:hint="eastAsia"/>
          <w:highlight w:val="none"/>
          <w:lang w:val="en-US" w:eastAsia="zh-CN"/>
        </w:rPr>
      </w:pPr>
      <w:r>
        <w:rPr>
          <w:rFonts w:hint="eastAsia"/>
          <w:highlight w:val="none"/>
          <w:lang w:val="en-US" w:eastAsia="zh-CN"/>
        </w:rPr>
        <w:t>（1）对起升导向滑轮及拉杆与支座配合处、变幅小车滑轮及车轮吊钩组滑轮、回转支承等处压注4#钙基润滑脂。</w:t>
      </w:r>
    </w:p>
    <w:p w14:paraId="3CCF6704">
      <w:pPr>
        <w:ind w:firstLine="480" w:firstLineChars="200"/>
        <w:rPr>
          <w:rFonts w:hint="eastAsia"/>
          <w:highlight w:val="none"/>
          <w:lang w:val="en-US" w:eastAsia="zh-CN"/>
        </w:rPr>
      </w:pPr>
      <w:r>
        <w:rPr>
          <w:rFonts w:hint="eastAsia"/>
          <w:highlight w:val="none"/>
          <w:lang w:val="en-US" w:eastAsia="zh-CN"/>
        </w:rPr>
        <w:t>（2）因钢丝绳在经过一段时间使用后，长度拉长，应重新调整起升和变幅钢丝绳，并重新调整起升高度限位器及变幅限位器。</w:t>
      </w:r>
    </w:p>
    <w:p w14:paraId="67EBDC2A">
      <w:pPr>
        <w:ind w:firstLine="480" w:firstLineChars="200"/>
        <w:rPr>
          <w:rFonts w:hint="eastAsia"/>
          <w:highlight w:val="none"/>
          <w:lang w:val="en-US" w:eastAsia="zh-CN"/>
        </w:rPr>
      </w:pPr>
      <w:r>
        <w:rPr>
          <w:rFonts w:hint="eastAsia"/>
          <w:highlight w:val="none"/>
          <w:lang w:val="en-US" w:eastAsia="zh-CN"/>
        </w:rPr>
        <w:t>（3）对各零部件的连接螺栓、钢丝绳压板及绳卡处的螺栓或螺母应重新紧固一次，必要时应更换，对各用电或输电设备的绝缘性进行检查，不得有漏电现象。</w:t>
      </w:r>
    </w:p>
    <w:p w14:paraId="3A9F6E11">
      <w:pPr>
        <w:pStyle w:val="5"/>
        <w:bidi w:val="0"/>
        <w:rPr>
          <w:rFonts w:hint="eastAsia"/>
          <w:highlight w:val="none"/>
          <w:lang w:val="en-US" w:eastAsia="zh-CN"/>
        </w:rPr>
      </w:pPr>
      <w:r>
        <w:rPr>
          <w:rFonts w:hint="eastAsia"/>
          <w:highlight w:val="none"/>
          <w:lang w:val="en-US" w:eastAsia="zh-CN"/>
        </w:rPr>
        <w:t>4.4.7.3定期检查</w:t>
      </w:r>
    </w:p>
    <w:p w14:paraId="6D0158CF">
      <w:pPr>
        <w:ind w:firstLine="480" w:firstLineChars="200"/>
        <w:rPr>
          <w:rFonts w:hint="eastAsia"/>
          <w:highlight w:val="none"/>
          <w:lang w:val="en-US" w:eastAsia="zh-CN"/>
        </w:rPr>
      </w:pPr>
      <w:r>
        <w:rPr>
          <w:rFonts w:hint="eastAsia"/>
          <w:highlight w:val="none"/>
          <w:lang w:val="en-US" w:eastAsia="zh-CN"/>
        </w:rPr>
        <w:t>半年进行一次定期检查，并做好检查处理记录。</w:t>
      </w:r>
    </w:p>
    <w:p w14:paraId="7D15AE9B">
      <w:pPr>
        <w:ind w:firstLine="480" w:firstLineChars="200"/>
        <w:rPr>
          <w:rFonts w:hint="eastAsia"/>
          <w:highlight w:val="none"/>
          <w:lang w:val="en-US" w:eastAsia="zh-CN"/>
        </w:rPr>
      </w:pPr>
      <w:r>
        <w:rPr>
          <w:rFonts w:hint="eastAsia"/>
          <w:highlight w:val="none"/>
          <w:lang w:val="en-US" w:eastAsia="zh-CN"/>
        </w:rPr>
        <w:t>（1）在经过运输或存放过程后，应防止损坏金属结构件，并防止结构件变形。如有碰损、整体扭曲或变形，未经修复时，不得使用。</w:t>
      </w:r>
    </w:p>
    <w:p w14:paraId="732D0921">
      <w:pPr>
        <w:ind w:firstLine="480" w:firstLineChars="200"/>
        <w:rPr>
          <w:rFonts w:hint="eastAsia"/>
          <w:highlight w:val="none"/>
          <w:lang w:val="en-US" w:eastAsia="zh-CN"/>
        </w:rPr>
      </w:pPr>
      <w:r>
        <w:rPr>
          <w:rFonts w:hint="eastAsia"/>
          <w:highlight w:val="none"/>
          <w:lang w:val="en-US" w:eastAsia="zh-CN"/>
        </w:rPr>
        <w:t>（2）检查各结构件和部件机构有无在材料焊接区出现裂纹、腐蚀等情况，如有可疑现象，必须进行修复，未经修复不得使用。</w:t>
      </w:r>
    </w:p>
    <w:p w14:paraId="178B8F5B">
      <w:pPr>
        <w:ind w:firstLine="480" w:firstLineChars="200"/>
        <w:rPr>
          <w:rFonts w:hint="eastAsia"/>
          <w:highlight w:val="none"/>
          <w:lang w:val="en-US" w:eastAsia="zh-CN"/>
        </w:rPr>
      </w:pPr>
      <w:r>
        <w:rPr>
          <w:rFonts w:hint="eastAsia"/>
          <w:highlight w:val="none"/>
          <w:lang w:val="en-US" w:eastAsia="zh-CN"/>
        </w:rPr>
        <w:t>（3）对各连接螺栓、销轴，如发现有过度磨损或变形，应予更换。</w:t>
      </w:r>
    </w:p>
    <w:p w14:paraId="499E85FF">
      <w:pPr>
        <w:ind w:firstLine="480" w:firstLineChars="200"/>
        <w:rPr>
          <w:rFonts w:hint="eastAsia"/>
          <w:highlight w:val="none"/>
          <w:lang w:val="en-US" w:eastAsia="zh-CN"/>
        </w:rPr>
      </w:pPr>
      <w:r>
        <w:rPr>
          <w:rFonts w:hint="eastAsia"/>
          <w:highlight w:val="none"/>
          <w:lang w:val="en-US" w:eastAsia="zh-CN"/>
        </w:rPr>
        <w:t>（4）清洗各减速器，并加注润滑油，拆卸后清洗滚动轴承和滑动轴承，装配时加注润滑脂。</w:t>
      </w:r>
    </w:p>
    <w:p w14:paraId="131BFA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（5）对回转齿轮涂抹润滑脂。</w:t>
      </w:r>
    </w:p>
    <w:p w14:paraId="2D0FE0A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（6）检查调整各制动器和安全装置。</w:t>
      </w:r>
    </w:p>
    <w:p w14:paraId="081F19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（7）检修或更换磨损较大的零部件，如小车行走轮、各滑轮及滑动轴承、回转机械小齿轮等。</w:t>
      </w:r>
    </w:p>
    <w:p w14:paraId="108334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（8）检修或更换起重及变幅钢丝绳。</w:t>
      </w:r>
    </w:p>
    <w:p w14:paraId="78511B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（9）检修各电器操纵控制系统，清除各电器元件上的尘土污垢及锈斑，并检测线圈绝缘情况，检修或更换电线电缆。</w:t>
      </w:r>
    </w:p>
    <w:p w14:paraId="4E3D00C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（10）塔吊应每半年油漆一次，工程结束后，必须对各部件喷刷漆一次。</w:t>
      </w:r>
    </w:p>
    <w:p w14:paraId="21420B66">
      <w:pPr>
        <w:pStyle w:val="5"/>
        <w:bidi w:val="0"/>
        <w:rPr>
          <w:rFonts w:hint="eastAsia"/>
          <w:highlight w:val="none"/>
          <w:lang w:val="en-US" w:eastAsia="zh-CN"/>
        </w:rPr>
      </w:pPr>
      <w:r>
        <w:rPr>
          <w:rFonts w:hint="eastAsia"/>
          <w:highlight w:val="none"/>
          <w:lang w:val="en-US" w:eastAsia="zh-CN"/>
        </w:rPr>
        <w:t>4.4.7.4液压顶升系统的维护保养</w:t>
      </w:r>
    </w:p>
    <w:p w14:paraId="5EA6C2D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（1）液压泵站使用的液压油，应严格按照使用说明书的规定进行加注或更换，并定期清洗油箱。</w:t>
      </w:r>
    </w:p>
    <w:p w14:paraId="0F73A6D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（2）溢流阀压力调整后，不得随意变动，每次顶升前，应用油压表检查其压力是否正常。</w:t>
      </w:r>
    </w:p>
    <w:p w14:paraId="06FE82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（3）检查各油管接头是否紧固严密，不得有漏油现象。</w:t>
      </w:r>
    </w:p>
    <w:p w14:paraId="2F5726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（4）定期检查滤油器是否堵塞、安全阀调整值是否改变。</w:t>
      </w:r>
    </w:p>
    <w:p w14:paraId="7B0AE9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（5）发现油泵、油缸、控制阀有渗漏，应及时进行检修或更换。</w:t>
      </w:r>
    </w:p>
    <w:p w14:paraId="28C4B6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（6）在冬季启动时，应开开停停，反复数次，待油温上升，控制阀动作灵敏后，再正常使用。</w:t>
      </w:r>
    </w:p>
    <w:p w14:paraId="1033ED2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（7）总装和大修后，每一次启动油泵，应先检查出入口是否接反、电机转动方向是否正确、吸油管道是否漏气，然后用手盘动试转，最后按规定转向起动和试车。</w:t>
      </w:r>
    </w:p>
    <w:p w14:paraId="4F9A283C">
      <w:pPr>
        <w:pStyle w:val="5"/>
        <w:bidi w:val="0"/>
        <w:rPr>
          <w:rFonts w:hint="eastAsia"/>
          <w:highlight w:val="none"/>
          <w:lang w:val="en-US" w:eastAsia="zh-CN"/>
        </w:rPr>
      </w:pPr>
      <w:r>
        <w:rPr>
          <w:rFonts w:hint="eastAsia"/>
          <w:highlight w:val="none"/>
          <w:lang w:val="en-US" w:eastAsia="zh-CN"/>
        </w:rPr>
        <w:t>4.4.7.5其他</w:t>
      </w:r>
    </w:p>
    <w:p w14:paraId="5101F220">
      <w:pPr>
        <w:ind w:firstLine="480" w:firstLineChars="200"/>
        <w:rPr>
          <w:rFonts w:hint="eastAsia"/>
          <w:highlight w:val="none"/>
          <w:lang w:val="en-US" w:eastAsia="zh-CN"/>
        </w:rPr>
      </w:pPr>
      <w:r>
        <w:rPr>
          <w:rFonts w:hint="eastAsia"/>
          <w:highlight w:val="none"/>
          <w:lang w:val="en-US" w:eastAsia="zh-CN"/>
        </w:rPr>
        <w:t>电机、起升制动器及其他部件的维护保养详见使用说明书。</w:t>
      </w:r>
    </w:p>
    <w:p w14:paraId="03A04F14">
      <w:pPr>
        <w:pStyle w:val="3"/>
        <w:tabs>
          <w:tab w:val="left" w:pos="525"/>
          <w:tab w:val="left" w:pos="601"/>
        </w:tabs>
        <w:bidi w:val="0"/>
        <w:rPr>
          <w:rFonts w:hint="default"/>
          <w:highlight w:val="none"/>
          <w:lang w:val="en-US" w:eastAsia="zh-CN"/>
        </w:rPr>
      </w:pPr>
      <w:bookmarkStart w:id="190" w:name="_Toc23487"/>
      <w:bookmarkStart w:id="191" w:name="_Toc4173"/>
      <w:bookmarkStart w:id="192" w:name="_Toc4092"/>
      <w:bookmarkStart w:id="193" w:name="_Toc7966"/>
      <w:bookmarkStart w:id="194" w:name="_Toc2289"/>
      <w:r>
        <w:rPr>
          <w:rFonts w:hint="eastAsia"/>
          <w:highlight w:val="none"/>
          <w:lang w:val="en-US" w:eastAsia="zh-CN"/>
        </w:rPr>
        <w:t>4.5检查要求</w:t>
      </w:r>
      <w:bookmarkEnd w:id="190"/>
      <w:bookmarkEnd w:id="191"/>
      <w:bookmarkEnd w:id="192"/>
      <w:bookmarkEnd w:id="193"/>
      <w:bookmarkEnd w:id="194"/>
    </w:p>
    <w:p w14:paraId="3B68E182">
      <w:pPr>
        <w:ind w:firstLine="480" w:firstLineChars="200"/>
        <w:rPr>
          <w:rFonts w:hint="eastAsia"/>
          <w:highlight w:val="none"/>
          <w:lang w:val="en-US" w:eastAsia="zh-CN"/>
        </w:rPr>
      </w:pPr>
      <w:r>
        <w:rPr>
          <w:rFonts w:hint="eastAsia"/>
          <w:highlight w:val="none"/>
          <w:lang w:val="en-US" w:eastAsia="zh-CN"/>
        </w:rPr>
        <w:t>在试运转之前，必须检查金属结构、各动力设备、传动机构、电气设备、安全装置、钢丝绳吊钩及液压油管等是否完好；确认合格后，才可进行试运转。</w:t>
      </w:r>
    </w:p>
    <w:p w14:paraId="7868DAA4">
      <w:pPr>
        <w:pStyle w:val="4"/>
        <w:tabs>
          <w:tab w:val="left" w:pos="0"/>
          <w:tab w:val="left" w:pos="630"/>
        </w:tabs>
        <w:bidi w:val="0"/>
        <w:rPr>
          <w:rFonts w:hint="default"/>
          <w:highlight w:val="none"/>
          <w:lang w:val="en-US" w:eastAsia="zh-CN"/>
        </w:rPr>
      </w:pPr>
      <w:bookmarkStart w:id="195" w:name="_Toc29217"/>
      <w:bookmarkStart w:id="196" w:name="_Toc15680"/>
      <w:bookmarkStart w:id="197" w:name="_Toc18866"/>
      <w:r>
        <w:rPr>
          <w:rFonts w:hint="eastAsia"/>
          <w:highlight w:val="none"/>
          <w:lang w:val="en-US" w:eastAsia="zh-CN"/>
        </w:rPr>
        <w:t>4.5.1检查内容</w:t>
      </w:r>
      <w:bookmarkEnd w:id="195"/>
      <w:bookmarkEnd w:id="196"/>
      <w:bookmarkEnd w:id="197"/>
    </w:p>
    <w:p w14:paraId="260953C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吊装与拆卸过程主要材料、机械设备进场质量检查、抽检；</w:t>
      </w:r>
    </w:p>
    <w:p w14:paraId="553ABC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试吊作业方案及试吊前对照专项施工方案有关工序、工艺、工法安全质量检查内容；</w:t>
      </w:r>
    </w:p>
    <w:p w14:paraId="1133646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金属机构有无变形、缺损，焊缝有无裂纹，螺栓是否拧紧、上齐；</w:t>
      </w:r>
    </w:p>
    <w:p w14:paraId="0021F8E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4</w:t>
      </w:r>
      <w:r>
        <w:rPr>
          <w:rFonts w:hint="eastAsia"/>
          <w:highlight w:val="none"/>
          <w:lang w:val="en-US" w:eastAsia="zh-CN"/>
        </w:rPr>
        <w:t>）</w:t>
      </w:r>
      <w:r>
        <w:rPr>
          <w:rFonts w:hint="default"/>
          <w:highlight w:val="none"/>
          <w:lang w:val="en-US" w:eastAsia="zh-CN"/>
        </w:rPr>
        <w:t>零部件是否齐全，转动机构是否能正常转动，转动时有无异响；</w:t>
      </w:r>
    </w:p>
    <w:p w14:paraId="1A3972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5</w:t>
      </w:r>
      <w:r>
        <w:rPr>
          <w:rFonts w:hint="eastAsia"/>
          <w:highlight w:val="none"/>
          <w:lang w:val="en-US" w:eastAsia="zh-CN"/>
        </w:rPr>
        <w:t>）</w:t>
      </w:r>
      <w:r>
        <w:rPr>
          <w:rFonts w:hint="default"/>
          <w:highlight w:val="none"/>
          <w:lang w:val="en-US" w:eastAsia="zh-CN"/>
        </w:rPr>
        <w:t>钢丝绳的穿绕是否正确；绳头固定是否正确、牢固、可靠；</w:t>
      </w:r>
    </w:p>
    <w:p w14:paraId="1597A50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6</w:t>
      </w:r>
      <w:r>
        <w:rPr>
          <w:rFonts w:hint="eastAsia"/>
          <w:highlight w:val="none"/>
          <w:lang w:val="en-US" w:eastAsia="zh-CN"/>
        </w:rPr>
        <w:t>）</w:t>
      </w:r>
      <w:r>
        <w:rPr>
          <w:rFonts w:hint="default"/>
          <w:highlight w:val="none"/>
          <w:lang w:val="en-US" w:eastAsia="zh-CN"/>
        </w:rPr>
        <w:t>各限位开关、幅度检测、吨位传感器、风速仪、航空安全灯等电器元件及其线路是否完好并联接正确；连接是否可靠；</w:t>
      </w:r>
    </w:p>
    <w:p w14:paraId="3C628B3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7</w:t>
      </w:r>
      <w:r>
        <w:rPr>
          <w:rFonts w:hint="eastAsia"/>
          <w:highlight w:val="none"/>
          <w:lang w:val="en-US" w:eastAsia="zh-CN"/>
        </w:rPr>
        <w:t>）</w:t>
      </w:r>
      <w:r>
        <w:rPr>
          <w:rFonts w:hint="default"/>
          <w:highlight w:val="none"/>
          <w:lang w:val="en-US" w:eastAsia="zh-CN"/>
        </w:rPr>
        <w:t>部件上应安装的附件是否均已安装，且安装正确；</w:t>
      </w:r>
    </w:p>
    <w:p w14:paraId="1E60DC8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8</w:t>
      </w:r>
      <w:r>
        <w:rPr>
          <w:rFonts w:hint="eastAsia"/>
          <w:highlight w:val="none"/>
          <w:lang w:val="en-US" w:eastAsia="zh-CN"/>
        </w:rPr>
        <w:t>）</w:t>
      </w:r>
      <w:r>
        <w:rPr>
          <w:rFonts w:hint="default"/>
          <w:highlight w:val="none"/>
          <w:lang w:val="en-US" w:eastAsia="zh-CN"/>
        </w:rPr>
        <w:t>核查平衡重的连接方式及重量是否正确无误；</w:t>
      </w:r>
    </w:p>
    <w:p w14:paraId="7C644DF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w:t>
      </w:r>
      <w:r>
        <w:rPr>
          <w:rFonts w:hint="default"/>
          <w:highlight w:val="none"/>
          <w:lang w:val="en-US" w:eastAsia="zh-CN"/>
        </w:rPr>
        <w:t>9</w:t>
      </w:r>
      <w:r>
        <w:rPr>
          <w:rFonts w:hint="eastAsia"/>
          <w:highlight w:val="none"/>
          <w:lang w:val="en-US" w:eastAsia="zh-CN"/>
        </w:rPr>
        <w:t>）</w:t>
      </w:r>
      <w:r>
        <w:rPr>
          <w:rFonts w:hint="default"/>
          <w:highlight w:val="none"/>
          <w:lang w:val="en-US" w:eastAsia="zh-CN"/>
        </w:rPr>
        <w:t>塔吊试验分为空负荷试验、静负荷试验和动负荷试验三个部分。</w:t>
      </w:r>
    </w:p>
    <w:p w14:paraId="54928DB3">
      <w:pPr>
        <w:pStyle w:val="4"/>
        <w:tabs>
          <w:tab w:val="left" w:pos="0"/>
          <w:tab w:val="left" w:pos="630"/>
        </w:tabs>
        <w:bidi w:val="0"/>
        <w:rPr>
          <w:rFonts w:hint="default"/>
          <w:highlight w:val="none"/>
          <w:lang w:val="en-US" w:eastAsia="zh-CN"/>
        </w:rPr>
      </w:pPr>
      <w:bookmarkStart w:id="198" w:name="_Toc25780"/>
      <w:bookmarkStart w:id="199" w:name="_Toc8784"/>
      <w:bookmarkStart w:id="200" w:name="_Toc9762"/>
      <w:r>
        <w:rPr>
          <w:rFonts w:hint="eastAsia"/>
          <w:highlight w:val="none"/>
          <w:lang w:val="en-US" w:eastAsia="zh-CN"/>
        </w:rPr>
        <w:t>4.5.2空负荷试验</w:t>
      </w:r>
      <w:bookmarkEnd w:id="198"/>
      <w:bookmarkEnd w:id="199"/>
      <w:bookmarkEnd w:id="200"/>
    </w:p>
    <w:p w14:paraId="008909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空负荷试验的目的是检验电气设备控制动作的正确性，各机构工作的准确性，并调整各安全限位指示装置。空负荷试验的内容是在不悬挂重物的状态下，试验各机构的操作系统。</w:t>
      </w:r>
    </w:p>
    <w:p w14:paraId="2D8EC17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（1）各塔吊在其各自有效的工作幅度之间以额定速度行走全程，空钩提升、下降各3次；</w:t>
      </w:r>
    </w:p>
    <w:p w14:paraId="5ABCB75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（2）使吊钩处于</w:t>
      </w:r>
      <w:r>
        <w:rPr>
          <w:rFonts w:hint="eastAsia"/>
          <w:highlight w:val="none"/>
          <w:lang w:val="en-US" w:eastAsia="zh-CN"/>
        </w:rPr>
        <w:t>最大</w:t>
      </w:r>
      <w:r>
        <w:rPr>
          <w:rFonts w:hint="default"/>
          <w:highlight w:val="none"/>
          <w:lang w:val="en-US" w:eastAsia="zh-CN"/>
        </w:rPr>
        <w:t>幅度，左、右向回转；</w:t>
      </w:r>
    </w:p>
    <w:p w14:paraId="4E551A9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default"/>
          <w:highlight w:val="none"/>
          <w:lang w:val="en-US" w:eastAsia="zh-CN"/>
        </w:rPr>
        <w:t>（3）在不同时起、制动的条件下，作起升和回转机构的任两种机构的联合动作10分钟。运行过程中各机构不得发生任何异常现象，各机构制动器、操作系统、控制系统、联锁装置及各限位器、限制器应动作准确、可靠，否则应及时排除故障。</w:t>
      </w:r>
    </w:p>
    <w:p w14:paraId="049762A3">
      <w:pPr>
        <w:pStyle w:val="4"/>
        <w:tabs>
          <w:tab w:val="left" w:pos="0"/>
          <w:tab w:val="left" w:pos="630"/>
        </w:tabs>
        <w:bidi w:val="0"/>
        <w:rPr>
          <w:rFonts w:hint="default"/>
          <w:highlight w:val="none"/>
          <w:lang w:val="en-US" w:eastAsia="zh-CN"/>
        </w:rPr>
      </w:pPr>
      <w:bookmarkStart w:id="201" w:name="_Toc921"/>
      <w:bookmarkStart w:id="202" w:name="_Toc18760"/>
      <w:bookmarkStart w:id="203" w:name="_Toc9906"/>
      <w:r>
        <w:rPr>
          <w:rFonts w:hint="eastAsia"/>
          <w:highlight w:val="none"/>
          <w:lang w:val="en-US" w:eastAsia="zh-CN"/>
        </w:rPr>
        <w:t>4.5.3静负荷试验</w:t>
      </w:r>
      <w:bookmarkEnd w:id="201"/>
      <w:bookmarkEnd w:id="202"/>
      <w:bookmarkEnd w:id="203"/>
    </w:p>
    <w:p w14:paraId="0F6C830F">
      <w:pPr>
        <w:ind w:firstLine="480" w:firstLineChars="200"/>
        <w:rPr>
          <w:rFonts w:hint="default"/>
          <w:highlight w:val="none"/>
          <w:lang w:val="en-US" w:eastAsia="zh-CN"/>
        </w:rPr>
      </w:pPr>
      <w:r>
        <w:rPr>
          <w:rFonts w:hint="default"/>
          <w:highlight w:val="none"/>
          <w:lang w:val="en-US" w:eastAsia="zh-CN"/>
        </w:rPr>
        <w:t>在空负荷试验及调整完成后，进行静负荷试验，以检验各部钢结构、机构的强度、刚度及制动的可靠性、起重机静态的稳定性；在最大幅度处分别吊对应额定起重量的25％，50％，75％，100％，按空载试验要求进行试验。运行过程中不得发生任何异常现象，各机构制动器、操作系统、控制系统、联锁装置及各限位器、限制器应动作准确、可靠。</w:t>
      </w:r>
    </w:p>
    <w:p w14:paraId="2890EC3F">
      <w:pPr>
        <w:pStyle w:val="4"/>
        <w:tabs>
          <w:tab w:val="left" w:pos="0"/>
          <w:tab w:val="left" w:pos="630"/>
        </w:tabs>
        <w:bidi w:val="0"/>
        <w:rPr>
          <w:rFonts w:hint="default"/>
          <w:highlight w:val="none"/>
          <w:lang w:val="en-US" w:eastAsia="zh-CN"/>
        </w:rPr>
      </w:pPr>
      <w:bookmarkStart w:id="204" w:name="_Toc9563"/>
      <w:bookmarkStart w:id="205" w:name="_Toc969"/>
      <w:bookmarkStart w:id="206" w:name="_Toc29119"/>
      <w:r>
        <w:rPr>
          <w:rFonts w:hint="eastAsia"/>
          <w:highlight w:val="none"/>
          <w:lang w:val="en-US" w:eastAsia="zh-CN"/>
        </w:rPr>
        <w:t>4.5.4动负荷试验</w:t>
      </w:r>
      <w:bookmarkEnd w:id="204"/>
      <w:bookmarkEnd w:id="205"/>
      <w:bookmarkEnd w:id="206"/>
    </w:p>
    <w:p w14:paraId="66FA81E4">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超载25%静态</w:t>
      </w:r>
      <w:r>
        <w:rPr>
          <w:rFonts w:hint="eastAsia" w:ascii="宋体" w:hAnsi="宋体" w:eastAsia="宋体" w:cs="宋体"/>
          <w:color w:val="000000"/>
          <w:sz w:val="24"/>
          <w:szCs w:val="24"/>
          <w:highlight w:val="none"/>
          <w:lang w:val="en-US" w:eastAsia="zh-CN"/>
        </w:rPr>
        <w:t>试验</w:t>
      </w:r>
      <w:r>
        <w:rPr>
          <w:rFonts w:hint="eastAsia" w:ascii="宋体" w:hAnsi="宋体" w:eastAsia="宋体" w:cs="宋体"/>
          <w:color w:val="000000"/>
          <w:sz w:val="24"/>
          <w:szCs w:val="24"/>
          <w:highlight w:val="none"/>
        </w:rPr>
        <w:t>（四倍率）</w:t>
      </w:r>
    </w:p>
    <w:p w14:paraId="53127F82">
      <w:pPr>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空载试验、负荷试验合格后，进行静态超载实验。根据不同起重臂长，静态超载实验载荷如表下表所示。</w:t>
      </w:r>
    </w:p>
    <w:p w14:paraId="460CD896">
      <w:pPr>
        <w:pStyle w:val="15"/>
        <w:rPr>
          <w:rFonts w:hint="default" w:eastAsia="黑体"/>
          <w:highlight w:val="none"/>
          <w:lang w:val="en-US" w:eastAsia="zh-CN"/>
        </w:rPr>
      </w:pPr>
      <w:r>
        <w:rPr>
          <w:rFonts w:hint="eastAsia" w:ascii="Times New Roman" w:hAnsi="Times New Roman" w:cs="Times New Roman"/>
          <w:highlight w:val="none"/>
          <w:lang w:val="en-US" w:eastAsia="zh-CN"/>
        </w:rPr>
        <w:t>表4-</w:t>
      </w:r>
      <w:r>
        <w:rPr>
          <w:rFonts w:hint="eastAsia" w:ascii="Times New Roman" w:hAnsi="Times New Roman" w:cs="Times New Roman"/>
          <w:highlight w:val="none"/>
          <w:lang w:val="en-US" w:eastAsia="zh-CN"/>
        </w:rPr>
        <w:fldChar w:fldCharType="begin"/>
      </w:r>
      <w:r>
        <w:rPr>
          <w:rFonts w:hint="eastAsia" w:ascii="Times New Roman" w:hAnsi="Times New Roman" w:cs="Times New Roman"/>
          <w:highlight w:val="none"/>
          <w:lang w:val="en-US" w:eastAsia="zh-CN"/>
        </w:rPr>
        <w:instrText xml:space="preserve"> SEQ 表4- \* ARABIC </w:instrText>
      </w:r>
      <w:r>
        <w:rPr>
          <w:rFonts w:hint="eastAsia" w:ascii="Times New Roman" w:hAnsi="Times New Roman" w:cs="Times New Roman"/>
          <w:highlight w:val="none"/>
          <w:lang w:val="en-US" w:eastAsia="zh-CN"/>
        </w:rPr>
        <w:fldChar w:fldCharType="separate"/>
      </w:r>
      <w:r>
        <w:rPr>
          <w:rFonts w:hint="eastAsia" w:ascii="Times New Roman" w:hAnsi="Times New Roman" w:cs="Times New Roman"/>
          <w:highlight w:val="none"/>
          <w:lang w:val="en-US" w:eastAsia="zh-CN"/>
        </w:rPr>
        <w:t>5</w:t>
      </w:r>
      <w:r>
        <w:rPr>
          <w:rFonts w:hint="eastAsia" w:ascii="Times New Roman" w:hAnsi="Times New Roman" w:cs="Times New Roman"/>
          <w:highlight w:val="none"/>
          <w:lang w:val="en-US" w:eastAsia="zh-CN"/>
        </w:rPr>
        <w:fldChar w:fldCharType="end"/>
      </w:r>
      <w:r>
        <w:rPr>
          <w:rFonts w:hint="eastAsia" w:ascii="Times New Roman" w:hAnsi="Times New Roman" w:cs="Times New Roman"/>
          <w:highlight w:val="none"/>
          <w:lang w:val="en-US" w:eastAsia="zh-CN"/>
        </w:rPr>
        <w:t>静态试验</w:t>
      </w:r>
      <w:r>
        <w:rPr>
          <w:rFonts w:hint="eastAsia"/>
          <w:highlight w:val="none"/>
          <w:lang w:val="en-US" w:eastAsia="zh-CN"/>
        </w:rPr>
        <w:t>荷载表</w:t>
      </w:r>
    </w:p>
    <w:tbl>
      <w:tblPr>
        <w:tblStyle w:val="30"/>
        <w:tblW w:w="8438"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5F073F5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AE3F3" w:themeFill="accent5" w:themeFillTint="32"/>
            <w:noWrap w:val="0"/>
            <w:vAlign w:val="top"/>
            <mc:AlternateContent>
              <mc:Choice Requires="wpsCustomData">
                <wpsCustomData:diagonals>
                  <wpsCustomData:diagonal from="30000" to="10000">
                    <wpsCustomData:border w:val="single" w:color="2F5496" w:themeColor="accent5" w:themeShade="BF" w:sz="4" w:space="0"/>
                  </wpsCustomData:diagonal>
                </wpsCustomData:diagonals>
              </mc:Choice>
            </mc:AlternateContent>
          </w:tcPr>
          <w:p w14:paraId="4FBC676C">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58C0D61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AE3F3" w:themeFill="accent5" w:themeFillTint="32"/>
            <w:noWrap w:val="0"/>
            <w:vAlign w:val="center"/>
          </w:tcPr>
          <w:p w14:paraId="10DCDC6E">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AE3F3" w:themeFill="accent5" w:themeFillTint="32"/>
            <w:noWrap w:val="0"/>
            <w:vAlign w:val="center"/>
          </w:tcPr>
          <w:p w14:paraId="75DA8A6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AE3F3" w:themeFill="accent5" w:themeFillTint="32"/>
            <w:noWrap w:val="0"/>
            <w:vAlign w:val="center"/>
          </w:tcPr>
          <w:p w14:paraId="333CF5C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AE3F3" w:themeFill="accent5" w:themeFillTint="32"/>
            <w:noWrap w:val="0"/>
            <w:vAlign w:val="center"/>
          </w:tcPr>
          <w:p w14:paraId="09B28501">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3806904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67513ED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40m</w:t>
            </w:r>
          </w:p>
        </w:tc>
        <w:tc>
          <w:tcPr>
            <w:tcW w:w="1641" w:type="dxa"/>
            <w:tcBorders>
              <w:tl2br w:val="nil"/>
              <w:tr2bl w:val="nil"/>
            </w:tcBorders>
            <w:noWrap w:val="0"/>
            <w:vAlign w:val="center"/>
          </w:tcPr>
          <w:p w14:paraId="57F7E85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20</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5A8E9A1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15</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733532B7">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40m</w:t>
            </w:r>
          </w:p>
        </w:tc>
        <w:tc>
          <w:tcPr>
            <w:tcW w:w="1674" w:type="dxa"/>
            <w:tcBorders>
              <w:tl2br w:val="nil"/>
              <w:tr2bl w:val="nil"/>
            </w:tcBorders>
            <w:noWrap w:val="0"/>
            <w:vAlign w:val="center"/>
          </w:tcPr>
          <w:p w14:paraId="7A7A25C7">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8.5625</w:t>
            </w:r>
            <w:r>
              <w:rPr>
                <w:rFonts w:hint="eastAsia" w:ascii="宋体" w:hAnsi="宋体" w:eastAsia="宋体" w:cs="宋体"/>
                <w:color w:val="000000"/>
                <w:sz w:val="21"/>
                <w:szCs w:val="21"/>
                <w:highlight w:val="none"/>
              </w:rPr>
              <w:t>t</w:t>
            </w:r>
          </w:p>
        </w:tc>
      </w:tr>
    </w:tbl>
    <w:p w14:paraId="42507EEF">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在以上幅度Ⅰ、幅度Ⅱ处以最低安全速度将对应的吊重吊离地面100</w:t>
      </w:r>
      <w:r>
        <w:rPr>
          <w:rFonts w:hint="eastAsia" w:ascii="宋体" w:hAnsi="宋体" w:cs="宋体"/>
          <w:color w:val="000000"/>
          <w:sz w:val="24"/>
          <w:szCs w:val="24"/>
          <w:highlight w:val="none"/>
          <w:lang w:val="en-US" w:eastAsia="zh-CN"/>
        </w:rPr>
        <w:t>~</w:t>
      </w:r>
      <w:r>
        <w:rPr>
          <w:rFonts w:hint="eastAsia" w:ascii="宋体" w:hAnsi="宋体" w:cs="宋体"/>
          <w:color w:val="000000"/>
          <w:sz w:val="24"/>
          <w:szCs w:val="24"/>
          <w:highlight w:val="none"/>
        </w:rPr>
        <w:t>200mm处，并在吊钩上逐次增加重量至1.25倍，停留10min，卸载后检查金属结构及焊缝是否出现可见裂纹，永久变形、连接松动。（注意：静态超载实验不允许进行变幅及回转）</w:t>
      </w:r>
    </w:p>
    <w:p w14:paraId="1CD3912D">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ascii="宋体" w:hAnsi="宋体" w:cs="宋体"/>
          <w:color w:val="000000"/>
          <w:sz w:val="24"/>
          <w:szCs w:val="24"/>
          <w:highlight w:val="none"/>
        </w:rPr>
      </w:pPr>
      <w:r>
        <w:rPr>
          <w:rFonts w:hint="eastAsia" w:ascii="宋体" w:hAnsi="宋体" w:cs="宋体"/>
          <w:color w:val="000000"/>
          <w:sz w:val="24"/>
          <w:szCs w:val="24"/>
          <w:highlight w:val="none"/>
          <w:lang w:val="en-US" w:eastAsia="zh-CN"/>
        </w:rPr>
        <w:t>（2）</w:t>
      </w:r>
      <w:r>
        <w:rPr>
          <w:rFonts w:hint="eastAsia" w:ascii="宋体" w:hAnsi="宋体" w:cs="宋体"/>
          <w:color w:val="000000"/>
          <w:sz w:val="24"/>
          <w:szCs w:val="24"/>
          <w:highlight w:val="none"/>
        </w:rPr>
        <w:t>超载10%动态实验（四倍率）</w:t>
      </w:r>
    </w:p>
    <w:p w14:paraId="06D396BD">
      <w:pPr>
        <w:keepNext w:val="0"/>
        <w:keepLines w:val="0"/>
        <w:pageBreakBefore w:val="0"/>
        <w:widowControl w:val="0"/>
        <w:tabs>
          <w:tab w:val="left" w:pos="360"/>
        </w:tabs>
        <w:kinsoku/>
        <w:wordWrap/>
        <w:overflowPunct/>
        <w:topLinePunct w:val="0"/>
        <w:autoSpaceDE/>
        <w:autoSpaceDN/>
        <w:bidi w:val="0"/>
        <w:adjustRightInd w:val="0"/>
        <w:snapToGrid/>
        <w:spacing w:line="360" w:lineRule="auto"/>
        <w:ind w:firstLine="480" w:firstLineChars="200"/>
        <w:jc w:val="left"/>
        <w:textAlignment w:val="auto"/>
        <w:rPr>
          <w:rFonts w:hint="eastAsia" w:ascii="宋体" w:hAnsi="宋体" w:cs="宋体"/>
          <w:color w:val="000000"/>
          <w:sz w:val="24"/>
          <w:szCs w:val="24"/>
          <w:highlight w:val="none"/>
        </w:rPr>
      </w:pPr>
      <w:r>
        <w:rPr>
          <w:rFonts w:hint="eastAsia" w:ascii="宋体" w:hAnsi="宋体" w:cs="宋体"/>
          <w:color w:val="000000"/>
          <w:sz w:val="24"/>
          <w:szCs w:val="24"/>
          <w:highlight w:val="none"/>
        </w:rPr>
        <w:t>对各机构对应的全程范围内进行3次动作，各机构应动作灵活，制动器动作可靠。机构及结构各部件无异常现象，连接无松动和破坏。</w:t>
      </w:r>
    </w:p>
    <w:p w14:paraId="1D31EDC5">
      <w:pPr>
        <w:pStyle w:val="15"/>
        <w:rPr>
          <w:rFonts w:hint="eastAsia" w:ascii="宋体" w:hAnsi="宋体" w:cs="宋体"/>
          <w:color w:val="000000"/>
          <w:sz w:val="24"/>
          <w:szCs w:val="24"/>
          <w:highlight w:val="none"/>
        </w:rPr>
      </w:pPr>
      <w:r>
        <w:rPr>
          <w:rFonts w:hint="eastAsia" w:ascii="Times New Roman" w:hAnsi="Times New Roman" w:cs="Times New Roman"/>
          <w:highlight w:val="none"/>
          <w:lang w:val="en-US" w:eastAsia="zh-CN"/>
        </w:rPr>
        <w:t>表4-</w:t>
      </w:r>
      <w:r>
        <w:rPr>
          <w:rFonts w:hint="eastAsia" w:ascii="Times New Roman" w:hAnsi="Times New Roman" w:cs="Times New Roman"/>
          <w:highlight w:val="none"/>
          <w:lang w:val="en-US" w:eastAsia="zh-CN"/>
        </w:rPr>
        <w:fldChar w:fldCharType="begin"/>
      </w:r>
      <w:r>
        <w:rPr>
          <w:rFonts w:hint="eastAsia" w:ascii="Times New Roman" w:hAnsi="Times New Roman" w:cs="Times New Roman"/>
          <w:highlight w:val="none"/>
          <w:lang w:val="en-US" w:eastAsia="zh-CN"/>
        </w:rPr>
        <w:instrText xml:space="preserve"> SEQ 表4- \* ARABIC </w:instrText>
      </w:r>
      <w:r>
        <w:rPr>
          <w:rFonts w:hint="eastAsia" w:ascii="Times New Roman" w:hAnsi="Times New Roman" w:cs="Times New Roman"/>
          <w:highlight w:val="none"/>
          <w:lang w:val="en-US" w:eastAsia="zh-CN"/>
        </w:rPr>
        <w:fldChar w:fldCharType="separate"/>
      </w:r>
      <w:r>
        <w:rPr>
          <w:rFonts w:hint="eastAsia" w:ascii="Times New Roman" w:hAnsi="Times New Roman" w:cs="Times New Roman"/>
          <w:highlight w:val="none"/>
          <w:lang w:val="en-US" w:eastAsia="zh-CN"/>
        </w:rPr>
        <w:t>6</w:t>
      </w:r>
      <w:r>
        <w:rPr>
          <w:rFonts w:hint="eastAsia" w:ascii="Times New Roman" w:hAnsi="Times New Roman" w:cs="Times New Roman"/>
          <w:highlight w:val="none"/>
          <w:lang w:val="en-US" w:eastAsia="zh-CN"/>
        </w:rPr>
        <w:fldChar w:fldCharType="end"/>
      </w:r>
      <w:r>
        <w:rPr>
          <w:rFonts w:hint="eastAsia" w:ascii="Times New Roman" w:hAnsi="Times New Roman" w:cs="Times New Roman"/>
          <w:highlight w:val="none"/>
          <w:lang w:val="en-US" w:eastAsia="zh-CN"/>
        </w:rPr>
        <w:t>动态试验</w:t>
      </w:r>
      <w:r>
        <w:rPr>
          <w:rFonts w:hint="eastAsia"/>
          <w:highlight w:val="none"/>
          <w:lang w:val="en-US" w:eastAsia="zh-CN"/>
        </w:rPr>
        <w:t>荷载表</w:t>
      </w:r>
    </w:p>
    <w:tbl>
      <w:tblPr>
        <w:tblStyle w:val="30"/>
        <w:tblW w:w="8438"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928"/>
        <w:gridCol w:w="1641"/>
        <w:gridCol w:w="1684"/>
        <w:gridCol w:w="1511"/>
        <w:gridCol w:w="1674"/>
      </w:tblGrid>
      <w:tr w14:paraId="4B9FB43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737" w:hRule="atLeast"/>
          <w:jc w:val="center"/>
        </w:trPr>
        <w:tc>
          <w:tcPr>
            <w:tcW w:w="1928" w:type="dxa"/>
            <w:tcBorders>
              <w:tl2br w:val="nil"/>
              <w:tr2bl w:val="nil"/>
            </w:tcBorders>
            <w:shd w:val="clear" w:color="auto" w:fill="DAE3F3" w:themeFill="accent5" w:themeFillTint="32"/>
            <w:noWrap w:val="0"/>
            <w:vAlign w:val="top"/>
            <mc:AlternateContent>
              <mc:Choice Requires="wpsCustomData">
                <wpsCustomData:diagonals>
                  <wpsCustomData:diagonal from="30000" to="10000">
                    <wpsCustomData:border w:val="single" w:color="2F5496" w:themeColor="accent5" w:themeShade="BF" w:sz="4" w:space="0"/>
                  </wpsCustomData:diagonal>
                </wpsCustomData:diagonals>
              </mc:Choice>
            </mc:AlternateContent>
          </w:tcPr>
          <w:p w14:paraId="2DBDFB18">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项目</w:t>
            </w:r>
          </w:p>
          <w:p w14:paraId="350A3DF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臂长</w:t>
            </w:r>
          </w:p>
        </w:tc>
        <w:tc>
          <w:tcPr>
            <w:tcW w:w="1641" w:type="dxa"/>
            <w:tcBorders>
              <w:tl2br w:val="nil"/>
              <w:tr2bl w:val="nil"/>
            </w:tcBorders>
            <w:shd w:val="clear" w:color="auto" w:fill="DAE3F3" w:themeFill="accent5" w:themeFillTint="32"/>
            <w:noWrap w:val="0"/>
            <w:vAlign w:val="center"/>
          </w:tcPr>
          <w:p w14:paraId="4C3F8F2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幅度Ⅰ</w:t>
            </w:r>
          </w:p>
        </w:tc>
        <w:tc>
          <w:tcPr>
            <w:tcW w:w="1684" w:type="dxa"/>
            <w:tcBorders>
              <w:tl2br w:val="nil"/>
              <w:tr2bl w:val="nil"/>
            </w:tcBorders>
            <w:shd w:val="clear" w:color="auto" w:fill="DAE3F3" w:themeFill="accent5" w:themeFillTint="32"/>
            <w:noWrap w:val="0"/>
            <w:vAlign w:val="center"/>
          </w:tcPr>
          <w:p w14:paraId="0AAC108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吊重Ⅰ</w:t>
            </w:r>
          </w:p>
        </w:tc>
        <w:tc>
          <w:tcPr>
            <w:tcW w:w="1511" w:type="dxa"/>
            <w:tcBorders>
              <w:tl2br w:val="nil"/>
              <w:tr2bl w:val="nil"/>
            </w:tcBorders>
            <w:shd w:val="clear" w:color="auto" w:fill="DAE3F3" w:themeFill="accent5" w:themeFillTint="32"/>
            <w:noWrap w:val="0"/>
            <w:vAlign w:val="center"/>
          </w:tcPr>
          <w:p w14:paraId="462D3D4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幅度Ⅱ</w:t>
            </w:r>
          </w:p>
        </w:tc>
        <w:tc>
          <w:tcPr>
            <w:tcW w:w="1674" w:type="dxa"/>
            <w:tcBorders>
              <w:tl2br w:val="nil"/>
              <w:tr2bl w:val="nil"/>
            </w:tcBorders>
            <w:shd w:val="clear" w:color="auto" w:fill="DAE3F3" w:themeFill="accent5" w:themeFillTint="32"/>
            <w:noWrap w:val="0"/>
            <w:vAlign w:val="center"/>
          </w:tcPr>
          <w:p w14:paraId="5FA517C9">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吊重Ⅱ</w:t>
            </w:r>
          </w:p>
        </w:tc>
      </w:tr>
      <w:tr w14:paraId="66CB06C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928" w:type="dxa"/>
            <w:tcBorders>
              <w:tl2br w:val="nil"/>
              <w:tr2bl w:val="nil"/>
            </w:tcBorders>
            <w:noWrap w:val="0"/>
            <w:vAlign w:val="center"/>
          </w:tcPr>
          <w:p w14:paraId="1868505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420" w:firstLineChars="20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40m</w:t>
            </w:r>
          </w:p>
        </w:tc>
        <w:tc>
          <w:tcPr>
            <w:tcW w:w="1641" w:type="dxa"/>
            <w:tcBorders>
              <w:tl2br w:val="nil"/>
              <w:tr2bl w:val="nil"/>
            </w:tcBorders>
            <w:noWrap w:val="0"/>
            <w:vAlign w:val="center"/>
          </w:tcPr>
          <w:p w14:paraId="7A12E4F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20</w:t>
            </w:r>
            <w:r>
              <w:rPr>
                <w:rFonts w:hint="eastAsia" w:ascii="宋体" w:hAnsi="宋体" w:eastAsia="宋体" w:cs="宋体"/>
                <w:color w:val="000000"/>
                <w:sz w:val="21"/>
                <w:szCs w:val="21"/>
                <w:highlight w:val="none"/>
              </w:rPr>
              <w:t>m</w:t>
            </w:r>
          </w:p>
        </w:tc>
        <w:tc>
          <w:tcPr>
            <w:tcW w:w="1684" w:type="dxa"/>
            <w:tcBorders>
              <w:tl2br w:val="nil"/>
              <w:tr2bl w:val="nil"/>
            </w:tcBorders>
            <w:noWrap w:val="0"/>
            <w:vAlign w:val="center"/>
          </w:tcPr>
          <w:p w14:paraId="6B8FE138">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13.2</w:t>
            </w:r>
            <w:r>
              <w:rPr>
                <w:rFonts w:hint="eastAsia" w:ascii="宋体" w:hAnsi="宋体" w:eastAsia="宋体" w:cs="宋体"/>
                <w:color w:val="000000"/>
                <w:sz w:val="21"/>
                <w:szCs w:val="21"/>
                <w:highlight w:val="none"/>
              </w:rPr>
              <w:t>t</w:t>
            </w:r>
          </w:p>
        </w:tc>
        <w:tc>
          <w:tcPr>
            <w:tcW w:w="1511" w:type="dxa"/>
            <w:tcBorders>
              <w:tl2br w:val="nil"/>
              <w:tr2bl w:val="nil"/>
            </w:tcBorders>
            <w:noWrap w:val="0"/>
            <w:vAlign w:val="center"/>
          </w:tcPr>
          <w:p w14:paraId="4F38572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40m</w:t>
            </w:r>
          </w:p>
        </w:tc>
        <w:tc>
          <w:tcPr>
            <w:tcW w:w="1674" w:type="dxa"/>
            <w:tcBorders>
              <w:tl2br w:val="nil"/>
              <w:tr2bl w:val="nil"/>
            </w:tcBorders>
            <w:noWrap w:val="0"/>
            <w:vAlign w:val="center"/>
          </w:tcPr>
          <w:p w14:paraId="52E23FC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ascii="宋体" w:hAnsi="宋体" w:eastAsia="宋体" w:cs="宋体"/>
                <w:color w:val="000000"/>
                <w:sz w:val="21"/>
                <w:szCs w:val="21"/>
                <w:highlight w:val="none"/>
              </w:rPr>
            </w:pPr>
            <w:r>
              <w:rPr>
                <w:rFonts w:hint="eastAsia" w:cs="宋体"/>
                <w:color w:val="000000"/>
                <w:sz w:val="21"/>
                <w:szCs w:val="21"/>
                <w:highlight w:val="none"/>
                <w:lang w:val="en-US" w:eastAsia="zh-CN"/>
              </w:rPr>
              <w:t>7.535</w:t>
            </w:r>
            <w:r>
              <w:rPr>
                <w:rFonts w:hint="eastAsia" w:ascii="宋体" w:hAnsi="宋体" w:eastAsia="宋体" w:cs="宋体"/>
                <w:color w:val="000000"/>
                <w:sz w:val="21"/>
                <w:szCs w:val="21"/>
                <w:highlight w:val="none"/>
              </w:rPr>
              <w:t>t</w:t>
            </w:r>
          </w:p>
        </w:tc>
      </w:tr>
    </w:tbl>
    <w:p w14:paraId="3BD3AC3C">
      <w:pPr>
        <w:pStyle w:val="29"/>
        <w:rPr>
          <w:rFonts w:hint="eastAsia" w:ascii="宋体" w:hAnsi="宋体" w:cs="宋体"/>
          <w:color w:val="000000"/>
          <w:sz w:val="24"/>
          <w:szCs w:val="24"/>
          <w:highlight w:val="none"/>
        </w:rPr>
      </w:pPr>
    </w:p>
    <w:p w14:paraId="32C7022F">
      <w:pPr>
        <w:pStyle w:val="15"/>
        <w:bidi w:val="0"/>
        <w:rPr>
          <w:highlight w:val="none"/>
        </w:rPr>
      </w:pPr>
      <w:bookmarkStart w:id="207" w:name="_Hlk34310105"/>
      <w:r>
        <w:rPr>
          <w:highlight w:val="none"/>
        </w:rPr>
        <w:t>表4-</w:t>
      </w:r>
      <w:r>
        <w:rPr>
          <w:highlight w:val="none"/>
        </w:rPr>
        <w:fldChar w:fldCharType="begin"/>
      </w:r>
      <w:r>
        <w:rPr>
          <w:highlight w:val="none"/>
        </w:rPr>
        <w:instrText xml:space="preserve"> SEQ 表4- \* ARABIC </w:instrText>
      </w:r>
      <w:r>
        <w:rPr>
          <w:highlight w:val="none"/>
        </w:rPr>
        <w:fldChar w:fldCharType="separate"/>
      </w:r>
      <w:r>
        <w:rPr>
          <w:highlight w:val="none"/>
        </w:rPr>
        <w:t>7</w:t>
      </w:r>
      <w:r>
        <w:rPr>
          <w:highlight w:val="none"/>
        </w:rPr>
        <w:fldChar w:fldCharType="end"/>
      </w:r>
      <w:r>
        <w:rPr>
          <w:rFonts w:hint="eastAsia"/>
          <w:highlight w:val="none"/>
        </w:rPr>
        <w:t>塔式起重机检查表</w:t>
      </w:r>
    </w:p>
    <w:tbl>
      <w:tblPr>
        <w:tblStyle w:val="30"/>
        <w:tblpPr w:leftFromText="180" w:rightFromText="180" w:vertAnchor="text" w:tblpXSpec="center" w:tblpY="1"/>
        <w:tblOverlap w:val="never"/>
        <w:tblW w:w="10136" w:type="dxa"/>
        <w:tblInd w:w="0" w:type="dxa"/>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51"/>
        <w:gridCol w:w="723"/>
        <w:gridCol w:w="418"/>
        <w:gridCol w:w="1586"/>
        <w:gridCol w:w="2142"/>
        <w:gridCol w:w="1237"/>
        <w:gridCol w:w="722"/>
        <w:gridCol w:w="1418"/>
        <w:gridCol w:w="1239"/>
      </w:tblGrid>
      <w:tr w14:paraId="7AA9693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2D1C0D8B">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工程名称</w:t>
            </w:r>
          </w:p>
        </w:tc>
        <w:tc>
          <w:tcPr>
            <w:tcW w:w="8344" w:type="dxa"/>
            <w:gridSpan w:val="6"/>
            <w:tcBorders>
              <w:tl2br w:val="nil"/>
              <w:tr2bl w:val="nil"/>
            </w:tcBorders>
            <w:vAlign w:val="center"/>
          </w:tcPr>
          <w:p w14:paraId="4ADF7009">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47B8D10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3FC1FDD3">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总包单位</w:t>
            </w:r>
          </w:p>
        </w:tc>
        <w:tc>
          <w:tcPr>
            <w:tcW w:w="5687" w:type="dxa"/>
            <w:gridSpan w:val="4"/>
            <w:tcBorders>
              <w:tl2br w:val="nil"/>
              <w:tr2bl w:val="nil"/>
            </w:tcBorders>
            <w:vAlign w:val="center"/>
          </w:tcPr>
          <w:p w14:paraId="5937231C">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740379C8">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w:t>
            </w:r>
          </w:p>
        </w:tc>
        <w:tc>
          <w:tcPr>
            <w:tcW w:w="1239" w:type="dxa"/>
            <w:tcBorders>
              <w:tl2br w:val="nil"/>
              <w:tr2bl w:val="nil"/>
            </w:tcBorders>
            <w:vAlign w:val="center"/>
          </w:tcPr>
          <w:p w14:paraId="33577C73">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0D6A38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74B6D69C">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使用单位</w:t>
            </w:r>
          </w:p>
        </w:tc>
        <w:tc>
          <w:tcPr>
            <w:tcW w:w="5687" w:type="dxa"/>
            <w:gridSpan w:val="4"/>
            <w:tcBorders>
              <w:tl2br w:val="nil"/>
              <w:tr2bl w:val="nil"/>
            </w:tcBorders>
            <w:vAlign w:val="center"/>
          </w:tcPr>
          <w:p w14:paraId="63C70763">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13CB3975">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使用负责人</w:t>
            </w:r>
          </w:p>
        </w:tc>
        <w:tc>
          <w:tcPr>
            <w:tcW w:w="1239" w:type="dxa"/>
            <w:tcBorders>
              <w:tl2br w:val="nil"/>
              <w:tr2bl w:val="nil"/>
            </w:tcBorders>
            <w:vAlign w:val="center"/>
          </w:tcPr>
          <w:p w14:paraId="78CF13ED">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696BD4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02EA2CBC">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安装单位</w:t>
            </w:r>
          </w:p>
        </w:tc>
        <w:tc>
          <w:tcPr>
            <w:tcW w:w="5687" w:type="dxa"/>
            <w:gridSpan w:val="4"/>
            <w:tcBorders>
              <w:tl2br w:val="nil"/>
              <w:tr2bl w:val="nil"/>
            </w:tcBorders>
            <w:vAlign w:val="center"/>
          </w:tcPr>
          <w:p w14:paraId="3270D390">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532629EA">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安装负责人</w:t>
            </w:r>
          </w:p>
        </w:tc>
        <w:tc>
          <w:tcPr>
            <w:tcW w:w="1239" w:type="dxa"/>
            <w:tcBorders>
              <w:tl2br w:val="nil"/>
              <w:tr2bl w:val="nil"/>
            </w:tcBorders>
            <w:vAlign w:val="center"/>
          </w:tcPr>
          <w:p w14:paraId="348EAE12">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43CC948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56B583EE">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检测单位</w:t>
            </w:r>
          </w:p>
        </w:tc>
        <w:tc>
          <w:tcPr>
            <w:tcW w:w="5687" w:type="dxa"/>
            <w:gridSpan w:val="4"/>
            <w:tcBorders>
              <w:tl2br w:val="nil"/>
              <w:tr2bl w:val="nil"/>
            </w:tcBorders>
            <w:vAlign w:val="center"/>
          </w:tcPr>
          <w:p w14:paraId="595E005D">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418" w:type="dxa"/>
            <w:tcBorders>
              <w:tl2br w:val="nil"/>
              <w:tr2bl w:val="nil"/>
            </w:tcBorders>
            <w:vAlign w:val="center"/>
          </w:tcPr>
          <w:p w14:paraId="50B15E78">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资质证号</w:t>
            </w:r>
          </w:p>
        </w:tc>
        <w:tc>
          <w:tcPr>
            <w:tcW w:w="1239" w:type="dxa"/>
            <w:tcBorders>
              <w:tl2br w:val="nil"/>
              <w:tr2bl w:val="nil"/>
            </w:tcBorders>
            <w:vAlign w:val="center"/>
          </w:tcPr>
          <w:p w14:paraId="3F20082C">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50654A6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77227A39">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设备名称</w:t>
            </w:r>
          </w:p>
        </w:tc>
        <w:tc>
          <w:tcPr>
            <w:tcW w:w="3728" w:type="dxa"/>
            <w:gridSpan w:val="2"/>
            <w:tcBorders>
              <w:tl2br w:val="nil"/>
              <w:tr2bl w:val="nil"/>
            </w:tcBorders>
            <w:vAlign w:val="center"/>
          </w:tcPr>
          <w:p w14:paraId="6ECA5768">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959" w:type="dxa"/>
            <w:gridSpan w:val="2"/>
            <w:tcBorders>
              <w:tl2br w:val="nil"/>
              <w:tr2bl w:val="nil"/>
            </w:tcBorders>
            <w:vAlign w:val="center"/>
          </w:tcPr>
          <w:p w14:paraId="25140240">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规格型号</w:t>
            </w:r>
          </w:p>
        </w:tc>
        <w:tc>
          <w:tcPr>
            <w:tcW w:w="2657" w:type="dxa"/>
            <w:gridSpan w:val="2"/>
            <w:tcBorders>
              <w:tl2br w:val="nil"/>
              <w:tr2bl w:val="nil"/>
            </w:tcBorders>
            <w:vAlign w:val="center"/>
          </w:tcPr>
          <w:p w14:paraId="1F8738B4">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74E2458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exact"/>
        </w:trPr>
        <w:tc>
          <w:tcPr>
            <w:tcW w:w="1792" w:type="dxa"/>
            <w:gridSpan w:val="3"/>
            <w:tcBorders>
              <w:tl2br w:val="nil"/>
              <w:tr2bl w:val="nil"/>
            </w:tcBorders>
            <w:vAlign w:val="center"/>
          </w:tcPr>
          <w:p w14:paraId="45333F53">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使用地点</w:t>
            </w:r>
          </w:p>
        </w:tc>
        <w:tc>
          <w:tcPr>
            <w:tcW w:w="3728" w:type="dxa"/>
            <w:gridSpan w:val="2"/>
            <w:tcBorders>
              <w:tl2br w:val="nil"/>
              <w:tr2bl w:val="nil"/>
            </w:tcBorders>
            <w:vAlign w:val="center"/>
          </w:tcPr>
          <w:p w14:paraId="33F1D18F">
            <w:pPr>
              <w:snapToGrid w:val="0"/>
              <w:spacing w:line="240" w:lineRule="auto"/>
              <w:ind w:firstLine="0" w:firstLineChars="0"/>
              <w:jc w:val="center"/>
              <w:rPr>
                <w:rFonts w:hint="eastAsia" w:ascii="仿宋" w:hAnsi="仿宋" w:eastAsia="仿宋" w:cs="仿宋"/>
                <w:color w:val="000000"/>
                <w:sz w:val="21"/>
                <w:szCs w:val="21"/>
                <w:highlight w:val="none"/>
              </w:rPr>
            </w:pPr>
          </w:p>
        </w:tc>
        <w:tc>
          <w:tcPr>
            <w:tcW w:w="1959" w:type="dxa"/>
            <w:gridSpan w:val="2"/>
            <w:tcBorders>
              <w:tl2br w:val="nil"/>
              <w:tr2bl w:val="nil"/>
            </w:tcBorders>
            <w:vAlign w:val="center"/>
          </w:tcPr>
          <w:p w14:paraId="09F589B5">
            <w:pPr>
              <w:snapToGrid w:val="0"/>
              <w:spacing w:line="240" w:lineRule="auto"/>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安装日期</w:t>
            </w:r>
          </w:p>
        </w:tc>
        <w:tc>
          <w:tcPr>
            <w:tcW w:w="2657" w:type="dxa"/>
            <w:gridSpan w:val="2"/>
            <w:tcBorders>
              <w:tl2br w:val="nil"/>
              <w:tr2bl w:val="nil"/>
            </w:tcBorders>
            <w:vAlign w:val="center"/>
          </w:tcPr>
          <w:p w14:paraId="10777546">
            <w:pPr>
              <w:snapToGrid w:val="0"/>
              <w:spacing w:line="240" w:lineRule="auto"/>
              <w:ind w:firstLine="0" w:firstLineChars="0"/>
              <w:jc w:val="center"/>
              <w:rPr>
                <w:rFonts w:hint="eastAsia" w:ascii="仿宋" w:hAnsi="仿宋" w:eastAsia="仿宋" w:cs="仿宋"/>
                <w:color w:val="000000"/>
                <w:sz w:val="21"/>
                <w:szCs w:val="21"/>
                <w:highlight w:val="none"/>
              </w:rPr>
            </w:pPr>
          </w:p>
        </w:tc>
      </w:tr>
      <w:tr w14:paraId="6F3325C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D817621">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序号</w:t>
            </w:r>
          </w:p>
        </w:tc>
        <w:tc>
          <w:tcPr>
            <w:tcW w:w="723" w:type="dxa"/>
            <w:tcBorders>
              <w:tl2br w:val="nil"/>
              <w:tr2bl w:val="nil"/>
            </w:tcBorders>
            <w:vAlign w:val="center"/>
          </w:tcPr>
          <w:p w14:paraId="0381D7FF">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w:t>
            </w:r>
          </w:p>
          <w:p w14:paraId="4D1EE1DA">
            <w:pPr>
              <w:snapToGrid w:val="0"/>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项目</w:t>
            </w:r>
          </w:p>
        </w:tc>
        <w:tc>
          <w:tcPr>
            <w:tcW w:w="6105" w:type="dxa"/>
            <w:gridSpan w:val="5"/>
            <w:tcBorders>
              <w:tl2br w:val="nil"/>
              <w:tr2bl w:val="nil"/>
            </w:tcBorders>
            <w:vAlign w:val="center"/>
          </w:tcPr>
          <w:p w14:paraId="69716014">
            <w:pPr>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检查内容及要求</w:t>
            </w:r>
          </w:p>
        </w:tc>
        <w:tc>
          <w:tcPr>
            <w:tcW w:w="2657" w:type="dxa"/>
            <w:gridSpan w:val="2"/>
            <w:tcBorders>
              <w:tl2br w:val="nil"/>
              <w:tr2bl w:val="nil"/>
            </w:tcBorders>
            <w:vAlign w:val="center"/>
          </w:tcPr>
          <w:p w14:paraId="4ED03A98">
            <w:pPr>
              <w:spacing w:line="240" w:lineRule="exact"/>
              <w:ind w:firstLine="0" w:firstLineChars="0"/>
              <w:jc w:val="center"/>
              <w:rPr>
                <w:rFonts w:hint="eastAsia" w:ascii="仿宋" w:hAnsi="仿宋" w:eastAsia="仿宋" w:cs="仿宋"/>
                <w:b/>
                <w:bCs/>
                <w:color w:val="000000"/>
                <w:sz w:val="21"/>
                <w:szCs w:val="21"/>
                <w:highlight w:val="none"/>
              </w:rPr>
            </w:pPr>
            <w:r>
              <w:rPr>
                <w:rFonts w:hint="eastAsia" w:ascii="仿宋" w:hAnsi="仿宋" w:eastAsia="仿宋" w:cs="仿宋"/>
                <w:b/>
                <w:bCs/>
                <w:color w:val="000000"/>
                <w:sz w:val="21"/>
                <w:szCs w:val="21"/>
                <w:highlight w:val="none"/>
              </w:rPr>
              <w:t>检查结果</w:t>
            </w:r>
          </w:p>
        </w:tc>
      </w:tr>
      <w:tr w14:paraId="3513091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8E7664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723" w:type="dxa"/>
            <w:vMerge w:val="restart"/>
            <w:tcBorders>
              <w:tl2br w:val="nil"/>
              <w:tr2bl w:val="nil"/>
            </w:tcBorders>
            <w:vAlign w:val="center"/>
          </w:tcPr>
          <w:p w14:paraId="5C54D565">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管</w:t>
            </w:r>
          </w:p>
          <w:p w14:paraId="00DD1BA0">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理</w:t>
            </w:r>
          </w:p>
          <w:p w14:paraId="136F2C51">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与</w:t>
            </w:r>
          </w:p>
          <w:p w14:paraId="0D2F8148">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资</w:t>
            </w:r>
          </w:p>
          <w:p w14:paraId="3921CBA5">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料</w:t>
            </w:r>
          </w:p>
        </w:tc>
        <w:tc>
          <w:tcPr>
            <w:tcW w:w="6105" w:type="dxa"/>
            <w:gridSpan w:val="5"/>
            <w:tcBorders>
              <w:tl2br w:val="nil"/>
              <w:tr2bl w:val="nil"/>
            </w:tcBorders>
            <w:vAlign w:val="center"/>
          </w:tcPr>
          <w:p w14:paraId="6EFEAD9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生产单位、安装单位的资质</w:t>
            </w:r>
          </w:p>
        </w:tc>
        <w:tc>
          <w:tcPr>
            <w:tcW w:w="2657" w:type="dxa"/>
            <w:gridSpan w:val="2"/>
            <w:tcBorders>
              <w:tl2br w:val="nil"/>
              <w:tr2bl w:val="nil"/>
            </w:tcBorders>
            <w:vAlign w:val="center"/>
          </w:tcPr>
          <w:p w14:paraId="62C412F0">
            <w:pPr>
              <w:spacing w:line="240" w:lineRule="exact"/>
              <w:ind w:firstLine="0" w:firstLineChars="0"/>
              <w:jc w:val="center"/>
              <w:rPr>
                <w:rFonts w:hint="eastAsia" w:ascii="仿宋" w:hAnsi="仿宋" w:eastAsia="仿宋" w:cs="仿宋"/>
                <w:color w:val="000000"/>
                <w:sz w:val="21"/>
                <w:szCs w:val="21"/>
                <w:highlight w:val="none"/>
              </w:rPr>
            </w:pPr>
          </w:p>
        </w:tc>
      </w:tr>
      <w:tr w14:paraId="1514AF8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A9F265A">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w:t>
            </w:r>
          </w:p>
        </w:tc>
        <w:tc>
          <w:tcPr>
            <w:tcW w:w="723" w:type="dxa"/>
            <w:vMerge w:val="continue"/>
            <w:tcBorders>
              <w:tl2br w:val="nil"/>
              <w:tr2bl w:val="nil"/>
            </w:tcBorders>
            <w:vAlign w:val="center"/>
          </w:tcPr>
          <w:p w14:paraId="623A8C52">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9EEECD0">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经签认的设备进场/复工验收记录</w:t>
            </w:r>
          </w:p>
        </w:tc>
        <w:tc>
          <w:tcPr>
            <w:tcW w:w="2657" w:type="dxa"/>
            <w:gridSpan w:val="2"/>
            <w:tcBorders>
              <w:tl2br w:val="nil"/>
              <w:tr2bl w:val="nil"/>
            </w:tcBorders>
            <w:vAlign w:val="center"/>
          </w:tcPr>
          <w:p w14:paraId="6C98B5A5">
            <w:pPr>
              <w:spacing w:line="240" w:lineRule="exact"/>
              <w:ind w:firstLine="0" w:firstLineChars="0"/>
              <w:jc w:val="center"/>
              <w:rPr>
                <w:rFonts w:hint="eastAsia" w:ascii="仿宋" w:hAnsi="仿宋" w:eastAsia="仿宋" w:cs="仿宋"/>
                <w:color w:val="000000"/>
                <w:sz w:val="21"/>
                <w:szCs w:val="21"/>
                <w:highlight w:val="none"/>
              </w:rPr>
            </w:pPr>
          </w:p>
        </w:tc>
      </w:tr>
      <w:tr w14:paraId="1D8240D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3DFC7D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3</w:t>
            </w:r>
          </w:p>
        </w:tc>
        <w:tc>
          <w:tcPr>
            <w:tcW w:w="723" w:type="dxa"/>
            <w:vMerge w:val="continue"/>
            <w:tcBorders>
              <w:tl2br w:val="nil"/>
              <w:tr2bl w:val="nil"/>
            </w:tcBorders>
            <w:vAlign w:val="center"/>
          </w:tcPr>
          <w:p w14:paraId="3980932C">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6BC10C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基础的的检测和验收记录</w:t>
            </w:r>
          </w:p>
        </w:tc>
        <w:tc>
          <w:tcPr>
            <w:tcW w:w="2657" w:type="dxa"/>
            <w:gridSpan w:val="2"/>
            <w:tcBorders>
              <w:tl2br w:val="nil"/>
              <w:tr2bl w:val="nil"/>
            </w:tcBorders>
            <w:vAlign w:val="center"/>
          </w:tcPr>
          <w:p w14:paraId="5BB2BE98">
            <w:pPr>
              <w:spacing w:line="240" w:lineRule="exact"/>
              <w:ind w:firstLine="0" w:firstLineChars="0"/>
              <w:jc w:val="center"/>
              <w:rPr>
                <w:rFonts w:hint="eastAsia" w:ascii="仿宋" w:hAnsi="仿宋" w:eastAsia="仿宋" w:cs="仿宋"/>
                <w:color w:val="000000"/>
                <w:sz w:val="21"/>
                <w:szCs w:val="21"/>
                <w:highlight w:val="none"/>
              </w:rPr>
            </w:pPr>
          </w:p>
        </w:tc>
      </w:tr>
      <w:tr w14:paraId="65A6D2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2741C9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4</w:t>
            </w:r>
          </w:p>
        </w:tc>
        <w:tc>
          <w:tcPr>
            <w:tcW w:w="723" w:type="dxa"/>
            <w:vMerge w:val="continue"/>
            <w:tcBorders>
              <w:tl2br w:val="nil"/>
              <w:tr2bl w:val="nil"/>
            </w:tcBorders>
            <w:vAlign w:val="center"/>
          </w:tcPr>
          <w:p w14:paraId="48D6E631">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EFED8EC">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外租或协作单位塔式起重机，出厂年限不得超过5年；自有塔式起重机按照公司相关要求进行管理和使用。</w:t>
            </w:r>
          </w:p>
        </w:tc>
        <w:tc>
          <w:tcPr>
            <w:tcW w:w="2657" w:type="dxa"/>
            <w:gridSpan w:val="2"/>
            <w:tcBorders>
              <w:tl2br w:val="nil"/>
              <w:tr2bl w:val="nil"/>
            </w:tcBorders>
            <w:vAlign w:val="center"/>
          </w:tcPr>
          <w:p w14:paraId="01C8B2C7">
            <w:pPr>
              <w:spacing w:line="240" w:lineRule="exact"/>
              <w:ind w:firstLine="0" w:firstLineChars="0"/>
              <w:jc w:val="center"/>
              <w:rPr>
                <w:rFonts w:hint="eastAsia" w:ascii="仿宋" w:hAnsi="仿宋" w:eastAsia="仿宋" w:cs="仿宋"/>
                <w:color w:val="000000"/>
                <w:sz w:val="21"/>
                <w:szCs w:val="21"/>
                <w:highlight w:val="none"/>
              </w:rPr>
            </w:pPr>
          </w:p>
        </w:tc>
      </w:tr>
      <w:tr w14:paraId="4C73C69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C29CD0C">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5</w:t>
            </w:r>
          </w:p>
        </w:tc>
        <w:tc>
          <w:tcPr>
            <w:tcW w:w="723" w:type="dxa"/>
            <w:vMerge w:val="continue"/>
            <w:tcBorders>
              <w:tl2br w:val="nil"/>
              <w:tr2bl w:val="nil"/>
            </w:tcBorders>
            <w:vAlign w:val="center"/>
          </w:tcPr>
          <w:p w14:paraId="55A7FB7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657421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维修保养制度/措施、计划；日常维护保养记录</w:t>
            </w:r>
          </w:p>
        </w:tc>
        <w:tc>
          <w:tcPr>
            <w:tcW w:w="2657" w:type="dxa"/>
            <w:gridSpan w:val="2"/>
            <w:tcBorders>
              <w:tl2br w:val="nil"/>
              <w:tr2bl w:val="nil"/>
            </w:tcBorders>
            <w:vAlign w:val="center"/>
          </w:tcPr>
          <w:p w14:paraId="76BABAC1">
            <w:pPr>
              <w:spacing w:line="240" w:lineRule="exact"/>
              <w:ind w:firstLine="0" w:firstLineChars="0"/>
              <w:jc w:val="center"/>
              <w:rPr>
                <w:rFonts w:hint="eastAsia" w:ascii="仿宋" w:hAnsi="仿宋" w:eastAsia="仿宋" w:cs="仿宋"/>
                <w:color w:val="000000"/>
                <w:sz w:val="21"/>
                <w:szCs w:val="21"/>
                <w:highlight w:val="none"/>
              </w:rPr>
            </w:pPr>
          </w:p>
        </w:tc>
      </w:tr>
      <w:tr w14:paraId="2D8922E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4122F6B">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6</w:t>
            </w:r>
          </w:p>
        </w:tc>
        <w:tc>
          <w:tcPr>
            <w:tcW w:w="723" w:type="dxa"/>
            <w:vMerge w:val="continue"/>
            <w:tcBorders>
              <w:tl2br w:val="nil"/>
              <w:tr2bl w:val="nil"/>
            </w:tcBorders>
            <w:vAlign w:val="center"/>
          </w:tcPr>
          <w:p w14:paraId="61677A6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2ABDC66">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特种设备检查制度；日常检查记录</w:t>
            </w:r>
          </w:p>
        </w:tc>
        <w:tc>
          <w:tcPr>
            <w:tcW w:w="2657" w:type="dxa"/>
            <w:gridSpan w:val="2"/>
            <w:tcBorders>
              <w:tl2br w:val="nil"/>
              <w:tr2bl w:val="nil"/>
            </w:tcBorders>
            <w:vAlign w:val="center"/>
          </w:tcPr>
          <w:p w14:paraId="472BFF7F">
            <w:pPr>
              <w:spacing w:line="240" w:lineRule="exact"/>
              <w:ind w:firstLine="0" w:firstLineChars="0"/>
              <w:jc w:val="center"/>
              <w:rPr>
                <w:rFonts w:hint="eastAsia" w:ascii="仿宋" w:hAnsi="仿宋" w:eastAsia="仿宋" w:cs="仿宋"/>
                <w:color w:val="000000"/>
                <w:sz w:val="21"/>
                <w:szCs w:val="21"/>
                <w:highlight w:val="none"/>
              </w:rPr>
            </w:pPr>
          </w:p>
        </w:tc>
      </w:tr>
      <w:tr w14:paraId="48C12D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C53AC2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7</w:t>
            </w:r>
          </w:p>
        </w:tc>
        <w:tc>
          <w:tcPr>
            <w:tcW w:w="723" w:type="dxa"/>
            <w:vMerge w:val="continue"/>
            <w:tcBorders>
              <w:tl2br w:val="nil"/>
              <w:tr2bl w:val="nil"/>
            </w:tcBorders>
            <w:vAlign w:val="center"/>
          </w:tcPr>
          <w:p w14:paraId="652200BC">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6D5775C1">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安全附件、安全保护装置、测量调控装置及有关附属仪器仪表等定期校验、检修记录</w:t>
            </w:r>
          </w:p>
        </w:tc>
        <w:tc>
          <w:tcPr>
            <w:tcW w:w="2657" w:type="dxa"/>
            <w:gridSpan w:val="2"/>
            <w:tcBorders>
              <w:tl2br w:val="nil"/>
              <w:tr2bl w:val="nil"/>
            </w:tcBorders>
            <w:vAlign w:val="center"/>
          </w:tcPr>
          <w:p w14:paraId="3063965A">
            <w:pPr>
              <w:spacing w:line="240" w:lineRule="exact"/>
              <w:ind w:firstLine="0" w:firstLineChars="0"/>
              <w:jc w:val="center"/>
              <w:rPr>
                <w:rFonts w:hint="eastAsia" w:ascii="仿宋" w:hAnsi="仿宋" w:eastAsia="仿宋" w:cs="仿宋"/>
                <w:color w:val="000000"/>
                <w:sz w:val="21"/>
                <w:szCs w:val="21"/>
                <w:highlight w:val="none"/>
              </w:rPr>
            </w:pPr>
          </w:p>
        </w:tc>
      </w:tr>
      <w:tr w14:paraId="526A1F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2429802">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8</w:t>
            </w:r>
          </w:p>
        </w:tc>
        <w:tc>
          <w:tcPr>
            <w:tcW w:w="723" w:type="dxa"/>
            <w:vMerge w:val="continue"/>
            <w:tcBorders>
              <w:tl2br w:val="nil"/>
              <w:tr2bl w:val="nil"/>
            </w:tcBorders>
            <w:vAlign w:val="center"/>
          </w:tcPr>
          <w:p w14:paraId="289BDBF3">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F5DFAC1">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现场操作手持证情况，人员培训教育、风险告知、交底等资料</w:t>
            </w:r>
          </w:p>
        </w:tc>
        <w:tc>
          <w:tcPr>
            <w:tcW w:w="2657" w:type="dxa"/>
            <w:gridSpan w:val="2"/>
            <w:tcBorders>
              <w:tl2br w:val="nil"/>
              <w:tr2bl w:val="nil"/>
            </w:tcBorders>
            <w:vAlign w:val="center"/>
          </w:tcPr>
          <w:p w14:paraId="7A65B1CB">
            <w:pPr>
              <w:spacing w:line="240" w:lineRule="exact"/>
              <w:ind w:firstLine="0" w:firstLineChars="0"/>
              <w:jc w:val="center"/>
              <w:rPr>
                <w:rFonts w:hint="eastAsia" w:ascii="仿宋" w:hAnsi="仿宋" w:eastAsia="仿宋" w:cs="仿宋"/>
                <w:color w:val="000000"/>
                <w:sz w:val="21"/>
                <w:szCs w:val="21"/>
                <w:highlight w:val="none"/>
              </w:rPr>
            </w:pPr>
          </w:p>
        </w:tc>
      </w:tr>
      <w:tr w14:paraId="6D1760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E23C60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9</w:t>
            </w:r>
          </w:p>
        </w:tc>
        <w:tc>
          <w:tcPr>
            <w:tcW w:w="723" w:type="dxa"/>
            <w:vMerge w:val="continue"/>
            <w:tcBorders>
              <w:tl2br w:val="nil"/>
              <w:tr2bl w:val="nil"/>
            </w:tcBorders>
            <w:vAlign w:val="center"/>
          </w:tcPr>
          <w:p w14:paraId="512F1E9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29FF05C7">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使用登记备案证、安全检验合格证、检测报告等</w:t>
            </w:r>
          </w:p>
        </w:tc>
        <w:tc>
          <w:tcPr>
            <w:tcW w:w="2657" w:type="dxa"/>
            <w:gridSpan w:val="2"/>
            <w:tcBorders>
              <w:tl2br w:val="nil"/>
              <w:tr2bl w:val="nil"/>
            </w:tcBorders>
            <w:vAlign w:val="center"/>
          </w:tcPr>
          <w:p w14:paraId="6EAB84CF">
            <w:pPr>
              <w:spacing w:line="240" w:lineRule="exact"/>
              <w:ind w:firstLine="0" w:firstLineChars="0"/>
              <w:jc w:val="center"/>
              <w:rPr>
                <w:rFonts w:hint="eastAsia" w:ascii="仿宋" w:hAnsi="仿宋" w:eastAsia="仿宋" w:cs="仿宋"/>
                <w:color w:val="000000"/>
                <w:sz w:val="21"/>
                <w:szCs w:val="21"/>
                <w:highlight w:val="none"/>
              </w:rPr>
            </w:pPr>
          </w:p>
        </w:tc>
      </w:tr>
      <w:tr w14:paraId="1A91B02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0CE143B">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10</w:t>
            </w:r>
          </w:p>
        </w:tc>
        <w:tc>
          <w:tcPr>
            <w:tcW w:w="723" w:type="dxa"/>
            <w:vMerge w:val="continue"/>
            <w:tcBorders>
              <w:tl2br w:val="nil"/>
              <w:tr2bl w:val="nil"/>
            </w:tcBorders>
            <w:vAlign w:val="center"/>
          </w:tcPr>
          <w:p w14:paraId="369EEA9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8D35432">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有健全的安全管理制度和岗位责任制</w:t>
            </w:r>
          </w:p>
        </w:tc>
        <w:tc>
          <w:tcPr>
            <w:tcW w:w="2657" w:type="dxa"/>
            <w:gridSpan w:val="2"/>
            <w:tcBorders>
              <w:tl2br w:val="nil"/>
              <w:tr2bl w:val="nil"/>
            </w:tcBorders>
            <w:vAlign w:val="center"/>
          </w:tcPr>
          <w:p w14:paraId="7AFC60BC">
            <w:pPr>
              <w:spacing w:line="240" w:lineRule="exact"/>
              <w:ind w:firstLine="0" w:firstLineChars="0"/>
              <w:jc w:val="center"/>
              <w:rPr>
                <w:rFonts w:hint="eastAsia" w:ascii="仿宋" w:hAnsi="仿宋" w:eastAsia="仿宋" w:cs="仿宋"/>
                <w:color w:val="000000"/>
                <w:sz w:val="21"/>
                <w:szCs w:val="21"/>
                <w:highlight w:val="none"/>
              </w:rPr>
            </w:pPr>
          </w:p>
        </w:tc>
      </w:tr>
      <w:tr w14:paraId="4A4F8B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3B28102">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11</w:t>
            </w:r>
          </w:p>
        </w:tc>
        <w:tc>
          <w:tcPr>
            <w:tcW w:w="723" w:type="dxa"/>
            <w:vMerge w:val="continue"/>
            <w:tcBorders>
              <w:tl2br w:val="nil"/>
              <w:tr2bl w:val="nil"/>
            </w:tcBorders>
            <w:vAlign w:val="center"/>
          </w:tcPr>
          <w:p w14:paraId="4DBED75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75C3116">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经审批的安装方案，方案编制单位是否具有相应资质，审批是否齐全</w:t>
            </w:r>
          </w:p>
        </w:tc>
        <w:tc>
          <w:tcPr>
            <w:tcW w:w="2657" w:type="dxa"/>
            <w:gridSpan w:val="2"/>
            <w:tcBorders>
              <w:tl2br w:val="nil"/>
              <w:tr2bl w:val="nil"/>
            </w:tcBorders>
            <w:vAlign w:val="center"/>
          </w:tcPr>
          <w:p w14:paraId="5073DA03">
            <w:pPr>
              <w:spacing w:line="240" w:lineRule="exact"/>
              <w:ind w:firstLine="0" w:firstLineChars="0"/>
              <w:jc w:val="center"/>
              <w:rPr>
                <w:rFonts w:hint="eastAsia" w:ascii="仿宋" w:hAnsi="仿宋" w:eastAsia="仿宋" w:cs="仿宋"/>
                <w:color w:val="000000"/>
                <w:sz w:val="21"/>
                <w:szCs w:val="21"/>
                <w:highlight w:val="none"/>
              </w:rPr>
            </w:pPr>
          </w:p>
        </w:tc>
      </w:tr>
      <w:tr w14:paraId="1C183FB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8041AE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12</w:t>
            </w:r>
          </w:p>
        </w:tc>
        <w:tc>
          <w:tcPr>
            <w:tcW w:w="723" w:type="dxa"/>
            <w:vMerge w:val="continue"/>
            <w:tcBorders>
              <w:tl2br w:val="nil"/>
              <w:tr2bl w:val="nil"/>
            </w:tcBorders>
            <w:vAlign w:val="center"/>
          </w:tcPr>
          <w:p w14:paraId="5F6C7B4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D629E5F">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多塔作业的专项施工方案</w:t>
            </w:r>
          </w:p>
        </w:tc>
        <w:tc>
          <w:tcPr>
            <w:tcW w:w="2657" w:type="dxa"/>
            <w:gridSpan w:val="2"/>
            <w:tcBorders>
              <w:tl2br w:val="nil"/>
              <w:tr2bl w:val="nil"/>
            </w:tcBorders>
            <w:vAlign w:val="center"/>
          </w:tcPr>
          <w:p w14:paraId="55BB89B8">
            <w:pPr>
              <w:spacing w:line="240" w:lineRule="exact"/>
              <w:ind w:firstLine="0" w:firstLineChars="0"/>
              <w:jc w:val="center"/>
              <w:rPr>
                <w:rFonts w:hint="eastAsia" w:ascii="仿宋" w:hAnsi="仿宋" w:eastAsia="仿宋" w:cs="仿宋"/>
                <w:color w:val="000000"/>
                <w:sz w:val="21"/>
                <w:szCs w:val="21"/>
                <w:highlight w:val="none"/>
              </w:rPr>
            </w:pPr>
          </w:p>
        </w:tc>
      </w:tr>
      <w:tr w14:paraId="5710A87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74FF443">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13</w:t>
            </w:r>
          </w:p>
        </w:tc>
        <w:tc>
          <w:tcPr>
            <w:tcW w:w="723" w:type="dxa"/>
            <w:tcBorders>
              <w:tl2br w:val="nil"/>
              <w:tr2bl w:val="nil"/>
            </w:tcBorders>
            <w:vAlign w:val="center"/>
          </w:tcPr>
          <w:p w14:paraId="0A199706">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基础</w:t>
            </w:r>
          </w:p>
        </w:tc>
        <w:tc>
          <w:tcPr>
            <w:tcW w:w="6105" w:type="dxa"/>
            <w:gridSpan w:val="5"/>
            <w:tcBorders>
              <w:tl2br w:val="nil"/>
              <w:tr2bl w:val="nil"/>
            </w:tcBorders>
            <w:vAlign w:val="center"/>
          </w:tcPr>
          <w:p w14:paraId="1E97EEC2">
            <w:pPr>
              <w:snapToGrid w:val="0"/>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基础排水通畅，接地牢固可靠</w:t>
            </w:r>
          </w:p>
        </w:tc>
        <w:tc>
          <w:tcPr>
            <w:tcW w:w="2657" w:type="dxa"/>
            <w:gridSpan w:val="2"/>
            <w:tcBorders>
              <w:tl2br w:val="nil"/>
              <w:tr2bl w:val="nil"/>
            </w:tcBorders>
            <w:vAlign w:val="center"/>
          </w:tcPr>
          <w:p w14:paraId="784AD53C">
            <w:pPr>
              <w:spacing w:line="240" w:lineRule="exact"/>
              <w:ind w:firstLine="0" w:firstLineChars="0"/>
              <w:jc w:val="center"/>
              <w:rPr>
                <w:rFonts w:hint="eastAsia" w:ascii="仿宋" w:hAnsi="仿宋" w:eastAsia="仿宋" w:cs="仿宋"/>
                <w:color w:val="000000"/>
                <w:sz w:val="21"/>
                <w:szCs w:val="21"/>
                <w:highlight w:val="none"/>
              </w:rPr>
            </w:pPr>
          </w:p>
        </w:tc>
      </w:tr>
      <w:tr w14:paraId="2C69C8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D51A96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14</w:t>
            </w:r>
          </w:p>
        </w:tc>
        <w:tc>
          <w:tcPr>
            <w:tcW w:w="723" w:type="dxa"/>
            <w:vMerge w:val="restart"/>
            <w:tcBorders>
              <w:tl2br w:val="nil"/>
              <w:tr2bl w:val="nil"/>
            </w:tcBorders>
            <w:vAlign w:val="center"/>
          </w:tcPr>
          <w:p w14:paraId="1FDF931E">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塔身结构</w:t>
            </w:r>
          </w:p>
        </w:tc>
        <w:tc>
          <w:tcPr>
            <w:tcW w:w="6105" w:type="dxa"/>
            <w:gridSpan w:val="5"/>
            <w:tcBorders>
              <w:tl2br w:val="nil"/>
              <w:tr2bl w:val="nil"/>
            </w:tcBorders>
            <w:vAlign w:val="center"/>
          </w:tcPr>
          <w:p w14:paraId="7EC8B1A5">
            <w:pPr>
              <w:snapToGrid w:val="0"/>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钢结构无明显变形、脱焊和开裂</w:t>
            </w:r>
          </w:p>
        </w:tc>
        <w:tc>
          <w:tcPr>
            <w:tcW w:w="2657" w:type="dxa"/>
            <w:gridSpan w:val="2"/>
            <w:tcBorders>
              <w:tl2br w:val="nil"/>
              <w:tr2bl w:val="nil"/>
            </w:tcBorders>
            <w:vAlign w:val="center"/>
          </w:tcPr>
          <w:p w14:paraId="09A28385">
            <w:pPr>
              <w:spacing w:line="240" w:lineRule="exact"/>
              <w:ind w:firstLine="0" w:firstLineChars="0"/>
              <w:jc w:val="center"/>
              <w:rPr>
                <w:rFonts w:hint="eastAsia" w:ascii="仿宋" w:hAnsi="仿宋" w:eastAsia="仿宋" w:cs="仿宋"/>
                <w:color w:val="000000"/>
                <w:sz w:val="21"/>
                <w:szCs w:val="21"/>
                <w:highlight w:val="none"/>
              </w:rPr>
            </w:pPr>
          </w:p>
        </w:tc>
      </w:tr>
      <w:tr w14:paraId="388B7AD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6DC30C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15</w:t>
            </w:r>
          </w:p>
        </w:tc>
        <w:tc>
          <w:tcPr>
            <w:tcW w:w="723" w:type="dxa"/>
            <w:vMerge w:val="continue"/>
            <w:tcBorders>
              <w:tl2br w:val="nil"/>
              <w:tr2bl w:val="nil"/>
            </w:tcBorders>
            <w:vAlign w:val="center"/>
          </w:tcPr>
          <w:p w14:paraId="0CF82B3A">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90AAF6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基础承载力符合说明书要求，混凝土有试压报告，位置合理</w:t>
            </w:r>
          </w:p>
        </w:tc>
        <w:tc>
          <w:tcPr>
            <w:tcW w:w="2657" w:type="dxa"/>
            <w:gridSpan w:val="2"/>
            <w:tcBorders>
              <w:tl2br w:val="nil"/>
              <w:tr2bl w:val="nil"/>
            </w:tcBorders>
            <w:vAlign w:val="center"/>
          </w:tcPr>
          <w:p w14:paraId="243AA184">
            <w:pPr>
              <w:spacing w:line="240" w:lineRule="exact"/>
              <w:ind w:firstLine="0" w:firstLineChars="0"/>
              <w:jc w:val="center"/>
              <w:rPr>
                <w:rFonts w:hint="eastAsia" w:ascii="仿宋" w:hAnsi="仿宋" w:eastAsia="仿宋" w:cs="仿宋"/>
                <w:color w:val="000000"/>
                <w:sz w:val="21"/>
                <w:szCs w:val="21"/>
                <w:highlight w:val="none"/>
              </w:rPr>
            </w:pPr>
          </w:p>
        </w:tc>
      </w:tr>
      <w:tr w14:paraId="67891A0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A738238">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16</w:t>
            </w:r>
          </w:p>
        </w:tc>
        <w:tc>
          <w:tcPr>
            <w:tcW w:w="723" w:type="dxa"/>
            <w:vMerge w:val="continue"/>
            <w:tcBorders>
              <w:tl2br w:val="nil"/>
              <w:tr2bl w:val="nil"/>
            </w:tcBorders>
            <w:vAlign w:val="center"/>
          </w:tcPr>
          <w:p w14:paraId="6B199CD4">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BA9BE1F">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螺帽、销轴、高强度螺栓等零部件配置齐全、无松动、缺损、无严重锈蚀</w:t>
            </w:r>
          </w:p>
        </w:tc>
        <w:tc>
          <w:tcPr>
            <w:tcW w:w="2657" w:type="dxa"/>
            <w:gridSpan w:val="2"/>
            <w:tcBorders>
              <w:tl2br w:val="nil"/>
              <w:tr2bl w:val="nil"/>
            </w:tcBorders>
            <w:vAlign w:val="center"/>
          </w:tcPr>
          <w:p w14:paraId="5095DA6B">
            <w:pPr>
              <w:spacing w:line="240" w:lineRule="exact"/>
              <w:ind w:firstLine="0" w:firstLineChars="0"/>
              <w:jc w:val="center"/>
              <w:rPr>
                <w:rFonts w:hint="eastAsia" w:ascii="仿宋" w:hAnsi="仿宋" w:eastAsia="仿宋" w:cs="仿宋"/>
                <w:color w:val="000000"/>
                <w:sz w:val="21"/>
                <w:szCs w:val="21"/>
                <w:highlight w:val="none"/>
              </w:rPr>
            </w:pPr>
          </w:p>
        </w:tc>
      </w:tr>
      <w:tr w14:paraId="00FC485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386F367">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17</w:t>
            </w:r>
          </w:p>
        </w:tc>
        <w:tc>
          <w:tcPr>
            <w:tcW w:w="723" w:type="dxa"/>
            <w:vMerge w:val="continue"/>
            <w:tcBorders>
              <w:tl2br w:val="nil"/>
              <w:tr2bl w:val="nil"/>
            </w:tcBorders>
            <w:vAlign w:val="center"/>
          </w:tcPr>
          <w:p w14:paraId="58318F3E">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E209F6D">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爬梯设置防护圈和休息平台，杆件无交叉嫁接</w:t>
            </w:r>
          </w:p>
        </w:tc>
        <w:tc>
          <w:tcPr>
            <w:tcW w:w="2657" w:type="dxa"/>
            <w:gridSpan w:val="2"/>
            <w:tcBorders>
              <w:tl2br w:val="nil"/>
              <w:tr2bl w:val="nil"/>
            </w:tcBorders>
            <w:vAlign w:val="center"/>
          </w:tcPr>
          <w:p w14:paraId="3FB0BBA7">
            <w:pPr>
              <w:spacing w:line="240" w:lineRule="exact"/>
              <w:ind w:firstLine="0" w:firstLineChars="0"/>
              <w:jc w:val="center"/>
              <w:rPr>
                <w:rFonts w:hint="eastAsia" w:ascii="仿宋" w:hAnsi="仿宋" w:eastAsia="仿宋" w:cs="仿宋"/>
                <w:color w:val="000000"/>
                <w:sz w:val="21"/>
                <w:szCs w:val="21"/>
                <w:highlight w:val="none"/>
              </w:rPr>
            </w:pPr>
          </w:p>
        </w:tc>
      </w:tr>
      <w:tr w14:paraId="2E0A029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CFFA87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18</w:t>
            </w:r>
          </w:p>
        </w:tc>
        <w:tc>
          <w:tcPr>
            <w:tcW w:w="723" w:type="dxa"/>
            <w:vMerge w:val="continue"/>
            <w:tcBorders>
              <w:tl2br w:val="nil"/>
              <w:tr2bl w:val="nil"/>
            </w:tcBorders>
            <w:vAlign w:val="center"/>
          </w:tcPr>
          <w:p w14:paraId="75C9FD4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B7AB2B9">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框架、附着杆安装正确、牢固，其间距、数量、固定符合说明书要求</w:t>
            </w:r>
          </w:p>
        </w:tc>
        <w:tc>
          <w:tcPr>
            <w:tcW w:w="2657" w:type="dxa"/>
            <w:gridSpan w:val="2"/>
            <w:tcBorders>
              <w:tl2br w:val="nil"/>
              <w:tr2bl w:val="nil"/>
            </w:tcBorders>
            <w:vAlign w:val="center"/>
          </w:tcPr>
          <w:p w14:paraId="306864FF">
            <w:pPr>
              <w:spacing w:line="240" w:lineRule="exact"/>
              <w:ind w:firstLine="0" w:firstLineChars="0"/>
              <w:jc w:val="center"/>
              <w:rPr>
                <w:rFonts w:hint="eastAsia" w:ascii="仿宋" w:hAnsi="仿宋" w:eastAsia="仿宋" w:cs="仿宋"/>
                <w:color w:val="000000"/>
                <w:sz w:val="21"/>
                <w:szCs w:val="21"/>
                <w:highlight w:val="none"/>
              </w:rPr>
            </w:pPr>
          </w:p>
        </w:tc>
      </w:tr>
      <w:tr w14:paraId="4A161B3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3955A6D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19</w:t>
            </w:r>
          </w:p>
        </w:tc>
        <w:tc>
          <w:tcPr>
            <w:tcW w:w="723" w:type="dxa"/>
            <w:vMerge w:val="continue"/>
            <w:tcBorders>
              <w:tl2br w:val="nil"/>
              <w:tr2bl w:val="nil"/>
            </w:tcBorders>
            <w:vAlign w:val="center"/>
          </w:tcPr>
          <w:p w14:paraId="4325647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7738019C">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塔身无倾斜，架体垂直度≤3</w:t>
            </w:r>
            <w:r>
              <w:rPr>
                <w:rFonts w:hint="eastAsia" w:ascii="仿宋" w:hAnsi="仿宋" w:eastAsia="仿宋" w:cs="仿宋"/>
                <w:color w:val="333333"/>
                <w:sz w:val="21"/>
                <w:szCs w:val="21"/>
                <w:highlight w:val="none"/>
                <w:shd w:val="clear" w:color="auto" w:fill="FFFFFF"/>
              </w:rPr>
              <w:t>‰。</w:t>
            </w:r>
            <w:r>
              <w:rPr>
                <w:rFonts w:hint="eastAsia" w:ascii="仿宋" w:hAnsi="仿宋" w:eastAsia="仿宋" w:cs="仿宋"/>
                <w:sz w:val="21"/>
                <w:szCs w:val="21"/>
                <w:highlight w:val="none"/>
              </w:rPr>
              <w:t>连墙件安装牢固，混凝土泵管未附在塔身</w:t>
            </w:r>
          </w:p>
        </w:tc>
        <w:tc>
          <w:tcPr>
            <w:tcW w:w="2657" w:type="dxa"/>
            <w:gridSpan w:val="2"/>
            <w:tcBorders>
              <w:tl2br w:val="nil"/>
              <w:tr2bl w:val="nil"/>
            </w:tcBorders>
            <w:vAlign w:val="center"/>
          </w:tcPr>
          <w:p w14:paraId="12DF1EA7">
            <w:pPr>
              <w:spacing w:line="240" w:lineRule="exact"/>
              <w:ind w:firstLine="0" w:firstLineChars="0"/>
              <w:jc w:val="center"/>
              <w:rPr>
                <w:rFonts w:hint="eastAsia" w:ascii="仿宋" w:hAnsi="仿宋" w:eastAsia="仿宋" w:cs="仿宋"/>
                <w:color w:val="000000"/>
                <w:sz w:val="21"/>
                <w:szCs w:val="21"/>
                <w:highlight w:val="none"/>
              </w:rPr>
            </w:pPr>
          </w:p>
        </w:tc>
      </w:tr>
      <w:tr w14:paraId="0F8862C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DBFFAE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20</w:t>
            </w:r>
          </w:p>
        </w:tc>
        <w:tc>
          <w:tcPr>
            <w:tcW w:w="723" w:type="dxa"/>
            <w:vMerge w:val="restart"/>
            <w:tcBorders>
              <w:tl2br w:val="nil"/>
              <w:tr2bl w:val="nil"/>
            </w:tcBorders>
            <w:vAlign w:val="center"/>
          </w:tcPr>
          <w:p w14:paraId="64DA9112">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钢丝绳及卷筒</w:t>
            </w:r>
          </w:p>
        </w:tc>
        <w:tc>
          <w:tcPr>
            <w:tcW w:w="6105" w:type="dxa"/>
            <w:gridSpan w:val="5"/>
            <w:tcBorders>
              <w:tl2br w:val="nil"/>
              <w:tr2bl w:val="nil"/>
            </w:tcBorders>
            <w:vAlign w:val="center"/>
          </w:tcPr>
          <w:p w14:paraId="75FD8D9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钢丝绳型号、长度符合说明书要求，且完好，无断股，断丝不超过10%</w:t>
            </w:r>
          </w:p>
        </w:tc>
        <w:tc>
          <w:tcPr>
            <w:tcW w:w="2657" w:type="dxa"/>
            <w:gridSpan w:val="2"/>
            <w:tcBorders>
              <w:tl2br w:val="nil"/>
              <w:tr2bl w:val="nil"/>
            </w:tcBorders>
            <w:vAlign w:val="center"/>
          </w:tcPr>
          <w:p w14:paraId="0CC0202E">
            <w:pPr>
              <w:spacing w:line="240" w:lineRule="exact"/>
              <w:ind w:firstLine="0" w:firstLineChars="0"/>
              <w:jc w:val="center"/>
              <w:rPr>
                <w:rFonts w:hint="eastAsia" w:ascii="仿宋" w:hAnsi="仿宋" w:eastAsia="仿宋" w:cs="仿宋"/>
                <w:color w:val="000000"/>
                <w:sz w:val="21"/>
                <w:szCs w:val="21"/>
                <w:highlight w:val="none"/>
              </w:rPr>
            </w:pPr>
          </w:p>
        </w:tc>
      </w:tr>
      <w:tr w14:paraId="4C10492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FECF747">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21</w:t>
            </w:r>
          </w:p>
        </w:tc>
        <w:tc>
          <w:tcPr>
            <w:tcW w:w="723" w:type="dxa"/>
            <w:vMerge w:val="continue"/>
            <w:tcBorders>
              <w:tl2br w:val="nil"/>
              <w:tr2bl w:val="nil"/>
            </w:tcBorders>
            <w:vAlign w:val="center"/>
          </w:tcPr>
          <w:p w14:paraId="5475634B">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1EB36AF3">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绳卡规格数量满足要求</w:t>
            </w:r>
          </w:p>
        </w:tc>
        <w:tc>
          <w:tcPr>
            <w:tcW w:w="2657" w:type="dxa"/>
            <w:gridSpan w:val="2"/>
            <w:tcBorders>
              <w:tl2br w:val="nil"/>
              <w:tr2bl w:val="nil"/>
            </w:tcBorders>
            <w:vAlign w:val="center"/>
          </w:tcPr>
          <w:p w14:paraId="2F50BB9A">
            <w:pPr>
              <w:spacing w:line="240" w:lineRule="exact"/>
              <w:ind w:firstLine="0" w:firstLineChars="0"/>
              <w:jc w:val="center"/>
              <w:rPr>
                <w:rFonts w:hint="eastAsia" w:ascii="仿宋" w:hAnsi="仿宋" w:eastAsia="仿宋" w:cs="仿宋"/>
                <w:color w:val="000000"/>
                <w:sz w:val="21"/>
                <w:szCs w:val="21"/>
                <w:highlight w:val="none"/>
              </w:rPr>
            </w:pPr>
          </w:p>
        </w:tc>
      </w:tr>
      <w:tr w14:paraId="0914A5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AFA670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22</w:t>
            </w:r>
          </w:p>
        </w:tc>
        <w:tc>
          <w:tcPr>
            <w:tcW w:w="723" w:type="dxa"/>
            <w:vMerge w:val="continue"/>
            <w:tcBorders>
              <w:tl2br w:val="nil"/>
              <w:tr2bl w:val="nil"/>
            </w:tcBorders>
            <w:vAlign w:val="center"/>
          </w:tcPr>
          <w:p w14:paraId="5D1E05C5">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0D7EA26E">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卷筒挡绳板高于钢丝绳直径2倍以上，卷筒上钢丝绳最少保留3圈</w:t>
            </w:r>
          </w:p>
        </w:tc>
        <w:tc>
          <w:tcPr>
            <w:tcW w:w="2657" w:type="dxa"/>
            <w:gridSpan w:val="2"/>
            <w:tcBorders>
              <w:tl2br w:val="nil"/>
              <w:tr2bl w:val="nil"/>
            </w:tcBorders>
            <w:vAlign w:val="center"/>
          </w:tcPr>
          <w:p w14:paraId="15076871">
            <w:pPr>
              <w:spacing w:line="240" w:lineRule="exact"/>
              <w:ind w:firstLine="0" w:firstLineChars="0"/>
              <w:jc w:val="center"/>
              <w:rPr>
                <w:rFonts w:hint="eastAsia" w:ascii="仿宋" w:hAnsi="仿宋" w:eastAsia="仿宋" w:cs="仿宋"/>
                <w:color w:val="000000"/>
                <w:sz w:val="21"/>
                <w:szCs w:val="21"/>
                <w:highlight w:val="none"/>
              </w:rPr>
            </w:pPr>
          </w:p>
        </w:tc>
      </w:tr>
      <w:tr w14:paraId="4D859A6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9893B8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23</w:t>
            </w:r>
          </w:p>
        </w:tc>
        <w:tc>
          <w:tcPr>
            <w:tcW w:w="723" w:type="dxa"/>
            <w:vMerge w:val="continue"/>
            <w:tcBorders>
              <w:tl2br w:val="nil"/>
              <w:tr2bl w:val="nil"/>
            </w:tcBorders>
            <w:vAlign w:val="center"/>
          </w:tcPr>
          <w:p w14:paraId="3C3AF53F">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6E71C2ED">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滑轮有防跳绳槽装置，转动灵活</w:t>
            </w:r>
          </w:p>
        </w:tc>
        <w:tc>
          <w:tcPr>
            <w:tcW w:w="2657" w:type="dxa"/>
            <w:gridSpan w:val="2"/>
            <w:tcBorders>
              <w:tl2br w:val="nil"/>
              <w:tr2bl w:val="nil"/>
            </w:tcBorders>
            <w:vAlign w:val="center"/>
          </w:tcPr>
          <w:p w14:paraId="69E42DF0">
            <w:pPr>
              <w:spacing w:line="240" w:lineRule="exact"/>
              <w:ind w:firstLine="0" w:firstLineChars="0"/>
              <w:jc w:val="center"/>
              <w:rPr>
                <w:rFonts w:hint="eastAsia" w:ascii="仿宋" w:hAnsi="仿宋" w:eastAsia="仿宋" w:cs="仿宋"/>
                <w:color w:val="000000"/>
                <w:sz w:val="21"/>
                <w:szCs w:val="21"/>
                <w:highlight w:val="none"/>
              </w:rPr>
            </w:pPr>
          </w:p>
        </w:tc>
      </w:tr>
      <w:tr w14:paraId="67167CA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21C77C4F">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24</w:t>
            </w:r>
          </w:p>
        </w:tc>
        <w:tc>
          <w:tcPr>
            <w:tcW w:w="723" w:type="dxa"/>
            <w:vMerge w:val="continue"/>
            <w:tcBorders>
              <w:tl2br w:val="nil"/>
              <w:tr2bl w:val="nil"/>
            </w:tcBorders>
            <w:vAlign w:val="center"/>
          </w:tcPr>
          <w:p w14:paraId="51C31CB3">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278BFE8E">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吊钩无变形、磨损，无裂纹、补焊现象</w:t>
            </w:r>
          </w:p>
        </w:tc>
        <w:tc>
          <w:tcPr>
            <w:tcW w:w="2657" w:type="dxa"/>
            <w:gridSpan w:val="2"/>
            <w:tcBorders>
              <w:tl2br w:val="nil"/>
              <w:tr2bl w:val="nil"/>
            </w:tcBorders>
            <w:vAlign w:val="center"/>
          </w:tcPr>
          <w:p w14:paraId="598E84D9">
            <w:pPr>
              <w:spacing w:line="240" w:lineRule="exact"/>
              <w:ind w:firstLine="0" w:firstLineChars="0"/>
              <w:jc w:val="center"/>
              <w:rPr>
                <w:rFonts w:hint="eastAsia" w:ascii="仿宋" w:hAnsi="仿宋" w:eastAsia="仿宋" w:cs="仿宋"/>
                <w:color w:val="000000"/>
                <w:sz w:val="21"/>
                <w:szCs w:val="21"/>
                <w:highlight w:val="none"/>
              </w:rPr>
            </w:pPr>
          </w:p>
        </w:tc>
      </w:tr>
      <w:tr w14:paraId="0D1A98F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7B4554D">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25</w:t>
            </w:r>
          </w:p>
        </w:tc>
        <w:tc>
          <w:tcPr>
            <w:tcW w:w="723" w:type="dxa"/>
            <w:vMerge w:val="restart"/>
            <w:tcBorders>
              <w:tl2br w:val="nil"/>
              <w:tr2bl w:val="nil"/>
            </w:tcBorders>
            <w:vAlign w:val="center"/>
          </w:tcPr>
          <w:p w14:paraId="4AD08C5D">
            <w:pPr>
              <w:snapToGrid w:val="0"/>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传动部位</w:t>
            </w:r>
          </w:p>
        </w:tc>
        <w:tc>
          <w:tcPr>
            <w:tcW w:w="6105" w:type="dxa"/>
            <w:gridSpan w:val="5"/>
            <w:tcBorders>
              <w:tl2br w:val="nil"/>
              <w:tr2bl w:val="nil"/>
            </w:tcBorders>
            <w:vAlign w:val="center"/>
          </w:tcPr>
          <w:p w14:paraId="5FA0FD62">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减速机、卷扬机、制动器、回转机构、液压顶升系统部件齐全，工作正常，无异响</w:t>
            </w:r>
          </w:p>
        </w:tc>
        <w:tc>
          <w:tcPr>
            <w:tcW w:w="2657" w:type="dxa"/>
            <w:gridSpan w:val="2"/>
            <w:tcBorders>
              <w:tl2br w:val="nil"/>
              <w:tr2bl w:val="nil"/>
            </w:tcBorders>
            <w:vAlign w:val="center"/>
          </w:tcPr>
          <w:p w14:paraId="37C3E283">
            <w:pPr>
              <w:spacing w:line="240" w:lineRule="exact"/>
              <w:ind w:firstLine="0" w:firstLineChars="0"/>
              <w:jc w:val="center"/>
              <w:rPr>
                <w:rFonts w:hint="eastAsia" w:ascii="仿宋" w:hAnsi="仿宋" w:eastAsia="仿宋" w:cs="仿宋"/>
                <w:color w:val="000000"/>
                <w:sz w:val="21"/>
                <w:szCs w:val="21"/>
                <w:highlight w:val="none"/>
              </w:rPr>
            </w:pPr>
          </w:p>
        </w:tc>
      </w:tr>
      <w:tr w14:paraId="787487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39437ECE">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26</w:t>
            </w:r>
          </w:p>
        </w:tc>
        <w:tc>
          <w:tcPr>
            <w:tcW w:w="723" w:type="dxa"/>
            <w:vMerge w:val="continue"/>
            <w:tcBorders>
              <w:tl2br w:val="nil"/>
              <w:tr2bl w:val="nil"/>
            </w:tcBorders>
            <w:vAlign w:val="center"/>
          </w:tcPr>
          <w:p w14:paraId="7CD265C8">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4D8788D7">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传动部位有防护罩</w:t>
            </w:r>
          </w:p>
        </w:tc>
        <w:tc>
          <w:tcPr>
            <w:tcW w:w="2657" w:type="dxa"/>
            <w:gridSpan w:val="2"/>
            <w:tcBorders>
              <w:tl2br w:val="nil"/>
              <w:tr2bl w:val="nil"/>
            </w:tcBorders>
            <w:vAlign w:val="center"/>
          </w:tcPr>
          <w:p w14:paraId="71E16AAA">
            <w:pPr>
              <w:spacing w:line="240" w:lineRule="exact"/>
              <w:ind w:firstLine="0" w:firstLineChars="0"/>
              <w:jc w:val="center"/>
              <w:rPr>
                <w:rFonts w:hint="eastAsia" w:ascii="仿宋" w:hAnsi="仿宋" w:eastAsia="仿宋" w:cs="仿宋"/>
                <w:color w:val="000000"/>
                <w:sz w:val="21"/>
                <w:szCs w:val="21"/>
                <w:highlight w:val="none"/>
              </w:rPr>
            </w:pPr>
          </w:p>
        </w:tc>
      </w:tr>
      <w:tr w14:paraId="5C472E8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5405DA6">
            <w:pPr>
              <w:spacing w:line="240" w:lineRule="exact"/>
              <w:ind w:firstLine="0" w:firstLineChars="0"/>
              <w:jc w:val="center"/>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27</w:t>
            </w:r>
          </w:p>
        </w:tc>
        <w:tc>
          <w:tcPr>
            <w:tcW w:w="723" w:type="dxa"/>
            <w:vMerge w:val="continue"/>
            <w:tcBorders>
              <w:tl2br w:val="nil"/>
              <w:tr2bl w:val="nil"/>
            </w:tcBorders>
            <w:vAlign w:val="center"/>
          </w:tcPr>
          <w:p w14:paraId="775A7FFD">
            <w:pPr>
              <w:snapToGrid w:val="0"/>
              <w:spacing w:line="240" w:lineRule="exact"/>
              <w:ind w:firstLine="0" w:firstLineChars="0"/>
              <w:jc w:val="center"/>
              <w:rPr>
                <w:rFonts w:hint="eastAsia" w:ascii="仿宋" w:hAnsi="仿宋" w:eastAsia="仿宋" w:cs="仿宋"/>
                <w:color w:val="000000"/>
                <w:sz w:val="21"/>
                <w:szCs w:val="21"/>
                <w:highlight w:val="none"/>
              </w:rPr>
            </w:pPr>
          </w:p>
        </w:tc>
        <w:tc>
          <w:tcPr>
            <w:tcW w:w="6105" w:type="dxa"/>
            <w:gridSpan w:val="5"/>
            <w:tcBorders>
              <w:tl2br w:val="nil"/>
              <w:tr2bl w:val="nil"/>
            </w:tcBorders>
            <w:vAlign w:val="center"/>
          </w:tcPr>
          <w:p w14:paraId="35E15FF9">
            <w:pPr>
              <w:spacing w:line="240" w:lineRule="exact"/>
              <w:ind w:firstLine="0" w:firstLineChars="0"/>
              <w:rPr>
                <w:rFonts w:hint="eastAsia" w:ascii="仿宋" w:hAnsi="仿宋" w:eastAsia="仿宋" w:cs="仿宋"/>
                <w:color w:val="000000"/>
                <w:sz w:val="21"/>
                <w:szCs w:val="21"/>
                <w:highlight w:val="none"/>
              </w:rPr>
            </w:pPr>
            <w:r>
              <w:rPr>
                <w:rFonts w:hint="eastAsia" w:ascii="仿宋" w:hAnsi="仿宋" w:eastAsia="仿宋" w:cs="仿宋"/>
                <w:sz w:val="21"/>
                <w:szCs w:val="21"/>
                <w:highlight w:val="none"/>
              </w:rPr>
              <w:t>油箱有足够容量，油路无泄漏、堵塞现象</w:t>
            </w:r>
          </w:p>
        </w:tc>
        <w:tc>
          <w:tcPr>
            <w:tcW w:w="2657" w:type="dxa"/>
            <w:gridSpan w:val="2"/>
            <w:tcBorders>
              <w:tl2br w:val="nil"/>
              <w:tr2bl w:val="nil"/>
            </w:tcBorders>
            <w:vAlign w:val="center"/>
          </w:tcPr>
          <w:p w14:paraId="7F08F1A3">
            <w:pPr>
              <w:spacing w:line="240" w:lineRule="exact"/>
              <w:ind w:firstLine="0" w:firstLineChars="0"/>
              <w:jc w:val="center"/>
              <w:rPr>
                <w:rFonts w:hint="eastAsia" w:ascii="仿宋" w:hAnsi="仿宋" w:eastAsia="仿宋" w:cs="仿宋"/>
                <w:color w:val="000000"/>
                <w:sz w:val="21"/>
                <w:szCs w:val="21"/>
                <w:highlight w:val="none"/>
              </w:rPr>
            </w:pPr>
          </w:p>
        </w:tc>
      </w:tr>
      <w:tr w14:paraId="4D155B0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C9D5655">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28</w:t>
            </w:r>
          </w:p>
        </w:tc>
        <w:tc>
          <w:tcPr>
            <w:tcW w:w="723" w:type="dxa"/>
            <w:vMerge w:val="continue"/>
            <w:tcBorders>
              <w:tl2br w:val="nil"/>
              <w:tr2bl w:val="nil"/>
            </w:tcBorders>
            <w:vAlign w:val="center"/>
          </w:tcPr>
          <w:p w14:paraId="7138565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E6B4930">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平衡重、压重符合本机说明书要求</w:t>
            </w:r>
          </w:p>
        </w:tc>
        <w:tc>
          <w:tcPr>
            <w:tcW w:w="2657" w:type="dxa"/>
            <w:gridSpan w:val="2"/>
            <w:tcBorders>
              <w:tl2br w:val="nil"/>
              <w:tr2bl w:val="nil"/>
            </w:tcBorders>
            <w:vAlign w:val="center"/>
          </w:tcPr>
          <w:p w14:paraId="69E4648E">
            <w:pPr>
              <w:spacing w:line="240" w:lineRule="exact"/>
              <w:ind w:firstLine="0" w:firstLineChars="0"/>
              <w:jc w:val="center"/>
              <w:rPr>
                <w:rFonts w:hint="eastAsia" w:ascii="仿宋" w:hAnsi="仿宋" w:eastAsia="仿宋" w:cs="仿宋"/>
                <w:color w:val="000000"/>
                <w:sz w:val="21"/>
                <w:szCs w:val="21"/>
                <w:highlight w:val="none"/>
              </w:rPr>
            </w:pPr>
          </w:p>
        </w:tc>
      </w:tr>
      <w:tr w14:paraId="1E61727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C8C66FE">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29</w:t>
            </w:r>
          </w:p>
        </w:tc>
        <w:tc>
          <w:tcPr>
            <w:tcW w:w="723" w:type="dxa"/>
            <w:vMerge w:val="restart"/>
            <w:tcBorders>
              <w:tl2br w:val="nil"/>
              <w:tr2bl w:val="nil"/>
            </w:tcBorders>
            <w:vAlign w:val="center"/>
          </w:tcPr>
          <w:p w14:paraId="21F48D59">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电气安全</w:t>
            </w:r>
          </w:p>
        </w:tc>
        <w:tc>
          <w:tcPr>
            <w:tcW w:w="6105" w:type="dxa"/>
            <w:gridSpan w:val="5"/>
            <w:tcBorders>
              <w:tl2br w:val="nil"/>
              <w:tr2bl w:val="nil"/>
            </w:tcBorders>
            <w:vAlign w:val="center"/>
          </w:tcPr>
          <w:p w14:paraId="52D5495C">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电缆固定牢靠，无破损</w:t>
            </w:r>
          </w:p>
        </w:tc>
        <w:tc>
          <w:tcPr>
            <w:tcW w:w="2657" w:type="dxa"/>
            <w:gridSpan w:val="2"/>
            <w:tcBorders>
              <w:tl2br w:val="nil"/>
              <w:tr2bl w:val="nil"/>
            </w:tcBorders>
            <w:vAlign w:val="center"/>
          </w:tcPr>
          <w:p w14:paraId="5007AA96">
            <w:pPr>
              <w:spacing w:line="240" w:lineRule="exact"/>
              <w:ind w:firstLine="0" w:firstLineChars="0"/>
              <w:jc w:val="center"/>
              <w:rPr>
                <w:rFonts w:hint="eastAsia" w:ascii="仿宋" w:hAnsi="仿宋" w:eastAsia="仿宋" w:cs="仿宋"/>
                <w:color w:val="000000"/>
                <w:sz w:val="21"/>
                <w:szCs w:val="21"/>
                <w:highlight w:val="none"/>
              </w:rPr>
            </w:pPr>
          </w:p>
        </w:tc>
      </w:tr>
      <w:tr w14:paraId="5A8AA7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21932DB">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w:t>
            </w:r>
          </w:p>
        </w:tc>
        <w:tc>
          <w:tcPr>
            <w:tcW w:w="723" w:type="dxa"/>
            <w:vMerge w:val="continue"/>
            <w:tcBorders>
              <w:tl2br w:val="nil"/>
              <w:tr2bl w:val="nil"/>
            </w:tcBorders>
            <w:vAlign w:val="center"/>
          </w:tcPr>
          <w:p w14:paraId="1EF4EDC3">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276E0E43">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开关等配电装置齐全有效</w:t>
            </w:r>
          </w:p>
        </w:tc>
        <w:tc>
          <w:tcPr>
            <w:tcW w:w="2657" w:type="dxa"/>
            <w:gridSpan w:val="2"/>
            <w:tcBorders>
              <w:tl2br w:val="nil"/>
              <w:tr2bl w:val="nil"/>
            </w:tcBorders>
            <w:vAlign w:val="center"/>
          </w:tcPr>
          <w:p w14:paraId="21E7751A">
            <w:pPr>
              <w:spacing w:line="240" w:lineRule="exact"/>
              <w:ind w:firstLine="0" w:firstLineChars="0"/>
              <w:jc w:val="center"/>
              <w:rPr>
                <w:rFonts w:hint="eastAsia" w:ascii="仿宋" w:hAnsi="仿宋" w:eastAsia="仿宋" w:cs="仿宋"/>
                <w:color w:val="000000"/>
                <w:sz w:val="21"/>
                <w:szCs w:val="21"/>
                <w:highlight w:val="none"/>
              </w:rPr>
            </w:pPr>
          </w:p>
        </w:tc>
      </w:tr>
      <w:tr w14:paraId="5CE972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5A467A76">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31</w:t>
            </w:r>
          </w:p>
        </w:tc>
        <w:tc>
          <w:tcPr>
            <w:tcW w:w="723" w:type="dxa"/>
            <w:vMerge w:val="continue"/>
            <w:tcBorders>
              <w:tl2br w:val="nil"/>
              <w:tr2bl w:val="nil"/>
            </w:tcBorders>
            <w:vAlign w:val="center"/>
          </w:tcPr>
          <w:p w14:paraId="76BFBA4B">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84E9DFF">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重复接地和避雷设置，各接地、接零保护装置均符合要求</w:t>
            </w:r>
          </w:p>
        </w:tc>
        <w:tc>
          <w:tcPr>
            <w:tcW w:w="2657" w:type="dxa"/>
            <w:gridSpan w:val="2"/>
            <w:tcBorders>
              <w:tl2br w:val="nil"/>
              <w:tr2bl w:val="nil"/>
            </w:tcBorders>
            <w:vAlign w:val="center"/>
          </w:tcPr>
          <w:p w14:paraId="118DBBEC">
            <w:pPr>
              <w:spacing w:line="240" w:lineRule="exact"/>
              <w:ind w:firstLine="0" w:firstLineChars="0"/>
              <w:jc w:val="center"/>
              <w:rPr>
                <w:rFonts w:hint="eastAsia" w:ascii="仿宋" w:hAnsi="仿宋" w:eastAsia="仿宋" w:cs="仿宋"/>
                <w:color w:val="000000"/>
                <w:sz w:val="21"/>
                <w:szCs w:val="21"/>
                <w:highlight w:val="none"/>
              </w:rPr>
            </w:pPr>
          </w:p>
        </w:tc>
      </w:tr>
      <w:tr w14:paraId="7A7062D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0A2D23C1">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32</w:t>
            </w:r>
          </w:p>
        </w:tc>
        <w:tc>
          <w:tcPr>
            <w:tcW w:w="723" w:type="dxa"/>
            <w:vMerge w:val="continue"/>
            <w:tcBorders>
              <w:tl2br w:val="nil"/>
              <w:tr2bl w:val="nil"/>
            </w:tcBorders>
            <w:vAlign w:val="center"/>
          </w:tcPr>
          <w:p w14:paraId="79F43C29">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601C6ACE">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力矩限制器，超高、变幅、行走限位器均动作可靠</w:t>
            </w:r>
          </w:p>
        </w:tc>
        <w:tc>
          <w:tcPr>
            <w:tcW w:w="2657" w:type="dxa"/>
            <w:gridSpan w:val="2"/>
            <w:tcBorders>
              <w:tl2br w:val="nil"/>
              <w:tr2bl w:val="nil"/>
            </w:tcBorders>
            <w:vAlign w:val="center"/>
          </w:tcPr>
          <w:p w14:paraId="47D6AEE4">
            <w:pPr>
              <w:spacing w:line="240" w:lineRule="exact"/>
              <w:ind w:firstLine="0" w:firstLineChars="0"/>
              <w:jc w:val="center"/>
              <w:rPr>
                <w:rFonts w:hint="eastAsia" w:ascii="仿宋" w:hAnsi="仿宋" w:eastAsia="仿宋" w:cs="仿宋"/>
                <w:color w:val="000000"/>
                <w:sz w:val="21"/>
                <w:szCs w:val="21"/>
                <w:highlight w:val="none"/>
              </w:rPr>
            </w:pPr>
          </w:p>
        </w:tc>
      </w:tr>
      <w:tr w14:paraId="2836F0A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768F77A5">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33</w:t>
            </w:r>
          </w:p>
        </w:tc>
        <w:tc>
          <w:tcPr>
            <w:tcW w:w="723" w:type="dxa"/>
            <w:vMerge w:val="restart"/>
            <w:tcBorders>
              <w:tl2br w:val="nil"/>
              <w:tr2bl w:val="nil"/>
            </w:tcBorders>
            <w:vAlign w:val="center"/>
          </w:tcPr>
          <w:p w14:paraId="37258353">
            <w:pPr>
              <w:snapToGrid w:val="0"/>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安全间距</w:t>
            </w:r>
          </w:p>
        </w:tc>
        <w:tc>
          <w:tcPr>
            <w:tcW w:w="6105" w:type="dxa"/>
            <w:gridSpan w:val="5"/>
            <w:tcBorders>
              <w:tl2br w:val="nil"/>
              <w:tr2bl w:val="nil"/>
            </w:tcBorders>
            <w:vAlign w:val="center"/>
          </w:tcPr>
          <w:p w14:paraId="49C2A5A2">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塔机的尾部与周围建筑物及其外围施工设施之间的安全距离不小于0.6m</w:t>
            </w:r>
          </w:p>
        </w:tc>
        <w:tc>
          <w:tcPr>
            <w:tcW w:w="2657" w:type="dxa"/>
            <w:gridSpan w:val="2"/>
            <w:tcBorders>
              <w:tl2br w:val="nil"/>
              <w:tr2bl w:val="nil"/>
            </w:tcBorders>
            <w:vAlign w:val="center"/>
          </w:tcPr>
          <w:p w14:paraId="2583D192">
            <w:pPr>
              <w:spacing w:line="240" w:lineRule="exact"/>
              <w:ind w:firstLine="0" w:firstLineChars="0"/>
              <w:jc w:val="center"/>
              <w:rPr>
                <w:rFonts w:hint="eastAsia" w:ascii="仿宋" w:hAnsi="仿宋" w:eastAsia="仿宋" w:cs="仿宋"/>
                <w:color w:val="000000"/>
                <w:sz w:val="21"/>
                <w:szCs w:val="21"/>
                <w:highlight w:val="none"/>
              </w:rPr>
            </w:pPr>
          </w:p>
        </w:tc>
      </w:tr>
      <w:tr w14:paraId="21A22C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44FCC2AC">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34</w:t>
            </w:r>
          </w:p>
        </w:tc>
        <w:tc>
          <w:tcPr>
            <w:tcW w:w="723" w:type="dxa"/>
            <w:vMerge w:val="continue"/>
            <w:tcBorders>
              <w:tl2br w:val="nil"/>
              <w:tr2bl w:val="nil"/>
            </w:tcBorders>
            <w:vAlign w:val="center"/>
          </w:tcPr>
          <w:p w14:paraId="0C94E66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30B600CB">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多塔作业相互间距符合要求，有防碰撞措施</w:t>
            </w:r>
          </w:p>
        </w:tc>
        <w:tc>
          <w:tcPr>
            <w:tcW w:w="2657" w:type="dxa"/>
            <w:gridSpan w:val="2"/>
            <w:tcBorders>
              <w:tl2br w:val="nil"/>
              <w:tr2bl w:val="nil"/>
            </w:tcBorders>
            <w:vAlign w:val="center"/>
          </w:tcPr>
          <w:p w14:paraId="50BDD438">
            <w:pPr>
              <w:spacing w:line="240" w:lineRule="exact"/>
              <w:ind w:firstLine="0" w:firstLineChars="0"/>
              <w:jc w:val="center"/>
              <w:rPr>
                <w:rFonts w:hint="eastAsia" w:ascii="仿宋" w:hAnsi="仿宋" w:eastAsia="仿宋" w:cs="仿宋"/>
                <w:color w:val="000000"/>
                <w:sz w:val="21"/>
                <w:szCs w:val="21"/>
                <w:highlight w:val="none"/>
              </w:rPr>
            </w:pPr>
          </w:p>
        </w:tc>
      </w:tr>
      <w:tr w14:paraId="6775F4D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1FF4BC6B">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35</w:t>
            </w:r>
          </w:p>
        </w:tc>
        <w:tc>
          <w:tcPr>
            <w:tcW w:w="723" w:type="dxa"/>
            <w:vMerge w:val="continue"/>
            <w:tcBorders>
              <w:tl2br w:val="nil"/>
              <w:tr2bl w:val="nil"/>
            </w:tcBorders>
            <w:vAlign w:val="center"/>
          </w:tcPr>
          <w:p w14:paraId="60AD8324">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0CC5EC11">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各部位与外电线路保持安全距离，达不到要求的按规定采取防护措施，防护措施达到当地电业部门规定要求</w:t>
            </w:r>
          </w:p>
        </w:tc>
        <w:tc>
          <w:tcPr>
            <w:tcW w:w="2657" w:type="dxa"/>
            <w:gridSpan w:val="2"/>
            <w:tcBorders>
              <w:tl2br w:val="nil"/>
              <w:tr2bl w:val="nil"/>
            </w:tcBorders>
            <w:vAlign w:val="center"/>
          </w:tcPr>
          <w:p w14:paraId="35573F5C">
            <w:pPr>
              <w:spacing w:line="240" w:lineRule="exact"/>
              <w:ind w:firstLine="0" w:firstLineChars="0"/>
              <w:jc w:val="center"/>
              <w:rPr>
                <w:rFonts w:hint="eastAsia" w:ascii="仿宋" w:hAnsi="仿宋" w:eastAsia="仿宋" w:cs="仿宋"/>
                <w:color w:val="000000"/>
                <w:sz w:val="21"/>
                <w:szCs w:val="21"/>
                <w:highlight w:val="none"/>
              </w:rPr>
            </w:pPr>
          </w:p>
        </w:tc>
      </w:tr>
      <w:tr w14:paraId="2432251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651" w:type="dxa"/>
            <w:tcBorders>
              <w:tl2br w:val="nil"/>
              <w:tr2bl w:val="nil"/>
            </w:tcBorders>
            <w:vAlign w:val="center"/>
          </w:tcPr>
          <w:p w14:paraId="656F19F8">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36</w:t>
            </w:r>
          </w:p>
        </w:tc>
        <w:tc>
          <w:tcPr>
            <w:tcW w:w="723" w:type="dxa"/>
            <w:vMerge w:val="continue"/>
            <w:tcBorders>
              <w:tl2br w:val="nil"/>
              <w:tr2bl w:val="nil"/>
            </w:tcBorders>
            <w:vAlign w:val="center"/>
          </w:tcPr>
          <w:p w14:paraId="5D56AED7">
            <w:pPr>
              <w:snapToGrid w:val="0"/>
              <w:spacing w:line="240" w:lineRule="exact"/>
              <w:ind w:firstLine="0" w:firstLineChars="0"/>
              <w:jc w:val="center"/>
              <w:rPr>
                <w:rFonts w:hint="eastAsia" w:ascii="仿宋" w:hAnsi="仿宋" w:eastAsia="仿宋" w:cs="仿宋"/>
                <w:sz w:val="21"/>
                <w:szCs w:val="21"/>
                <w:highlight w:val="none"/>
              </w:rPr>
            </w:pPr>
          </w:p>
        </w:tc>
        <w:tc>
          <w:tcPr>
            <w:tcW w:w="6105" w:type="dxa"/>
            <w:gridSpan w:val="5"/>
            <w:tcBorders>
              <w:tl2br w:val="nil"/>
              <w:tr2bl w:val="nil"/>
            </w:tcBorders>
            <w:vAlign w:val="center"/>
          </w:tcPr>
          <w:p w14:paraId="418DB08E">
            <w:pPr>
              <w:spacing w:line="240" w:lineRule="exact"/>
              <w:ind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跨高压线作业，跨路（便道、便桥）作业，是否有安全保护措施</w:t>
            </w:r>
          </w:p>
        </w:tc>
        <w:tc>
          <w:tcPr>
            <w:tcW w:w="2657" w:type="dxa"/>
            <w:gridSpan w:val="2"/>
            <w:tcBorders>
              <w:tl2br w:val="nil"/>
              <w:tr2bl w:val="nil"/>
            </w:tcBorders>
            <w:vAlign w:val="center"/>
          </w:tcPr>
          <w:p w14:paraId="1495FBE3">
            <w:pPr>
              <w:spacing w:line="240" w:lineRule="exact"/>
              <w:ind w:firstLine="0" w:firstLineChars="0"/>
              <w:jc w:val="center"/>
              <w:rPr>
                <w:rFonts w:hint="eastAsia" w:ascii="仿宋" w:hAnsi="仿宋" w:eastAsia="仿宋" w:cs="仿宋"/>
                <w:color w:val="000000"/>
                <w:sz w:val="21"/>
                <w:szCs w:val="21"/>
                <w:highlight w:val="none"/>
              </w:rPr>
            </w:pPr>
          </w:p>
        </w:tc>
      </w:tr>
      <w:tr w14:paraId="2C4E66F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1374" w:type="dxa"/>
            <w:gridSpan w:val="2"/>
            <w:tcBorders>
              <w:tl2br w:val="nil"/>
              <w:tr2bl w:val="nil"/>
            </w:tcBorders>
            <w:vAlign w:val="center"/>
          </w:tcPr>
          <w:p w14:paraId="2DD88E14">
            <w:pPr>
              <w:spacing w:line="240" w:lineRule="exact"/>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检测结论</w:t>
            </w:r>
          </w:p>
        </w:tc>
        <w:tc>
          <w:tcPr>
            <w:tcW w:w="8762" w:type="dxa"/>
            <w:gridSpan w:val="7"/>
            <w:tcBorders>
              <w:tl2br w:val="nil"/>
              <w:tr2bl w:val="nil"/>
            </w:tcBorders>
            <w:vAlign w:val="center"/>
          </w:tcPr>
          <w:p w14:paraId="02A9C2C2">
            <w:pPr>
              <w:spacing w:line="240" w:lineRule="exact"/>
              <w:ind w:firstLine="0" w:firstLineChars="0"/>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（附检测报告）</w:t>
            </w:r>
          </w:p>
        </w:tc>
      </w:tr>
      <w:tr w14:paraId="551578C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exact"/>
        </w:trPr>
        <w:tc>
          <w:tcPr>
            <w:tcW w:w="1374" w:type="dxa"/>
            <w:gridSpan w:val="2"/>
            <w:tcBorders>
              <w:tl2br w:val="nil"/>
              <w:tr2bl w:val="nil"/>
            </w:tcBorders>
            <w:vAlign w:val="center"/>
          </w:tcPr>
          <w:p w14:paraId="07E204A3">
            <w:pPr>
              <w:spacing w:line="240" w:lineRule="exact"/>
              <w:ind w:firstLine="0" w:firstLineChars="0"/>
              <w:jc w:val="center"/>
              <w:rPr>
                <w:rFonts w:hint="eastAsia" w:ascii="仿宋" w:hAnsi="仿宋" w:eastAsia="仿宋" w:cs="仿宋"/>
                <w:sz w:val="21"/>
                <w:szCs w:val="21"/>
                <w:highlight w:val="none"/>
              </w:rPr>
            </w:pPr>
            <w:bookmarkStart w:id="208" w:name="_Hlk34309655"/>
            <w:r>
              <w:rPr>
                <w:rFonts w:hint="eastAsia" w:ascii="仿宋" w:hAnsi="仿宋" w:eastAsia="仿宋" w:cs="仿宋"/>
                <w:sz w:val="21"/>
                <w:szCs w:val="21"/>
                <w:highlight w:val="none"/>
              </w:rPr>
              <w:t>检查结论</w:t>
            </w:r>
          </w:p>
        </w:tc>
        <w:tc>
          <w:tcPr>
            <w:tcW w:w="8762" w:type="dxa"/>
            <w:gridSpan w:val="7"/>
            <w:tcBorders>
              <w:tl2br w:val="nil"/>
              <w:tr2bl w:val="nil"/>
            </w:tcBorders>
            <w:vAlign w:val="center"/>
          </w:tcPr>
          <w:p w14:paraId="58046647">
            <w:pPr>
              <w:spacing w:line="240" w:lineRule="exact"/>
              <w:ind w:firstLine="0" w:firstLineChars="0"/>
              <w:jc w:val="center"/>
              <w:rPr>
                <w:rFonts w:hint="eastAsia" w:ascii="仿宋" w:hAnsi="仿宋" w:eastAsia="仿宋" w:cs="仿宋"/>
                <w:color w:val="000000"/>
                <w:sz w:val="21"/>
                <w:szCs w:val="21"/>
                <w:highlight w:val="none"/>
              </w:rPr>
            </w:pPr>
          </w:p>
        </w:tc>
      </w:tr>
      <w:tr w14:paraId="12505E9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cantSplit/>
          <w:trHeight w:val="712" w:hRule="exact"/>
        </w:trPr>
        <w:tc>
          <w:tcPr>
            <w:tcW w:w="3378" w:type="dxa"/>
            <w:gridSpan w:val="4"/>
            <w:tcBorders>
              <w:tl2br w:val="nil"/>
              <w:tr2bl w:val="nil"/>
            </w:tcBorders>
            <w:vAlign w:val="center"/>
          </w:tcPr>
          <w:p w14:paraId="10B318A2">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检查人：</w:t>
            </w:r>
          </w:p>
        </w:tc>
        <w:tc>
          <w:tcPr>
            <w:tcW w:w="3379" w:type="dxa"/>
            <w:gridSpan w:val="2"/>
            <w:tcBorders>
              <w:tl2br w:val="nil"/>
              <w:tr2bl w:val="nil"/>
            </w:tcBorders>
            <w:vAlign w:val="center"/>
          </w:tcPr>
          <w:p w14:paraId="573E117C">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使用单位负责人：</w:t>
            </w:r>
          </w:p>
        </w:tc>
        <w:tc>
          <w:tcPr>
            <w:tcW w:w="3379" w:type="dxa"/>
            <w:gridSpan w:val="3"/>
            <w:tcBorders>
              <w:tl2br w:val="nil"/>
              <w:tr2bl w:val="nil"/>
            </w:tcBorders>
            <w:vAlign w:val="center"/>
          </w:tcPr>
          <w:p w14:paraId="5BA3FC47">
            <w:pPr>
              <w:spacing w:line="240" w:lineRule="auto"/>
              <w:ind w:firstLine="0" w:firstLineChars="0"/>
              <w:jc w:val="left"/>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项目负责人：</w:t>
            </w:r>
          </w:p>
        </w:tc>
      </w:tr>
      <w:bookmarkEnd w:id="207"/>
      <w:bookmarkEnd w:id="208"/>
    </w:tbl>
    <w:p w14:paraId="1E785C8F">
      <w:pPr>
        <w:pStyle w:val="29"/>
        <w:rPr>
          <w:rFonts w:hint="default"/>
          <w:highlight w:val="none"/>
          <w:lang w:val="en-US" w:eastAsia="zh-CN"/>
        </w:rPr>
      </w:pPr>
    </w:p>
    <w:p w14:paraId="5BECC32D">
      <w:pPr>
        <w:rPr>
          <w:rFonts w:hint="eastAsia"/>
          <w:highlight w:val="none"/>
          <w:lang w:val="en-US" w:eastAsia="zh-CN"/>
        </w:rPr>
      </w:pPr>
    </w:p>
    <w:p w14:paraId="166C9E39">
      <w:pPr>
        <w:rPr>
          <w:highlight w:val="none"/>
        </w:rPr>
      </w:pPr>
      <w:bookmarkStart w:id="209" w:name="_Toc4487"/>
      <w:bookmarkStart w:id="210" w:name="_Toc42642303"/>
      <w:r>
        <w:rPr>
          <w:rFonts w:hint="eastAsia"/>
          <w:highlight w:val="none"/>
          <w:lang w:val="en-US" w:eastAsia="zh-CN"/>
        </w:rPr>
        <w:br w:type="page"/>
      </w:r>
    </w:p>
    <w:p w14:paraId="72328A8B">
      <w:pPr>
        <w:pStyle w:val="2"/>
        <w:bidi w:val="0"/>
        <w:jc w:val="center"/>
        <w:rPr>
          <w:highlight w:val="none"/>
        </w:rPr>
      </w:pPr>
      <w:bookmarkStart w:id="211" w:name="_Toc32315"/>
      <w:bookmarkStart w:id="212" w:name="_Toc32592"/>
      <w:r>
        <w:rPr>
          <w:rFonts w:hint="eastAsia"/>
          <w:highlight w:val="none"/>
          <w:lang w:val="en-US" w:eastAsia="zh-CN"/>
        </w:rPr>
        <w:t>5质量控制措施</w:t>
      </w:r>
      <w:bookmarkEnd w:id="209"/>
      <w:bookmarkEnd w:id="211"/>
      <w:bookmarkEnd w:id="212"/>
    </w:p>
    <w:p w14:paraId="228E8BCC">
      <w:pPr>
        <w:pStyle w:val="3"/>
        <w:bidi w:val="0"/>
        <w:jc w:val="left"/>
        <w:rPr>
          <w:rFonts w:hint="eastAsia"/>
          <w:color w:val="000000" w:themeColor="text1"/>
          <w:highlight w:val="none"/>
          <w14:textFill>
            <w14:solidFill>
              <w14:schemeClr w14:val="tx1"/>
            </w14:solidFill>
          </w14:textFill>
        </w:rPr>
      </w:pPr>
      <w:bookmarkStart w:id="213" w:name="_Toc17036"/>
      <w:bookmarkStart w:id="214" w:name="_Toc20434"/>
      <w:bookmarkStart w:id="215" w:name="_Toc23808"/>
      <w:bookmarkStart w:id="216" w:name="_Toc10656"/>
      <w:bookmarkStart w:id="217" w:name="_Toc533345491"/>
      <w:bookmarkStart w:id="218" w:name="_Toc9957"/>
      <w:r>
        <w:rPr>
          <w:rFonts w:hint="eastAsia"/>
          <w:color w:val="000000" w:themeColor="text1"/>
          <w:highlight w:val="none"/>
          <w:lang w:val="en-US" w:eastAsia="zh-CN"/>
          <w14:textFill>
            <w14:solidFill>
              <w14:schemeClr w14:val="tx1"/>
            </w14:solidFill>
          </w14:textFill>
        </w:rPr>
        <w:t>5.1</w:t>
      </w:r>
      <w:r>
        <w:rPr>
          <w:rFonts w:hint="eastAsia"/>
          <w:color w:val="000000" w:themeColor="text1"/>
          <w:highlight w:val="none"/>
          <w14:textFill>
            <w14:solidFill>
              <w14:schemeClr w14:val="tx1"/>
            </w14:solidFill>
          </w14:textFill>
        </w:rPr>
        <w:t>质量</w:t>
      </w:r>
      <w:r>
        <w:rPr>
          <w:rFonts w:hint="eastAsia"/>
          <w:highlight w:val="none"/>
        </w:rPr>
        <w:t>管理</w:t>
      </w:r>
      <w:r>
        <w:rPr>
          <w:rFonts w:hint="eastAsia"/>
          <w:color w:val="000000" w:themeColor="text1"/>
          <w:highlight w:val="none"/>
          <w14:textFill>
            <w14:solidFill>
              <w14:schemeClr w14:val="tx1"/>
            </w14:solidFill>
          </w14:textFill>
        </w:rPr>
        <w:t>组织机构</w:t>
      </w:r>
      <w:bookmarkEnd w:id="213"/>
      <w:bookmarkEnd w:id="214"/>
      <w:bookmarkEnd w:id="215"/>
      <w:bookmarkEnd w:id="216"/>
    </w:p>
    <w:p w14:paraId="66FBA560">
      <w:pPr>
        <w:bidi w:val="0"/>
        <w:ind w:firstLine="480" w:firstLineChars="200"/>
        <w:rPr>
          <w:rFonts w:hint="eastAsia" w:eastAsia="宋体"/>
          <w:highlight w:val="none"/>
          <w:lang w:eastAsia="zh-CN"/>
        </w:rPr>
      </w:pPr>
      <w:r>
        <w:rPr>
          <w:highlight w:val="none"/>
        </w:rPr>
        <w:t>健全的组织机构是质量管理和质量控制的基本保证。本工程项目部将配备完善的组织机构，建立本工程质量保证体系组织机构，开展全面质量管理，确保工程质量目标的实现</w:t>
      </w:r>
      <w:r>
        <w:rPr>
          <w:rFonts w:hint="eastAsia"/>
          <w:highlight w:val="none"/>
          <w:lang w:eastAsia="zh-CN"/>
        </w:rPr>
        <w:t>。</w:t>
      </w:r>
    </w:p>
    <w:p w14:paraId="36F516E5">
      <w:pPr>
        <w:pStyle w:val="13"/>
        <w:ind w:left="0" w:leftChars="0" w:firstLine="0" w:firstLineChars="0"/>
        <w:rPr>
          <w:rFonts w:hint="default"/>
          <w:highlight w:val="none"/>
          <w:lang w:val="en-US" w:eastAsia="zh-CN"/>
        </w:rPr>
      </w:pPr>
      <w:r>
        <w:rPr>
          <w:rFonts w:hint="default"/>
          <w:highlight w:val="none"/>
          <w:lang w:val="en-US" w:eastAsia="zh-CN"/>
        </w:rPr>
        <w:drawing>
          <wp:inline distT="0" distB="0" distL="114300" distR="114300">
            <wp:extent cx="5269230" cy="4011930"/>
            <wp:effectExtent l="0" t="0" r="0" b="0"/>
            <wp:docPr id="33" name="图片 33" descr="组织流程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组织流程图--(6)"/>
                    <pic:cNvPicPr>
                      <a:picLocks noChangeAspect="1"/>
                    </pic:cNvPicPr>
                  </pic:nvPicPr>
                  <pic:blipFill>
                    <a:blip r:embed="rId59"/>
                    <a:stretch>
                      <a:fillRect/>
                    </a:stretch>
                  </pic:blipFill>
                  <pic:spPr>
                    <a:xfrm>
                      <a:off x="0" y="0"/>
                      <a:ext cx="5269230" cy="4011930"/>
                    </a:xfrm>
                    <a:prstGeom prst="rect">
                      <a:avLst/>
                    </a:prstGeom>
                  </pic:spPr>
                </pic:pic>
              </a:graphicData>
            </a:graphic>
          </wp:inline>
        </w:drawing>
      </w:r>
    </w:p>
    <w:p w14:paraId="59689034">
      <w:pPr>
        <w:pStyle w:val="15"/>
        <w:bidi w:val="0"/>
        <w:rPr>
          <w:highlight w:val="none"/>
        </w:rPr>
      </w:pPr>
      <w:r>
        <w:rPr>
          <w:rFonts w:hint="eastAsia"/>
          <w:highlight w:val="none"/>
          <w:lang w:val="en-US" w:eastAsia="zh-CN"/>
        </w:rPr>
        <w:t>图5.1-1质量管理组织机构图</w:t>
      </w:r>
    </w:p>
    <w:p w14:paraId="781425D6">
      <w:pPr>
        <w:pStyle w:val="3"/>
        <w:rPr>
          <w:rFonts w:hint="eastAsia"/>
          <w:highlight w:val="none"/>
        </w:rPr>
      </w:pPr>
      <w:bookmarkStart w:id="219" w:name="_Toc30252"/>
      <w:bookmarkStart w:id="220" w:name="_Toc4606"/>
      <w:bookmarkStart w:id="221" w:name="_Toc636"/>
      <w:r>
        <w:rPr>
          <w:rFonts w:hint="eastAsia"/>
          <w:highlight w:val="none"/>
          <w:lang w:val="en-US" w:eastAsia="zh-CN"/>
        </w:rPr>
        <w:t>5.2</w:t>
      </w:r>
      <w:r>
        <w:rPr>
          <w:rFonts w:hint="eastAsia"/>
          <w:highlight w:val="none"/>
        </w:rPr>
        <w:t>质量通病及质量通病预防</w:t>
      </w:r>
      <w:bookmarkEnd w:id="217"/>
      <w:bookmarkEnd w:id="218"/>
      <w:bookmarkEnd w:id="219"/>
      <w:bookmarkEnd w:id="220"/>
      <w:bookmarkEnd w:id="221"/>
    </w:p>
    <w:p w14:paraId="746F12FD">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表5.2-1塔吊安拆质量通病管控措施一览表</w:t>
      </w:r>
    </w:p>
    <w:tbl>
      <w:tblPr>
        <w:tblStyle w:val="31"/>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1059"/>
        <w:gridCol w:w="1491"/>
        <w:gridCol w:w="5972"/>
      </w:tblGrid>
      <w:tr w14:paraId="5D18C6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1100" w:type="dxa"/>
            <w:tcBorders>
              <w:tl2br w:val="nil"/>
              <w:tr2bl w:val="nil"/>
            </w:tcBorders>
            <w:shd w:val="clear" w:color="auto" w:fill="DAE3F3" w:themeFill="accent5" w:themeFillTint="32"/>
            <w:vAlign w:val="center"/>
          </w:tcPr>
          <w:p w14:paraId="3921F02D">
            <w:pPr>
              <w:pStyle w:val="105"/>
              <w:bidi w:val="0"/>
              <w:rPr>
                <w:rFonts w:hint="default"/>
                <w:highlight w:val="none"/>
                <w:lang w:val="en-US" w:eastAsia="zh-CN"/>
              </w:rPr>
            </w:pPr>
            <w:r>
              <w:rPr>
                <w:rFonts w:hint="eastAsia"/>
                <w:highlight w:val="none"/>
                <w:lang w:val="en-US" w:eastAsia="zh-CN"/>
              </w:rPr>
              <w:t>项次</w:t>
            </w:r>
          </w:p>
        </w:tc>
        <w:tc>
          <w:tcPr>
            <w:tcW w:w="1560" w:type="dxa"/>
            <w:tcBorders>
              <w:tl2br w:val="nil"/>
              <w:tr2bl w:val="nil"/>
            </w:tcBorders>
            <w:shd w:val="clear" w:color="auto" w:fill="DAE3F3" w:themeFill="accent5" w:themeFillTint="32"/>
            <w:vAlign w:val="center"/>
          </w:tcPr>
          <w:p w14:paraId="4DE0F718">
            <w:pPr>
              <w:pStyle w:val="105"/>
              <w:bidi w:val="0"/>
              <w:rPr>
                <w:rFonts w:hint="default"/>
                <w:highlight w:val="none"/>
                <w:lang w:val="en-US" w:eastAsia="zh-CN"/>
              </w:rPr>
            </w:pPr>
            <w:r>
              <w:rPr>
                <w:rFonts w:hint="eastAsia"/>
                <w:highlight w:val="none"/>
                <w:lang w:val="en-US" w:eastAsia="zh-CN"/>
              </w:rPr>
              <w:t>质量通病</w:t>
            </w:r>
          </w:p>
        </w:tc>
        <w:tc>
          <w:tcPr>
            <w:tcW w:w="6315" w:type="dxa"/>
            <w:tcBorders>
              <w:tl2br w:val="nil"/>
              <w:tr2bl w:val="nil"/>
            </w:tcBorders>
            <w:shd w:val="clear" w:color="auto" w:fill="DAE3F3" w:themeFill="accent5" w:themeFillTint="32"/>
            <w:vAlign w:val="center"/>
          </w:tcPr>
          <w:p w14:paraId="22290190">
            <w:pPr>
              <w:pStyle w:val="105"/>
              <w:bidi w:val="0"/>
              <w:rPr>
                <w:rFonts w:hint="default"/>
                <w:highlight w:val="none"/>
                <w:lang w:val="en-US" w:eastAsia="zh-CN"/>
              </w:rPr>
            </w:pPr>
            <w:r>
              <w:rPr>
                <w:rFonts w:hint="eastAsia"/>
                <w:highlight w:val="none"/>
                <w:lang w:val="en-US" w:eastAsia="zh-CN"/>
              </w:rPr>
              <w:t>预防措施</w:t>
            </w:r>
          </w:p>
        </w:tc>
      </w:tr>
      <w:tr w14:paraId="213CAA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13F5811E">
            <w:pPr>
              <w:pStyle w:val="105"/>
              <w:bidi w:val="0"/>
              <w:rPr>
                <w:rFonts w:hint="default"/>
                <w:highlight w:val="none"/>
                <w:lang w:val="en-US" w:eastAsia="zh-CN"/>
              </w:rPr>
            </w:pPr>
            <w:r>
              <w:rPr>
                <w:rFonts w:hint="eastAsia"/>
                <w:highlight w:val="none"/>
                <w:lang w:val="en-US" w:eastAsia="zh-CN"/>
              </w:rPr>
              <w:t>1</w:t>
            </w:r>
          </w:p>
        </w:tc>
        <w:tc>
          <w:tcPr>
            <w:tcW w:w="1560" w:type="dxa"/>
            <w:tcBorders>
              <w:tl2br w:val="nil"/>
              <w:tr2bl w:val="nil"/>
            </w:tcBorders>
            <w:vAlign w:val="center"/>
          </w:tcPr>
          <w:p w14:paraId="0A95A396">
            <w:pPr>
              <w:pStyle w:val="105"/>
              <w:bidi w:val="0"/>
              <w:rPr>
                <w:rFonts w:hint="default"/>
                <w:highlight w:val="none"/>
                <w:lang w:val="en-US" w:eastAsia="zh-CN"/>
              </w:rPr>
            </w:pPr>
            <w:r>
              <w:rPr>
                <w:rFonts w:hint="eastAsia"/>
                <w:highlight w:val="none"/>
                <w:lang w:val="en-US" w:eastAsia="zh-CN"/>
              </w:rPr>
              <w:t>安装作业前未对设备进行全面检查</w:t>
            </w:r>
          </w:p>
        </w:tc>
        <w:tc>
          <w:tcPr>
            <w:tcW w:w="6315" w:type="dxa"/>
            <w:tcBorders>
              <w:tl2br w:val="nil"/>
              <w:tr2bl w:val="nil"/>
            </w:tcBorders>
            <w:vAlign w:val="center"/>
          </w:tcPr>
          <w:p w14:paraId="1BE66665">
            <w:pPr>
              <w:pStyle w:val="105"/>
              <w:bidi w:val="0"/>
              <w:rPr>
                <w:rFonts w:hint="default"/>
                <w:highlight w:val="none"/>
                <w:lang w:val="en-US" w:eastAsia="zh-CN"/>
              </w:rPr>
            </w:pPr>
            <w:r>
              <w:rPr>
                <w:rFonts w:hint="eastAsia"/>
                <w:highlight w:val="none"/>
                <w:lang w:val="en-US" w:eastAsia="zh-CN"/>
              </w:rPr>
              <w:t>在对整机进行安装作前,安装人员,尤其是安装队的负责人应对塔吊进行全面的检查,确保钢结构无裂纹及不可恢复的塑性变形,焊缝无开裂现象各安全装置齐全、有效,如发现问题应及时的采取措施,以免在塔吊安装作过程中发生事故。</w:t>
            </w:r>
          </w:p>
        </w:tc>
      </w:tr>
      <w:tr w14:paraId="3B4717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348683A7">
            <w:pPr>
              <w:pStyle w:val="105"/>
              <w:bidi w:val="0"/>
              <w:rPr>
                <w:rFonts w:hint="default"/>
                <w:highlight w:val="none"/>
                <w:lang w:val="en-US" w:eastAsia="zh-CN"/>
              </w:rPr>
            </w:pPr>
            <w:r>
              <w:rPr>
                <w:rFonts w:hint="default"/>
                <w:highlight w:val="none"/>
                <w:lang w:val="en-US" w:eastAsia="zh-CN"/>
              </w:rPr>
              <w:t>2</w:t>
            </w:r>
          </w:p>
        </w:tc>
        <w:tc>
          <w:tcPr>
            <w:tcW w:w="1560" w:type="dxa"/>
            <w:tcBorders>
              <w:tl2br w:val="nil"/>
              <w:tr2bl w:val="nil"/>
            </w:tcBorders>
            <w:vAlign w:val="center"/>
          </w:tcPr>
          <w:p w14:paraId="3B37E35A">
            <w:pPr>
              <w:pStyle w:val="105"/>
              <w:bidi w:val="0"/>
              <w:rPr>
                <w:rFonts w:hint="default"/>
                <w:highlight w:val="none"/>
                <w:lang w:val="en-US" w:eastAsia="zh-CN"/>
              </w:rPr>
            </w:pPr>
            <w:r>
              <w:rPr>
                <w:rFonts w:hint="eastAsia"/>
                <w:highlight w:val="none"/>
                <w:lang w:val="en-US" w:eastAsia="zh-CN"/>
              </w:rPr>
              <w:t>施工工艺粗糙</w:t>
            </w:r>
          </w:p>
        </w:tc>
        <w:tc>
          <w:tcPr>
            <w:tcW w:w="6315" w:type="dxa"/>
            <w:tcBorders>
              <w:tl2br w:val="nil"/>
              <w:tr2bl w:val="nil"/>
            </w:tcBorders>
            <w:vAlign w:val="center"/>
          </w:tcPr>
          <w:p w14:paraId="2BF4DB26">
            <w:pPr>
              <w:pStyle w:val="105"/>
              <w:bidi w:val="0"/>
              <w:rPr>
                <w:rFonts w:hint="default"/>
                <w:highlight w:val="none"/>
                <w:lang w:val="en-US" w:eastAsia="zh-CN"/>
              </w:rPr>
            </w:pPr>
            <w:r>
              <w:rPr>
                <w:rFonts w:hint="eastAsia"/>
                <w:highlight w:val="none"/>
                <w:lang w:val="en-US" w:eastAsia="zh-CN"/>
              </w:rPr>
              <w:t>要求在施工准备阶段,技术人员在熟悉图纸、规范、标准的基础上,根据具体的施工条件,制定周密可行的施工技术措施。施工前作好技术交底工作,使每个施工人员都清楚安装过程中需控制的质量标准,施工人员在熟悉各种构件的特点后,参考以往的施工经验,确定一套科学的施工方法,并在施工中不断总结经验,使施工方法日趋完善和合理。</w:t>
            </w:r>
          </w:p>
        </w:tc>
      </w:tr>
      <w:tr w14:paraId="3305342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00" w:type="dxa"/>
            <w:tcBorders>
              <w:tl2br w:val="nil"/>
              <w:tr2bl w:val="nil"/>
            </w:tcBorders>
            <w:vAlign w:val="center"/>
          </w:tcPr>
          <w:p w14:paraId="6DC037AD">
            <w:pPr>
              <w:pStyle w:val="105"/>
              <w:bidi w:val="0"/>
              <w:rPr>
                <w:rFonts w:hint="default"/>
                <w:highlight w:val="none"/>
                <w:lang w:val="en-US" w:eastAsia="zh-CN"/>
              </w:rPr>
            </w:pPr>
            <w:r>
              <w:rPr>
                <w:rFonts w:hint="default"/>
                <w:highlight w:val="none"/>
                <w:lang w:val="en-US" w:eastAsia="zh-CN"/>
              </w:rPr>
              <w:t>3</w:t>
            </w:r>
          </w:p>
        </w:tc>
        <w:tc>
          <w:tcPr>
            <w:tcW w:w="1560" w:type="dxa"/>
            <w:tcBorders>
              <w:tl2br w:val="nil"/>
              <w:tr2bl w:val="nil"/>
            </w:tcBorders>
            <w:vAlign w:val="center"/>
          </w:tcPr>
          <w:p w14:paraId="6F262A5D">
            <w:pPr>
              <w:pStyle w:val="105"/>
              <w:bidi w:val="0"/>
              <w:rPr>
                <w:rFonts w:hint="default"/>
                <w:highlight w:val="none"/>
                <w:lang w:val="en-US" w:eastAsia="zh-CN"/>
              </w:rPr>
            </w:pPr>
            <w:r>
              <w:rPr>
                <w:rFonts w:hint="eastAsia"/>
                <w:highlight w:val="none"/>
                <w:lang w:val="en-US" w:eastAsia="zh-CN"/>
              </w:rPr>
              <w:t>吊索具未进行检查和使用不当</w:t>
            </w:r>
          </w:p>
        </w:tc>
        <w:tc>
          <w:tcPr>
            <w:tcW w:w="6315" w:type="dxa"/>
            <w:tcBorders>
              <w:tl2br w:val="nil"/>
              <w:tr2bl w:val="nil"/>
            </w:tcBorders>
            <w:vAlign w:val="center"/>
          </w:tcPr>
          <w:p w14:paraId="21E6634B">
            <w:pPr>
              <w:pStyle w:val="105"/>
              <w:bidi w:val="0"/>
              <w:rPr>
                <w:rFonts w:hint="default"/>
                <w:highlight w:val="none"/>
                <w:lang w:val="en-US" w:eastAsia="zh-CN"/>
              </w:rPr>
            </w:pPr>
            <w:r>
              <w:rPr>
                <w:rFonts w:hint="eastAsia"/>
                <w:highlight w:val="none"/>
                <w:lang w:val="en-US" w:eastAsia="zh-CN"/>
              </w:rPr>
              <w:t>塔吊的安装作业的吊装工具主要是钢丝绳和卡扣,在进行吊装作业前, E对各吊装的吊索具进行全面的检查,确保钢丝绳无断丝、断股现象,对已达到报废标准的应停止使用,卡具无严重变形和磨损。在进行部件吊装时,安装队负责人首先要对特安装部件的重量要非常清楚,尤其是重量较大的部件,严格按照施工的方案选用吊素具,保证6倍以上的安全系数。</w:t>
            </w:r>
          </w:p>
        </w:tc>
      </w:tr>
    </w:tbl>
    <w:p w14:paraId="5BAB19E1">
      <w:pPr>
        <w:pStyle w:val="3"/>
        <w:rPr>
          <w:rFonts w:hint="eastAsia"/>
          <w:highlight w:val="none"/>
        </w:rPr>
      </w:pPr>
      <w:bookmarkStart w:id="222" w:name="_Toc22190"/>
      <w:bookmarkStart w:id="223" w:name="_Toc533345492"/>
      <w:bookmarkStart w:id="224" w:name="_Toc14944"/>
      <w:bookmarkStart w:id="225" w:name="_Toc5006"/>
      <w:bookmarkStart w:id="226" w:name="_Toc12141"/>
      <w:r>
        <w:rPr>
          <w:rFonts w:hint="eastAsia"/>
          <w:highlight w:val="none"/>
          <w:lang w:val="en-US" w:eastAsia="zh-CN"/>
        </w:rPr>
        <w:t>5.3</w:t>
      </w:r>
      <w:r>
        <w:rPr>
          <w:rFonts w:hint="eastAsia"/>
          <w:highlight w:val="none"/>
        </w:rPr>
        <w:t>质量保证措施</w:t>
      </w:r>
      <w:bookmarkEnd w:id="222"/>
      <w:bookmarkEnd w:id="223"/>
      <w:bookmarkEnd w:id="224"/>
      <w:bookmarkEnd w:id="225"/>
      <w:bookmarkEnd w:id="226"/>
    </w:p>
    <w:p w14:paraId="2932759B">
      <w:pPr>
        <w:pStyle w:val="4"/>
        <w:bidi w:val="0"/>
        <w:rPr>
          <w:rFonts w:hint="default"/>
          <w:highlight w:val="none"/>
          <w:lang w:val="en-US" w:eastAsia="zh-CN"/>
        </w:rPr>
      </w:pPr>
      <w:r>
        <w:rPr>
          <w:rFonts w:hint="eastAsia"/>
          <w:highlight w:val="none"/>
          <w:lang w:val="en-US" w:eastAsia="zh-CN"/>
        </w:rPr>
        <w:t>5.3.1</w:t>
      </w:r>
      <w:bookmarkStart w:id="227" w:name="_Toc28601"/>
      <w:bookmarkStart w:id="228" w:name="_Toc11673"/>
      <w:r>
        <w:rPr>
          <w:rFonts w:hint="eastAsia"/>
          <w:highlight w:val="none"/>
          <w:lang w:val="en-US" w:eastAsia="zh-CN"/>
        </w:rPr>
        <w:t>质量管理手段</w:t>
      </w:r>
      <w:bookmarkEnd w:id="227"/>
      <w:bookmarkEnd w:id="228"/>
    </w:p>
    <w:p w14:paraId="7964F269">
      <w:pPr>
        <w:ind w:firstLine="480" w:firstLineChars="200"/>
        <w:rPr>
          <w:rFonts w:hint="default"/>
          <w:highlight w:val="none"/>
          <w:lang w:val="en-US" w:eastAsia="zh-CN"/>
        </w:rPr>
      </w:pPr>
      <w:r>
        <w:rPr>
          <w:rFonts w:hint="default"/>
          <w:highlight w:val="none"/>
          <w:lang w:val="en-US" w:eastAsia="zh-CN"/>
        </w:rPr>
        <w:t>为了保证塔吊安装质量</w:t>
      </w:r>
      <w:r>
        <w:rPr>
          <w:rFonts w:hint="eastAsia"/>
          <w:highlight w:val="none"/>
          <w:lang w:val="en-US" w:eastAsia="zh-CN"/>
        </w:rPr>
        <w:t>，</w:t>
      </w:r>
      <w:r>
        <w:rPr>
          <w:rFonts w:hint="default"/>
          <w:highlight w:val="none"/>
          <w:lang w:val="en-US" w:eastAsia="zh-CN"/>
        </w:rPr>
        <w:t>树立良好的质量信誉</w:t>
      </w:r>
      <w:r>
        <w:rPr>
          <w:rFonts w:hint="eastAsia"/>
          <w:highlight w:val="none"/>
          <w:lang w:val="en-US" w:eastAsia="zh-CN"/>
        </w:rPr>
        <w:t>，</w:t>
      </w:r>
      <w:r>
        <w:rPr>
          <w:rFonts w:hint="default"/>
          <w:highlight w:val="none"/>
          <w:lang w:val="en-US" w:eastAsia="zh-CN"/>
        </w:rPr>
        <w:t>全面贯彻落实公司制定的质量管理作业文件</w:t>
      </w:r>
      <w:r>
        <w:rPr>
          <w:rFonts w:hint="eastAsia"/>
          <w:highlight w:val="none"/>
          <w:lang w:val="en-US" w:eastAsia="zh-CN"/>
        </w:rPr>
        <w:t>，</w:t>
      </w:r>
      <w:r>
        <w:rPr>
          <w:rFonts w:hint="default"/>
          <w:highlight w:val="none"/>
          <w:lang w:val="en-US" w:eastAsia="zh-CN"/>
        </w:rPr>
        <w:t>实现对施工过程的有效控制</w:t>
      </w:r>
      <w:r>
        <w:rPr>
          <w:rFonts w:hint="eastAsia"/>
          <w:highlight w:val="none"/>
          <w:lang w:val="en-US" w:eastAsia="zh-CN"/>
        </w:rPr>
        <w:t>，</w:t>
      </w:r>
      <w:r>
        <w:rPr>
          <w:rFonts w:hint="default"/>
          <w:highlight w:val="none"/>
          <w:lang w:val="en-US" w:eastAsia="zh-CN"/>
        </w:rPr>
        <w:t>特制定以下控制措施</w:t>
      </w:r>
      <w:r>
        <w:rPr>
          <w:rFonts w:hint="eastAsia"/>
          <w:highlight w:val="none"/>
          <w:lang w:val="en-US" w:eastAsia="zh-CN"/>
        </w:rPr>
        <w:t>：</w:t>
      </w:r>
    </w:p>
    <w:p w14:paraId="19AEC618">
      <w:pPr>
        <w:ind w:firstLine="420" w:firstLineChars="0"/>
        <w:rPr>
          <w:rFonts w:hint="default"/>
          <w:highlight w:val="none"/>
          <w:lang w:val="en-US" w:eastAsia="zh-CN"/>
        </w:rPr>
      </w:pPr>
      <w:r>
        <w:rPr>
          <w:rFonts w:hint="default"/>
          <w:highlight w:val="none"/>
          <w:lang w:val="en-US" w:eastAsia="zh-CN"/>
        </w:rPr>
        <w:t>（1）作业前由技术员及工长组织作业人员认真学习图纸、资料</w:t>
      </w:r>
      <w:r>
        <w:rPr>
          <w:rFonts w:hint="eastAsia"/>
          <w:highlight w:val="none"/>
          <w:lang w:val="en-US" w:eastAsia="zh-CN"/>
        </w:rPr>
        <w:t>，</w:t>
      </w:r>
      <w:r>
        <w:rPr>
          <w:rFonts w:hint="default"/>
          <w:highlight w:val="none"/>
          <w:lang w:val="en-US" w:eastAsia="zh-CN"/>
        </w:rPr>
        <w:t>了解作业技术要求</w:t>
      </w:r>
      <w:r>
        <w:rPr>
          <w:rFonts w:hint="eastAsia"/>
          <w:highlight w:val="none"/>
          <w:lang w:val="en-US" w:eastAsia="zh-CN"/>
        </w:rPr>
        <w:t>，</w:t>
      </w:r>
      <w:r>
        <w:rPr>
          <w:rFonts w:hint="default"/>
          <w:highlight w:val="none"/>
          <w:lang w:val="en-US" w:eastAsia="zh-CN"/>
        </w:rPr>
        <w:t>掌握作业方法和作业要领。同时宣传质量</w:t>
      </w:r>
      <w:r>
        <w:rPr>
          <w:rFonts w:hint="eastAsia"/>
          <w:highlight w:val="none"/>
          <w:lang w:val="en-US" w:eastAsia="zh-CN"/>
        </w:rPr>
        <w:t>，</w:t>
      </w:r>
      <w:r>
        <w:rPr>
          <w:rFonts w:hint="default"/>
          <w:highlight w:val="none"/>
          <w:lang w:val="en-US" w:eastAsia="zh-CN"/>
        </w:rPr>
        <w:t>提高意识</w:t>
      </w:r>
      <w:r>
        <w:rPr>
          <w:rFonts w:hint="eastAsia"/>
          <w:highlight w:val="none"/>
          <w:lang w:val="en-US" w:eastAsia="zh-CN"/>
        </w:rPr>
        <w:t>，</w:t>
      </w:r>
      <w:r>
        <w:rPr>
          <w:rFonts w:hint="default"/>
          <w:highlight w:val="none"/>
          <w:lang w:val="en-US" w:eastAsia="zh-CN"/>
        </w:rPr>
        <w:t>加强作业人员的工作责任心。</w:t>
      </w:r>
    </w:p>
    <w:p w14:paraId="025800DA">
      <w:pPr>
        <w:ind w:firstLine="420" w:firstLineChars="0"/>
        <w:rPr>
          <w:rFonts w:hint="default"/>
          <w:highlight w:val="none"/>
          <w:lang w:val="en-US" w:eastAsia="zh-CN"/>
        </w:rPr>
      </w:pPr>
      <w:r>
        <w:rPr>
          <w:rFonts w:hint="default"/>
          <w:highlight w:val="none"/>
          <w:lang w:val="en-US" w:eastAsia="zh-CN"/>
        </w:rPr>
        <w:t>（2）对重要工序的作业方法、作业要领</w:t>
      </w:r>
      <w:r>
        <w:rPr>
          <w:rFonts w:hint="eastAsia"/>
          <w:highlight w:val="none"/>
          <w:lang w:val="en-US" w:eastAsia="zh-CN"/>
        </w:rPr>
        <w:t>，</w:t>
      </w:r>
      <w:r>
        <w:rPr>
          <w:rFonts w:hint="default"/>
          <w:highlight w:val="none"/>
          <w:lang w:val="en-US" w:eastAsia="zh-CN"/>
        </w:rPr>
        <w:t>应进行作业前的施工技术培训。</w:t>
      </w:r>
    </w:p>
    <w:p w14:paraId="7F4C872E">
      <w:pPr>
        <w:ind w:firstLine="420" w:firstLineChars="0"/>
        <w:rPr>
          <w:rFonts w:hint="default"/>
          <w:highlight w:val="none"/>
          <w:lang w:val="en-US" w:eastAsia="zh-CN"/>
        </w:rPr>
      </w:pPr>
      <w:r>
        <w:rPr>
          <w:rFonts w:hint="default"/>
          <w:highlight w:val="none"/>
          <w:lang w:val="en-US" w:eastAsia="zh-CN"/>
        </w:rPr>
        <w:t>（3）认真做好作业前的技术交底工作</w:t>
      </w:r>
      <w:r>
        <w:rPr>
          <w:rFonts w:hint="eastAsia"/>
          <w:highlight w:val="none"/>
          <w:lang w:val="en-US" w:eastAsia="zh-CN"/>
        </w:rPr>
        <w:t>，</w:t>
      </w:r>
      <w:r>
        <w:rPr>
          <w:rFonts w:hint="default"/>
          <w:highlight w:val="none"/>
          <w:lang w:val="en-US" w:eastAsia="zh-CN"/>
        </w:rPr>
        <w:t>使每个作业人员充分的理解施工工艺和技术要求</w:t>
      </w:r>
      <w:r>
        <w:rPr>
          <w:rFonts w:hint="eastAsia"/>
          <w:highlight w:val="none"/>
          <w:lang w:val="en-US" w:eastAsia="zh-CN"/>
        </w:rPr>
        <w:t>，</w:t>
      </w:r>
      <w:r>
        <w:rPr>
          <w:rFonts w:hint="default"/>
          <w:highlight w:val="none"/>
          <w:lang w:val="en-US" w:eastAsia="zh-CN"/>
        </w:rPr>
        <w:t>达到作业人员对工作心中有数</w:t>
      </w:r>
      <w:r>
        <w:rPr>
          <w:rFonts w:hint="eastAsia"/>
          <w:highlight w:val="none"/>
          <w:lang w:val="en-US" w:eastAsia="zh-CN"/>
        </w:rPr>
        <w:t>，</w:t>
      </w:r>
      <w:r>
        <w:rPr>
          <w:rFonts w:hint="default"/>
          <w:highlight w:val="none"/>
          <w:lang w:val="en-US" w:eastAsia="zh-CN"/>
        </w:rPr>
        <w:t>交底后必须双方签字。</w:t>
      </w:r>
    </w:p>
    <w:p w14:paraId="01851D49">
      <w:pPr>
        <w:ind w:firstLine="420" w:firstLineChars="0"/>
        <w:rPr>
          <w:rFonts w:hint="default"/>
          <w:highlight w:val="none"/>
          <w:lang w:val="en-US" w:eastAsia="zh-CN"/>
        </w:rPr>
      </w:pPr>
      <w:r>
        <w:rPr>
          <w:rFonts w:hint="default"/>
          <w:highlight w:val="none"/>
          <w:lang w:val="en-US" w:eastAsia="zh-CN"/>
        </w:rPr>
        <w:t>（4）班长和安全员认真作好作业过程的质量监督控制</w:t>
      </w:r>
      <w:r>
        <w:rPr>
          <w:rFonts w:hint="eastAsia"/>
          <w:highlight w:val="none"/>
          <w:lang w:val="en-US" w:eastAsia="zh-CN"/>
        </w:rPr>
        <w:t>，</w:t>
      </w:r>
      <w:r>
        <w:rPr>
          <w:rFonts w:hint="default"/>
          <w:highlight w:val="none"/>
          <w:lang w:val="en-US" w:eastAsia="zh-CN"/>
        </w:rPr>
        <w:t>确保每一道工序的施工质量以及工序间合理衔接</w:t>
      </w:r>
      <w:r>
        <w:rPr>
          <w:rFonts w:hint="eastAsia"/>
          <w:highlight w:val="none"/>
          <w:lang w:val="en-US" w:eastAsia="zh-CN"/>
        </w:rPr>
        <w:t>，</w:t>
      </w:r>
      <w:r>
        <w:rPr>
          <w:rFonts w:hint="default"/>
          <w:highlight w:val="none"/>
          <w:lang w:val="en-US" w:eastAsia="zh-CN"/>
        </w:rPr>
        <w:t>不留缺陷</w:t>
      </w:r>
      <w:r>
        <w:rPr>
          <w:rFonts w:hint="eastAsia"/>
          <w:highlight w:val="none"/>
          <w:lang w:val="en-US" w:eastAsia="zh-CN"/>
        </w:rPr>
        <w:t>，</w:t>
      </w:r>
      <w:r>
        <w:rPr>
          <w:rFonts w:hint="default"/>
          <w:highlight w:val="none"/>
          <w:lang w:val="en-US" w:eastAsia="zh-CN"/>
        </w:rPr>
        <w:t>不留尾工</w:t>
      </w:r>
      <w:r>
        <w:rPr>
          <w:rFonts w:hint="eastAsia"/>
          <w:highlight w:val="none"/>
          <w:lang w:val="en-US" w:eastAsia="zh-CN"/>
        </w:rPr>
        <w:t>，</w:t>
      </w:r>
      <w:r>
        <w:rPr>
          <w:rFonts w:hint="default"/>
          <w:highlight w:val="none"/>
          <w:lang w:val="en-US" w:eastAsia="zh-CN"/>
        </w:rPr>
        <w:t>认真做好作业后的自检工作。</w:t>
      </w:r>
    </w:p>
    <w:p w14:paraId="2D8EF607">
      <w:pPr>
        <w:ind w:firstLine="420" w:firstLineChars="0"/>
        <w:rPr>
          <w:rFonts w:hint="default"/>
          <w:highlight w:val="none"/>
          <w:lang w:val="en-US" w:eastAsia="zh-CN"/>
        </w:rPr>
      </w:pPr>
      <w:r>
        <w:rPr>
          <w:rFonts w:hint="default"/>
          <w:highlight w:val="none"/>
          <w:lang w:val="en-US" w:eastAsia="zh-CN"/>
        </w:rPr>
        <w:t>（5）对作业中容易发生的质量问题</w:t>
      </w:r>
      <w:r>
        <w:rPr>
          <w:rFonts w:hint="eastAsia"/>
          <w:highlight w:val="none"/>
          <w:lang w:val="en-US" w:eastAsia="zh-CN"/>
        </w:rPr>
        <w:t>，</w:t>
      </w:r>
      <w:r>
        <w:rPr>
          <w:rFonts w:hint="default"/>
          <w:highlight w:val="none"/>
          <w:lang w:val="en-US" w:eastAsia="zh-CN"/>
        </w:rPr>
        <w:t>作业前做出预测</w:t>
      </w:r>
      <w:r>
        <w:rPr>
          <w:rFonts w:hint="eastAsia"/>
          <w:highlight w:val="none"/>
          <w:lang w:val="en-US" w:eastAsia="zh-CN"/>
        </w:rPr>
        <w:t>，</w:t>
      </w:r>
      <w:r>
        <w:rPr>
          <w:rFonts w:hint="default"/>
          <w:highlight w:val="none"/>
          <w:lang w:val="en-US" w:eastAsia="zh-CN"/>
        </w:rPr>
        <w:t>并采取有效的、可操作的预防措施</w:t>
      </w:r>
      <w:r>
        <w:rPr>
          <w:rFonts w:hint="eastAsia"/>
          <w:highlight w:val="none"/>
          <w:lang w:val="en-US" w:eastAsia="zh-CN"/>
        </w:rPr>
        <w:t>，</w:t>
      </w:r>
      <w:r>
        <w:rPr>
          <w:rFonts w:hint="default"/>
          <w:highlight w:val="none"/>
          <w:lang w:val="en-US" w:eastAsia="zh-CN"/>
        </w:rPr>
        <w:t>消除施工质量缺陷。</w:t>
      </w:r>
    </w:p>
    <w:p w14:paraId="37211CE8">
      <w:pPr>
        <w:ind w:firstLine="420" w:firstLineChars="0"/>
        <w:rPr>
          <w:rFonts w:hint="default"/>
          <w:highlight w:val="none"/>
          <w:lang w:val="en-US" w:eastAsia="zh-CN"/>
        </w:rPr>
      </w:pPr>
      <w:r>
        <w:rPr>
          <w:rFonts w:hint="default"/>
          <w:highlight w:val="none"/>
          <w:lang w:val="en-US" w:eastAsia="zh-CN"/>
        </w:rPr>
        <w:t>（6）作业中发现设备缺陷或施工质量问题</w:t>
      </w:r>
      <w:r>
        <w:rPr>
          <w:rFonts w:hint="eastAsia"/>
          <w:highlight w:val="none"/>
          <w:lang w:val="en-US" w:eastAsia="zh-CN"/>
        </w:rPr>
        <w:t>，</w:t>
      </w:r>
      <w:r>
        <w:rPr>
          <w:rFonts w:hint="default"/>
          <w:highlight w:val="none"/>
          <w:lang w:val="en-US" w:eastAsia="zh-CN"/>
        </w:rPr>
        <w:t>及时向技术员提出并采取措施后进行处理。重大质量问题必须停工</w:t>
      </w:r>
      <w:r>
        <w:rPr>
          <w:rFonts w:hint="eastAsia"/>
          <w:highlight w:val="none"/>
          <w:lang w:val="en-US" w:eastAsia="zh-CN"/>
        </w:rPr>
        <w:t>，</w:t>
      </w:r>
      <w:r>
        <w:rPr>
          <w:rFonts w:hint="default"/>
          <w:highlight w:val="none"/>
          <w:lang w:val="en-US" w:eastAsia="zh-CN"/>
        </w:rPr>
        <w:t>待提出处理意见或制定整改措施后方可进行整改。</w:t>
      </w:r>
    </w:p>
    <w:p w14:paraId="36D7378E">
      <w:pPr>
        <w:ind w:firstLine="420" w:firstLineChars="0"/>
        <w:rPr>
          <w:rFonts w:hint="default"/>
          <w:highlight w:val="none"/>
          <w:lang w:val="en-US" w:eastAsia="zh-CN"/>
        </w:rPr>
      </w:pPr>
      <w:r>
        <w:rPr>
          <w:rFonts w:hint="default"/>
          <w:highlight w:val="none"/>
          <w:lang w:val="en-US" w:eastAsia="zh-CN"/>
        </w:rPr>
        <w:t>（7）积极配合项目部工程部</w:t>
      </w:r>
      <w:r>
        <w:rPr>
          <w:rFonts w:hint="eastAsia"/>
          <w:highlight w:val="none"/>
          <w:lang w:val="en-US" w:eastAsia="zh-CN"/>
        </w:rPr>
        <w:t>、质检部</w:t>
      </w:r>
      <w:r>
        <w:rPr>
          <w:rFonts w:hint="default"/>
          <w:highlight w:val="none"/>
          <w:lang w:val="en-US" w:eastAsia="zh-CN"/>
        </w:rPr>
        <w:t>和监理的质检工作</w:t>
      </w:r>
      <w:r>
        <w:rPr>
          <w:rFonts w:hint="eastAsia"/>
          <w:highlight w:val="none"/>
          <w:lang w:val="en-US" w:eastAsia="zh-CN"/>
        </w:rPr>
        <w:t>，</w:t>
      </w:r>
      <w:r>
        <w:rPr>
          <w:rFonts w:hint="default"/>
          <w:highlight w:val="none"/>
          <w:lang w:val="en-US" w:eastAsia="zh-CN"/>
        </w:rPr>
        <w:t>对查出的质量问题积极并及时的进行处理。</w:t>
      </w:r>
    </w:p>
    <w:p w14:paraId="5120178F">
      <w:pPr>
        <w:pStyle w:val="4"/>
        <w:tabs>
          <w:tab w:val="left" w:pos="240"/>
        </w:tabs>
        <w:bidi w:val="0"/>
        <w:rPr>
          <w:highlight w:val="none"/>
        </w:rPr>
      </w:pPr>
      <w:r>
        <w:rPr>
          <w:rFonts w:hint="eastAsia"/>
          <w:highlight w:val="none"/>
          <w:lang w:val="en-US" w:eastAsia="zh-CN"/>
        </w:rPr>
        <w:t xml:space="preserve">5.3.2原材料进场检验 </w:t>
      </w:r>
    </w:p>
    <w:p w14:paraId="1CCD0DCF">
      <w:pPr>
        <w:ind w:firstLine="480"/>
        <w:rPr>
          <w:rFonts w:hint="eastAsia" w:ascii="宋体" w:hAnsi="宋体" w:eastAsia="宋体" w:cs="宋体"/>
          <w:color w:val="000000"/>
          <w:kern w:val="0"/>
          <w:sz w:val="24"/>
          <w:szCs w:val="24"/>
          <w:highlight w:val="none"/>
          <w:lang w:val="en-US" w:eastAsia="zh-CN" w:bidi="ar"/>
        </w:rPr>
      </w:pPr>
      <w:r>
        <w:rPr>
          <w:rFonts w:ascii="Times New Roman" w:hAnsi="Times New Roman" w:cs="Times New Roman"/>
          <w:highlight w:val="none"/>
        </w:rPr>
        <w:t>严格控制材料质量，原材的选用为正规单位及厂家通过正式招投标后，中标单位方可根据现场需求分批次采购材料，所有材料必须有材质证明书,需要二次检验的材料及时抽样检验，检定合格后方可使用，严格按照相关技术规范文件规定进行取样检验</w:t>
      </w:r>
      <w:r>
        <w:rPr>
          <w:rFonts w:hint="eastAsia" w:ascii="Times New Roman" w:hAnsi="Times New Roman" w:cs="Times New Roman"/>
          <w:highlight w:val="none"/>
          <w:lang w:eastAsia="zh-CN"/>
        </w:rPr>
        <w:t>。</w:t>
      </w:r>
    </w:p>
    <w:p w14:paraId="7109C8F4">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1</w:t>
      </w:r>
      <w:r>
        <w:rPr>
          <w:rFonts w:hint="eastAsia" w:ascii="宋体" w:hAnsi="宋体" w:eastAsia="宋体" w:cs="宋体"/>
          <w:color w:val="000000"/>
          <w:kern w:val="0"/>
          <w:sz w:val="24"/>
          <w:szCs w:val="24"/>
          <w:highlight w:val="none"/>
          <w:lang w:val="en-US" w:eastAsia="zh-CN" w:bidi="ar"/>
        </w:rPr>
        <w:t xml:space="preserve">）原材料按照技术质量要求由专人采购与管理，采购人员和施工人员之间对各种原材料认真做好交接记录。 </w:t>
      </w:r>
    </w:p>
    <w:p w14:paraId="6187FF5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eastAsia" w:ascii="宋体" w:hAnsi="宋体" w:eastAsia="宋体" w:cs="宋体"/>
          <w:color w:val="000000"/>
          <w:kern w:val="0"/>
          <w:sz w:val="24"/>
          <w:szCs w:val="24"/>
          <w:highlight w:val="none"/>
          <w:lang w:val="en-US" w:eastAsia="zh-CN" w:bidi="ar"/>
        </w:rPr>
        <w:t xml:space="preserve">）原材料进厂（场）后，对原材料的品种、规格、数量以及质量证明书等进行验收核查，并按有关标准的规定取样和复验。经检验合格的原材料方可进厂（场）。对于检验不合格的原材料，按有关规定清除出厂（场）。 </w:t>
      </w:r>
    </w:p>
    <w:p w14:paraId="2FC1EA07">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val="en-US" w:eastAsia="zh-CN" w:bidi="ar"/>
        </w:rPr>
        <w:t>）原材料进厂（场）后，及时建立</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原材料管理台账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，内容包括材料名称、品种、规格、数量、生产单位、供货单位、</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质量证明书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编号、</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复试检验报告</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编号、检验结果以及进货日期等。</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原材料管理台账</w:t>
      </w:r>
      <w:r>
        <w:rPr>
          <w:rFonts w:hint="default" w:ascii="Times New Roman" w:hAnsi="Times New Roman" w:eastAsia="宋体" w:cs="Times New Roman"/>
          <w:color w:val="000000"/>
          <w:kern w:val="0"/>
          <w:sz w:val="24"/>
          <w:szCs w:val="24"/>
          <w:highlight w:val="none"/>
          <w:lang w:val="en-US" w:eastAsia="zh-CN" w:bidi="ar"/>
        </w:rPr>
        <w:t>”</w:t>
      </w:r>
      <w:r>
        <w:rPr>
          <w:rFonts w:hint="eastAsia" w:ascii="宋体" w:hAnsi="宋体" w:eastAsia="宋体" w:cs="宋体"/>
          <w:color w:val="000000"/>
          <w:kern w:val="0"/>
          <w:sz w:val="24"/>
          <w:szCs w:val="24"/>
          <w:highlight w:val="none"/>
          <w:lang w:val="en-US" w:eastAsia="zh-CN" w:bidi="ar"/>
        </w:rPr>
        <w:t>填写正确、真实、齐全。</w:t>
      </w:r>
    </w:p>
    <w:p w14:paraId="6769F0A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4</w:t>
      </w:r>
      <w:r>
        <w:rPr>
          <w:rFonts w:hint="eastAsia" w:ascii="宋体" w:hAnsi="宋体" w:eastAsia="宋体" w:cs="宋体"/>
          <w:color w:val="000000"/>
          <w:kern w:val="0"/>
          <w:sz w:val="24"/>
          <w:szCs w:val="24"/>
          <w:highlight w:val="none"/>
          <w:lang w:val="en-US" w:eastAsia="zh-CN" w:bidi="ar"/>
        </w:rPr>
        <w:t xml:space="preserve">）水泥、矿物掺合料等采用散料仓分别存储。袋装粉状材料在运输和存放期间采用专用库房存放，不得露天堆放，且特别注意防潮。 </w:t>
      </w:r>
    </w:p>
    <w:p w14:paraId="5E063C5E">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5</w:t>
      </w:r>
      <w:r>
        <w:rPr>
          <w:rFonts w:hint="eastAsia" w:ascii="宋体" w:hAnsi="宋体" w:eastAsia="宋体" w:cs="宋体"/>
          <w:color w:val="000000"/>
          <w:kern w:val="0"/>
          <w:sz w:val="24"/>
          <w:szCs w:val="24"/>
          <w:highlight w:val="none"/>
          <w:lang w:val="en-US" w:eastAsia="zh-CN" w:bidi="ar"/>
        </w:rPr>
        <w:t xml:space="preserve">）粗骨料按技术条件要求分级采购、分级运输、分级堆放、分级计量。 </w:t>
      </w:r>
    </w:p>
    <w:p w14:paraId="2EA70517">
      <w:pPr>
        <w:keepNext w:val="0"/>
        <w:keepLines w:val="0"/>
        <w:widowControl/>
        <w:suppressLineNumbers w:val="0"/>
        <w:ind w:firstLine="480" w:firstLineChars="200"/>
        <w:jc w:val="left"/>
        <w:rPr>
          <w:rFonts w:hint="default"/>
          <w:highlight w:val="none"/>
          <w:lang w:val="en-US" w:eastAsia="zh-CN"/>
        </w:rPr>
      </w:pPr>
      <w:r>
        <w:rPr>
          <w:rFonts w:hint="eastAsia" w:ascii="宋体" w:hAnsi="宋体" w:eastAsia="宋体" w:cs="宋体"/>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6</w:t>
      </w:r>
      <w:r>
        <w:rPr>
          <w:rFonts w:hint="eastAsia" w:ascii="宋体" w:hAnsi="宋体" w:eastAsia="宋体" w:cs="宋体"/>
          <w:color w:val="000000"/>
          <w:kern w:val="0"/>
          <w:sz w:val="24"/>
          <w:szCs w:val="24"/>
          <w:highlight w:val="none"/>
          <w:lang w:val="en-US" w:eastAsia="zh-CN" w:bidi="ar"/>
        </w:rPr>
        <w:t xml:space="preserve">）对原材料建立符合工厂化生产的堆放地点和明确的标识，标明材料名称、品种、生产厂家、生产日期和进厂（场）日期。原材料堆放时必须有堆放分界标识，以免误用。对骨料堆放场进行硬化处理，并设置必要的排水设施。 </w:t>
      </w:r>
    </w:p>
    <w:p w14:paraId="43FF6A24">
      <w:pPr>
        <w:pStyle w:val="4"/>
        <w:tabs>
          <w:tab w:val="left" w:pos="240"/>
        </w:tabs>
        <w:bidi w:val="0"/>
        <w:rPr>
          <w:highlight w:val="none"/>
        </w:rPr>
      </w:pPr>
      <w:r>
        <w:rPr>
          <w:rFonts w:hint="eastAsia"/>
          <w:highlight w:val="none"/>
          <w:lang w:val="en-US" w:eastAsia="zh-CN"/>
        </w:rPr>
        <w:t>5.3.3</w:t>
      </w:r>
      <w:r>
        <w:rPr>
          <w:highlight w:val="none"/>
        </w:rPr>
        <w:t>机械设备保证质量措施</w:t>
      </w:r>
    </w:p>
    <w:p w14:paraId="501490B7">
      <w:pPr>
        <w:ind w:firstLine="480"/>
        <w:rPr>
          <w:rFonts w:ascii="Times New Roman" w:hAnsi="Times New Roman" w:cs="Times New Roman"/>
          <w:highlight w:val="none"/>
        </w:rPr>
      </w:pPr>
      <w:r>
        <w:rPr>
          <w:rFonts w:ascii="Times New Roman" w:hAnsi="Times New Roman" w:cs="Times New Roman"/>
          <w:highlight w:val="none"/>
        </w:rPr>
        <w:t>对进场的机械设备应定期维修，定人操作，明确机械的操作制度；工程所有数控设备具均应在鉴定的有效期内，设备进场后必须进行能力确认，或新数控设备应出具出厂合格证及设备合格证等。并健全日常维修保养制度，要确保它的精度，以提供准确可靠的计量数据。计量器具的检定、核准由试验员送所在地的法定检定机构检定或进行现场检定，在校验期内，每次使用前都应进行零点校核，保持计量准确。</w:t>
      </w:r>
    </w:p>
    <w:p w14:paraId="0CEA9F22">
      <w:pPr>
        <w:pStyle w:val="4"/>
        <w:tabs>
          <w:tab w:val="left" w:pos="240"/>
        </w:tabs>
        <w:bidi w:val="0"/>
        <w:rPr>
          <w:highlight w:val="none"/>
        </w:rPr>
      </w:pPr>
      <w:bookmarkStart w:id="229" w:name="_Toc439690944"/>
      <w:bookmarkStart w:id="230" w:name="_Toc439617511"/>
      <w:bookmarkStart w:id="231" w:name="_Toc480156102"/>
      <w:r>
        <w:rPr>
          <w:highlight w:val="none"/>
        </w:rPr>
        <w:t>5.</w:t>
      </w:r>
      <w:r>
        <w:rPr>
          <w:rFonts w:hint="eastAsia"/>
          <w:highlight w:val="none"/>
          <w:lang w:val="en-US" w:eastAsia="zh-CN"/>
        </w:rPr>
        <w:t>3.</w:t>
      </w:r>
      <w:r>
        <w:rPr>
          <w:highlight w:val="none"/>
        </w:rPr>
        <w:t>4施工操作保证质量措施</w:t>
      </w:r>
      <w:bookmarkEnd w:id="229"/>
      <w:bookmarkEnd w:id="230"/>
      <w:bookmarkEnd w:id="231"/>
    </w:p>
    <w:p w14:paraId="330D6FDB">
      <w:pPr>
        <w:ind w:firstLine="480"/>
        <w:rPr>
          <w:rFonts w:ascii="Times New Roman" w:hAnsi="Times New Roman" w:cs="Times New Roman"/>
          <w:highlight w:val="none"/>
        </w:rPr>
      </w:pPr>
      <w:r>
        <w:rPr>
          <w:rFonts w:ascii="Times New Roman" w:hAnsi="Times New Roman" w:cs="Times New Roman"/>
          <w:highlight w:val="none"/>
        </w:rPr>
        <w:t>所有操作人员均选用具有丰富经验的工人，进入工地后进行安全生产三级教育，定期进行安全意识教育，职工必须熟悉本工种安全技术操作规程，掌握本工种操作技能，特殊工种持证上岗；对具体的分部分项工程及新工艺、新材料的使用要进行技术交底；每一次下达任务时施工员要对操作人员进行详细的技术交底。</w:t>
      </w:r>
    </w:p>
    <w:p w14:paraId="1C1339A8">
      <w:pPr>
        <w:pStyle w:val="4"/>
        <w:tabs>
          <w:tab w:val="left" w:pos="240"/>
        </w:tabs>
        <w:bidi w:val="0"/>
        <w:rPr>
          <w:highlight w:val="none"/>
        </w:rPr>
      </w:pPr>
      <w:bookmarkStart w:id="232" w:name="_Toc475980807"/>
      <w:bookmarkStart w:id="233" w:name="_Toc475477278"/>
      <w:bookmarkStart w:id="234" w:name="_Toc7308"/>
      <w:r>
        <w:rPr>
          <w:rFonts w:hint="eastAsia"/>
          <w:highlight w:val="none"/>
        </w:rPr>
        <w:t>5.</w:t>
      </w:r>
      <w:r>
        <w:rPr>
          <w:rFonts w:hint="eastAsia"/>
          <w:highlight w:val="none"/>
          <w:lang w:val="en-US" w:eastAsia="zh-CN"/>
        </w:rPr>
        <w:t>3.5</w:t>
      </w:r>
      <w:r>
        <w:rPr>
          <w:highlight w:val="none"/>
        </w:rPr>
        <w:t>制度保证措施</w:t>
      </w:r>
      <w:bookmarkEnd w:id="232"/>
      <w:bookmarkEnd w:id="233"/>
      <w:bookmarkEnd w:id="234"/>
    </w:p>
    <w:p w14:paraId="381F2E7E">
      <w:pPr>
        <w:pStyle w:val="157"/>
        <w:rPr>
          <w:rFonts w:ascii="Times New Roman" w:hAnsi="Times New Roman"/>
          <w:highlight w:val="none"/>
        </w:rPr>
      </w:pPr>
      <w:r>
        <w:rPr>
          <w:rFonts w:ascii="Times New Roman" w:hAnsi="Times New Roman"/>
          <w:highlight w:val="none"/>
        </w:rPr>
        <w:t>对施工进行全过程的质量检查，对施工材料、施工方法</w:t>
      </w:r>
      <w:r>
        <w:rPr>
          <w:rFonts w:hint="eastAsia" w:ascii="Times New Roman" w:hAnsi="Times New Roman"/>
          <w:highlight w:val="none"/>
        </w:rPr>
        <w:t>等</w:t>
      </w:r>
      <w:r>
        <w:rPr>
          <w:rFonts w:ascii="Times New Roman" w:hAnsi="Times New Roman"/>
          <w:highlight w:val="none"/>
        </w:rPr>
        <w:t>随时进行抽查。</w:t>
      </w:r>
    </w:p>
    <w:p w14:paraId="75618C0F">
      <w:pPr>
        <w:pStyle w:val="157"/>
        <w:rPr>
          <w:rFonts w:ascii="Times New Roman" w:hAnsi="Times New Roman"/>
          <w:highlight w:val="none"/>
        </w:rPr>
      </w:pPr>
      <w:r>
        <w:rPr>
          <w:rFonts w:ascii="Times New Roman" w:hAnsi="Times New Roman"/>
          <w:highlight w:val="none"/>
        </w:rPr>
        <w:t>对施工过程中出现的违规、违制、严重影响项目驻地施工质量的行为予以制止，并令其停工或返工。</w:t>
      </w:r>
    </w:p>
    <w:p w14:paraId="3F6CC813">
      <w:pPr>
        <w:pStyle w:val="157"/>
        <w:rPr>
          <w:rFonts w:ascii="Times New Roman" w:hAnsi="Times New Roman"/>
          <w:highlight w:val="none"/>
        </w:rPr>
      </w:pPr>
      <w:r>
        <w:rPr>
          <w:rFonts w:ascii="Times New Roman" w:hAnsi="Times New Roman"/>
          <w:highlight w:val="none"/>
        </w:rPr>
        <w:t>临时设施的承包单位应由相应资质的施工队伍承担，作业人员应持证上岗。</w:t>
      </w:r>
    </w:p>
    <w:p w14:paraId="252C5E78">
      <w:pPr>
        <w:pStyle w:val="3"/>
        <w:rPr>
          <w:highlight w:val="none"/>
        </w:rPr>
      </w:pPr>
      <w:bookmarkStart w:id="235" w:name="_Toc30509"/>
      <w:bookmarkStart w:id="236" w:name="_Toc533345493"/>
      <w:bookmarkStart w:id="237" w:name="_Toc20735"/>
      <w:bookmarkStart w:id="238" w:name="_Toc31784"/>
      <w:bookmarkStart w:id="239" w:name="_Toc25651"/>
      <w:r>
        <w:rPr>
          <w:rFonts w:hint="eastAsia"/>
          <w:highlight w:val="none"/>
          <w:lang w:val="en-US" w:eastAsia="zh-CN"/>
        </w:rPr>
        <w:t>5.4</w:t>
      </w:r>
      <w:r>
        <w:rPr>
          <w:rFonts w:hint="eastAsia"/>
          <w:highlight w:val="none"/>
        </w:rPr>
        <w:t>作业过程中控制点的设置</w:t>
      </w:r>
      <w:bookmarkEnd w:id="235"/>
      <w:bookmarkEnd w:id="236"/>
      <w:bookmarkEnd w:id="237"/>
      <w:bookmarkEnd w:id="238"/>
      <w:bookmarkEnd w:id="239"/>
    </w:p>
    <w:p w14:paraId="6857B624">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表5.4-1 关键控制点</w:t>
      </w:r>
    </w:p>
    <w:tbl>
      <w:tblPr>
        <w:tblStyle w:val="30"/>
        <w:tblW w:w="9049"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3895"/>
        <w:gridCol w:w="810"/>
        <w:gridCol w:w="949"/>
        <w:gridCol w:w="954"/>
        <w:gridCol w:w="701"/>
        <w:gridCol w:w="854"/>
      </w:tblGrid>
      <w:tr w14:paraId="1044E7A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vMerge w:val="restart"/>
            <w:tcBorders>
              <w:tl2br w:val="nil"/>
              <w:tr2bl w:val="nil"/>
            </w:tcBorders>
            <w:shd w:val="clear" w:color="auto" w:fill="D6DCE5" w:themeFill="text2" w:themeFillTint="32"/>
            <w:vAlign w:val="center"/>
          </w:tcPr>
          <w:p w14:paraId="27E175D3">
            <w:pPr>
              <w:pStyle w:val="105"/>
              <w:bidi w:val="0"/>
              <w:rPr>
                <w:rFonts w:hint="eastAsia"/>
                <w:highlight w:val="none"/>
              </w:rPr>
            </w:pPr>
            <w:r>
              <w:rPr>
                <w:rFonts w:hint="eastAsia"/>
                <w:highlight w:val="none"/>
              </w:rPr>
              <w:t>序号</w:t>
            </w:r>
          </w:p>
        </w:tc>
        <w:tc>
          <w:tcPr>
            <w:tcW w:w="3895" w:type="dxa"/>
            <w:vMerge w:val="restart"/>
            <w:tcBorders>
              <w:tl2br w:val="nil"/>
              <w:tr2bl w:val="nil"/>
            </w:tcBorders>
            <w:shd w:val="clear" w:color="auto" w:fill="D6DCE5" w:themeFill="text2" w:themeFillTint="32"/>
            <w:vAlign w:val="center"/>
          </w:tcPr>
          <w:p w14:paraId="466E7B7F">
            <w:pPr>
              <w:pStyle w:val="105"/>
              <w:bidi w:val="0"/>
              <w:rPr>
                <w:rFonts w:hint="eastAsia"/>
                <w:highlight w:val="none"/>
              </w:rPr>
            </w:pPr>
            <w:r>
              <w:rPr>
                <w:rFonts w:hint="eastAsia"/>
                <w:highlight w:val="none"/>
              </w:rPr>
              <w:t>作业控制点</w:t>
            </w:r>
          </w:p>
        </w:tc>
        <w:tc>
          <w:tcPr>
            <w:tcW w:w="3414" w:type="dxa"/>
            <w:gridSpan w:val="4"/>
            <w:tcBorders>
              <w:tl2br w:val="nil"/>
              <w:tr2bl w:val="nil"/>
            </w:tcBorders>
            <w:shd w:val="clear" w:color="auto" w:fill="D6DCE5" w:themeFill="text2" w:themeFillTint="32"/>
            <w:vAlign w:val="center"/>
          </w:tcPr>
          <w:p w14:paraId="197A0367">
            <w:pPr>
              <w:pStyle w:val="105"/>
              <w:bidi w:val="0"/>
              <w:rPr>
                <w:rFonts w:hint="eastAsia"/>
                <w:highlight w:val="none"/>
              </w:rPr>
            </w:pPr>
            <w:r>
              <w:rPr>
                <w:rFonts w:hint="eastAsia"/>
                <w:highlight w:val="none"/>
              </w:rPr>
              <w:t>检验单位</w:t>
            </w:r>
          </w:p>
        </w:tc>
        <w:tc>
          <w:tcPr>
            <w:tcW w:w="854" w:type="dxa"/>
            <w:vMerge w:val="restart"/>
            <w:tcBorders>
              <w:tl2br w:val="nil"/>
              <w:tr2bl w:val="nil"/>
            </w:tcBorders>
            <w:shd w:val="clear" w:color="auto" w:fill="D6DCE5" w:themeFill="text2" w:themeFillTint="32"/>
            <w:vAlign w:val="center"/>
          </w:tcPr>
          <w:p w14:paraId="61A9ACD2">
            <w:pPr>
              <w:pStyle w:val="105"/>
              <w:bidi w:val="0"/>
              <w:rPr>
                <w:rFonts w:hint="eastAsia"/>
                <w:highlight w:val="none"/>
              </w:rPr>
            </w:pPr>
            <w:r>
              <w:rPr>
                <w:rFonts w:hint="eastAsia"/>
                <w:highlight w:val="none"/>
              </w:rPr>
              <w:t>见证</w:t>
            </w:r>
          </w:p>
          <w:p w14:paraId="4919DD31">
            <w:pPr>
              <w:pStyle w:val="105"/>
              <w:bidi w:val="0"/>
              <w:rPr>
                <w:rFonts w:hint="eastAsia"/>
                <w:highlight w:val="none"/>
              </w:rPr>
            </w:pPr>
            <w:r>
              <w:rPr>
                <w:rFonts w:hint="eastAsia"/>
                <w:highlight w:val="none"/>
              </w:rPr>
              <w:t>方式</w:t>
            </w:r>
          </w:p>
        </w:tc>
      </w:tr>
      <w:tr w14:paraId="52089D9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vMerge w:val="continue"/>
            <w:tcBorders>
              <w:tl2br w:val="nil"/>
              <w:tr2bl w:val="nil"/>
            </w:tcBorders>
            <w:shd w:val="clear" w:color="auto" w:fill="D6DCE5" w:themeFill="text2" w:themeFillTint="32"/>
            <w:vAlign w:val="center"/>
          </w:tcPr>
          <w:p w14:paraId="166A4DBC">
            <w:pPr>
              <w:pStyle w:val="105"/>
              <w:bidi w:val="0"/>
              <w:rPr>
                <w:rFonts w:hint="eastAsia"/>
                <w:highlight w:val="none"/>
              </w:rPr>
            </w:pPr>
          </w:p>
        </w:tc>
        <w:tc>
          <w:tcPr>
            <w:tcW w:w="3895" w:type="dxa"/>
            <w:vMerge w:val="continue"/>
            <w:tcBorders>
              <w:tl2br w:val="nil"/>
              <w:tr2bl w:val="nil"/>
            </w:tcBorders>
            <w:shd w:val="clear" w:color="auto" w:fill="D6DCE5" w:themeFill="text2" w:themeFillTint="32"/>
            <w:vAlign w:val="center"/>
          </w:tcPr>
          <w:p w14:paraId="698046EC">
            <w:pPr>
              <w:pStyle w:val="105"/>
              <w:bidi w:val="0"/>
              <w:rPr>
                <w:rFonts w:hint="eastAsia"/>
                <w:highlight w:val="none"/>
              </w:rPr>
            </w:pPr>
          </w:p>
        </w:tc>
        <w:tc>
          <w:tcPr>
            <w:tcW w:w="810" w:type="dxa"/>
            <w:tcBorders>
              <w:tl2br w:val="nil"/>
              <w:tr2bl w:val="nil"/>
            </w:tcBorders>
            <w:shd w:val="clear" w:color="auto" w:fill="D6DCE5" w:themeFill="text2" w:themeFillTint="32"/>
            <w:vAlign w:val="center"/>
          </w:tcPr>
          <w:p w14:paraId="6A35279A">
            <w:pPr>
              <w:pStyle w:val="105"/>
              <w:bidi w:val="0"/>
              <w:rPr>
                <w:rFonts w:hint="eastAsia"/>
                <w:highlight w:val="none"/>
              </w:rPr>
            </w:pPr>
            <w:r>
              <w:rPr>
                <w:rFonts w:hint="eastAsia"/>
                <w:highlight w:val="none"/>
              </w:rPr>
              <w:t>班组</w:t>
            </w:r>
          </w:p>
        </w:tc>
        <w:tc>
          <w:tcPr>
            <w:tcW w:w="949" w:type="dxa"/>
            <w:tcBorders>
              <w:tl2br w:val="nil"/>
              <w:tr2bl w:val="nil"/>
            </w:tcBorders>
            <w:shd w:val="clear" w:color="auto" w:fill="D6DCE5" w:themeFill="text2" w:themeFillTint="32"/>
            <w:vAlign w:val="center"/>
          </w:tcPr>
          <w:p w14:paraId="1C7D88D6">
            <w:pPr>
              <w:pStyle w:val="105"/>
              <w:bidi w:val="0"/>
              <w:rPr>
                <w:rFonts w:hint="default"/>
                <w:highlight w:val="none"/>
                <w:lang w:val="en-US" w:eastAsia="zh-CN"/>
              </w:rPr>
            </w:pPr>
            <w:r>
              <w:rPr>
                <w:rFonts w:hint="eastAsia"/>
                <w:highlight w:val="none"/>
                <w:lang w:val="en-US" w:eastAsia="zh-CN"/>
              </w:rPr>
              <w:t>设备部门</w:t>
            </w:r>
          </w:p>
        </w:tc>
        <w:tc>
          <w:tcPr>
            <w:tcW w:w="954" w:type="dxa"/>
            <w:tcBorders>
              <w:tl2br w:val="nil"/>
              <w:tr2bl w:val="nil"/>
            </w:tcBorders>
            <w:shd w:val="clear" w:color="auto" w:fill="D6DCE5" w:themeFill="text2" w:themeFillTint="32"/>
            <w:vAlign w:val="center"/>
          </w:tcPr>
          <w:p w14:paraId="52148D89">
            <w:pPr>
              <w:pStyle w:val="105"/>
              <w:bidi w:val="0"/>
              <w:rPr>
                <w:rFonts w:hint="eastAsia"/>
                <w:highlight w:val="none"/>
              </w:rPr>
            </w:pPr>
            <w:r>
              <w:rPr>
                <w:rFonts w:hint="eastAsia"/>
                <w:highlight w:val="none"/>
              </w:rPr>
              <w:t>项目质检部门</w:t>
            </w:r>
          </w:p>
        </w:tc>
        <w:tc>
          <w:tcPr>
            <w:tcW w:w="701" w:type="dxa"/>
            <w:tcBorders>
              <w:tl2br w:val="nil"/>
              <w:tr2bl w:val="nil"/>
            </w:tcBorders>
            <w:shd w:val="clear" w:color="auto" w:fill="D6DCE5" w:themeFill="text2" w:themeFillTint="32"/>
            <w:vAlign w:val="center"/>
          </w:tcPr>
          <w:p w14:paraId="1500D891">
            <w:pPr>
              <w:pStyle w:val="105"/>
              <w:bidi w:val="0"/>
              <w:rPr>
                <w:rFonts w:hint="eastAsia"/>
                <w:highlight w:val="none"/>
              </w:rPr>
            </w:pPr>
            <w:r>
              <w:rPr>
                <w:rFonts w:hint="eastAsia"/>
                <w:highlight w:val="none"/>
              </w:rPr>
              <w:t>监理</w:t>
            </w:r>
          </w:p>
        </w:tc>
        <w:tc>
          <w:tcPr>
            <w:tcW w:w="854" w:type="dxa"/>
            <w:vMerge w:val="continue"/>
            <w:tcBorders>
              <w:tl2br w:val="nil"/>
              <w:tr2bl w:val="nil"/>
            </w:tcBorders>
            <w:shd w:val="clear" w:color="auto" w:fill="D6DCE5" w:themeFill="text2" w:themeFillTint="32"/>
            <w:vAlign w:val="center"/>
          </w:tcPr>
          <w:p w14:paraId="603E51B1">
            <w:pPr>
              <w:pStyle w:val="105"/>
              <w:bidi w:val="0"/>
              <w:rPr>
                <w:rFonts w:hint="eastAsia"/>
                <w:highlight w:val="none"/>
              </w:rPr>
            </w:pPr>
          </w:p>
        </w:tc>
      </w:tr>
      <w:tr w14:paraId="590F30A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AD35331">
            <w:pPr>
              <w:pStyle w:val="105"/>
              <w:bidi w:val="0"/>
              <w:rPr>
                <w:rFonts w:hint="eastAsia"/>
                <w:highlight w:val="none"/>
              </w:rPr>
            </w:pPr>
            <w:r>
              <w:rPr>
                <w:rFonts w:hint="eastAsia"/>
                <w:highlight w:val="none"/>
              </w:rPr>
              <w:t>1</w:t>
            </w:r>
          </w:p>
        </w:tc>
        <w:tc>
          <w:tcPr>
            <w:tcW w:w="3895" w:type="dxa"/>
            <w:tcBorders>
              <w:tl2br w:val="nil"/>
              <w:tr2bl w:val="nil"/>
            </w:tcBorders>
            <w:vAlign w:val="center"/>
          </w:tcPr>
          <w:p w14:paraId="2926C56B">
            <w:pPr>
              <w:pStyle w:val="105"/>
              <w:bidi w:val="0"/>
              <w:rPr>
                <w:rFonts w:hint="eastAsia"/>
                <w:highlight w:val="none"/>
              </w:rPr>
            </w:pPr>
            <w:r>
              <w:rPr>
                <w:rFonts w:hint="eastAsia"/>
                <w:highlight w:val="none"/>
              </w:rPr>
              <w:t>施工中防止部件磕碰和交叉作业现象</w:t>
            </w:r>
          </w:p>
        </w:tc>
        <w:tc>
          <w:tcPr>
            <w:tcW w:w="810" w:type="dxa"/>
            <w:tcBorders>
              <w:tl2br w:val="nil"/>
              <w:tr2bl w:val="nil"/>
            </w:tcBorders>
            <w:vAlign w:val="center"/>
          </w:tcPr>
          <w:p w14:paraId="32FE17C0">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1890EE13">
            <w:pPr>
              <w:pStyle w:val="105"/>
              <w:bidi w:val="0"/>
              <w:rPr>
                <w:rFonts w:hint="eastAsia"/>
                <w:highlight w:val="none"/>
              </w:rPr>
            </w:pPr>
          </w:p>
        </w:tc>
        <w:tc>
          <w:tcPr>
            <w:tcW w:w="954" w:type="dxa"/>
            <w:tcBorders>
              <w:tl2br w:val="nil"/>
              <w:tr2bl w:val="nil"/>
            </w:tcBorders>
            <w:vAlign w:val="center"/>
          </w:tcPr>
          <w:p w14:paraId="3AF2F6C8">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30238F0C">
            <w:pPr>
              <w:pStyle w:val="105"/>
              <w:bidi w:val="0"/>
              <w:rPr>
                <w:rFonts w:hint="eastAsia"/>
                <w:highlight w:val="none"/>
              </w:rPr>
            </w:pPr>
          </w:p>
        </w:tc>
        <w:tc>
          <w:tcPr>
            <w:tcW w:w="854" w:type="dxa"/>
            <w:tcBorders>
              <w:tl2br w:val="nil"/>
              <w:tr2bl w:val="nil"/>
            </w:tcBorders>
            <w:vAlign w:val="center"/>
          </w:tcPr>
          <w:p w14:paraId="20E280AF">
            <w:pPr>
              <w:pStyle w:val="105"/>
              <w:bidi w:val="0"/>
              <w:rPr>
                <w:rFonts w:hint="eastAsia"/>
                <w:highlight w:val="none"/>
              </w:rPr>
            </w:pPr>
            <w:r>
              <w:rPr>
                <w:rFonts w:hint="eastAsia"/>
                <w:highlight w:val="none"/>
              </w:rPr>
              <w:t>R</w:t>
            </w:r>
          </w:p>
        </w:tc>
      </w:tr>
      <w:tr w14:paraId="0EF9F9E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7D7D08C">
            <w:pPr>
              <w:pStyle w:val="105"/>
              <w:bidi w:val="0"/>
              <w:rPr>
                <w:rFonts w:hint="eastAsia"/>
                <w:highlight w:val="none"/>
              </w:rPr>
            </w:pPr>
            <w:r>
              <w:rPr>
                <w:rFonts w:hint="eastAsia"/>
                <w:highlight w:val="none"/>
              </w:rPr>
              <w:t>2</w:t>
            </w:r>
          </w:p>
        </w:tc>
        <w:tc>
          <w:tcPr>
            <w:tcW w:w="3895" w:type="dxa"/>
            <w:tcBorders>
              <w:tl2br w:val="nil"/>
              <w:tr2bl w:val="nil"/>
            </w:tcBorders>
            <w:vAlign w:val="center"/>
          </w:tcPr>
          <w:p w14:paraId="36871E1C">
            <w:pPr>
              <w:pStyle w:val="105"/>
              <w:bidi w:val="0"/>
              <w:rPr>
                <w:rFonts w:hint="eastAsia"/>
                <w:highlight w:val="none"/>
              </w:rPr>
            </w:pPr>
            <w:r>
              <w:rPr>
                <w:rFonts w:hint="eastAsia"/>
                <w:highlight w:val="none"/>
              </w:rPr>
              <w:t>作业工机具、卡索具完好无损，无人员、设备损伤</w:t>
            </w:r>
          </w:p>
        </w:tc>
        <w:tc>
          <w:tcPr>
            <w:tcW w:w="810" w:type="dxa"/>
            <w:tcBorders>
              <w:tl2br w:val="nil"/>
              <w:tr2bl w:val="nil"/>
            </w:tcBorders>
            <w:vAlign w:val="center"/>
          </w:tcPr>
          <w:p w14:paraId="4743904A">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7D77F3A2">
            <w:pPr>
              <w:pStyle w:val="105"/>
              <w:bidi w:val="0"/>
              <w:rPr>
                <w:rFonts w:hint="eastAsia"/>
                <w:highlight w:val="none"/>
              </w:rPr>
            </w:pPr>
          </w:p>
        </w:tc>
        <w:tc>
          <w:tcPr>
            <w:tcW w:w="954" w:type="dxa"/>
            <w:tcBorders>
              <w:tl2br w:val="nil"/>
              <w:tr2bl w:val="nil"/>
            </w:tcBorders>
            <w:vAlign w:val="center"/>
          </w:tcPr>
          <w:p w14:paraId="0DB36CBD">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5694CBDA">
            <w:pPr>
              <w:pStyle w:val="105"/>
              <w:bidi w:val="0"/>
              <w:rPr>
                <w:rFonts w:hint="eastAsia"/>
                <w:highlight w:val="none"/>
              </w:rPr>
            </w:pPr>
          </w:p>
        </w:tc>
        <w:tc>
          <w:tcPr>
            <w:tcW w:w="854" w:type="dxa"/>
            <w:tcBorders>
              <w:tl2br w:val="nil"/>
              <w:tr2bl w:val="nil"/>
            </w:tcBorders>
            <w:vAlign w:val="center"/>
          </w:tcPr>
          <w:p w14:paraId="6B1C1CA1">
            <w:pPr>
              <w:pStyle w:val="105"/>
              <w:bidi w:val="0"/>
              <w:rPr>
                <w:rFonts w:hint="eastAsia"/>
                <w:highlight w:val="none"/>
              </w:rPr>
            </w:pPr>
            <w:r>
              <w:rPr>
                <w:rFonts w:hint="eastAsia"/>
                <w:highlight w:val="none"/>
              </w:rPr>
              <w:t>S</w:t>
            </w:r>
          </w:p>
        </w:tc>
      </w:tr>
      <w:tr w14:paraId="66E9353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EF0AC30">
            <w:pPr>
              <w:pStyle w:val="105"/>
              <w:bidi w:val="0"/>
              <w:rPr>
                <w:rFonts w:hint="eastAsia"/>
                <w:highlight w:val="none"/>
              </w:rPr>
            </w:pPr>
            <w:r>
              <w:rPr>
                <w:rFonts w:hint="eastAsia"/>
                <w:highlight w:val="none"/>
              </w:rPr>
              <w:t>3</w:t>
            </w:r>
          </w:p>
        </w:tc>
        <w:tc>
          <w:tcPr>
            <w:tcW w:w="3895" w:type="dxa"/>
            <w:tcBorders>
              <w:tl2br w:val="nil"/>
              <w:tr2bl w:val="nil"/>
            </w:tcBorders>
            <w:vAlign w:val="center"/>
          </w:tcPr>
          <w:p w14:paraId="26EF2B2C">
            <w:pPr>
              <w:pStyle w:val="105"/>
              <w:bidi w:val="0"/>
              <w:rPr>
                <w:rFonts w:hint="eastAsia"/>
                <w:highlight w:val="none"/>
              </w:rPr>
            </w:pPr>
            <w:r>
              <w:rPr>
                <w:rFonts w:hint="eastAsia"/>
                <w:highlight w:val="none"/>
              </w:rPr>
              <w:t>各组件、零部件安全顺利安装，无损坏或变形</w:t>
            </w:r>
          </w:p>
        </w:tc>
        <w:tc>
          <w:tcPr>
            <w:tcW w:w="810" w:type="dxa"/>
            <w:tcBorders>
              <w:tl2br w:val="nil"/>
              <w:tr2bl w:val="nil"/>
            </w:tcBorders>
            <w:vAlign w:val="center"/>
          </w:tcPr>
          <w:p w14:paraId="5073ACAD">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0473AD78">
            <w:pPr>
              <w:pStyle w:val="105"/>
              <w:bidi w:val="0"/>
              <w:rPr>
                <w:rFonts w:hint="eastAsia"/>
                <w:highlight w:val="none"/>
              </w:rPr>
            </w:pPr>
          </w:p>
        </w:tc>
        <w:tc>
          <w:tcPr>
            <w:tcW w:w="954" w:type="dxa"/>
            <w:tcBorders>
              <w:tl2br w:val="nil"/>
              <w:tr2bl w:val="nil"/>
            </w:tcBorders>
            <w:vAlign w:val="center"/>
          </w:tcPr>
          <w:p w14:paraId="3CB340B1">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23C468E8">
            <w:pPr>
              <w:pStyle w:val="105"/>
              <w:bidi w:val="0"/>
              <w:rPr>
                <w:rFonts w:hint="eastAsia"/>
                <w:highlight w:val="none"/>
              </w:rPr>
            </w:pPr>
          </w:p>
        </w:tc>
        <w:tc>
          <w:tcPr>
            <w:tcW w:w="854" w:type="dxa"/>
            <w:tcBorders>
              <w:tl2br w:val="nil"/>
              <w:tr2bl w:val="nil"/>
            </w:tcBorders>
            <w:vAlign w:val="center"/>
          </w:tcPr>
          <w:p w14:paraId="28FC9697">
            <w:pPr>
              <w:pStyle w:val="105"/>
              <w:bidi w:val="0"/>
              <w:rPr>
                <w:rFonts w:hint="eastAsia"/>
                <w:highlight w:val="none"/>
              </w:rPr>
            </w:pPr>
            <w:r>
              <w:rPr>
                <w:rFonts w:hint="eastAsia"/>
                <w:highlight w:val="none"/>
              </w:rPr>
              <w:t>W</w:t>
            </w:r>
          </w:p>
        </w:tc>
      </w:tr>
      <w:tr w14:paraId="38C9D14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9B58B01">
            <w:pPr>
              <w:pStyle w:val="105"/>
              <w:bidi w:val="0"/>
              <w:rPr>
                <w:rFonts w:hint="eastAsia"/>
                <w:highlight w:val="none"/>
              </w:rPr>
            </w:pPr>
            <w:r>
              <w:rPr>
                <w:rFonts w:hint="eastAsia"/>
                <w:highlight w:val="none"/>
              </w:rPr>
              <w:t>4</w:t>
            </w:r>
          </w:p>
        </w:tc>
        <w:tc>
          <w:tcPr>
            <w:tcW w:w="3895" w:type="dxa"/>
            <w:tcBorders>
              <w:tl2br w:val="nil"/>
              <w:tr2bl w:val="nil"/>
            </w:tcBorders>
            <w:vAlign w:val="center"/>
          </w:tcPr>
          <w:p w14:paraId="1711B9CB">
            <w:pPr>
              <w:pStyle w:val="105"/>
              <w:bidi w:val="0"/>
              <w:rPr>
                <w:rFonts w:hint="eastAsia"/>
                <w:highlight w:val="none"/>
              </w:rPr>
            </w:pPr>
            <w:r>
              <w:rPr>
                <w:rFonts w:hint="eastAsia"/>
                <w:highlight w:val="none"/>
              </w:rPr>
              <w:t>做好各组件、零部件安装后清点、整理和存放工作。</w:t>
            </w:r>
          </w:p>
        </w:tc>
        <w:tc>
          <w:tcPr>
            <w:tcW w:w="810" w:type="dxa"/>
            <w:tcBorders>
              <w:tl2br w:val="nil"/>
              <w:tr2bl w:val="nil"/>
            </w:tcBorders>
            <w:vAlign w:val="center"/>
          </w:tcPr>
          <w:p w14:paraId="47AF7E7E">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518FC81D">
            <w:pPr>
              <w:pStyle w:val="105"/>
              <w:bidi w:val="0"/>
              <w:rPr>
                <w:rFonts w:hint="eastAsia"/>
                <w:highlight w:val="none"/>
              </w:rPr>
            </w:pPr>
          </w:p>
        </w:tc>
        <w:tc>
          <w:tcPr>
            <w:tcW w:w="954" w:type="dxa"/>
            <w:tcBorders>
              <w:tl2br w:val="nil"/>
              <w:tr2bl w:val="nil"/>
            </w:tcBorders>
            <w:vAlign w:val="center"/>
          </w:tcPr>
          <w:p w14:paraId="07E606BE">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1771F79E">
            <w:pPr>
              <w:pStyle w:val="105"/>
              <w:bidi w:val="0"/>
              <w:rPr>
                <w:rFonts w:hint="eastAsia"/>
                <w:highlight w:val="none"/>
              </w:rPr>
            </w:pPr>
          </w:p>
        </w:tc>
        <w:tc>
          <w:tcPr>
            <w:tcW w:w="854" w:type="dxa"/>
            <w:tcBorders>
              <w:tl2br w:val="nil"/>
              <w:tr2bl w:val="nil"/>
            </w:tcBorders>
            <w:vAlign w:val="center"/>
          </w:tcPr>
          <w:p w14:paraId="7DDE6275">
            <w:pPr>
              <w:pStyle w:val="105"/>
              <w:bidi w:val="0"/>
              <w:rPr>
                <w:rFonts w:hint="eastAsia"/>
                <w:highlight w:val="none"/>
              </w:rPr>
            </w:pPr>
            <w:r>
              <w:rPr>
                <w:rFonts w:hint="eastAsia"/>
                <w:highlight w:val="none"/>
              </w:rPr>
              <w:t>W</w:t>
            </w:r>
          </w:p>
        </w:tc>
      </w:tr>
      <w:tr w14:paraId="5C43925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39835767">
            <w:pPr>
              <w:pStyle w:val="105"/>
              <w:bidi w:val="0"/>
              <w:rPr>
                <w:rFonts w:hint="eastAsia"/>
                <w:highlight w:val="none"/>
              </w:rPr>
            </w:pPr>
            <w:r>
              <w:rPr>
                <w:rFonts w:hint="eastAsia"/>
                <w:highlight w:val="none"/>
              </w:rPr>
              <w:t>5</w:t>
            </w:r>
          </w:p>
        </w:tc>
        <w:tc>
          <w:tcPr>
            <w:tcW w:w="3895" w:type="dxa"/>
            <w:tcBorders>
              <w:tl2br w:val="nil"/>
              <w:tr2bl w:val="nil"/>
            </w:tcBorders>
            <w:vAlign w:val="center"/>
          </w:tcPr>
          <w:p w14:paraId="5D74F63C">
            <w:pPr>
              <w:pStyle w:val="105"/>
              <w:bidi w:val="0"/>
              <w:rPr>
                <w:rFonts w:hint="eastAsia"/>
                <w:highlight w:val="none"/>
              </w:rPr>
            </w:pPr>
            <w:r>
              <w:rPr>
                <w:rFonts w:hint="eastAsia"/>
                <w:highlight w:val="none"/>
              </w:rPr>
              <w:t>作业方法应该按照说明书和本方案要求严格执行</w:t>
            </w:r>
          </w:p>
        </w:tc>
        <w:tc>
          <w:tcPr>
            <w:tcW w:w="810" w:type="dxa"/>
            <w:tcBorders>
              <w:tl2br w:val="nil"/>
              <w:tr2bl w:val="nil"/>
            </w:tcBorders>
            <w:vAlign w:val="center"/>
          </w:tcPr>
          <w:p w14:paraId="6AECEAB9">
            <w:pPr>
              <w:pStyle w:val="105"/>
              <w:bidi w:val="0"/>
              <w:rPr>
                <w:rFonts w:hint="eastAsia"/>
                <w:highlight w:val="none"/>
              </w:rPr>
            </w:pPr>
            <w:r>
              <w:rPr>
                <w:rFonts w:hint="eastAsia"/>
                <w:highlight w:val="none"/>
              </w:rPr>
              <w:t>★</w:t>
            </w:r>
          </w:p>
        </w:tc>
        <w:tc>
          <w:tcPr>
            <w:tcW w:w="949" w:type="dxa"/>
            <w:tcBorders>
              <w:tl2br w:val="nil"/>
              <w:tr2bl w:val="nil"/>
            </w:tcBorders>
            <w:vAlign w:val="center"/>
          </w:tcPr>
          <w:p w14:paraId="11715C72">
            <w:pPr>
              <w:pStyle w:val="105"/>
              <w:bidi w:val="0"/>
              <w:rPr>
                <w:rFonts w:hint="eastAsia"/>
                <w:highlight w:val="none"/>
              </w:rPr>
            </w:pPr>
          </w:p>
        </w:tc>
        <w:tc>
          <w:tcPr>
            <w:tcW w:w="954" w:type="dxa"/>
            <w:tcBorders>
              <w:tl2br w:val="nil"/>
              <w:tr2bl w:val="nil"/>
            </w:tcBorders>
            <w:vAlign w:val="center"/>
          </w:tcPr>
          <w:p w14:paraId="36C59DCE">
            <w:pPr>
              <w:pStyle w:val="105"/>
              <w:bidi w:val="0"/>
              <w:rPr>
                <w:rFonts w:hint="eastAsia"/>
                <w:highlight w:val="none"/>
              </w:rPr>
            </w:pPr>
            <w:r>
              <w:rPr>
                <w:rFonts w:hint="eastAsia"/>
                <w:highlight w:val="none"/>
              </w:rPr>
              <w:t>★</w:t>
            </w:r>
          </w:p>
        </w:tc>
        <w:tc>
          <w:tcPr>
            <w:tcW w:w="701" w:type="dxa"/>
            <w:tcBorders>
              <w:tl2br w:val="nil"/>
              <w:tr2bl w:val="nil"/>
            </w:tcBorders>
            <w:vAlign w:val="center"/>
          </w:tcPr>
          <w:p w14:paraId="5D993AD2">
            <w:pPr>
              <w:pStyle w:val="105"/>
              <w:bidi w:val="0"/>
              <w:rPr>
                <w:rFonts w:hint="eastAsia"/>
                <w:highlight w:val="none"/>
              </w:rPr>
            </w:pPr>
          </w:p>
        </w:tc>
        <w:tc>
          <w:tcPr>
            <w:tcW w:w="854" w:type="dxa"/>
            <w:tcBorders>
              <w:tl2br w:val="nil"/>
              <w:tr2bl w:val="nil"/>
            </w:tcBorders>
            <w:vAlign w:val="center"/>
          </w:tcPr>
          <w:p w14:paraId="06A6E5F1">
            <w:pPr>
              <w:pStyle w:val="105"/>
              <w:bidi w:val="0"/>
              <w:rPr>
                <w:rFonts w:hint="eastAsia"/>
                <w:highlight w:val="none"/>
              </w:rPr>
            </w:pPr>
            <w:r>
              <w:rPr>
                <w:rFonts w:hint="eastAsia"/>
                <w:highlight w:val="none"/>
              </w:rPr>
              <w:t>R</w:t>
            </w:r>
          </w:p>
        </w:tc>
      </w:tr>
      <w:tr w14:paraId="21BC96D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886" w:type="dxa"/>
            <w:tcBorders>
              <w:tl2br w:val="nil"/>
              <w:tr2bl w:val="nil"/>
            </w:tcBorders>
            <w:vAlign w:val="center"/>
          </w:tcPr>
          <w:p w14:paraId="693304EB">
            <w:pPr>
              <w:pStyle w:val="105"/>
              <w:bidi w:val="0"/>
              <w:rPr>
                <w:rFonts w:hint="eastAsia"/>
                <w:highlight w:val="none"/>
                <w:lang w:val="en-US" w:eastAsia="zh-CN"/>
              </w:rPr>
            </w:pPr>
            <w:r>
              <w:rPr>
                <w:rFonts w:hint="eastAsia"/>
                <w:highlight w:val="none"/>
                <w:lang w:val="en-US" w:eastAsia="zh-CN"/>
              </w:rPr>
              <w:t>6</w:t>
            </w:r>
          </w:p>
        </w:tc>
        <w:tc>
          <w:tcPr>
            <w:tcW w:w="3895" w:type="dxa"/>
            <w:tcBorders>
              <w:tl2br w:val="nil"/>
              <w:tr2bl w:val="nil"/>
            </w:tcBorders>
            <w:vAlign w:val="center"/>
          </w:tcPr>
          <w:p w14:paraId="6CE3555D">
            <w:pPr>
              <w:pStyle w:val="105"/>
              <w:bidi w:val="0"/>
              <w:rPr>
                <w:rFonts w:hint="default"/>
                <w:highlight w:val="none"/>
                <w:lang w:val="en-US" w:eastAsia="zh-CN"/>
              </w:rPr>
            </w:pPr>
            <w:r>
              <w:rPr>
                <w:rFonts w:hint="eastAsia"/>
                <w:highlight w:val="none"/>
                <w:lang w:val="en-US" w:eastAsia="zh-CN"/>
              </w:rPr>
              <w:t>。。。</w:t>
            </w:r>
          </w:p>
        </w:tc>
        <w:tc>
          <w:tcPr>
            <w:tcW w:w="810" w:type="dxa"/>
            <w:tcBorders>
              <w:tl2br w:val="nil"/>
              <w:tr2bl w:val="nil"/>
            </w:tcBorders>
            <w:vAlign w:val="center"/>
          </w:tcPr>
          <w:p w14:paraId="377395A7">
            <w:pPr>
              <w:pStyle w:val="105"/>
              <w:bidi w:val="0"/>
              <w:rPr>
                <w:rFonts w:hint="eastAsia"/>
                <w:highlight w:val="none"/>
              </w:rPr>
            </w:pPr>
          </w:p>
        </w:tc>
        <w:tc>
          <w:tcPr>
            <w:tcW w:w="949" w:type="dxa"/>
            <w:tcBorders>
              <w:tl2br w:val="nil"/>
              <w:tr2bl w:val="nil"/>
            </w:tcBorders>
            <w:vAlign w:val="center"/>
          </w:tcPr>
          <w:p w14:paraId="06D29CEA">
            <w:pPr>
              <w:pStyle w:val="105"/>
              <w:bidi w:val="0"/>
              <w:rPr>
                <w:rFonts w:hint="eastAsia"/>
                <w:highlight w:val="none"/>
              </w:rPr>
            </w:pPr>
          </w:p>
        </w:tc>
        <w:tc>
          <w:tcPr>
            <w:tcW w:w="954" w:type="dxa"/>
            <w:tcBorders>
              <w:tl2br w:val="nil"/>
              <w:tr2bl w:val="nil"/>
            </w:tcBorders>
            <w:vAlign w:val="center"/>
          </w:tcPr>
          <w:p w14:paraId="0D65003F">
            <w:pPr>
              <w:pStyle w:val="105"/>
              <w:bidi w:val="0"/>
              <w:rPr>
                <w:rFonts w:hint="eastAsia"/>
                <w:highlight w:val="none"/>
              </w:rPr>
            </w:pPr>
          </w:p>
        </w:tc>
        <w:tc>
          <w:tcPr>
            <w:tcW w:w="701" w:type="dxa"/>
            <w:tcBorders>
              <w:tl2br w:val="nil"/>
              <w:tr2bl w:val="nil"/>
            </w:tcBorders>
            <w:vAlign w:val="center"/>
          </w:tcPr>
          <w:p w14:paraId="42BE695A">
            <w:pPr>
              <w:pStyle w:val="105"/>
              <w:bidi w:val="0"/>
              <w:rPr>
                <w:rFonts w:hint="eastAsia"/>
                <w:highlight w:val="none"/>
              </w:rPr>
            </w:pPr>
          </w:p>
        </w:tc>
        <w:tc>
          <w:tcPr>
            <w:tcW w:w="854" w:type="dxa"/>
            <w:tcBorders>
              <w:tl2br w:val="nil"/>
              <w:tr2bl w:val="nil"/>
            </w:tcBorders>
            <w:vAlign w:val="center"/>
          </w:tcPr>
          <w:p w14:paraId="1C8DB8C0">
            <w:pPr>
              <w:pStyle w:val="105"/>
              <w:bidi w:val="0"/>
              <w:rPr>
                <w:rFonts w:hint="eastAsia"/>
                <w:highlight w:val="none"/>
              </w:rPr>
            </w:pPr>
          </w:p>
        </w:tc>
      </w:tr>
    </w:tbl>
    <w:p w14:paraId="11D06068">
      <w:pPr>
        <w:spacing w:line="360" w:lineRule="auto"/>
        <w:ind w:firstLine="440"/>
        <w:rPr>
          <w:highlight w:val="none"/>
        </w:rPr>
      </w:pPr>
      <w:r>
        <w:rPr>
          <w:rFonts w:hint="eastAsia"/>
          <w:sz w:val="22"/>
          <w:highlight w:val="none"/>
        </w:rPr>
        <w:t>见证方式:R － 记录确认点；W － 见证点；H － 停工待检点；S － 连续监视监护。</w:t>
      </w:r>
      <w:r>
        <w:rPr>
          <w:rFonts w:hint="eastAsia"/>
          <w:highlight w:val="none"/>
        </w:rPr>
        <w:br w:type="page"/>
      </w:r>
    </w:p>
    <w:p w14:paraId="59368CBB">
      <w:pPr>
        <w:pStyle w:val="2"/>
        <w:bidi w:val="0"/>
        <w:rPr>
          <w:highlight w:val="none"/>
        </w:rPr>
      </w:pPr>
      <w:bookmarkStart w:id="240" w:name="_Toc26393"/>
      <w:bookmarkStart w:id="241" w:name="_Toc22264"/>
      <w:bookmarkStart w:id="242" w:name="_Toc3429"/>
      <w:r>
        <w:rPr>
          <w:rFonts w:hint="eastAsia"/>
          <w:highlight w:val="none"/>
          <w:lang w:val="en-US" w:eastAsia="zh-CN"/>
        </w:rPr>
        <w:t>6</w:t>
      </w:r>
      <w:r>
        <w:rPr>
          <w:rFonts w:hint="eastAsia"/>
          <w:highlight w:val="none"/>
        </w:rPr>
        <w:t>施工安全保障措施</w:t>
      </w:r>
      <w:bookmarkEnd w:id="210"/>
      <w:bookmarkEnd w:id="240"/>
      <w:bookmarkEnd w:id="241"/>
      <w:bookmarkEnd w:id="242"/>
    </w:p>
    <w:p w14:paraId="06F99B51">
      <w:pPr>
        <w:pStyle w:val="3"/>
        <w:rPr>
          <w:highlight w:val="none"/>
        </w:rPr>
      </w:pPr>
      <w:bookmarkStart w:id="243" w:name="_Toc42642304"/>
      <w:bookmarkStart w:id="244" w:name="_Toc3162"/>
      <w:bookmarkStart w:id="245" w:name="_Toc7600"/>
      <w:bookmarkStart w:id="246" w:name="_Toc15111"/>
      <w:r>
        <w:rPr>
          <w:rFonts w:hint="eastAsia"/>
          <w:highlight w:val="none"/>
          <w:lang w:val="en-US" w:eastAsia="zh-CN"/>
        </w:rPr>
        <w:t>6</w:t>
      </w:r>
      <w:r>
        <w:rPr>
          <w:rFonts w:hint="eastAsia"/>
          <w:highlight w:val="none"/>
        </w:rPr>
        <w:t>.1 组织保障措施</w:t>
      </w:r>
      <w:bookmarkEnd w:id="243"/>
      <w:bookmarkEnd w:id="244"/>
      <w:bookmarkEnd w:id="245"/>
      <w:bookmarkEnd w:id="246"/>
    </w:p>
    <w:p w14:paraId="5ACD7EBB">
      <w:pPr>
        <w:pStyle w:val="4"/>
        <w:bidi w:val="0"/>
        <w:rPr>
          <w:rFonts w:hint="default" w:eastAsia="宋体"/>
          <w:highlight w:val="none"/>
          <w:lang w:val="en-US" w:eastAsia="zh-CN"/>
        </w:rPr>
      </w:pPr>
      <w:bookmarkStart w:id="247" w:name="_Toc42642305"/>
      <w:bookmarkStart w:id="248" w:name="_Toc23853"/>
      <w:bookmarkStart w:id="249" w:name="_Toc10409817"/>
      <w:r>
        <w:rPr>
          <w:rFonts w:hint="eastAsia"/>
          <w:highlight w:val="none"/>
          <w:lang w:val="en-US" w:eastAsia="zh-CN"/>
        </w:rPr>
        <w:t>6.1.1</w:t>
      </w:r>
      <w:r>
        <w:rPr>
          <w:highlight w:val="none"/>
        </w:rPr>
        <w:t>安全</w:t>
      </w:r>
      <w:r>
        <w:rPr>
          <w:rFonts w:hint="eastAsia"/>
          <w:highlight w:val="none"/>
          <w:lang w:val="en-US" w:eastAsia="zh-CN"/>
        </w:rPr>
        <w:t>组织机构</w:t>
      </w:r>
    </w:p>
    <w:p w14:paraId="68D47836">
      <w:pPr>
        <w:spacing w:line="360" w:lineRule="auto"/>
        <w:ind w:firstLine="480"/>
        <w:rPr>
          <w:highlight w:val="none"/>
        </w:rPr>
      </w:pPr>
      <w:r>
        <w:rPr>
          <w:highlight w:val="none"/>
        </w:rPr>
        <w:t>项目经理部成立以项目经理为组长，</w:t>
      </w:r>
      <w:r>
        <w:rPr>
          <w:rFonts w:hint="eastAsia"/>
          <w:highlight w:val="none"/>
          <w:lang w:val="en-US" w:eastAsia="zh-CN"/>
        </w:rPr>
        <w:t>安全总监、</w:t>
      </w:r>
      <w:r>
        <w:rPr>
          <w:highlight w:val="none"/>
        </w:rPr>
        <w:t>项目副经理、项目总工程师为副组长、安全</w:t>
      </w:r>
      <w:r>
        <w:rPr>
          <w:rFonts w:hint="eastAsia"/>
          <w:highlight w:val="none"/>
          <w:lang w:val="en-US" w:eastAsia="zh-CN"/>
        </w:rPr>
        <w:t>监督</w:t>
      </w:r>
      <w:r>
        <w:rPr>
          <w:highlight w:val="none"/>
        </w:rPr>
        <w:t>部及有关部门负责人组成的安全生产领导小组。安全生产领导小组对安全生产方面的重大问题和重点问题进行解决和处理。</w:t>
      </w:r>
    </w:p>
    <w:p w14:paraId="75701EDB">
      <w:pPr>
        <w:keepNext w:val="0"/>
        <w:keepLines w:val="0"/>
        <w:widowControl/>
        <w:suppressLineNumbers w:val="0"/>
        <w:spacing w:line="360" w:lineRule="auto"/>
        <w:ind w:firstLine="480" w:firstLineChars="200"/>
        <w:jc w:val="left"/>
        <w:rPr>
          <w:rFonts w:hint="eastAsia"/>
          <w:highlight w:val="none"/>
          <w:lang w:val="en-US" w:eastAsia="zh-CN"/>
        </w:rPr>
      </w:pPr>
      <w:r>
        <w:rPr>
          <w:rFonts w:hint="eastAsia" w:ascii="宋体" w:hAnsi="宋体" w:eastAsia="宋体" w:cs="宋体"/>
          <w:color w:val="000000"/>
          <w:kern w:val="0"/>
          <w:sz w:val="24"/>
          <w:szCs w:val="24"/>
          <w:highlight w:val="none"/>
          <w:lang w:val="en-US" w:eastAsia="zh-CN" w:bidi="ar"/>
        </w:rPr>
        <w:t>实行安全生产三级管理，一级管理由项目经理负责，二级管理由专职安全员负责，三级管理由班组长负责。</w:t>
      </w:r>
    </w:p>
    <w:p w14:paraId="1857D7A3">
      <w:pPr>
        <w:pStyle w:val="13"/>
        <w:ind w:left="0" w:leftChars="0" w:firstLine="0" w:firstLineChars="0"/>
        <w:jc w:val="center"/>
        <w:rPr>
          <w:rFonts w:hint="default"/>
          <w:highlight w:val="none"/>
          <w:lang w:val="en-US" w:eastAsia="zh-CN"/>
        </w:rPr>
      </w:pPr>
      <w:r>
        <w:rPr>
          <w:highlight w:val="none"/>
        </w:rPr>
        <w:drawing>
          <wp:inline distT="0" distB="0" distL="114300" distR="114300">
            <wp:extent cx="4545330" cy="4340860"/>
            <wp:effectExtent l="0" t="0" r="0" b="2540"/>
            <wp:docPr id="253" name="图片 253" descr="人力资源部组织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人力资源部组织结构图"/>
                    <pic:cNvPicPr>
                      <a:picLocks noChangeAspect="1"/>
                    </pic:cNvPicPr>
                  </pic:nvPicPr>
                  <pic:blipFill>
                    <a:blip r:embed="rId60"/>
                    <a:srcRect t="3017" b="2844"/>
                    <a:stretch>
                      <a:fillRect/>
                    </a:stretch>
                  </pic:blipFill>
                  <pic:spPr>
                    <a:xfrm>
                      <a:off x="0" y="0"/>
                      <a:ext cx="4545330" cy="4340860"/>
                    </a:xfrm>
                    <a:prstGeom prst="rect">
                      <a:avLst/>
                    </a:prstGeom>
                  </pic:spPr>
                </pic:pic>
              </a:graphicData>
            </a:graphic>
          </wp:inline>
        </w:drawing>
      </w:r>
    </w:p>
    <w:p w14:paraId="501FBB0A">
      <w:pPr>
        <w:pStyle w:val="41"/>
        <w:bidi w:val="0"/>
        <w:rPr>
          <w:rFonts w:hint="eastAsia"/>
          <w:highlight w:val="none"/>
          <w:lang w:val="en-US" w:eastAsia="zh-CN"/>
        </w:rPr>
      </w:pPr>
      <w:r>
        <w:rPr>
          <w:rFonts w:hint="eastAsia"/>
          <w:highlight w:val="none"/>
          <w:lang w:val="en-US" w:eastAsia="zh-CN"/>
        </w:rPr>
        <w:t xml:space="preserve">图6.1.1-1 </w:t>
      </w:r>
      <w:r>
        <w:rPr>
          <w:rFonts w:hint="eastAsia"/>
          <w:highlight w:val="none"/>
        </w:rPr>
        <w:t>安全管理组织机构</w:t>
      </w:r>
      <w:r>
        <w:rPr>
          <w:rFonts w:hint="eastAsia"/>
          <w:highlight w:val="none"/>
          <w:lang w:val="en-US" w:eastAsia="zh-CN"/>
        </w:rPr>
        <w:t>图</w:t>
      </w:r>
    </w:p>
    <w:p w14:paraId="6CCFB891">
      <w:pPr>
        <w:pStyle w:val="4"/>
        <w:bidi w:val="0"/>
        <w:rPr>
          <w:highlight w:val="none"/>
        </w:rPr>
      </w:pPr>
      <w:r>
        <w:rPr>
          <w:rFonts w:hint="eastAsia"/>
          <w:highlight w:val="none"/>
          <w:lang w:val="en-US" w:eastAsia="zh-CN"/>
        </w:rPr>
        <w:t>6.1.2</w:t>
      </w:r>
      <w:r>
        <w:rPr>
          <w:rFonts w:hint="eastAsia" w:ascii="宋体" w:hAnsi="宋体" w:eastAsia="宋体" w:cs="宋体"/>
          <w:color w:val="000000"/>
          <w:kern w:val="0"/>
          <w:sz w:val="24"/>
          <w:szCs w:val="24"/>
          <w:highlight w:val="none"/>
          <w:lang w:val="en-US" w:eastAsia="zh-CN" w:bidi="ar"/>
        </w:rPr>
        <w:t>安全保证体系</w:t>
      </w:r>
    </w:p>
    <w:p w14:paraId="76706893">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根据项目特点，从思想、组织、制度、技术、资源、过程等方面入手建立健全安全生产保证体系，到全面落实各项安全措施本项目的抗滑桩施工中，确保安全生产目标的实现。</w:t>
      </w:r>
    </w:p>
    <w:p w14:paraId="17AC6766">
      <w:pPr>
        <w:bidi w:val="0"/>
        <w:rPr>
          <w:rFonts w:hint="default"/>
          <w:highlight w:val="none"/>
          <w:lang w:val="en-US" w:eastAsia="zh-CN"/>
        </w:rPr>
      </w:pPr>
      <w:r>
        <w:rPr>
          <w:highlight w:val="none"/>
        </w:rPr>
        <mc:AlternateContent>
          <mc:Choice Requires="wpg">
            <w:drawing>
              <wp:inline distT="0" distB="0" distL="0" distR="0">
                <wp:extent cx="5570220" cy="4467225"/>
                <wp:effectExtent l="6350" t="6350" r="11430" b="9525"/>
                <wp:docPr id="368" name="Group 2569"/>
                <wp:cNvGraphicFramePr/>
                <a:graphic xmlns:a="http://schemas.openxmlformats.org/drawingml/2006/main">
                  <a:graphicData uri="http://schemas.microsoft.com/office/word/2010/wordprocessingGroup">
                    <wpg:wgp>
                      <wpg:cNvGrpSpPr/>
                      <wpg:grpSpPr>
                        <a:xfrm>
                          <a:off x="0" y="0"/>
                          <a:ext cx="5570220" cy="4467225"/>
                          <a:chOff x="0" y="0"/>
                          <a:chExt cx="8308" cy="6183"/>
                        </a:xfrm>
                      </wpg:grpSpPr>
                      <wps:wsp>
                        <wps:cNvPr id="369" name="Text Box 2570"/>
                        <wps:cNvSpPr txBox="1">
                          <a:spLocks noChangeArrowheads="1"/>
                        </wps:cNvSpPr>
                        <wps:spPr bwMode="auto">
                          <a:xfrm>
                            <a:off x="0" y="1393"/>
                            <a:ext cx="493" cy="2613"/>
                          </a:xfrm>
                          <a:prstGeom prst="rect">
                            <a:avLst/>
                          </a:prstGeom>
                          <a:solidFill>
                            <a:schemeClr val="accent6">
                              <a:lumMod val="40000"/>
                              <a:lumOff val="60000"/>
                            </a:schemeClr>
                          </a:solidFill>
                          <a:ln w="12700">
                            <a:solidFill>
                              <a:srgbClr val="0000C8"/>
                            </a:solidFill>
                            <a:miter lim="800000"/>
                          </a:ln>
                        </wps:spPr>
                        <wps:txbx>
                          <w:txbxContent>
                            <w:p w14:paraId="055FEEF2">
                              <w:pPr>
                                <w:pStyle w:val="72"/>
                              </w:pPr>
                              <w:r>
                                <w:rPr>
                                  <w:rFonts w:hint="eastAsia"/>
                                </w:rPr>
                                <w:t>安全生产管理体系</w:t>
                              </w:r>
                            </w:p>
                          </w:txbxContent>
                        </wps:txbx>
                        <wps:bodyPr rot="0" vert="eaVert" wrap="square" lIns="0" tIns="0" rIns="0" bIns="0" anchor="ctr" anchorCtr="0" upright="1">
                          <a:noAutofit/>
                        </wps:bodyPr>
                      </wps:wsp>
                      <wps:wsp>
                        <wps:cNvPr id="370" name="Line 2571"/>
                        <wps:cNvCnPr>
                          <a:cxnSpLocks noChangeShapeType="1"/>
                        </wps:cNvCnPr>
                        <wps:spPr bwMode="auto">
                          <a:xfrm>
                            <a:off x="514" y="2524"/>
                            <a:ext cx="195" cy="0"/>
                          </a:xfrm>
                          <a:prstGeom prst="line">
                            <a:avLst/>
                          </a:prstGeom>
                          <a:noFill/>
                          <a:ln w="12700">
                            <a:solidFill>
                              <a:srgbClr val="0000C8"/>
                            </a:solidFill>
                            <a:round/>
                          </a:ln>
                        </wps:spPr>
                        <wps:bodyPr/>
                      </wps:wsp>
                      <wps:wsp>
                        <wps:cNvPr id="371" name="Line 2572"/>
                        <wps:cNvCnPr>
                          <a:cxnSpLocks noChangeShapeType="1"/>
                        </wps:cNvCnPr>
                        <wps:spPr bwMode="auto">
                          <a:xfrm>
                            <a:off x="690" y="174"/>
                            <a:ext cx="0" cy="5399"/>
                          </a:xfrm>
                          <a:prstGeom prst="line">
                            <a:avLst/>
                          </a:prstGeom>
                          <a:noFill/>
                          <a:ln w="12700">
                            <a:solidFill>
                              <a:srgbClr val="0000C8"/>
                            </a:solidFill>
                            <a:round/>
                          </a:ln>
                        </wps:spPr>
                        <wps:bodyPr/>
                      </wps:wsp>
                      <wps:wsp>
                        <wps:cNvPr id="372" name="Line 2573"/>
                        <wps:cNvCnPr>
                          <a:cxnSpLocks noChangeShapeType="1"/>
                        </wps:cNvCnPr>
                        <wps:spPr bwMode="auto">
                          <a:xfrm>
                            <a:off x="690" y="174"/>
                            <a:ext cx="214" cy="0"/>
                          </a:xfrm>
                          <a:prstGeom prst="line">
                            <a:avLst/>
                          </a:prstGeom>
                          <a:noFill/>
                          <a:ln w="12700">
                            <a:solidFill>
                              <a:srgbClr val="0000C8"/>
                            </a:solidFill>
                            <a:round/>
                          </a:ln>
                        </wps:spPr>
                        <wps:bodyPr/>
                      </wps:wsp>
                      <wps:wsp>
                        <wps:cNvPr id="373" name="Text Box 2574"/>
                        <wps:cNvSpPr txBox="1">
                          <a:spLocks noChangeArrowheads="1"/>
                        </wps:cNvSpPr>
                        <wps:spPr bwMode="auto">
                          <a:xfrm>
                            <a:off x="904" y="0"/>
                            <a:ext cx="1351" cy="348"/>
                          </a:xfrm>
                          <a:prstGeom prst="rect">
                            <a:avLst/>
                          </a:prstGeom>
                          <a:solidFill>
                            <a:schemeClr val="accent6">
                              <a:lumMod val="40000"/>
                              <a:lumOff val="60000"/>
                            </a:schemeClr>
                          </a:solidFill>
                          <a:ln w="12700">
                            <a:solidFill>
                              <a:srgbClr val="0000C8"/>
                            </a:solidFill>
                            <a:miter lim="800000"/>
                          </a:ln>
                        </wps:spPr>
                        <wps:txbx>
                          <w:txbxContent>
                            <w:p w14:paraId="45651D37">
                              <w:pPr>
                                <w:pStyle w:val="72"/>
                              </w:pPr>
                              <w:r>
                                <w:rPr>
                                  <w:rFonts w:hint="eastAsia"/>
                                </w:rPr>
                                <w:t>思想保证</w:t>
                              </w:r>
                            </w:p>
                          </w:txbxContent>
                        </wps:txbx>
                        <wps:bodyPr rot="0" vert="horz" wrap="square" lIns="0" tIns="0" rIns="0" bIns="0" anchor="ctr" anchorCtr="0" upright="1">
                          <a:noAutofit/>
                        </wps:bodyPr>
                      </wps:wsp>
                      <wps:wsp>
                        <wps:cNvPr id="387" name="Line 2575"/>
                        <wps:cNvCnPr>
                          <a:cxnSpLocks noChangeShapeType="1"/>
                        </wps:cNvCnPr>
                        <wps:spPr bwMode="auto">
                          <a:xfrm>
                            <a:off x="2255" y="174"/>
                            <a:ext cx="262" cy="0"/>
                          </a:xfrm>
                          <a:prstGeom prst="line">
                            <a:avLst/>
                          </a:prstGeom>
                          <a:noFill/>
                          <a:ln w="12700">
                            <a:solidFill>
                              <a:srgbClr val="0000C8"/>
                            </a:solidFill>
                            <a:round/>
                          </a:ln>
                        </wps:spPr>
                        <wps:bodyPr/>
                      </wps:wsp>
                      <wps:wsp>
                        <wps:cNvPr id="254" name="Text Box 2576"/>
                        <wps:cNvSpPr txBox="1">
                          <a:spLocks noChangeArrowheads="1"/>
                        </wps:cNvSpPr>
                        <wps:spPr bwMode="auto">
                          <a:xfrm>
                            <a:off x="2517" y="0"/>
                            <a:ext cx="2703" cy="348"/>
                          </a:xfrm>
                          <a:prstGeom prst="rect">
                            <a:avLst/>
                          </a:prstGeom>
                          <a:solidFill>
                            <a:schemeClr val="accent6">
                              <a:lumMod val="40000"/>
                              <a:lumOff val="60000"/>
                            </a:schemeClr>
                          </a:solidFill>
                          <a:ln w="12700">
                            <a:solidFill>
                              <a:srgbClr val="0000C8"/>
                            </a:solidFill>
                            <a:miter lim="800000"/>
                          </a:ln>
                        </wps:spPr>
                        <wps:txbx>
                          <w:txbxContent>
                            <w:p w14:paraId="62D8B017">
                              <w:pPr>
                                <w:pStyle w:val="72"/>
                              </w:pPr>
                              <w:r>
                                <w:rPr>
                                  <w:rFonts w:hint="eastAsia"/>
                                </w:rPr>
                                <w:t>项目部季度安全教育</w:t>
                              </w:r>
                            </w:p>
                          </w:txbxContent>
                        </wps:txbx>
                        <wps:bodyPr rot="0" vert="horz" wrap="square" lIns="0" tIns="0" rIns="0" bIns="0" anchor="ctr" anchorCtr="0" upright="1">
                          <a:noAutofit/>
                        </wps:bodyPr>
                      </wps:wsp>
                      <wps:wsp>
                        <wps:cNvPr id="255" name="Line 2577"/>
                        <wps:cNvCnPr>
                          <a:cxnSpLocks noChangeShapeType="1"/>
                        </wps:cNvCnPr>
                        <wps:spPr bwMode="auto">
                          <a:xfrm>
                            <a:off x="5220" y="174"/>
                            <a:ext cx="506" cy="0"/>
                          </a:xfrm>
                          <a:prstGeom prst="line">
                            <a:avLst/>
                          </a:prstGeom>
                          <a:noFill/>
                          <a:ln w="12700">
                            <a:solidFill>
                              <a:srgbClr val="0000C8"/>
                            </a:solidFill>
                            <a:round/>
                          </a:ln>
                        </wps:spPr>
                        <wps:bodyPr/>
                      </wps:wsp>
                      <wps:wsp>
                        <wps:cNvPr id="256" name="Text Box 2578"/>
                        <wps:cNvSpPr txBox="1">
                          <a:spLocks noChangeArrowheads="1"/>
                        </wps:cNvSpPr>
                        <wps:spPr bwMode="auto">
                          <a:xfrm>
                            <a:off x="5726" y="0"/>
                            <a:ext cx="2458" cy="348"/>
                          </a:xfrm>
                          <a:prstGeom prst="rect">
                            <a:avLst/>
                          </a:prstGeom>
                          <a:solidFill>
                            <a:schemeClr val="accent6">
                              <a:lumMod val="40000"/>
                              <a:lumOff val="60000"/>
                            </a:schemeClr>
                          </a:solidFill>
                          <a:ln w="12700">
                            <a:solidFill>
                              <a:srgbClr val="0000C8"/>
                            </a:solidFill>
                            <a:miter lim="800000"/>
                          </a:ln>
                        </wps:spPr>
                        <wps:txbx>
                          <w:txbxContent>
                            <w:p w14:paraId="0156B9EE">
                              <w:pPr>
                                <w:pStyle w:val="72"/>
                              </w:pPr>
                              <w:r>
                                <w:rPr>
                                  <w:rFonts w:hint="eastAsia"/>
                                </w:rPr>
                                <w:t>班组每周安全活动</w:t>
                              </w:r>
                            </w:p>
                          </w:txbxContent>
                        </wps:txbx>
                        <wps:bodyPr rot="0" vert="horz" wrap="square" lIns="0" tIns="0" rIns="0" bIns="0" anchor="ctr" anchorCtr="0" upright="1">
                          <a:noAutofit/>
                        </wps:bodyPr>
                      </wps:wsp>
                      <wps:wsp>
                        <wps:cNvPr id="257" name="Line 2579"/>
                        <wps:cNvCnPr>
                          <a:cxnSpLocks noChangeShapeType="1"/>
                        </wps:cNvCnPr>
                        <wps:spPr bwMode="auto">
                          <a:xfrm>
                            <a:off x="709" y="1219"/>
                            <a:ext cx="214" cy="0"/>
                          </a:xfrm>
                          <a:prstGeom prst="line">
                            <a:avLst/>
                          </a:prstGeom>
                          <a:noFill/>
                          <a:ln w="12700">
                            <a:solidFill>
                              <a:srgbClr val="0000C8"/>
                            </a:solidFill>
                            <a:round/>
                          </a:ln>
                        </wps:spPr>
                        <wps:bodyPr/>
                      </wps:wsp>
                      <wps:wsp>
                        <wps:cNvPr id="258" name="Text Box 2580"/>
                        <wps:cNvSpPr txBox="1">
                          <a:spLocks noChangeArrowheads="1"/>
                        </wps:cNvSpPr>
                        <wps:spPr bwMode="auto">
                          <a:xfrm>
                            <a:off x="904" y="1045"/>
                            <a:ext cx="1351" cy="348"/>
                          </a:xfrm>
                          <a:prstGeom prst="rect">
                            <a:avLst/>
                          </a:prstGeom>
                          <a:solidFill>
                            <a:schemeClr val="accent6">
                              <a:lumMod val="40000"/>
                              <a:lumOff val="60000"/>
                            </a:schemeClr>
                          </a:solidFill>
                          <a:ln w="12700">
                            <a:solidFill>
                              <a:srgbClr val="0000C8"/>
                            </a:solidFill>
                            <a:miter lim="800000"/>
                          </a:ln>
                        </wps:spPr>
                        <wps:txbx>
                          <w:txbxContent>
                            <w:p w14:paraId="581A3BD3">
                              <w:pPr>
                                <w:pStyle w:val="72"/>
                              </w:pPr>
                              <w:r>
                                <w:rPr>
                                  <w:rFonts w:hint="eastAsia"/>
                                </w:rPr>
                                <w:t>组织保证</w:t>
                              </w:r>
                            </w:p>
                          </w:txbxContent>
                        </wps:txbx>
                        <wps:bodyPr rot="0" vert="horz" wrap="square" lIns="0" tIns="0" rIns="0" bIns="0" anchor="ctr" anchorCtr="0" upright="1">
                          <a:noAutofit/>
                        </wps:bodyPr>
                      </wps:wsp>
                      <wps:wsp>
                        <wps:cNvPr id="259" name="Line 2581"/>
                        <wps:cNvCnPr>
                          <a:cxnSpLocks noChangeShapeType="1"/>
                        </wps:cNvCnPr>
                        <wps:spPr bwMode="auto">
                          <a:xfrm>
                            <a:off x="2255" y="1219"/>
                            <a:ext cx="479" cy="0"/>
                          </a:xfrm>
                          <a:prstGeom prst="line">
                            <a:avLst/>
                          </a:prstGeom>
                          <a:noFill/>
                          <a:ln w="12700">
                            <a:solidFill>
                              <a:srgbClr val="0000C8"/>
                            </a:solidFill>
                            <a:round/>
                          </a:ln>
                        </wps:spPr>
                        <wps:bodyPr/>
                      </wps:wsp>
                      <wps:wsp>
                        <wps:cNvPr id="260" name="Text Box 2582"/>
                        <wps:cNvSpPr txBox="1">
                          <a:spLocks noChangeArrowheads="1"/>
                        </wps:cNvSpPr>
                        <wps:spPr bwMode="auto">
                          <a:xfrm>
                            <a:off x="2734" y="1045"/>
                            <a:ext cx="2533" cy="348"/>
                          </a:xfrm>
                          <a:prstGeom prst="rect">
                            <a:avLst/>
                          </a:prstGeom>
                          <a:solidFill>
                            <a:schemeClr val="accent6">
                              <a:lumMod val="40000"/>
                              <a:lumOff val="60000"/>
                            </a:schemeClr>
                          </a:solidFill>
                          <a:ln w="12700">
                            <a:solidFill>
                              <a:srgbClr val="0000C8"/>
                            </a:solidFill>
                            <a:miter lim="800000"/>
                          </a:ln>
                        </wps:spPr>
                        <wps:txbx>
                          <w:txbxContent>
                            <w:p w14:paraId="56BA3CEF">
                              <w:pPr>
                                <w:pStyle w:val="72"/>
                              </w:pPr>
                              <w:r>
                                <w:rPr>
                                  <w:rFonts w:hint="eastAsia"/>
                                </w:rPr>
                                <w:t>安监处</w:t>
                              </w:r>
                            </w:p>
                          </w:txbxContent>
                        </wps:txbx>
                        <wps:bodyPr rot="0" vert="horz" wrap="square" lIns="0" tIns="0" rIns="0" bIns="0" anchor="ctr" anchorCtr="0" upright="1">
                          <a:noAutofit/>
                        </wps:bodyPr>
                      </wps:wsp>
                      <wps:wsp>
                        <wps:cNvPr id="262" name="Text Box 2583"/>
                        <wps:cNvSpPr txBox="1">
                          <a:spLocks noChangeArrowheads="1"/>
                        </wps:cNvSpPr>
                        <wps:spPr bwMode="auto">
                          <a:xfrm>
                            <a:off x="2734" y="612"/>
                            <a:ext cx="2533" cy="347"/>
                          </a:xfrm>
                          <a:prstGeom prst="rect">
                            <a:avLst/>
                          </a:prstGeom>
                          <a:solidFill>
                            <a:schemeClr val="accent6">
                              <a:lumMod val="40000"/>
                              <a:lumOff val="60000"/>
                            </a:schemeClr>
                          </a:solidFill>
                          <a:ln w="12700">
                            <a:solidFill>
                              <a:srgbClr val="0000C8"/>
                            </a:solidFill>
                            <a:miter lim="800000"/>
                          </a:ln>
                        </wps:spPr>
                        <wps:txbx>
                          <w:txbxContent>
                            <w:p w14:paraId="13E9F438">
                              <w:pPr>
                                <w:pStyle w:val="72"/>
                              </w:pPr>
                              <w:r>
                                <w:rPr>
                                  <w:rFonts w:hint="eastAsia"/>
                                </w:rPr>
                                <w:t>安委会</w:t>
                              </w:r>
                            </w:p>
                          </w:txbxContent>
                        </wps:txbx>
                        <wps:bodyPr rot="0" vert="horz" wrap="square" lIns="0" tIns="0" rIns="0" bIns="0" anchor="ctr" anchorCtr="0" upright="1">
                          <a:noAutofit/>
                        </wps:bodyPr>
                      </wps:wsp>
                      <wps:wsp>
                        <wps:cNvPr id="263" name="Text Box 2584"/>
                        <wps:cNvSpPr txBox="1">
                          <a:spLocks noChangeArrowheads="1"/>
                        </wps:cNvSpPr>
                        <wps:spPr bwMode="auto">
                          <a:xfrm>
                            <a:off x="2734" y="1480"/>
                            <a:ext cx="2533" cy="349"/>
                          </a:xfrm>
                          <a:prstGeom prst="rect">
                            <a:avLst/>
                          </a:prstGeom>
                          <a:solidFill>
                            <a:schemeClr val="accent6">
                              <a:lumMod val="40000"/>
                              <a:lumOff val="60000"/>
                            </a:schemeClr>
                          </a:solidFill>
                          <a:ln w="12700">
                            <a:solidFill>
                              <a:srgbClr val="0000C8"/>
                            </a:solidFill>
                            <a:miter lim="800000"/>
                          </a:ln>
                        </wps:spPr>
                        <wps:txbx>
                          <w:txbxContent>
                            <w:p w14:paraId="1309BE53">
                              <w:pPr>
                                <w:pStyle w:val="72"/>
                              </w:pPr>
                              <w:r>
                                <w:rPr>
                                  <w:rFonts w:hint="eastAsia"/>
                                </w:rPr>
                                <w:t>项目经理安全责任制</w:t>
                              </w:r>
                            </w:p>
                            <w:p w14:paraId="24D22C3F">
                              <w:pPr>
                                <w:pStyle w:val="72"/>
                              </w:pPr>
                            </w:p>
                          </w:txbxContent>
                        </wps:txbx>
                        <wps:bodyPr rot="0" vert="horz" wrap="square" lIns="0" tIns="0" rIns="0" bIns="0" anchor="ctr" anchorCtr="0" upright="1">
                          <a:noAutofit/>
                        </wps:bodyPr>
                      </wps:wsp>
                      <wps:wsp>
                        <wps:cNvPr id="264" name="Line 2585"/>
                        <wps:cNvCnPr>
                          <a:cxnSpLocks noChangeShapeType="1"/>
                        </wps:cNvCnPr>
                        <wps:spPr bwMode="auto">
                          <a:xfrm>
                            <a:off x="2396" y="784"/>
                            <a:ext cx="0" cy="870"/>
                          </a:xfrm>
                          <a:prstGeom prst="line">
                            <a:avLst/>
                          </a:prstGeom>
                          <a:noFill/>
                          <a:ln w="12700">
                            <a:solidFill>
                              <a:srgbClr val="0000C8"/>
                            </a:solidFill>
                            <a:round/>
                          </a:ln>
                        </wps:spPr>
                        <wps:bodyPr/>
                      </wps:wsp>
                      <wps:wsp>
                        <wps:cNvPr id="265" name="Line 2586"/>
                        <wps:cNvCnPr>
                          <a:cxnSpLocks noChangeShapeType="1"/>
                        </wps:cNvCnPr>
                        <wps:spPr bwMode="auto">
                          <a:xfrm>
                            <a:off x="2396" y="784"/>
                            <a:ext cx="338" cy="0"/>
                          </a:xfrm>
                          <a:prstGeom prst="line">
                            <a:avLst/>
                          </a:prstGeom>
                          <a:noFill/>
                          <a:ln w="12700">
                            <a:solidFill>
                              <a:srgbClr val="0000C8"/>
                            </a:solidFill>
                            <a:round/>
                          </a:ln>
                        </wps:spPr>
                        <wps:bodyPr/>
                      </wps:wsp>
                      <wps:wsp>
                        <wps:cNvPr id="116" name="Line 2587"/>
                        <wps:cNvCnPr>
                          <a:cxnSpLocks noChangeShapeType="1"/>
                        </wps:cNvCnPr>
                        <wps:spPr bwMode="auto">
                          <a:xfrm>
                            <a:off x="2396" y="1654"/>
                            <a:ext cx="338" cy="0"/>
                          </a:xfrm>
                          <a:prstGeom prst="line">
                            <a:avLst/>
                          </a:prstGeom>
                          <a:noFill/>
                          <a:ln w="12700">
                            <a:solidFill>
                              <a:srgbClr val="0000C8"/>
                            </a:solidFill>
                            <a:round/>
                          </a:ln>
                        </wps:spPr>
                        <wps:bodyPr/>
                      </wps:wsp>
                      <wps:wsp>
                        <wps:cNvPr id="266" name="Text Box 2588"/>
                        <wps:cNvSpPr txBox="1">
                          <a:spLocks noChangeArrowheads="1"/>
                        </wps:cNvSpPr>
                        <wps:spPr bwMode="auto">
                          <a:xfrm>
                            <a:off x="5605" y="1035"/>
                            <a:ext cx="2703" cy="348"/>
                          </a:xfrm>
                          <a:prstGeom prst="rect">
                            <a:avLst/>
                          </a:prstGeom>
                          <a:solidFill>
                            <a:schemeClr val="accent6">
                              <a:lumMod val="40000"/>
                              <a:lumOff val="60000"/>
                            </a:schemeClr>
                          </a:solidFill>
                          <a:ln w="12700">
                            <a:solidFill>
                              <a:srgbClr val="0000C8"/>
                            </a:solidFill>
                            <a:miter lim="800000"/>
                          </a:ln>
                        </wps:spPr>
                        <wps:txbx>
                          <w:txbxContent>
                            <w:p w14:paraId="22ED40B3">
                              <w:pPr>
                                <w:pStyle w:val="72"/>
                              </w:pPr>
                              <w:r>
                                <w:rPr>
                                  <w:rFonts w:hint="eastAsia"/>
                                </w:rPr>
                                <w:t>项目部安全监督部</w:t>
                              </w:r>
                            </w:p>
                          </w:txbxContent>
                        </wps:txbx>
                        <wps:bodyPr rot="0" vert="horz" wrap="square" lIns="0" tIns="0" rIns="0" bIns="0" anchor="ctr" anchorCtr="0" upright="1">
                          <a:noAutofit/>
                        </wps:bodyPr>
                      </wps:wsp>
                      <wps:wsp>
                        <wps:cNvPr id="468" name="Text Box 2589"/>
                        <wps:cNvSpPr txBox="1">
                          <a:spLocks noChangeArrowheads="1"/>
                        </wps:cNvSpPr>
                        <wps:spPr bwMode="auto">
                          <a:xfrm>
                            <a:off x="5605" y="602"/>
                            <a:ext cx="2703" cy="347"/>
                          </a:xfrm>
                          <a:prstGeom prst="rect">
                            <a:avLst/>
                          </a:prstGeom>
                          <a:solidFill>
                            <a:schemeClr val="accent6">
                              <a:lumMod val="40000"/>
                              <a:lumOff val="60000"/>
                            </a:schemeClr>
                          </a:solidFill>
                          <a:ln w="12700">
                            <a:solidFill>
                              <a:srgbClr val="0000C8"/>
                            </a:solidFill>
                            <a:miter lim="800000"/>
                          </a:ln>
                        </wps:spPr>
                        <wps:txbx>
                          <w:txbxContent>
                            <w:p w14:paraId="3AF50D13">
                              <w:pPr>
                                <w:pStyle w:val="72"/>
                              </w:pPr>
                              <w:r>
                                <w:rPr>
                                  <w:rFonts w:hint="eastAsia"/>
                                </w:rPr>
                                <w:t>项目部安全领导小组</w:t>
                              </w:r>
                            </w:p>
                          </w:txbxContent>
                        </wps:txbx>
                        <wps:bodyPr rot="0" vert="horz" wrap="square" lIns="0" tIns="0" rIns="0" bIns="0" anchor="ctr" anchorCtr="0" upright="1">
                          <a:noAutofit/>
                        </wps:bodyPr>
                      </wps:wsp>
                      <wps:wsp>
                        <wps:cNvPr id="469" name="Text Box 2590"/>
                        <wps:cNvSpPr txBox="1">
                          <a:spLocks noChangeArrowheads="1"/>
                        </wps:cNvSpPr>
                        <wps:spPr bwMode="auto">
                          <a:xfrm>
                            <a:off x="5605" y="1470"/>
                            <a:ext cx="2703" cy="349"/>
                          </a:xfrm>
                          <a:prstGeom prst="rect">
                            <a:avLst/>
                          </a:prstGeom>
                          <a:solidFill>
                            <a:schemeClr val="accent6">
                              <a:lumMod val="40000"/>
                              <a:lumOff val="60000"/>
                            </a:schemeClr>
                          </a:solidFill>
                          <a:ln w="12700">
                            <a:solidFill>
                              <a:srgbClr val="0000C8"/>
                            </a:solidFill>
                            <a:miter lim="800000"/>
                          </a:ln>
                        </wps:spPr>
                        <wps:txbx>
                          <w:txbxContent>
                            <w:p w14:paraId="64DB9475">
                              <w:pPr>
                                <w:pStyle w:val="72"/>
                              </w:pPr>
                              <w:r>
                                <w:rPr>
                                  <w:rFonts w:hint="eastAsia"/>
                                </w:rPr>
                                <w:t>部门安全责任制</w:t>
                              </w:r>
                            </w:p>
                            <w:p w14:paraId="2362CCF5">
                              <w:pPr>
                                <w:pStyle w:val="72"/>
                              </w:pPr>
                            </w:p>
                          </w:txbxContent>
                        </wps:txbx>
                        <wps:bodyPr rot="0" vert="horz" wrap="square" lIns="0" tIns="0" rIns="0" bIns="0" anchor="ctr" anchorCtr="0" upright="1">
                          <a:noAutofit/>
                        </wps:bodyPr>
                      </wps:wsp>
                      <wps:wsp>
                        <wps:cNvPr id="470" name="Line 2591"/>
                        <wps:cNvCnPr>
                          <a:cxnSpLocks noChangeShapeType="1"/>
                        </wps:cNvCnPr>
                        <wps:spPr bwMode="auto">
                          <a:xfrm>
                            <a:off x="690" y="2524"/>
                            <a:ext cx="143" cy="0"/>
                          </a:xfrm>
                          <a:prstGeom prst="line">
                            <a:avLst/>
                          </a:prstGeom>
                          <a:noFill/>
                          <a:ln w="12700">
                            <a:solidFill>
                              <a:srgbClr val="0000C8"/>
                            </a:solidFill>
                            <a:round/>
                          </a:ln>
                        </wps:spPr>
                        <wps:bodyPr/>
                      </wps:wsp>
                      <wps:wsp>
                        <wps:cNvPr id="471" name="Text Box 2592"/>
                        <wps:cNvSpPr txBox="1">
                          <a:spLocks noChangeArrowheads="1"/>
                        </wps:cNvSpPr>
                        <wps:spPr bwMode="auto">
                          <a:xfrm>
                            <a:off x="833" y="2350"/>
                            <a:ext cx="1352" cy="348"/>
                          </a:xfrm>
                          <a:prstGeom prst="rect">
                            <a:avLst/>
                          </a:prstGeom>
                          <a:solidFill>
                            <a:schemeClr val="accent6">
                              <a:lumMod val="40000"/>
                              <a:lumOff val="60000"/>
                            </a:schemeClr>
                          </a:solidFill>
                          <a:ln w="12700">
                            <a:solidFill>
                              <a:srgbClr val="0000C8"/>
                            </a:solidFill>
                            <a:miter lim="800000"/>
                          </a:ln>
                        </wps:spPr>
                        <wps:txbx>
                          <w:txbxContent>
                            <w:p w14:paraId="55477B5C">
                              <w:pPr>
                                <w:pStyle w:val="72"/>
                              </w:pPr>
                              <w:r>
                                <w:rPr>
                                  <w:rFonts w:hint="eastAsia"/>
                                </w:rPr>
                                <w:t>制度保证</w:t>
                              </w:r>
                            </w:p>
                          </w:txbxContent>
                        </wps:txbx>
                        <wps:bodyPr rot="0" vert="horz" wrap="square" lIns="0" tIns="0" rIns="0" bIns="0" anchor="ctr" anchorCtr="0" upright="1">
                          <a:noAutofit/>
                        </wps:bodyPr>
                      </wps:wsp>
                      <wps:wsp>
                        <wps:cNvPr id="472" name="Line 2593"/>
                        <wps:cNvCnPr>
                          <a:cxnSpLocks noChangeShapeType="1"/>
                        </wps:cNvCnPr>
                        <wps:spPr bwMode="auto">
                          <a:xfrm>
                            <a:off x="2185" y="2524"/>
                            <a:ext cx="549" cy="0"/>
                          </a:xfrm>
                          <a:prstGeom prst="line">
                            <a:avLst/>
                          </a:prstGeom>
                          <a:noFill/>
                          <a:ln w="12700">
                            <a:solidFill>
                              <a:srgbClr val="0000C8"/>
                            </a:solidFill>
                            <a:round/>
                          </a:ln>
                        </wps:spPr>
                        <wps:bodyPr/>
                      </wps:wsp>
                      <wps:wsp>
                        <wps:cNvPr id="473" name="Text Box 2594"/>
                        <wps:cNvSpPr txBox="1">
                          <a:spLocks noChangeArrowheads="1"/>
                        </wps:cNvSpPr>
                        <wps:spPr bwMode="auto">
                          <a:xfrm>
                            <a:off x="2734" y="2350"/>
                            <a:ext cx="3209" cy="348"/>
                          </a:xfrm>
                          <a:prstGeom prst="rect">
                            <a:avLst/>
                          </a:prstGeom>
                          <a:solidFill>
                            <a:schemeClr val="accent6">
                              <a:lumMod val="40000"/>
                              <a:lumOff val="60000"/>
                            </a:schemeClr>
                          </a:solidFill>
                          <a:ln w="12700">
                            <a:solidFill>
                              <a:srgbClr val="0000C8"/>
                            </a:solidFill>
                            <a:miter lim="800000"/>
                          </a:ln>
                        </wps:spPr>
                        <wps:txbx>
                          <w:txbxContent>
                            <w:p w14:paraId="0F0BCD55">
                              <w:pPr>
                                <w:pStyle w:val="72"/>
                              </w:pPr>
                              <w:r>
                                <w:rPr>
                                  <w:rFonts w:hint="eastAsia"/>
                                </w:rPr>
                                <w:t>公司安全生产规章制度</w:t>
                              </w:r>
                            </w:p>
                          </w:txbxContent>
                        </wps:txbx>
                        <wps:bodyPr rot="0" vert="horz" wrap="square" lIns="0" tIns="0" rIns="0" bIns="0" anchor="ctr" anchorCtr="0" upright="1">
                          <a:noAutofit/>
                        </wps:bodyPr>
                      </wps:wsp>
                      <wps:wsp>
                        <wps:cNvPr id="218" name="Text Box 2595"/>
                        <wps:cNvSpPr txBox="1">
                          <a:spLocks noChangeArrowheads="1"/>
                        </wps:cNvSpPr>
                        <wps:spPr bwMode="auto">
                          <a:xfrm>
                            <a:off x="2734" y="1916"/>
                            <a:ext cx="4392" cy="348"/>
                          </a:xfrm>
                          <a:prstGeom prst="rect">
                            <a:avLst/>
                          </a:prstGeom>
                          <a:solidFill>
                            <a:schemeClr val="accent6">
                              <a:lumMod val="40000"/>
                              <a:lumOff val="60000"/>
                            </a:schemeClr>
                          </a:solidFill>
                          <a:ln w="12700">
                            <a:solidFill>
                              <a:srgbClr val="0000C8"/>
                            </a:solidFill>
                            <a:miter lim="800000"/>
                          </a:ln>
                        </wps:spPr>
                        <wps:txbx>
                          <w:txbxContent>
                            <w:p w14:paraId="6FBA0BC3">
                              <w:pPr>
                                <w:pStyle w:val="72"/>
                              </w:pPr>
                              <w:r>
                                <w:rPr>
                                  <w:rFonts w:hint="eastAsia"/>
                                </w:rPr>
                                <w:t>国家、省部、地方安全生产法律法规</w:t>
                              </w:r>
                            </w:p>
                          </w:txbxContent>
                        </wps:txbx>
                        <wps:bodyPr rot="0" vert="horz" wrap="square" lIns="0" tIns="0" rIns="0" bIns="0" anchor="ctr" anchorCtr="0" upright="1">
                          <a:noAutofit/>
                        </wps:bodyPr>
                      </wps:wsp>
                      <wps:wsp>
                        <wps:cNvPr id="219" name="Text Box 2596"/>
                        <wps:cNvSpPr txBox="1">
                          <a:spLocks noChangeArrowheads="1"/>
                        </wps:cNvSpPr>
                        <wps:spPr bwMode="auto">
                          <a:xfrm>
                            <a:off x="2734" y="2785"/>
                            <a:ext cx="2533" cy="349"/>
                          </a:xfrm>
                          <a:prstGeom prst="rect">
                            <a:avLst/>
                          </a:prstGeom>
                          <a:solidFill>
                            <a:schemeClr val="accent6">
                              <a:lumMod val="40000"/>
                              <a:lumOff val="60000"/>
                            </a:schemeClr>
                          </a:solidFill>
                          <a:ln w="12700">
                            <a:solidFill>
                              <a:srgbClr val="0000C8"/>
                            </a:solidFill>
                            <a:miter lim="800000"/>
                          </a:ln>
                        </wps:spPr>
                        <wps:txbx>
                          <w:txbxContent>
                            <w:p w14:paraId="623B6643">
                              <w:pPr>
                                <w:pStyle w:val="72"/>
                              </w:pPr>
                              <w:r>
                                <w:rPr>
                                  <w:rFonts w:hint="eastAsia"/>
                                </w:rPr>
                                <w:t>项目安全工作标准</w:t>
                              </w:r>
                            </w:p>
                          </w:txbxContent>
                        </wps:txbx>
                        <wps:bodyPr rot="0" vert="horz" wrap="square" lIns="0" tIns="0" rIns="0" bIns="0" anchor="ctr" anchorCtr="0" upright="1">
                          <a:noAutofit/>
                        </wps:bodyPr>
                      </wps:wsp>
                      <wps:wsp>
                        <wps:cNvPr id="267" name="Line 2597"/>
                        <wps:cNvCnPr>
                          <a:cxnSpLocks noChangeShapeType="1"/>
                        </wps:cNvCnPr>
                        <wps:spPr bwMode="auto">
                          <a:xfrm>
                            <a:off x="2396" y="2088"/>
                            <a:ext cx="0" cy="1308"/>
                          </a:xfrm>
                          <a:prstGeom prst="line">
                            <a:avLst/>
                          </a:prstGeom>
                          <a:noFill/>
                          <a:ln w="12700">
                            <a:solidFill>
                              <a:srgbClr val="0000C8"/>
                            </a:solidFill>
                            <a:round/>
                          </a:ln>
                        </wps:spPr>
                        <wps:bodyPr/>
                      </wps:wsp>
                      <wps:wsp>
                        <wps:cNvPr id="220" name="Line 2598"/>
                        <wps:cNvCnPr>
                          <a:cxnSpLocks noChangeShapeType="1"/>
                        </wps:cNvCnPr>
                        <wps:spPr bwMode="auto">
                          <a:xfrm>
                            <a:off x="2396" y="2088"/>
                            <a:ext cx="338" cy="0"/>
                          </a:xfrm>
                          <a:prstGeom prst="line">
                            <a:avLst/>
                          </a:prstGeom>
                          <a:noFill/>
                          <a:ln w="12700">
                            <a:solidFill>
                              <a:srgbClr val="0000C8"/>
                            </a:solidFill>
                            <a:round/>
                          </a:ln>
                        </wps:spPr>
                        <wps:bodyPr/>
                      </wps:wsp>
                      <wps:wsp>
                        <wps:cNvPr id="516" name="Line 2599"/>
                        <wps:cNvCnPr>
                          <a:cxnSpLocks noChangeShapeType="1"/>
                        </wps:cNvCnPr>
                        <wps:spPr bwMode="auto">
                          <a:xfrm>
                            <a:off x="2396" y="2959"/>
                            <a:ext cx="338" cy="0"/>
                          </a:xfrm>
                          <a:prstGeom prst="line">
                            <a:avLst/>
                          </a:prstGeom>
                          <a:noFill/>
                          <a:ln w="12700">
                            <a:solidFill>
                              <a:srgbClr val="0000C8"/>
                            </a:solidFill>
                            <a:round/>
                          </a:ln>
                        </wps:spPr>
                        <wps:bodyPr/>
                      </wps:wsp>
                      <wps:wsp>
                        <wps:cNvPr id="517" name="Line 2600"/>
                        <wps:cNvCnPr>
                          <a:cxnSpLocks noChangeShapeType="1"/>
                        </wps:cNvCnPr>
                        <wps:spPr bwMode="auto">
                          <a:xfrm>
                            <a:off x="5267" y="2961"/>
                            <a:ext cx="338" cy="0"/>
                          </a:xfrm>
                          <a:prstGeom prst="line">
                            <a:avLst/>
                          </a:prstGeom>
                          <a:noFill/>
                          <a:ln w="12700">
                            <a:solidFill>
                              <a:srgbClr val="0000C8"/>
                            </a:solidFill>
                            <a:round/>
                          </a:ln>
                        </wps:spPr>
                        <wps:bodyPr/>
                      </wps:wsp>
                      <wps:wsp>
                        <wps:cNvPr id="518" name="Text Box 2601"/>
                        <wps:cNvSpPr txBox="1">
                          <a:spLocks noChangeArrowheads="1"/>
                        </wps:cNvSpPr>
                        <wps:spPr bwMode="auto">
                          <a:xfrm>
                            <a:off x="5605" y="2787"/>
                            <a:ext cx="676" cy="348"/>
                          </a:xfrm>
                          <a:prstGeom prst="rect">
                            <a:avLst/>
                          </a:prstGeom>
                          <a:solidFill>
                            <a:schemeClr val="accent6">
                              <a:lumMod val="40000"/>
                              <a:lumOff val="60000"/>
                            </a:schemeClr>
                          </a:solidFill>
                          <a:ln w="12700">
                            <a:solidFill>
                              <a:srgbClr val="0000C8"/>
                            </a:solidFill>
                            <a:miter lim="800000"/>
                          </a:ln>
                        </wps:spPr>
                        <wps:txbx>
                          <w:txbxContent>
                            <w:p w14:paraId="490310CC">
                              <w:pPr>
                                <w:pStyle w:val="72"/>
                              </w:pPr>
                              <w:r>
                                <w:rPr>
                                  <w:rFonts w:hint="eastAsia"/>
                                </w:rPr>
                                <w:t>计划</w:t>
                              </w:r>
                            </w:p>
                          </w:txbxContent>
                        </wps:txbx>
                        <wps:bodyPr rot="0" vert="horz" wrap="square" lIns="0" tIns="0" rIns="0" bIns="0" anchor="ctr" anchorCtr="0" upright="1">
                          <a:noAutofit/>
                        </wps:bodyPr>
                      </wps:wsp>
                      <wps:wsp>
                        <wps:cNvPr id="519" name="Text Box 2602"/>
                        <wps:cNvSpPr txBox="1">
                          <a:spLocks noChangeArrowheads="1"/>
                        </wps:cNvSpPr>
                        <wps:spPr bwMode="auto">
                          <a:xfrm>
                            <a:off x="6281" y="2787"/>
                            <a:ext cx="676" cy="348"/>
                          </a:xfrm>
                          <a:prstGeom prst="rect">
                            <a:avLst/>
                          </a:prstGeom>
                          <a:solidFill>
                            <a:schemeClr val="accent6">
                              <a:lumMod val="40000"/>
                              <a:lumOff val="60000"/>
                            </a:schemeClr>
                          </a:solidFill>
                          <a:ln w="12700">
                            <a:solidFill>
                              <a:srgbClr val="0000C8"/>
                            </a:solidFill>
                            <a:miter lim="800000"/>
                          </a:ln>
                        </wps:spPr>
                        <wps:txbx>
                          <w:txbxContent>
                            <w:p w14:paraId="2A4F3F97">
                              <w:pPr>
                                <w:pStyle w:val="72"/>
                              </w:pPr>
                              <w:r>
                                <w:rPr>
                                  <w:rFonts w:hint="eastAsia"/>
                                </w:rPr>
                                <w:t>教育</w:t>
                              </w:r>
                            </w:p>
                          </w:txbxContent>
                        </wps:txbx>
                        <wps:bodyPr rot="0" vert="horz" wrap="square" lIns="0" tIns="0" rIns="0" bIns="0" anchor="ctr" anchorCtr="0" upright="1">
                          <a:noAutofit/>
                        </wps:bodyPr>
                      </wps:wsp>
                      <wps:wsp>
                        <wps:cNvPr id="520" name="Text Box 2603"/>
                        <wps:cNvSpPr txBox="1">
                          <a:spLocks noChangeArrowheads="1"/>
                        </wps:cNvSpPr>
                        <wps:spPr bwMode="auto">
                          <a:xfrm>
                            <a:off x="6957" y="2787"/>
                            <a:ext cx="675" cy="348"/>
                          </a:xfrm>
                          <a:prstGeom prst="rect">
                            <a:avLst/>
                          </a:prstGeom>
                          <a:solidFill>
                            <a:schemeClr val="accent6">
                              <a:lumMod val="40000"/>
                              <a:lumOff val="60000"/>
                            </a:schemeClr>
                          </a:solidFill>
                          <a:ln w="12700">
                            <a:solidFill>
                              <a:srgbClr val="0000C8"/>
                            </a:solidFill>
                            <a:miter lim="800000"/>
                          </a:ln>
                        </wps:spPr>
                        <wps:txbx>
                          <w:txbxContent>
                            <w:p w14:paraId="64773CEF">
                              <w:pPr>
                                <w:pStyle w:val="72"/>
                              </w:pPr>
                              <w:r>
                                <w:rPr>
                                  <w:rFonts w:hint="eastAsia"/>
                                </w:rPr>
                                <w:t>检查</w:t>
                              </w:r>
                            </w:p>
                          </w:txbxContent>
                        </wps:txbx>
                        <wps:bodyPr rot="0" vert="horz" wrap="square" lIns="0" tIns="0" rIns="0" bIns="0" anchor="ctr" anchorCtr="0" upright="1">
                          <a:noAutofit/>
                        </wps:bodyPr>
                      </wps:wsp>
                      <wps:wsp>
                        <wps:cNvPr id="221" name="Text Box 2604"/>
                        <wps:cNvSpPr txBox="1">
                          <a:spLocks noChangeArrowheads="1"/>
                        </wps:cNvSpPr>
                        <wps:spPr bwMode="auto">
                          <a:xfrm>
                            <a:off x="7632" y="2787"/>
                            <a:ext cx="676" cy="348"/>
                          </a:xfrm>
                          <a:prstGeom prst="rect">
                            <a:avLst/>
                          </a:prstGeom>
                          <a:solidFill>
                            <a:schemeClr val="accent6">
                              <a:lumMod val="40000"/>
                              <a:lumOff val="60000"/>
                            </a:schemeClr>
                          </a:solidFill>
                          <a:ln w="12700">
                            <a:solidFill>
                              <a:srgbClr val="0000C8"/>
                            </a:solidFill>
                            <a:miter lim="800000"/>
                          </a:ln>
                        </wps:spPr>
                        <wps:txbx>
                          <w:txbxContent>
                            <w:p w14:paraId="6C98DDAD">
                              <w:pPr>
                                <w:pStyle w:val="72"/>
                              </w:pPr>
                              <w:r>
                                <w:rPr>
                                  <w:rFonts w:hint="eastAsia"/>
                                </w:rPr>
                                <w:t>奖惩</w:t>
                              </w:r>
                            </w:p>
                          </w:txbxContent>
                        </wps:txbx>
                        <wps:bodyPr rot="0" vert="horz" wrap="square" lIns="0" tIns="0" rIns="0" bIns="0" anchor="ctr" anchorCtr="0" upright="1">
                          <a:noAutofit/>
                        </wps:bodyPr>
                      </wps:wsp>
                      <wps:wsp>
                        <wps:cNvPr id="222" name="Line 2605"/>
                        <wps:cNvCnPr>
                          <a:cxnSpLocks noChangeShapeType="1"/>
                        </wps:cNvCnPr>
                        <wps:spPr bwMode="auto">
                          <a:xfrm>
                            <a:off x="5267" y="784"/>
                            <a:ext cx="338" cy="0"/>
                          </a:xfrm>
                          <a:prstGeom prst="line">
                            <a:avLst/>
                          </a:prstGeom>
                          <a:noFill/>
                          <a:ln w="12700">
                            <a:solidFill>
                              <a:srgbClr val="0000C8"/>
                            </a:solidFill>
                            <a:round/>
                          </a:ln>
                        </wps:spPr>
                        <wps:bodyPr/>
                      </wps:wsp>
                      <wps:wsp>
                        <wps:cNvPr id="523" name="Line 2606"/>
                        <wps:cNvCnPr>
                          <a:cxnSpLocks noChangeShapeType="1"/>
                        </wps:cNvCnPr>
                        <wps:spPr bwMode="auto">
                          <a:xfrm>
                            <a:off x="5267" y="1219"/>
                            <a:ext cx="338" cy="0"/>
                          </a:xfrm>
                          <a:prstGeom prst="line">
                            <a:avLst/>
                          </a:prstGeom>
                          <a:noFill/>
                          <a:ln w="12700">
                            <a:solidFill>
                              <a:srgbClr val="0000C8"/>
                            </a:solidFill>
                            <a:round/>
                          </a:ln>
                        </wps:spPr>
                        <wps:bodyPr/>
                      </wps:wsp>
                      <wps:wsp>
                        <wps:cNvPr id="524" name="Line 2607"/>
                        <wps:cNvCnPr>
                          <a:cxnSpLocks noChangeShapeType="1"/>
                        </wps:cNvCnPr>
                        <wps:spPr bwMode="auto">
                          <a:xfrm>
                            <a:off x="5267" y="1654"/>
                            <a:ext cx="338" cy="0"/>
                          </a:xfrm>
                          <a:prstGeom prst="line">
                            <a:avLst/>
                          </a:prstGeom>
                          <a:noFill/>
                          <a:ln w="12700">
                            <a:solidFill>
                              <a:srgbClr val="0000C8"/>
                            </a:solidFill>
                            <a:round/>
                          </a:ln>
                        </wps:spPr>
                        <wps:bodyPr/>
                      </wps:wsp>
                      <wps:wsp>
                        <wps:cNvPr id="525" name="Text Box 2608"/>
                        <wps:cNvSpPr txBox="1">
                          <a:spLocks noChangeArrowheads="1"/>
                        </wps:cNvSpPr>
                        <wps:spPr bwMode="auto">
                          <a:xfrm>
                            <a:off x="2734" y="3222"/>
                            <a:ext cx="5574" cy="348"/>
                          </a:xfrm>
                          <a:prstGeom prst="rect">
                            <a:avLst/>
                          </a:prstGeom>
                          <a:solidFill>
                            <a:schemeClr val="accent6">
                              <a:lumMod val="40000"/>
                              <a:lumOff val="60000"/>
                            </a:schemeClr>
                          </a:solidFill>
                          <a:ln w="12700">
                            <a:solidFill>
                              <a:srgbClr val="0000C8"/>
                            </a:solidFill>
                            <a:miter lim="800000"/>
                          </a:ln>
                        </wps:spPr>
                        <wps:txbx>
                          <w:txbxContent>
                            <w:p w14:paraId="2CAE5428">
                              <w:pPr>
                                <w:pStyle w:val="72"/>
                              </w:pPr>
                              <w:r>
                                <w:rPr>
                                  <w:rFonts w:hint="eastAsia"/>
                                </w:rPr>
                                <w:t>特殊工种、特种设备、关键工序安全操作规程</w:t>
                              </w:r>
                            </w:p>
                          </w:txbxContent>
                        </wps:txbx>
                        <wps:bodyPr rot="0" vert="horz" wrap="square" lIns="0" tIns="0" rIns="0" bIns="0" anchor="ctr" anchorCtr="0" upright="1">
                          <a:noAutofit/>
                        </wps:bodyPr>
                      </wps:wsp>
                      <wps:wsp>
                        <wps:cNvPr id="526" name="Line 2609"/>
                        <wps:cNvCnPr>
                          <a:cxnSpLocks noChangeShapeType="1"/>
                        </wps:cNvCnPr>
                        <wps:spPr bwMode="auto">
                          <a:xfrm>
                            <a:off x="2396" y="3396"/>
                            <a:ext cx="338" cy="0"/>
                          </a:xfrm>
                          <a:prstGeom prst="line">
                            <a:avLst/>
                          </a:prstGeom>
                          <a:noFill/>
                          <a:ln w="12700">
                            <a:solidFill>
                              <a:srgbClr val="0000C8"/>
                            </a:solidFill>
                            <a:round/>
                          </a:ln>
                        </wps:spPr>
                        <wps:bodyPr/>
                      </wps:wsp>
                      <wps:wsp>
                        <wps:cNvPr id="527" name="Line 2610"/>
                        <wps:cNvCnPr>
                          <a:cxnSpLocks noChangeShapeType="1"/>
                        </wps:cNvCnPr>
                        <wps:spPr bwMode="auto">
                          <a:xfrm>
                            <a:off x="709" y="4265"/>
                            <a:ext cx="124" cy="0"/>
                          </a:xfrm>
                          <a:prstGeom prst="line">
                            <a:avLst/>
                          </a:prstGeom>
                          <a:noFill/>
                          <a:ln w="12700">
                            <a:solidFill>
                              <a:srgbClr val="0000C8"/>
                            </a:solidFill>
                            <a:round/>
                          </a:ln>
                        </wps:spPr>
                        <wps:bodyPr/>
                      </wps:wsp>
                      <wps:wsp>
                        <wps:cNvPr id="528" name="Text Box 2611"/>
                        <wps:cNvSpPr txBox="1">
                          <a:spLocks noChangeArrowheads="1"/>
                        </wps:cNvSpPr>
                        <wps:spPr bwMode="auto">
                          <a:xfrm>
                            <a:off x="833" y="4091"/>
                            <a:ext cx="1352" cy="349"/>
                          </a:xfrm>
                          <a:prstGeom prst="rect">
                            <a:avLst/>
                          </a:prstGeom>
                          <a:solidFill>
                            <a:schemeClr val="accent6">
                              <a:lumMod val="40000"/>
                              <a:lumOff val="60000"/>
                            </a:schemeClr>
                          </a:solidFill>
                          <a:ln w="12700">
                            <a:solidFill>
                              <a:srgbClr val="0000C8"/>
                            </a:solidFill>
                            <a:miter lim="800000"/>
                          </a:ln>
                        </wps:spPr>
                        <wps:txbx>
                          <w:txbxContent>
                            <w:p w14:paraId="28D9655E">
                              <w:pPr>
                                <w:pStyle w:val="72"/>
                              </w:pPr>
                              <w:r>
                                <w:rPr>
                                  <w:rFonts w:hint="eastAsia"/>
                                </w:rPr>
                                <w:t>技术保证</w:t>
                              </w:r>
                            </w:p>
                          </w:txbxContent>
                        </wps:txbx>
                        <wps:bodyPr rot="0" vert="horz" wrap="square" lIns="0" tIns="0" rIns="0" bIns="0" anchor="ctr" anchorCtr="0" upright="1">
                          <a:noAutofit/>
                        </wps:bodyPr>
                      </wps:wsp>
                      <wps:wsp>
                        <wps:cNvPr id="529" name="Line 2612"/>
                        <wps:cNvCnPr>
                          <a:cxnSpLocks noChangeShapeType="1"/>
                        </wps:cNvCnPr>
                        <wps:spPr bwMode="auto">
                          <a:xfrm>
                            <a:off x="2185" y="4265"/>
                            <a:ext cx="549" cy="0"/>
                          </a:xfrm>
                          <a:prstGeom prst="line">
                            <a:avLst/>
                          </a:prstGeom>
                          <a:noFill/>
                          <a:ln w="12700">
                            <a:solidFill>
                              <a:srgbClr val="0000C8"/>
                            </a:solidFill>
                            <a:round/>
                          </a:ln>
                        </wps:spPr>
                        <wps:bodyPr/>
                      </wps:wsp>
                      <wps:wsp>
                        <wps:cNvPr id="530" name="Text Box 2613"/>
                        <wps:cNvSpPr txBox="1">
                          <a:spLocks noChangeArrowheads="1"/>
                        </wps:cNvSpPr>
                        <wps:spPr bwMode="auto">
                          <a:xfrm>
                            <a:off x="2734" y="4091"/>
                            <a:ext cx="3547" cy="349"/>
                          </a:xfrm>
                          <a:prstGeom prst="rect">
                            <a:avLst/>
                          </a:prstGeom>
                          <a:solidFill>
                            <a:schemeClr val="accent6">
                              <a:lumMod val="40000"/>
                              <a:lumOff val="60000"/>
                            </a:schemeClr>
                          </a:solidFill>
                          <a:ln w="12700">
                            <a:solidFill>
                              <a:srgbClr val="0000C8"/>
                            </a:solidFill>
                            <a:miter lim="800000"/>
                          </a:ln>
                        </wps:spPr>
                        <wps:txbx>
                          <w:txbxContent>
                            <w:p w14:paraId="296A8EF2">
                              <w:pPr>
                                <w:pStyle w:val="72"/>
                              </w:pPr>
                              <w:r>
                                <w:rPr>
                                  <w:rFonts w:hint="eastAsia"/>
                                </w:rPr>
                                <w:t>分部、分项工程安全技术交底</w:t>
                              </w:r>
                            </w:p>
                          </w:txbxContent>
                        </wps:txbx>
                        <wps:bodyPr rot="0" vert="horz" wrap="square" lIns="0" tIns="0" rIns="0" bIns="0" anchor="ctr" anchorCtr="0" upright="1">
                          <a:noAutofit/>
                        </wps:bodyPr>
                      </wps:wsp>
                      <wps:wsp>
                        <wps:cNvPr id="531" name="Text Box 2614"/>
                        <wps:cNvSpPr txBox="1">
                          <a:spLocks noChangeArrowheads="1"/>
                        </wps:cNvSpPr>
                        <wps:spPr bwMode="auto">
                          <a:xfrm>
                            <a:off x="2734" y="3657"/>
                            <a:ext cx="3547" cy="349"/>
                          </a:xfrm>
                          <a:prstGeom prst="rect">
                            <a:avLst/>
                          </a:prstGeom>
                          <a:solidFill>
                            <a:schemeClr val="accent6">
                              <a:lumMod val="40000"/>
                              <a:lumOff val="60000"/>
                            </a:schemeClr>
                          </a:solidFill>
                          <a:ln w="12700">
                            <a:solidFill>
                              <a:srgbClr val="0000C8"/>
                            </a:solidFill>
                            <a:miter lim="800000"/>
                          </a:ln>
                        </wps:spPr>
                        <wps:txbx>
                          <w:txbxContent>
                            <w:p w14:paraId="371B1E40">
                              <w:pPr>
                                <w:pStyle w:val="72"/>
                              </w:pPr>
                              <w:r>
                                <w:rPr>
                                  <w:rFonts w:hint="eastAsia"/>
                                </w:rPr>
                                <w:t>施工组织设计安全保证措施</w:t>
                              </w:r>
                            </w:p>
                          </w:txbxContent>
                        </wps:txbx>
                        <wps:bodyPr rot="0" vert="horz" wrap="square" lIns="0" tIns="0" rIns="0" bIns="0" anchor="ctr" anchorCtr="0" upright="1">
                          <a:noAutofit/>
                        </wps:bodyPr>
                      </wps:wsp>
                      <wps:wsp>
                        <wps:cNvPr id="532" name="Text Box 2615"/>
                        <wps:cNvSpPr txBox="1">
                          <a:spLocks noChangeArrowheads="1"/>
                        </wps:cNvSpPr>
                        <wps:spPr bwMode="auto">
                          <a:xfrm>
                            <a:off x="2734" y="4527"/>
                            <a:ext cx="2533" cy="348"/>
                          </a:xfrm>
                          <a:prstGeom prst="rect">
                            <a:avLst/>
                          </a:prstGeom>
                          <a:solidFill>
                            <a:schemeClr val="accent6">
                              <a:lumMod val="40000"/>
                              <a:lumOff val="60000"/>
                            </a:schemeClr>
                          </a:solidFill>
                          <a:ln w="12700">
                            <a:solidFill>
                              <a:srgbClr val="0000C8"/>
                            </a:solidFill>
                            <a:miter lim="800000"/>
                          </a:ln>
                        </wps:spPr>
                        <wps:txbx>
                          <w:txbxContent>
                            <w:p w14:paraId="03D1C491">
                              <w:pPr>
                                <w:pStyle w:val="72"/>
                              </w:pPr>
                              <w:r>
                                <w:rPr>
                                  <w:rFonts w:hint="eastAsia"/>
                                </w:rPr>
                                <w:t>安全QC小组</w:t>
                              </w:r>
                            </w:p>
                          </w:txbxContent>
                        </wps:txbx>
                        <wps:bodyPr rot="0" vert="horz" wrap="square" lIns="0" tIns="0" rIns="0" bIns="0" anchor="ctr" anchorCtr="0" upright="1">
                          <a:noAutofit/>
                        </wps:bodyPr>
                      </wps:wsp>
                      <wps:wsp>
                        <wps:cNvPr id="533" name="Line 2616"/>
                        <wps:cNvCnPr>
                          <a:cxnSpLocks noChangeShapeType="1"/>
                        </wps:cNvCnPr>
                        <wps:spPr bwMode="auto">
                          <a:xfrm>
                            <a:off x="2396" y="3830"/>
                            <a:ext cx="0" cy="873"/>
                          </a:xfrm>
                          <a:prstGeom prst="line">
                            <a:avLst/>
                          </a:prstGeom>
                          <a:noFill/>
                          <a:ln w="12700">
                            <a:solidFill>
                              <a:srgbClr val="0000C8"/>
                            </a:solidFill>
                            <a:round/>
                          </a:ln>
                        </wps:spPr>
                        <wps:bodyPr/>
                      </wps:wsp>
                      <wps:wsp>
                        <wps:cNvPr id="534" name="Line 2617"/>
                        <wps:cNvCnPr>
                          <a:cxnSpLocks noChangeShapeType="1"/>
                        </wps:cNvCnPr>
                        <wps:spPr bwMode="auto">
                          <a:xfrm>
                            <a:off x="2396" y="3830"/>
                            <a:ext cx="338" cy="0"/>
                          </a:xfrm>
                          <a:prstGeom prst="line">
                            <a:avLst/>
                          </a:prstGeom>
                          <a:noFill/>
                          <a:ln w="12700">
                            <a:solidFill>
                              <a:srgbClr val="0000C8"/>
                            </a:solidFill>
                            <a:round/>
                          </a:ln>
                        </wps:spPr>
                        <wps:bodyPr/>
                      </wps:wsp>
                      <wps:wsp>
                        <wps:cNvPr id="535" name="Line 2618"/>
                        <wps:cNvCnPr>
                          <a:cxnSpLocks noChangeShapeType="1"/>
                        </wps:cNvCnPr>
                        <wps:spPr bwMode="auto">
                          <a:xfrm>
                            <a:off x="2396" y="4701"/>
                            <a:ext cx="338" cy="0"/>
                          </a:xfrm>
                          <a:prstGeom prst="line">
                            <a:avLst/>
                          </a:prstGeom>
                          <a:noFill/>
                          <a:ln w="12700">
                            <a:solidFill>
                              <a:srgbClr val="0000C8"/>
                            </a:solidFill>
                            <a:round/>
                          </a:ln>
                        </wps:spPr>
                        <wps:bodyPr/>
                      </wps:wsp>
                      <wps:wsp>
                        <wps:cNvPr id="536" name="Line 2619"/>
                        <wps:cNvCnPr>
                          <a:cxnSpLocks noChangeShapeType="1"/>
                        </wps:cNvCnPr>
                        <wps:spPr bwMode="auto">
                          <a:xfrm>
                            <a:off x="5267" y="4703"/>
                            <a:ext cx="338" cy="0"/>
                          </a:xfrm>
                          <a:prstGeom prst="line">
                            <a:avLst/>
                          </a:prstGeom>
                          <a:noFill/>
                          <a:ln w="12700">
                            <a:solidFill>
                              <a:srgbClr val="0000C8"/>
                            </a:solidFill>
                            <a:round/>
                          </a:ln>
                        </wps:spPr>
                        <wps:bodyPr/>
                      </wps:wsp>
                      <wps:wsp>
                        <wps:cNvPr id="545" name="Text Box 2620"/>
                        <wps:cNvSpPr txBox="1">
                          <a:spLocks noChangeArrowheads="1"/>
                        </wps:cNvSpPr>
                        <wps:spPr bwMode="auto">
                          <a:xfrm>
                            <a:off x="5605" y="4529"/>
                            <a:ext cx="676" cy="348"/>
                          </a:xfrm>
                          <a:prstGeom prst="rect">
                            <a:avLst/>
                          </a:prstGeom>
                          <a:solidFill>
                            <a:schemeClr val="accent6">
                              <a:lumMod val="40000"/>
                              <a:lumOff val="60000"/>
                            </a:schemeClr>
                          </a:solidFill>
                          <a:ln w="12700">
                            <a:solidFill>
                              <a:srgbClr val="0000C8"/>
                            </a:solidFill>
                            <a:miter lim="800000"/>
                          </a:ln>
                        </wps:spPr>
                        <wps:txbx>
                          <w:txbxContent>
                            <w:p w14:paraId="494C495B">
                              <w:pPr>
                                <w:pStyle w:val="72"/>
                              </w:pPr>
                              <w:r>
                                <w:rPr>
                                  <w:rFonts w:hint="eastAsia"/>
                                </w:rPr>
                                <w:t>P</w:t>
                              </w:r>
                            </w:p>
                          </w:txbxContent>
                        </wps:txbx>
                        <wps:bodyPr rot="0" vert="horz" wrap="square" lIns="0" tIns="0" rIns="0" bIns="0" anchor="ctr" anchorCtr="0" upright="1">
                          <a:noAutofit/>
                        </wps:bodyPr>
                      </wps:wsp>
                      <wps:wsp>
                        <wps:cNvPr id="547" name="Text Box 2621"/>
                        <wps:cNvSpPr txBox="1">
                          <a:spLocks noChangeArrowheads="1"/>
                        </wps:cNvSpPr>
                        <wps:spPr bwMode="auto">
                          <a:xfrm>
                            <a:off x="6281" y="4529"/>
                            <a:ext cx="676" cy="348"/>
                          </a:xfrm>
                          <a:prstGeom prst="rect">
                            <a:avLst/>
                          </a:prstGeom>
                          <a:solidFill>
                            <a:schemeClr val="accent6">
                              <a:lumMod val="40000"/>
                              <a:lumOff val="60000"/>
                            </a:schemeClr>
                          </a:solidFill>
                          <a:ln w="12700">
                            <a:solidFill>
                              <a:srgbClr val="0000C8"/>
                            </a:solidFill>
                            <a:miter lim="800000"/>
                          </a:ln>
                        </wps:spPr>
                        <wps:txbx>
                          <w:txbxContent>
                            <w:p w14:paraId="116DAF82">
                              <w:pPr>
                                <w:pStyle w:val="72"/>
                              </w:pPr>
                              <w:r>
                                <w:rPr>
                                  <w:rFonts w:hint="eastAsia"/>
                                </w:rPr>
                                <w:t>D</w:t>
                              </w:r>
                            </w:p>
                          </w:txbxContent>
                        </wps:txbx>
                        <wps:bodyPr rot="0" vert="horz" wrap="square" lIns="0" tIns="0" rIns="0" bIns="0" anchor="ctr" anchorCtr="0" upright="1">
                          <a:noAutofit/>
                        </wps:bodyPr>
                      </wps:wsp>
                      <wps:wsp>
                        <wps:cNvPr id="556" name="Text Box 2622"/>
                        <wps:cNvSpPr txBox="1">
                          <a:spLocks noChangeArrowheads="1"/>
                        </wps:cNvSpPr>
                        <wps:spPr bwMode="auto">
                          <a:xfrm>
                            <a:off x="6957" y="4529"/>
                            <a:ext cx="675" cy="348"/>
                          </a:xfrm>
                          <a:prstGeom prst="rect">
                            <a:avLst/>
                          </a:prstGeom>
                          <a:solidFill>
                            <a:schemeClr val="accent6">
                              <a:lumMod val="40000"/>
                              <a:lumOff val="60000"/>
                            </a:schemeClr>
                          </a:solidFill>
                          <a:ln w="12700">
                            <a:solidFill>
                              <a:srgbClr val="0000C8"/>
                            </a:solidFill>
                            <a:miter lim="800000"/>
                          </a:ln>
                        </wps:spPr>
                        <wps:txbx>
                          <w:txbxContent>
                            <w:p w14:paraId="748AE739">
                              <w:pPr>
                                <w:pStyle w:val="72"/>
                              </w:pPr>
                              <w:r>
                                <w:rPr>
                                  <w:rFonts w:hint="eastAsia"/>
                                </w:rPr>
                                <w:t>C</w:t>
                              </w:r>
                            </w:p>
                          </w:txbxContent>
                        </wps:txbx>
                        <wps:bodyPr rot="0" vert="horz" wrap="square" lIns="0" tIns="0" rIns="0" bIns="0" anchor="ctr" anchorCtr="0" upright="1">
                          <a:noAutofit/>
                        </wps:bodyPr>
                      </wps:wsp>
                      <wps:wsp>
                        <wps:cNvPr id="579" name="Text Box 2623"/>
                        <wps:cNvSpPr txBox="1">
                          <a:spLocks noChangeArrowheads="1"/>
                        </wps:cNvSpPr>
                        <wps:spPr bwMode="auto">
                          <a:xfrm>
                            <a:off x="7632" y="4529"/>
                            <a:ext cx="676" cy="348"/>
                          </a:xfrm>
                          <a:prstGeom prst="rect">
                            <a:avLst/>
                          </a:prstGeom>
                          <a:solidFill>
                            <a:schemeClr val="accent6">
                              <a:lumMod val="40000"/>
                              <a:lumOff val="60000"/>
                            </a:schemeClr>
                          </a:solidFill>
                          <a:ln w="12700">
                            <a:solidFill>
                              <a:srgbClr val="0000C8"/>
                            </a:solidFill>
                            <a:miter lim="800000"/>
                          </a:ln>
                        </wps:spPr>
                        <wps:txbx>
                          <w:txbxContent>
                            <w:p w14:paraId="5B7932F4">
                              <w:pPr>
                                <w:pStyle w:val="72"/>
                              </w:pPr>
                              <w:r>
                                <w:rPr>
                                  <w:rFonts w:hint="eastAsia"/>
                                </w:rPr>
                                <w:t>A</w:t>
                              </w:r>
                            </w:p>
                          </w:txbxContent>
                        </wps:txbx>
                        <wps:bodyPr rot="0" vert="horz" wrap="square" lIns="0" tIns="0" rIns="0" bIns="0" anchor="ctr" anchorCtr="0" upright="1">
                          <a:noAutofit/>
                        </wps:bodyPr>
                      </wps:wsp>
                      <wps:wsp>
                        <wps:cNvPr id="580" name="Line 2624"/>
                        <wps:cNvCnPr>
                          <a:cxnSpLocks noChangeShapeType="1"/>
                        </wps:cNvCnPr>
                        <wps:spPr bwMode="auto">
                          <a:xfrm>
                            <a:off x="690" y="5573"/>
                            <a:ext cx="143" cy="0"/>
                          </a:xfrm>
                          <a:prstGeom prst="line">
                            <a:avLst/>
                          </a:prstGeom>
                          <a:noFill/>
                          <a:ln w="12700">
                            <a:solidFill>
                              <a:srgbClr val="0000C8"/>
                            </a:solidFill>
                            <a:round/>
                          </a:ln>
                        </wps:spPr>
                        <wps:bodyPr/>
                      </wps:wsp>
                      <wps:wsp>
                        <wps:cNvPr id="605" name="Text Box 2625"/>
                        <wps:cNvSpPr txBox="1">
                          <a:spLocks noChangeArrowheads="1"/>
                        </wps:cNvSpPr>
                        <wps:spPr bwMode="auto">
                          <a:xfrm>
                            <a:off x="833" y="5399"/>
                            <a:ext cx="1352" cy="348"/>
                          </a:xfrm>
                          <a:prstGeom prst="rect">
                            <a:avLst/>
                          </a:prstGeom>
                          <a:solidFill>
                            <a:schemeClr val="accent6">
                              <a:lumMod val="40000"/>
                              <a:lumOff val="60000"/>
                            </a:schemeClr>
                          </a:solidFill>
                          <a:ln w="12700">
                            <a:solidFill>
                              <a:srgbClr val="0000C8"/>
                            </a:solidFill>
                            <a:miter lim="800000"/>
                          </a:ln>
                        </wps:spPr>
                        <wps:txbx>
                          <w:txbxContent>
                            <w:p w14:paraId="7725F8F0">
                              <w:pPr>
                                <w:pStyle w:val="72"/>
                              </w:pPr>
                              <w:r>
                                <w:rPr>
                                  <w:rFonts w:hint="eastAsia"/>
                                </w:rPr>
                                <w:t>资源保证</w:t>
                              </w:r>
                            </w:p>
                          </w:txbxContent>
                        </wps:txbx>
                        <wps:bodyPr rot="0" vert="horz" wrap="square" lIns="0" tIns="0" rIns="0" bIns="0" anchor="ctr" anchorCtr="0" upright="1">
                          <a:noAutofit/>
                        </wps:bodyPr>
                      </wps:wsp>
                      <wps:wsp>
                        <wps:cNvPr id="612" name="Line 2626"/>
                        <wps:cNvCnPr>
                          <a:cxnSpLocks noChangeShapeType="1"/>
                        </wps:cNvCnPr>
                        <wps:spPr bwMode="auto">
                          <a:xfrm>
                            <a:off x="2185" y="5573"/>
                            <a:ext cx="549" cy="0"/>
                          </a:xfrm>
                          <a:prstGeom prst="line">
                            <a:avLst/>
                          </a:prstGeom>
                          <a:noFill/>
                          <a:ln w="12700">
                            <a:solidFill>
                              <a:srgbClr val="0000C8"/>
                            </a:solidFill>
                            <a:round/>
                          </a:ln>
                        </wps:spPr>
                        <wps:bodyPr/>
                      </wps:wsp>
                      <wps:wsp>
                        <wps:cNvPr id="613" name="Text Box 2627"/>
                        <wps:cNvSpPr txBox="1">
                          <a:spLocks noChangeArrowheads="1"/>
                        </wps:cNvSpPr>
                        <wps:spPr bwMode="auto">
                          <a:xfrm>
                            <a:off x="2734" y="5399"/>
                            <a:ext cx="3040" cy="348"/>
                          </a:xfrm>
                          <a:prstGeom prst="rect">
                            <a:avLst/>
                          </a:prstGeom>
                          <a:solidFill>
                            <a:schemeClr val="accent6">
                              <a:lumMod val="40000"/>
                              <a:lumOff val="60000"/>
                            </a:schemeClr>
                          </a:solidFill>
                          <a:ln w="12700">
                            <a:solidFill>
                              <a:srgbClr val="0000C8"/>
                            </a:solidFill>
                            <a:miter lim="800000"/>
                          </a:ln>
                        </wps:spPr>
                        <wps:txbx>
                          <w:txbxContent>
                            <w:p w14:paraId="607A3B80">
                              <w:pPr>
                                <w:pStyle w:val="72"/>
                              </w:pPr>
                              <w:r>
                                <w:rPr>
                                  <w:rFonts w:hint="eastAsia"/>
                                </w:rPr>
                                <w:t>施工现场安全警示标志</w:t>
                              </w:r>
                            </w:p>
                            <w:p w14:paraId="5E3AC276">
                              <w:pPr>
                                <w:pStyle w:val="72"/>
                              </w:pPr>
                            </w:p>
                          </w:txbxContent>
                        </wps:txbx>
                        <wps:bodyPr rot="0" vert="horz" wrap="square" lIns="0" tIns="0" rIns="0" bIns="0" anchor="ctr" anchorCtr="0" upright="1">
                          <a:noAutofit/>
                        </wps:bodyPr>
                      </wps:wsp>
                      <wps:wsp>
                        <wps:cNvPr id="614" name="Text Box 2628"/>
                        <wps:cNvSpPr txBox="1">
                          <a:spLocks noChangeArrowheads="1"/>
                        </wps:cNvSpPr>
                        <wps:spPr bwMode="auto">
                          <a:xfrm>
                            <a:off x="2734" y="4965"/>
                            <a:ext cx="3040" cy="349"/>
                          </a:xfrm>
                          <a:prstGeom prst="rect">
                            <a:avLst/>
                          </a:prstGeom>
                          <a:solidFill>
                            <a:schemeClr val="accent6">
                              <a:lumMod val="40000"/>
                              <a:lumOff val="60000"/>
                            </a:schemeClr>
                          </a:solidFill>
                          <a:ln w="12700">
                            <a:solidFill>
                              <a:srgbClr val="0000C8"/>
                            </a:solidFill>
                            <a:miter lim="800000"/>
                          </a:ln>
                        </wps:spPr>
                        <wps:txbx>
                          <w:txbxContent>
                            <w:p w14:paraId="474E8982">
                              <w:pPr>
                                <w:pStyle w:val="72"/>
                              </w:pPr>
                              <w:r>
                                <w:rPr>
                                  <w:rFonts w:hint="eastAsia"/>
                                </w:rPr>
                                <w:t>施工现场安全防护措施</w:t>
                              </w:r>
                            </w:p>
                          </w:txbxContent>
                        </wps:txbx>
                        <wps:bodyPr rot="0" vert="horz" wrap="square" lIns="0" tIns="0" rIns="0" bIns="0" anchor="ctr" anchorCtr="0" upright="1">
                          <a:noAutofit/>
                        </wps:bodyPr>
                      </wps:wsp>
                      <wps:wsp>
                        <wps:cNvPr id="616" name="Text Box 2629"/>
                        <wps:cNvSpPr txBox="1">
                          <a:spLocks noChangeArrowheads="1"/>
                        </wps:cNvSpPr>
                        <wps:spPr bwMode="auto">
                          <a:xfrm>
                            <a:off x="2734" y="5835"/>
                            <a:ext cx="3040" cy="348"/>
                          </a:xfrm>
                          <a:prstGeom prst="rect">
                            <a:avLst/>
                          </a:prstGeom>
                          <a:solidFill>
                            <a:schemeClr val="accent6">
                              <a:lumMod val="40000"/>
                              <a:lumOff val="60000"/>
                            </a:schemeClr>
                          </a:solidFill>
                          <a:ln w="12700">
                            <a:solidFill>
                              <a:srgbClr val="0000C8"/>
                            </a:solidFill>
                            <a:miter lim="800000"/>
                          </a:ln>
                        </wps:spPr>
                        <wps:txbx>
                          <w:txbxContent>
                            <w:p w14:paraId="16593E2C">
                              <w:pPr>
                                <w:pStyle w:val="72"/>
                              </w:pPr>
                              <w:r>
                                <w:rPr>
                                  <w:rFonts w:hint="eastAsia"/>
                                </w:rPr>
                                <w:t>作业人员劳动保护用品</w:t>
                              </w:r>
                            </w:p>
                          </w:txbxContent>
                        </wps:txbx>
                        <wps:bodyPr rot="0" vert="horz" wrap="square" lIns="0" tIns="0" rIns="0" bIns="0" anchor="ctr" anchorCtr="0" upright="1">
                          <a:noAutofit/>
                        </wps:bodyPr>
                      </wps:wsp>
                      <wps:wsp>
                        <wps:cNvPr id="617" name="Line 2630"/>
                        <wps:cNvCnPr>
                          <a:cxnSpLocks noChangeShapeType="1"/>
                        </wps:cNvCnPr>
                        <wps:spPr bwMode="auto">
                          <a:xfrm>
                            <a:off x="2396" y="5138"/>
                            <a:ext cx="0" cy="873"/>
                          </a:xfrm>
                          <a:prstGeom prst="line">
                            <a:avLst/>
                          </a:prstGeom>
                          <a:noFill/>
                          <a:ln w="12700">
                            <a:solidFill>
                              <a:srgbClr val="0000C8"/>
                            </a:solidFill>
                            <a:round/>
                          </a:ln>
                        </wps:spPr>
                        <wps:bodyPr/>
                      </wps:wsp>
                      <wps:wsp>
                        <wps:cNvPr id="618" name="Line 2631"/>
                        <wps:cNvCnPr>
                          <a:cxnSpLocks noChangeShapeType="1"/>
                        </wps:cNvCnPr>
                        <wps:spPr bwMode="auto">
                          <a:xfrm>
                            <a:off x="2396" y="5138"/>
                            <a:ext cx="338" cy="0"/>
                          </a:xfrm>
                          <a:prstGeom prst="line">
                            <a:avLst/>
                          </a:prstGeom>
                          <a:noFill/>
                          <a:ln w="12700">
                            <a:solidFill>
                              <a:srgbClr val="0000C8"/>
                            </a:solidFill>
                            <a:round/>
                          </a:ln>
                        </wps:spPr>
                        <wps:bodyPr/>
                      </wps:wsp>
                      <wps:wsp>
                        <wps:cNvPr id="619" name="Line 2632"/>
                        <wps:cNvCnPr>
                          <a:cxnSpLocks noChangeShapeType="1"/>
                        </wps:cNvCnPr>
                        <wps:spPr bwMode="auto">
                          <a:xfrm>
                            <a:off x="2396" y="6009"/>
                            <a:ext cx="338" cy="0"/>
                          </a:xfrm>
                          <a:prstGeom prst="line">
                            <a:avLst/>
                          </a:prstGeom>
                          <a:noFill/>
                          <a:ln w="12700">
                            <a:solidFill>
                              <a:srgbClr val="0000C8"/>
                            </a:solidFill>
                            <a:round/>
                          </a:ln>
                        </wps:spPr>
                        <wps:bodyPr/>
                      </wps:wsp>
                    </wpg:wgp>
                  </a:graphicData>
                </a:graphic>
              </wp:inline>
            </w:drawing>
          </mc:Choice>
          <mc:Fallback>
            <w:pict>
              <v:group id="Group 2569" o:spid="_x0000_s1026" o:spt="203" style="height:351.75pt;width:438.6pt;" coordsize="8308,6183" o:gfxdata="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">
                <o:lock v:ext="edit" aspectratio="f"/>
                <v:shape id="Text Box 2570" o:spid="_x0000_s1026" o:spt="202" type="#_x0000_t202" style="position:absolute;left:0;top:1393;height:2613;width:493;v-text-anchor:middle;" fillcolor="#C5E0B4 [1305]" filled="t" stroked="t" coordsize="21600,21600" o:gfxdata="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4z6u/&#10;AAAA3AAAAA8AAAAAAAAAAQAgAAAAIgAAAGRycy9kb3ducmV2LnhtbFBLAQIUABQAAAAIAIdO4kAz&#10;LwWeOwAAADkAAAAQAAAAAAAAAAEAIAAAAA4BAABkcnMvc2hhcGV4bWwueG1sUEsFBgAAAAAGAAYA&#10;WwEAALgDAAAAAA==&#10;">
                  <v:fill on="t" focussize="0,0"/>
                  <v:stroke weight="1pt" color="#0000C8" miterlimit="8" joinstyle="miter"/>
                  <v:imagedata o:title=""/>
                  <o:lock v:ext="edit" aspectratio="f"/>
                  <v:textbox inset="0mm,0mm,0mm,0mm" style="layout-flow:vertical-ideographic;">
                    <w:txbxContent>
                      <w:p w14:paraId="055FEEF2">
                        <w:pPr>
                          <w:pStyle w:val="72"/>
                        </w:pPr>
                        <w:r>
                          <w:rPr>
                            <w:rFonts w:hint="eastAsia"/>
                          </w:rPr>
                          <w:t>安全生产管理体系</w:t>
                        </w:r>
                      </w:p>
                    </w:txbxContent>
                  </v:textbox>
                </v:shape>
                <v:line id="Line 2571" o:spid="_x0000_s1026" o:spt="20" style="position:absolute;left:514;top:2524;height:0;width:195;" filled="f" stroked="t" coordsize="21600,21600" o:gfxdata="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zA6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72" o:spid="_x0000_s1026" o:spt="20" style="position:absolute;left:690;top:174;height:5399;width:0;" filled="f" stroked="t" coordsize="21600,21600" o:gfxdata="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GmV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73" o:spid="_x0000_s1026" o:spt="20" style="position:absolute;left:690;top:174;height:0;width:214;" filled="f" stroked="t" coordsize="21600,21600" o:gfxdata="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Evf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74" o:spid="_x0000_s1026" o:spt="202" type="#_x0000_t202" style="position:absolute;left:904;top:0;height:348;width:1351;v-text-anchor:middle;" fillcolor="#C5E0B4 [1305]" filled="t" stroked="t" coordsize="21600,21600" o:gfxdata="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szx5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45651D37">
                        <w:pPr>
                          <w:pStyle w:val="72"/>
                        </w:pPr>
                        <w:r>
                          <w:rPr>
                            <w:rFonts w:hint="eastAsia"/>
                          </w:rPr>
                          <w:t>思想保证</w:t>
                        </w:r>
                      </w:p>
                    </w:txbxContent>
                  </v:textbox>
                </v:shape>
                <v:line id="Line 2575" o:spid="_x0000_s1026" o:spt="20" style="position:absolute;left:2255;top:174;height:0;width:262;" filled="f" stroked="t" coordsize="21600,21600" o:gfxdata="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wJF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76" o:spid="_x0000_s1026" o:spt="202" type="#_x0000_t202" style="position:absolute;left:2517;top:0;height:348;width:2703;v-text-anchor:middle;" fillcolor="#C5E0B4 [1305]" filled="t" stroked="t" coordsize="21600,21600" o:gfxdata="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cTps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2D8B017">
                        <w:pPr>
                          <w:pStyle w:val="72"/>
                        </w:pPr>
                        <w:r>
                          <w:rPr>
                            <w:rFonts w:hint="eastAsia"/>
                          </w:rPr>
                          <w:t>项目部季度安全教育</w:t>
                        </w:r>
                      </w:p>
                    </w:txbxContent>
                  </v:textbox>
                </v:shape>
                <v:line id="Line 2577" o:spid="_x0000_s1026" o:spt="20" style="position:absolute;left:5220;top:174;height:0;width:506;" filled="f" stroked="t" coordsize="21600,21600" o:gfxdata="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vPGu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78" o:spid="_x0000_s1026" o:spt="202" type="#_x0000_t202" style="position:absolute;left:5726;top:0;height:348;width:2458;v-text-anchor:middle;" fillcolor="#C5E0B4 [1305]" filled="t" stroked="t" coordsize="21600,21600" o:gfxdata="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7wGA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0156B9EE">
                        <w:pPr>
                          <w:pStyle w:val="72"/>
                        </w:pPr>
                        <w:r>
                          <w:rPr>
                            <w:rFonts w:hint="eastAsia"/>
                          </w:rPr>
                          <w:t>班组每周安全活动</w:t>
                        </w:r>
                      </w:p>
                    </w:txbxContent>
                  </v:textbox>
                </v:shape>
                <v:line id="Line 2579" o:spid="_x0000_s1026" o:spt="20" style="position:absolute;left:709;top:1219;height:0;width:214;" filled="f" stroked="t" coordsize="21600,21600" o:gfxdata="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QeH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80" o:spid="_x0000_s1026" o:spt="202" type="#_x0000_t202" style="position:absolute;left:904;top:1045;height:348;width:1351;v-text-anchor:middle;" fillcolor="#C5E0B4 [1305]" filled="t" stroked="t" coordsize="21600,21600" o:gfxdata="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Twwa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581A3BD3">
                        <w:pPr>
                          <w:pStyle w:val="72"/>
                        </w:pPr>
                        <w:r>
                          <w:rPr>
                            <w:rFonts w:hint="eastAsia"/>
                          </w:rPr>
                          <w:t>组织保证</w:t>
                        </w:r>
                      </w:p>
                    </w:txbxContent>
                  </v:textbox>
                </v:shape>
                <v:line id="Line 2581" o:spid="_x0000_s1026" o:spt="20" style="position:absolute;left:2255;top:1219;height:0;width:479;" filled="f" stroked="t" coordsize="21600,21600" o:gfxdata="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4jZu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82" o:spid="_x0000_s1026" o:spt="202" type="#_x0000_t202" style="position:absolute;left:2734;top:1045;height:348;width:2533;v-text-anchor:middle;" fillcolor="#C5E0B4 [1305]" filled="t" stroked="t" coordsize="21600,21600" o:gfxdata="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Sb20rgAAADc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0mm,0mm,0mm,0mm">
                    <w:txbxContent>
                      <w:p w14:paraId="56BA3CEF">
                        <w:pPr>
                          <w:pStyle w:val="72"/>
                        </w:pPr>
                        <w:r>
                          <w:rPr>
                            <w:rFonts w:hint="eastAsia"/>
                          </w:rPr>
                          <w:t>安监处</w:t>
                        </w:r>
                      </w:p>
                    </w:txbxContent>
                  </v:textbox>
                </v:shape>
                <v:shape id="Text Box 2583" o:spid="_x0000_s1026" o:spt="202" type="#_x0000_t202" style="position:absolute;left:2734;top:612;height:347;width:2533;v-text-anchor:middle;" fillcolor="#C5E0B4 [1305]" filled="t" stroked="t" coordsize="21600,21600" o:gfxdata="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4zT6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0mm,0mm,0mm,0mm">
                    <w:txbxContent>
                      <w:p w14:paraId="13E9F438">
                        <w:pPr>
                          <w:pStyle w:val="72"/>
                        </w:pPr>
                        <w:r>
                          <w:rPr>
                            <w:rFonts w:hint="eastAsia"/>
                          </w:rPr>
                          <w:t>安委会</w:t>
                        </w:r>
                      </w:p>
                    </w:txbxContent>
                  </v:textbox>
                </v:shape>
                <v:shape id="Text Box 2584" o:spid="_x0000_s1026" o:spt="202" type="#_x0000_t202" style="position:absolute;left:2734;top:1480;height:349;width:2533;v-text-anchor:middle;" fillcolor="#C5E0B4 [1305]" filled="t" stroked="t" coordsize="21600,21600" o:gfxdata="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9Gil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309BE53">
                        <w:pPr>
                          <w:pStyle w:val="72"/>
                        </w:pPr>
                        <w:r>
                          <w:rPr>
                            <w:rFonts w:hint="eastAsia"/>
                          </w:rPr>
                          <w:t>项目经理安全责任制</w:t>
                        </w:r>
                      </w:p>
                      <w:p w14:paraId="24D22C3F">
                        <w:pPr>
                          <w:pStyle w:val="72"/>
                        </w:pPr>
                      </w:p>
                    </w:txbxContent>
                  </v:textbox>
                </v:shape>
                <v:line id="Line 2585" o:spid="_x0000_s1026" o:spt="20" style="position:absolute;left:2396;top:784;height:870;width:0;" filled="f" stroked="t" coordsize="21600,21600" o:gfxdata="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PU0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86" o:spid="_x0000_s1026" o:spt="20" style="position:absolute;left:2396;top:784;height:0;width:338;" filled="f" stroked="t" coordsize="21600,21600" o:gfxdata="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D9ta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87" o:spid="_x0000_s1026" o:spt="20" style="position:absolute;left:2396;top:1654;height:0;width:338;" filled="f" stroked="t" coordsize="21600,21600" o:gfxdata="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8yeqC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88" o:spid="_x0000_s1026" o:spt="202" type="#_x0000_t202" style="position:absolute;left:5605;top:1035;height:348;width:2703;v-text-anchor:middle;" fillcolor="#C5E0B4 [1305]" filled="t" stroked="t" coordsize="21600,21600" o:gfxdata="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8s9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2ED40B3">
                        <w:pPr>
                          <w:pStyle w:val="72"/>
                        </w:pPr>
                        <w:r>
                          <w:rPr>
                            <w:rFonts w:hint="eastAsia"/>
                          </w:rPr>
                          <w:t>项目部安全监督部</w:t>
                        </w:r>
                      </w:p>
                    </w:txbxContent>
                  </v:textbox>
                </v:shape>
                <v:shape id="Text Box 2589" o:spid="_x0000_s1026" o:spt="202" type="#_x0000_t202" style="position:absolute;left:5605;top:602;height:347;width:2703;v-text-anchor:middle;" fillcolor="#C5E0B4 [1305]" filled="t" stroked="t" coordsize="21600,21600" o:gfxdata="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Gzgs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3AF50D13">
                        <w:pPr>
                          <w:pStyle w:val="72"/>
                        </w:pPr>
                        <w:r>
                          <w:rPr>
                            <w:rFonts w:hint="eastAsia"/>
                          </w:rPr>
                          <w:t>项目部安全领导小组</w:t>
                        </w:r>
                      </w:p>
                    </w:txbxContent>
                  </v:textbox>
                </v:shape>
                <v:shape id="Text Box 2590" o:spid="_x0000_s1026" o:spt="202" type="#_x0000_t202" style="position:absolute;left:5605;top:1470;height:349;width:2703;v-text-anchor:middle;" fillcolor="#C5E0B4 [1305]" filled="t" stroked="t" coordsize="21600,21600" o:gfxdata="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523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4DB9475">
                        <w:pPr>
                          <w:pStyle w:val="72"/>
                        </w:pPr>
                        <w:r>
                          <w:rPr>
                            <w:rFonts w:hint="eastAsia"/>
                          </w:rPr>
                          <w:t>部门安全责任制</w:t>
                        </w:r>
                      </w:p>
                      <w:p w14:paraId="2362CCF5">
                        <w:pPr>
                          <w:pStyle w:val="72"/>
                        </w:pPr>
                      </w:p>
                    </w:txbxContent>
                  </v:textbox>
                </v:shape>
                <v:line id="Line 2591" o:spid="_x0000_s1026" o:spt="20" style="position:absolute;left:690;top:2524;height:0;width:143;" filled="f" stroked="t" coordsize="21600,21600" o:gfxdata="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mAW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92" o:spid="_x0000_s1026" o:spt="202" type="#_x0000_t202" style="position:absolute;left:833;top:2350;height:348;width:1352;v-text-anchor:middle;" fillcolor="#C5E0B4 [1305]" filled="t" stroked="t" coordsize="21600,21600" o:gfxdata="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gHbL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55477B5C">
                        <w:pPr>
                          <w:pStyle w:val="72"/>
                        </w:pPr>
                        <w:r>
                          <w:rPr>
                            <w:rFonts w:hint="eastAsia"/>
                          </w:rPr>
                          <w:t>制度保证</w:t>
                        </w:r>
                      </w:p>
                    </w:txbxContent>
                  </v:textbox>
                </v:shape>
                <v:line id="Line 2593" o:spid="_x0000_s1026" o:spt="20" style="position:absolute;left:2185;top:2524;height:0;width:549;" filled="f" stroked="t" coordsize="21600,21600" o:gfxdata="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DqH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94" o:spid="_x0000_s1026" o:spt="202" type="#_x0000_t202" style="position:absolute;left:2734;top:2350;height:348;width:3209;v-text-anchor:middle;" fillcolor="#C5E0B4 [1305]" filled="t" stroked="t" coordsize="21600,21600" o:gfxdata="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Y8gL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0F0BCD55">
                        <w:pPr>
                          <w:pStyle w:val="72"/>
                        </w:pPr>
                        <w:r>
                          <w:rPr>
                            <w:rFonts w:hint="eastAsia"/>
                          </w:rPr>
                          <w:t>公司安全生产规章制度</w:t>
                        </w:r>
                      </w:p>
                    </w:txbxContent>
                  </v:textbox>
                </v:shape>
                <v:shape id="Text Box 2595" o:spid="_x0000_s1026" o:spt="202" type="#_x0000_t202" style="position:absolute;left:2734;top:1916;height:348;width:4392;v-text-anchor:middle;" fillcolor="#C5E0B4 [1305]" filled="t" stroked="t" coordsize="21600,21600" o:gfxdata="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aJq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FBA0BC3">
                        <w:pPr>
                          <w:pStyle w:val="72"/>
                        </w:pPr>
                        <w:r>
                          <w:rPr>
                            <w:rFonts w:hint="eastAsia"/>
                          </w:rPr>
                          <w:t>国家、省部、地方安全生产法律法规</w:t>
                        </w:r>
                      </w:p>
                    </w:txbxContent>
                  </v:textbox>
                </v:shape>
                <v:shape id="Text Box 2596" o:spid="_x0000_s1026" o:spt="202" type="#_x0000_t202" style="position:absolute;left:2734;top:2785;height:349;width:2533;v-text-anchor:middle;" fillcolor="#C5E0B4 [1305]" filled="t" stroked="t" coordsize="21600,21600" o:gfxdata="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Giwy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23B6643">
                        <w:pPr>
                          <w:pStyle w:val="72"/>
                        </w:pPr>
                        <w:r>
                          <w:rPr>
                            <w:rFonts w:hint="eastAsia"/>
                          </w:rPr>
                          <w:t>项目安全工作标准</w:t>
                        </w:r>
                      </w:p>
                    </w:txbxContent>
                  </v:textbox>
                </v:shape>
                <v:line id="Line 2597" o:spid="_x0000_s1026" o:spt="20" style="position:absolute;left:2396;top:2088;height:1308;width:0;" filled="f" stroked="t" coordsize="21600,21600" o:gfxdata="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dzTq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98" o:spid="_x0000_s1026" o:spt="20" style="position:absolute;left:2396;top:2088;height:0;width:338;" filled="f" stroked="t" coordsize="21600,21600" o:gfxdata="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t7sjr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line id="Line 2599" o:spid="_x0000_s1026" o:spt="20" style="position:absolute;left:2396;top:2959;height:0;width:338;" filled="f" stroked="t" coordsize="21600,21600" o:gfxdata="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91rm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00" o:spid="_x0000_s1026" o:spt="20" style="position:absolute;left:5267;top:2961;height:0;width:338;" filled="f" stroked="t" coordsize="21600,21600" o:gfxdata="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8XM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01" o:spid="_x0000_s1026" o:spt="202" type="#_x0000_t202" style="position:absolute;left:5605;top:2787;height:348;width:676;v-text-anchor:middle;" fillcolor="#C5E0B4 [1305]" filled="t" stroked="t" coordsize="21600,21600" o:gfxdata="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ETM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490310CC">
                        <w:pPr>
                          <w:pStyle w:val="72"/>
                        </w:pPr>
                        <w:r>
                          <w:rPr>
                            <w:rFonts w:hint="eastAsia"/>
                          </w:rPr>
                          <w:t>计划</w:t>
                        </w:r>
                      </w:p>
                    </w:txbxContent>
                  </v:textbox>
                </v:shape>
                <v:shape id="Text Box 2602" o:spid="_x0000_s1026" o:spt="202" type="#_x0000_t202" style="position:absolute;left:6281;top:2787;height:348;width:676;v-text-anchor:middle;" fillcolor="#C5E0B4 [1305]" filled="t" stroked="t" coordsize="21600,21600" o:gfxdata="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sOFX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A4F3F97">
                        <w:pPr>
                          <w:pStyle w:val="72"/>
                        </w:pPr>
                        <w:r>
                          <w:rPr>
                            <w:rFonts w:hint="eastAsia"/>
                          </w:rPr>
                          <w:t>教育</w:t>
                        </w:r>
                      </w:p>
                    </w:txbxContent>
                  </v:textbox>
                </v:shape>
                <v:shape id="Text Box 2603" o:spid="_x0000_s1026" o:spt="202" type="#_x0000_t202" style="position:absolute;left:6957;top:2787;height:348;width:675;v-text-anchor:middle;" fillcolor="#C5E0B4 [1305]" filled="t" stroked="t" coordsize="21600,21600" o:gfxdata="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aCd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4773CEF">
                        <w:pPr>
                          <w:pStyle w:val="72"/>
                        </w:pPr>
                        <w:r>
                          <w:rPr>
                            <w:rFonts w:hint="eastAsia"/>
                          </w:rPr>
                          <w:t>检查</w:t>
                        </w:r>
                      </w:p>
                    </w:txbxContent>
                  </v:textbox>
                </v:shape>
                <v:shape id="Text Box 2604" o:spid="_x0000_s1026" o:spt="202" type="#_x0000_t202" style="position:absolute;left:7632;top:2787;height:348;width:676;v-text-anchor:middle;" fillcolor="#C5E0B4 [1305]" filled="t" stroked="t" coordsize="21600,21600" o:gfxdata="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OqJ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C98DDAD">
                        <w:pPr>
                          <w:pStyle w:val="72"/>
                        </w:pPr>
                        <w:r>
                          <w:rPr>
                            <w:rFonts w:hint="eastAsia"/>
                          </w:rPr>
                          <w:t>奖惩</w:t>
                        </w:r>
                      </w:p>
                    </w:txbxContent>
                  </v:textbox>
                </v:shape>
                <v:line id="Line 2605" o:spid="_x0000_s1026" o:spt="20" style="position:absolute;left:5267;top:784;height:0;width:338;" filled="f" stroked="t" coordsize="21600,21600" o:gfxdata="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Nd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06" o:spid="_x0000_s1026" o:spt="20" style="position:absolute;left:5267;top:1219;height:0;width:338;" filled="f" stroked="t" coordsize="21600,21600" o:gfxdata="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r+c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07" o:spid="_x0000_s1026" o:spt="20" style="position:absolute;left:5267;top:1654;height:0;width:338;" filled="f" stroked="t" coordsize="21600,21600" o:gfxdata="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Tyfo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08" o:spid="_x0000_s1026" o:spt="202" type="#_x0000_t202" style="position:absolute;left:2734;top:3222;height:348;width:5574;v-text-anchor:middle;" fillcolor="#C5E0B4 [1305]" filled="t" stroked="t" coordsize="21600,21600" o:gfxdata="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SHv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CAE5428">
                        <w:pPr>
                          <w:pStyle w:val="72"/>
                        </w:pPr>
                        <w:r>
                          <w:rPr>
                            <w:rFonts w:hint="eastAsia"/>
                          </w:rPr>
                          <w:t>特殊工种、特种设备、关键工序安全操作规程</w:t>
                        </w:r>
                      </w:p>
                    </w:txbxContent>
                  </v:textbox>
                </v:shape>
                <v:line id="Line 2609" o:spid="_x0000_s1026" o:spt="20" style="position:absolute;left:2396;top:3396;height:0;width:338;" filled="f" stroked="t" coordsize="21600,21600" o:gfxdata="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RHAS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0" o:spid="_x0000_s1026" o:spt="20" style="position:absolute;left:709;top:4265;height:0;width:124;" filled="f" stroked="t" coordsize="21600,21600" o:gfxdata="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nbmf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11" o:spid="_x0000_s1026" o:spt="202" type="#_x0000_t202" style="position:absolute;left:833;top:4091;height:349;width:1352;v-text-anchor:middle;" fillcolor="#C5E0B4 [1305]" filled="t" stroked="t" coordsize="21600,21600" o:gfxdata="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COcb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28D9655E">
                        <w:pPr>
                          <w:pStyle w:val="72"/>
                        </w:pPr>
                        <w:r>
                          <w:rPr>
                            <w:rFonts w:hint="eastAsia"/>
                          </w:rPr>
                          <w:t>技术保证</w:t>
                        </w:r>
                      </w:p>
                    </w:txbxContent>
                  </v:textbox>
                </v:shape>
                <v:line id="Line 2612" o:spid="_x0000_s1026" o:spt="20" style="position:absolute;left:2185;top:4265;height:0;width:549;" filled="f" stroked="t" coordsize="21600,21600" o:gfxdata="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oh2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613" o:spid="_x0000_s1026" o:spt="202" type="#_x0000_t202" style="position:absolute;left:2734;top:4091;height:349;width:3547;v-text-anchor:middle;" fillcolor="#C5E0B4 [1305]" filled="t" stroked="t" coordsize="21600,21600" o:gfxdata="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8Uq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296A8EF2">
                        <w:pPr>
                          <w:pStyle w:val="72"/>
                        </w:pPr>
                        <w:r>
                          <w:rPr>
                            <w:rFonts w:hint="eastAsia"/>
                          </w:rPr>
                          <w:t>分部、分项工程安全技术交底</w:t>
                        </w:r>
                      </w:p>
                    </w:txbxContent>
                  </v:textbox>
                </v:shape>
                <v:shape id="Text Box 2614" o:spid="_x0000_s1026" o:spt="202" type="#_x0000_t202" style="position:absolute;left:2734;top:3657;height:349;width:3547;v-text-anchor:middle;" fillcolor="#C5E0B4 [1305]" filled="t" stroked="t" coordsize="21600,21600" o:gfxdata="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OxM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371B1E40">
                        <w:pPr>
                          <w:pStyle w:val="72"/>
                        </w:pPr>
                        <w:r>
                          <w:rPr>
                            <w:rFonts w:hint="eastAsia"/>
                          </w:rPr>
                          <w:t>施工组织设计安全保证措施</w:t>
                        </w:r>
                      </w:p>
                    </w:txbxContent>
                  </v:textbox>
                </v:shape>
                <v:shape id="Text Box 2615" o:spid="_x0000_s1026" o:spt="202" type="#_x0000_t202" style="position:absolute;left:2734;top:4527;height:348;width:2533;v-text-anchor:middle;" fillcolor="#C5E0B4 [1305]" filled="t" stroked="t" coordsize="21600,21600" o:gfxdata="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EvRr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03D1C491">
                        <w:pPr>
                          <w:pStyle w:val="72"/>
                        </w:pPr>
                        <w:r>
                          <w:rPr>
                            <w:rFonts w:hint="eastAsia"/>
                          </w:rPr>
                          <w:t>安全QC小组</w:t>
                        </w:r>
                      </w:p>
                    </w:txbxContent>
                  </v:textbox>
                </v:shape>
                <v:line id="Line 2616" o:spid="_x0000_s1026" o:spt="20" style="position:absolute;left:2396;top:3830;height:873;width:0;" filled="f" stroked="t" coordsize="21600,21600" o:gfxdata="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KU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7" o:spid="_x0000_s1026" o:spt="20" style="position:absolute;left:2396;top:3830;height:0;width:338;" filled="f" stroked="t" coordsize="21600,21600" o:gfxdata="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rE1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618" o:spid="_x0000_s1026" o:spt="20" style="position:absolute;left:2396;top:4701;height:0;width:338;" filled="f" stroked="t" coordsize="21600,21600" o:gfxdata="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FK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19" o:spid="_x0000_s1026" o:spt="20" style="position:absolute;left:5267;top:4703;height:0;width:338;" filled="f" stroked="t" coordsize="21600,21600" o:gfxdata="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8Iitm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620" o:spid="_x0000_s1026" o:spt="202" type="#_x0000_t202" style="position:absolute;left:5605;top:4529;height:348;width:676;v-text-anchor:middle;" fillcolor="#C5E0B4 [1305]" filled="t" stroked="t" coordsize="21600,21600" o:gfxdata="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7ET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494C495B">
                        <w:pPr>
                          <w:pStyle w:val="72"/>
                        </w:pPr>
                        <w:r>
                          <w:rPr>
                            <w:rFonts w:hint="eastAsia"/>
                          </w:rPr>
                          <w:t>P</w:t>
                        </w:r>
                      </w:p>
                    </w:txbxContent>
                  </v:textbox>
                </v:shape>
                <v:shape id="Text Box 2621" o:spid="_x0000_s1026" o:spt="202" type="#_x0000_t202" style="position:absolute;left:6281;top:4529;height:348;width:676;v-text-anchor:middle;" fillcolor="#C5E0B4 [1305]" filled="t" stroked="t" coordsize="21600,21600" o:gfxdata="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D/o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116DAF82">
                        <w:pPr>
                          <w:pStyle w:val="72"/>
                        </w:pPr>
                        <w:r>
                          <w:rPr>
                            <w:rFonts w:hint="eastAsia"/>
                          </w:rPr>
                          <w:t>D</w:t>
                        </w:r>
                      </w:p>
                    </w:txbxContent>
                  </v:textbox>
                </v:shape>
                <v:shape id="Text Box 2622" o:spid="_x0000_s1026" o:spt="202" type="#_x0000_t202" style="position:absolute;left:6957;top:4529;height:348;width:675;v-text-anchor:middle;" fillcolor="#C5E0B4 [1305]" filled="t" stroked="t" coordsize="21600,21600" o:gfxdata="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czl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748AE739">
                        <w:pPr>
                          <w:pStyle w:val="72"/>
                        </w:pPr>
                        <w:r>
                          <w:rPr>
                            <w:rFonts w:hint="eastAsia"/>
                          </w:rPr>
                          <w:t>C</w:t>
                        </w:r>
                      </w:p>
                    </w:txbxContent>
                  </v:textbox>
                </v:shape>
                <v:shape id="Text Box 2623" o:spid="_x0000_s1026" o:spt="202" type="#_x0000_t202" style="position:absolute;left:7632;top:4529;height:348;width:676;v-text-anchor:middle;" fillcolor="#C5E0B4 [1305]" filled="t" stroked="t" coordsize="21600,21600" o:gfxdata="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8E97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5B7932F4">
                        <w:pPr>
                          <w:pStyle w:val="72"/>
                        </w:pPr>
                        <w:r>
                          <w:rPr>
                            <w:rFonts w:hint="eastAsia"/>
                          </w:rPr>
                          <w:t>A</w:t>
                        </w:r>
                      </w:p>
                    </w:txbxContent>
                  </v:textbox>
                </v:shape>
                <v:line id="Line 2624" o:spid="_x0000_s1026" o:spt="20" style="position:absolute;left:690;top:5573;height:0;width:143;" filled="f" stroked="t" coordsize="21600,21600" o:gfxdata="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BJ+0b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shape id="Text Box 2625" o:spid="_x0000_s1026" o:spt="202" type="#_x0000_t202" style="position:absolute;left:833;top:5399;height:348;width:1352;v-text-anchor:middle;" fillcolor="#C5E0B4 [1305]" filled="t" stroked="t" coordsize="21600,21600" o:gfxdata="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ARzz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7725F8F0">
                        <w:pPr>
                          <w:pStyle w:val="72"/>
                        </w:pPr>
                        <w:r>
                          <w:rPr>
                            <w:rFonts w:hint="eastAsia"/>
                          </w:rPr>
                          <w:t>资源保证</w:t>
                        </w:r>
                      </w:p>
                    </w:txbxContent>
                  </v:textbox>
                </v:shape>
                <v:line id="Line 2626" o:spid="_x0000_s1026" o:spt="20" style="position:absolute;left:2185;top:5573;height:0;width:549;" filled="f" stroked="t" coordsize="21600,21600" o:gfxdata="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Oxx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627" o:spid="_x0000_s1026" o:spt="202" type="#_x0000_t202" style="position:absolute;left:2734;top:5399;height:348;width:3040;v-text-anchor:middle;" fillcolor="#C5E0B4 [1305]" filled="t" stroked="t" coordsize="21600,21600" o:gfxdata="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23wb4A&#10;AADc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0mm,0mm,0mm,0mm">
                    <w:txbxContent>
                      <w:p w14:paraId="607A3B80">
                        <w:pPr>
                          <w:pStyle w:val="72"/>
                        </w:pPr>
                        <w:r>
                          <w:rPr>
                            <w:rFonts w:hint="eastAsia"/>
                          </w:rPr>
                          <w:t>施工现场安全警示标志</w:t>
                        </w:r>
                      </w:p>
                      <w:p w14:paraId="5E3AC276">
                        <w:pPr>
                          <w:pStyle w:val="72"/>
                        </w:pPr>
                      </w:p>
                    </w:txbxContent>
                  </v:textbox>
                </v:shape>
                <v:shape id="Text Box 2628" o:spid="_x0000_s1026" o:spt="202" type="#_x0000_t202" style="position:absolute;left:2734;top:4965;height:349;width:3040;v-text-anchor:middle;" fillcolor="#C5E0B4 [1305]" filled="t" stroked="t" coordsize="21600,21600" o:gfxdata="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lC+1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474E8982">
                        <w:pPr>
                          <w:pStyle w:val="72"/>
                        </w:pPr>
                        <w:r>
                          <w:rPr>
                            <w:rFonts w:hint="eastAsia"/>
                          </w:rPr>
                          <w:t>施工现场安全防护措施</w:t>
                        </w:r>
                      </w:p>
                    </w:txbxContent>
                  </v:textbox>
                </v:shape>
                <v:shape id="Text Box 2629" o:spid="_x0000_s1026" o:spt="202" type="#_x0000_t202" style="position:absolute;left:2734;top:5835;height:348;width:3040;v-text-anchor:middle;" fillcolor="#C5E0B4 [1305]" filled="t" stroked="t" coordsize="21600,21600" o:gfxdata="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ChRZ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6593E2C">
                        <w:pPr>
                          <w:pStyle w:val="72"/>
                        </w:pPr>
                        <w:r>
                          <w:rPr>
                            <w:rFonts w:hint="eastAsia"/>
                          </w:rPr>
                          <w:t>作业人员劳动保护用品</w:t>
                        </w:r>
                      </w:p>
                    </w:txbxContent>
                  </v:textbox>
                </v:shape>
                <v:line id="Line 2630" o:spid="_x0000_s1026" o:spt="20" style="position:absolute;left:2396;top:5138;height:873;width:0;" filled="f" stroked="t" coordsize="21600,21600" o:gfxdata="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UEl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631" o:spid="_x0000_s1026" o:spt="20" style="position:absolute;left:2396;top:5138;height:0;width:338;" filled="f" stroked="t" coordsize="21600,21600" o:gfxdata="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S4Ys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632" o:spid="_x0000_s1026" o:spt="20" style="position:absolute;left:2396;top:6009;height:0;width:338;" filled="f" stroked="t" coordsize="21600,21600" o:gfxdata="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HI7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w10:wrap type="none"/>
                <w10:anchorlock/>
              </v:group>
            </w:pict>
          </mc:Fallback>
        </mc:AlternateContent>
      </w:r>
    </w:p>
    <w:p w14:paraId="195835E5">
      <w:pPr>
        <w:pStyle w:val="4"/>
        <w:bidi w:val="0"/>
        <w:rPr>
          <w:highlight w:val="none"/>
        </w:rPr>
      </w:pPr>
      <w:r>
        <w:rPr>
          <w:rFonts w:hint="eastAsia"/>
          <w:highlight w:val="none"/>
          <w:lang w:val="en-US" w:eastAsia="zh-CN"/>
        </w:rPr>
        <w:t>6.1.3</w:t>
      </w:r>
      <w:r>
        <w:rPr>
          <w:rFonts w:hint="eastAsia" w:ascii="宋体" w:hAnsi="宋体" w:eastAsia="宋体" w:cs="宋体"/>
          <w:color w:val="000000"/>
          <w:kern w:val="0"/>
          <w:sz w:val="24"/>
          <w:szCs w:val="24"/>
          <w:highlight w:val="none"/>
          <w:lang w:val="en-US" w:eastAsia="zh-CN" w:bidi="ar"/>
        </w:rPr>
        <w:t>思想保证措施</w:t>
      </w:r>
    </w:p>
    <w:p w14:paraId="5170B4FA">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（1）全体参建人员严格执行党和国家有关安全生产法律、法规和安全生产规程，自觉遵守国家、行业、地方及业主的有关安全生产管理规定。 </w:t>
      </w:r>
    </w:p>
    <w:p w14:paraId="30184089">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（2）认真贯彻执行“安全第一、预防为主、综合治理”的方针，增强全员安全意识，使全员都能明确自己的安全目标和职责，达到全员参加，全员实施的目的，体现“安全生产、人人有责”的原则。 </w:t>
      </w:r>
    </w:p>
    <w:p w14:paraId="09C95F25">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（3）分项工程开工前，对所有上岗人员进行安全教育培训，使全员都能遵守生产必须安全，安全才能生产的原则，严格执行安全操作规程，持证上岗。 </w:t>
      </w:r>
    </w:p>
    <w:p w14:paraId="245808C8">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 xml:space="preserve">（4）随时接受业主及监理单位对安全生产的督促、检查、考评，对提出的问题，立即落实方案组织实施，确保安全生产。 </w:t>
      </w:r>
    </w:p>
    <w:p w14:paraId="0EA83606">
      <w:pPr>
        <w:pStyle w:val="4"/>
        <w:bidi w:val="0"/>
        <w:rPr>
          <w:rFonts w:hint="default"/>
          <w:highlight w:val="none"/>
          <w:lang w:val="en-US" w:eastAsia="zh-CN"/>
        </w:rPr>
      </w:pPr>
      <w:r>
        <w:rPr>
          <w:rFonts w:hint="eastAsia"/>
          <w:highlight w:val="none"/>
          <w:lang w:val="en-US" w:eastAsia="zh-CN"/>
        </w:rPr>
        <w:t>6.1.4安全生产职责</w:t>
      </w:r>
    </w:p>
    <w:p w14:paraId="65A9E113">
      <w:pPr>
        <w:bidi w:val="0"/>
        <w:ind w:firstLine="480" w:firstLineChars="200"/>
        <w:rPr>
          <w:highlight w:val="none"/>
        </w:rPr>
      </w:pPr>
      <w:r>
        <w:rPr>
          <w:highlight w:val="none"/>
        </w:rPr>
        <w:t>①项目经理</w:t>
      </w:r>
    </w:p>
    <w:p w14:paraId="1E7EF762">
      <w:pPr>
        <w:bidi w:val="0"/>
        <w:ind w:firstLine="480" w:firstLineChars="200"/>
        <w:rPr>
          <w:rFonts w:hint="default"/>
          <w:highlight w:val="none"/>
          <w:lang w:val="en-US" w:eastAsia="zh-CN"/>
        </w:rPr>
      </w:pPr>
      <w:r>
        <w:rPr>
          <w:highlight w:val="none"/>
        </w:rPr>
        <w:t>项目经理是工程项目安全生产第一责任者和管理，对本工程项目安全生产负全面责任。其安全生产责任是：</w:t>
      </w:r>
    </w:p>
    <w:p w14:paraId="754725D0">
      <w:pPr>
        <w:adjustRightInd w:val="0"/>
        <w:snapToGrid w:val="0"/>
        <w:spacing w:line="460" w:lineRule="exact"/>
        <w:ind w:firstLine="480" w:firstLineChars="200"/>
        <w:jc w:val="left"/>
        <w:rPr>
          <w:rFonts w:hint="eastAsia" w:ascii="宋体" w:hAnsi="宋体" w:cs="仿宋_GB2312+3+5"/>
          <w:kern w:val="0"/>
          <w:sz w:val="24"/>
          <w:highlight w:val="none"/>
        </w:rPr>
      </w:pPr>
      <w:r>
        <w:rPr>
          <w:rFonts w:hint="eastAsia" w:ascii="宋体" w:hAnsi="宋体" w:cs="仿宋_GB2312+3+3"/>
          <w:kern w:val="0"/>
          <w:sz w:val="24"/>
          <w:highlight w:val="none"/>
        </w:rPr>
        <w:t>1</w:t>
      </w:r>
      <w:r>
        <w:rPr>
          <w:rFonts w:hint="eastAsia" w:ascii="宋体" w:hAnsi="宋体" w:cs="仿宋_GB2312+3+3"/>
          <w:kern w:val="0"/>
          <w:sz w:val="24"/>
          <w:highlight w:val="none"/>
          <w:lang w:eastAsia="zh-CN"/>
        </w:rPr>
        <w:t>）</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责任制在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方面</w:t>
      </w:r>
      <w:r>
        <w:rPr>
          <w:rFonts w:hint="eastAsia" w:ascii="宋体" w:hAnsi="宋体" w:cs="仿宋_GB2312+3+2"/>
          <w:kern w:val="0"/>
          <w:sz w:val="24"/>
          <w:highlight w:val="none"/>
        </w:rPr>
        <w:t>对</w:t>
      </w:r>
      <w:r>
        <w:rPr>
          <w:rFonts w:hint="eastAsia" w:ascii="宋体" w:hAnsi="宋体" w:cs="仿宋_GB2312+3+3"/>
          <w:kern w:val="0"/>
          <w:sz w:val="24"/>
          <w:highlight w:val="none"/>
        </w:rPr>
        <w:t>总</w:t>
      </w:r>
      <w:r>
        <w:rPr>
          <w:rFonts w:hint="eastAsia" w:ascii="宋体" w:hAnsi="宋体" w:cs="仿宋_GB2312+3+1"/>
          <w:kern w:val="0"/>
          <w:sz w:val="24"/>
          <w:highlight w:val="none"/>
        </w:rPr>
        <w:t>经理</w:t>
      </w:r>
      <w:r>
        <w:rPr>
          <w:rFonts w:hint="eastAsia" w:ascii="宋体" w:hAnsi="宋体" w:cs="仿宋_GB2312+3+3"/>
          <w:kern w:val="0"/>
          <w:sz w:val="24"/>
          <w:highlight w:val="none"/>
        </w:rPr>
        <w:t>负</w:t>
      </w:r>
      <w:r>
        <w:rPr>
          <w:rFonts w:hint="eastAsia" w:ascii="宋体" w:hAnsi="宋体" w:cs="仿宋_GB2312+3+1"/>
          <w:kern w:val="0"/>
          <w:sz w:val="24"/>
          <w:highlight w:val="none"/>
        </w:rPr>
        <w:t>责，</w:t>
      </w:r>
      <w:r>
        <w:rPr>
          <w:rFonts w:hint="eastAsia" w:ascii="宋体" w:hAnsi="宋体" w:cs="仿宋_GB2312+3+3"/>
          <w:kern w:val="0"/>
          <w:sz w:val="24"/>
          <w:highlight w:val="none"/>
        </w:rPr>
        <w:t>是</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第一责任</w:t>
      </w:r>
      <w:r>
        <w:rPr>
          <w:rFonts w:hint="eastAsia" w:ascii="宋体" w:hAnsi="宋体" w:cs="仿宋_GB2312+3+4"/>
          <w:kern w:val="0"/>
          <w:sz w:val="24"/>
          <w:highlight w:val="none"/>
        </w:rPr>
        <w:t>者</w:t>
      </w:r>
      <w:r>
        <w:rPr>
          <w:rFonts w:hint="eastAsia" w:ascii="宋体" w:hAnsi="宋体" w:cs="仿宋_GB2312+3+1"/>
          <w:kern w:val="0"/>
          <w:sz w:val="24"/>
          <w:highlight w:val="none"/>
        </w:rPr>
        <w:t>和管理</w:t>
      </w:r>
      <w:r>
        <w:rPr>
          <w:rFonts w:hint="eastAsia" w:ascii="宋体" w:hAnsi="宋体" w:cs="仿宋_GB2312+3+4"/>
          <w:kern w:val="0"/>
          <w:sz w:val="24"/>
          <w:highlight w:val="none"/>
        </w:rPr>
        <w:t>者</w:t>
      </w:r>
      <w:r>
        <w:rPr>
          <w:rFonts w:hint="eastAsia" w:ascii="宋体" w:hAnsi="宋体" w:cs="仿宋_GB2312+3+1"/>
          <w:kern w:val="0"/>
          <w:sz w:val="24"/>
          <w:highlight w:val="none"/>
        </w:rPr>
        <w:t>，</w:t>
      </w:r>
      <w:r>
        <w:rPr>
          <w:rFonts w:hint="eastAsia" w:ascii="宋体" w:hAnsi="宋体" w:cs="仿宋_GB2312+3+2"/>
          <w:kern w:val="0"/>
          <w:sz w:val="24"/>
          <w:highlight w:val="none"/>
        </w:rPr>
        <w:t>对本</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负</w:t>
      </w:r>
      <w:r>
        <w:rPr>
          <w:rFonts w:hint="eastAsia" w:ascii="宋体" w:hAnsi="宋体" w:cs="仿宋_GB2312+3+1"/>
          <w:kern w:val="0"/>
          <w:sz w:val="24"/>
          <w:highlight w:val="none"/>
        </w:rPr>
        <w:t>全面责任。</w:t>
      </w:r>
    </w:p>
    <w:p w14:paraId="4B3E300E">
      <w:pPr>
        <w:adjustRightInd w:val="0"/>
        <w:snapToGrid w:val="0"/>
        <w:spacing w:line="460" w:lineRule="exact"/>
        <w:ind w:firstLine="480" w:firstLineChars="200"/>
        <w:jc w:val="left"/>
        <w:rPr>
          <w:rFonts w:hint="eastAsia" w:ascii="宋体" w:hAnsi="宋体" w:cs="仿宋_GB2312+3+1"/>
          <w:kern w:val="0"/>
          <w:sz w:val="24"/>
          <w:highlight w:val="none"/>
        </w:rPr>
      </w:pPr>
      <w:r>
        <w:rPr>
          <w:rFonts w:hint="eastAsia" w:ascii="宋体" w:hAnsi="宋体" w:cs="仿宋_GB2312+3+1"/>
          <w:kern w:val="0"/>
          <w:sz w:val="24"/>
          <w:highlight w:val="none"/>
        </w:rPr>
        <w:t>2</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贯彻</w:t>
      </w:r>
      <w:r>
        <w:rPr>
          <w:rFonts w:hint="eastAsia" w:ascii="宋体" w:hAnsi="宋体" w:cs="仿宋_GB2312+3+3"/>
          <w:kern w:val="0"/>
          <w:sz w:val="24"/>
          <w:highlight w:val="none"/>
        </w:rPr>
        <w:t>落</w:t>
      </w:r>
      <w:r>
        <w:rPr>
          <w:rFonts w:hint="eastAsia" w:ascii="宋体" w:hAnsi="宋体" w:cs="仿宋_GB2312+3+1"/>
          <w:kern w:val="0"/>
          <w:sz w:val="24"/>
          <w:highlight w:val="none"/>
        </w:rPr>
        <w:t>实</w:t>
      </w:r>
      <w:r>
        <w:rPr>
          <w:rFonts w:hint="eastAsia" w:ascii="宋体" w:hAnsi="宋体" w:cs="仿宋_GB2312+3+4"/>
          <w:kern w:val="0"/>
          <w:sz w:val="24"/>
          <w:highlight w:val="none"/>
        </w:rPr>
        <w:t>国家</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方针、</w:t>
      </w:r>
      <w:r>
        <w:rPr>
          <w:rFonts w:hint="eastAsia" w:ascii="宋体" w:hAnsi="宋体" w:cs="仿宋_GB2312+3+4"/>
          <w:kern w:val="0"/>
          <w:sz w:val="24"/>
          <w:highlight w:val="none"/>
        </w:rPr>
        <w:t>政</w:t>
      </w:r>
      <w:r>
        <w:rPr>
          <w:rFonts w:hint="eastAsia" w:ascii="宋体" w:hAnsi="宋体" w:cs="仿宋_GB2312+3+2"/>
          <w:kern w:val="0"/>
          <w:sz w:val="24"/>
          <w:highlight w:val="none"/>
        </w:rPr>
        <w:t>策</w:t>
      </w:r>
      <w:r>
        <w:rPr>
          <w:rFonts w:hint="eastAsia" w:ascii="宋体" w:hAnsi="宋体" w:cs="仿宋_GB2312+3+1"/>
          <w:kern w:val="0"/>
          <w:sz w:val="24"/>
          <w:highlight w:val="none"/>
        </w:rPr>
        <w:t>、</w:t>
      </w:r>
      <w:r>
        <w:rPr>
          <w:rFonts w:hint="eastAsia" w:ascii="宋体" w:hAnsi="宋体" w:cs="仿宋_GB2312+3+2"/>
          <w:kern w:val="0"/>
          <w:sz w:val="24"/>
          <w:highlight w:val="none"/>
        </w:rPr>
        <w:t>法规</w:t>
      </w:r>
      <w:r>
        <w:rPr>
          <w:rFonts w:hint="eastAsia" w:ascii="宋体" w:hAnsi="宋体" w:cs="仿宋_GB2312+3+1"/>
          <w:kern w:val="0"/>
          <w:sz w:val="24"/>
          <w:highlight w:val="none"/>
        </w:rPr>
        <w:t>和各项</w:t>
      </w:r>
      <w:r>
        <w:rPr>
          <w:rFonts w:hint="eastAsia" w:ascii="宋体" w:hAnsi="宋体" w:cs="仿宋_GB2312+3+2"/>
          <w:kern w:val="0"/>
          <w:sz w:val="24"/>
          <w:highlight w:val="none"/>
        </w:rPr>
        <w:t>规</w:t>
      </w:r>
      <w:r>
        <w:rPr>
          <w:rFonts w:hint="eastAsia" w:ascii="宋体" w:hAnsi="宋体" w:cs="仿宋_GB2312+3+5"/>
          <w:kern w:val="0"/>
          <w:sz w:val="24"/>
          <w:highlight w:val="none"/>
        </w:rPr>
        <w:t>章</w:t>
      </w:r>
      <w:r>
        <w:rPr>
          <w:rFonts w:hint="eastAsia" w:ascii="宋体" w:hAnsi="宋体" w:cs="仿宋_GB2312+3+1"/>
          <w:kern w:val="0"/>
          <w:sz w:val="24"/>
          <w:highlight w:val="none"/>
        </w:rPr>
        <w:t>制度，</w:t>
      </w:r>
      <w:r>
        <w:rPr>
          <w:rFonts w:hint="eastAsia" w:ascii="宋体" w:hAnsi="宋体" w:cs="仿宋_GB2312+3+3"/>
          <w:kern w:val="0"/>
          <w:sz w:val="24"/>
          <w:highlight w:val="none"/>
        </w:rPr>
        <w:t>落</w:t>
      </w:r>
      <w:r>
        <w:rPr>
          <w:rFonts w:hint="eastAsia" w:ascii="宋体" w:hAnsi="宋体" w:cs="仿宋_GB2312+3+1"/>
          <w:kern w:val="0"/>
          <w:sz w:val="24"/>
          <w:highlight w:val="none"/>
        </w:rPr>
        <w:t>实企业</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各项</w:t>
      </w:r>
      <w:r>
        <w:rPr>
          <w:rFonts w:hint="eastAsia" w:ascii="宋体" w:hAnsi="宋体" w:cs="仿宋_GB2312+3+2"/>
          <w:kern w:val="0"/>
          <w:sz w:val="24"/>
          <w:highlight w:val="none"/>
        </w:rPr>
        <w:t>规</w:t>
      </w:r>
      <w:r>
        <w:rPr>
          <w:rFonts w:hint="eastAsia" w:ascii="宋体" w:hAnsi="宋体" w:cs="仿宋_GB2312+3+5"/>
          <w:kern w:val="0"/>
          <w:sz w:val="24"/>
          <w:highlight w:val="none"/>
        </w:rPr>
        <w:t>章</w:t>
      </w:r>
      <w:r>
        <w:rPr>
          <w:rFonts w:hint="eastAsia" w:ascii="宋体" w:hAnsi="宋体" w:cs="仿宋_GB2312+3+1"/>
          <w:kern w:val="0"/>
          <w:sz w:val="24"/>
          <w:highlight w:val="none"/>
        </w:rPr>
        <w:t>制度，</w:t>
      </w:r>
      <w:r>
        <w:rPr>
          <w:rFonts w:hint="eastAsia" w:ascii="宋体" w:hAnsi="宋体" w:cs="仿宋_GB2312+3+2"/>
          <w:kern w:val="0"/>
          <w:sz w:val="24"/>
          <w:highlight w:val="none"/>
        </w:rPr>
        <w:t>结合</w:t>
      </w:r>
      <w:r>
        <w:rPr>
          <w:rFonts w:hint="eastAsia" w:ascii="宋体" w:hAnsi="宋体" w:cs="仿宋_GB2312+3+1"/>
          <w:kern w:val="0"/>
          <w:sz w:val="24"/>
          <w:highlight w:val="none"/>
        </w:rPr>
        <w:t>工程项目</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2"/>
          <w:kern w:val="0"/>
          <w:sz w:val="24"/>
          <w:highlight w:val="none"/>
        </w:rPr>
        <w:t>及</w:t>
      </w:r>
      <w:r>
        <w:rPr>
          <w:rFonts w:hint="eastAsia" w:ascii="宋体" w:hAnsi="宋体" w:cs="仿宋_GB2312+3+1"/>
          <w:kern w:val="0"/>
          <w:sz w:val="24"/>
          <w:highlight w:val="none"/>
        </w:rPr>
        <w:t>施工</w:t>
      </w:r>
      <w:r>
        <w:rPr>
          <w:rFonts w:hint="eastAsia" w:ascii="宋体" w:hAnsi="宋体" w:cs="仿宋_GB2312+3+5"/>
          <w:kern w:val="0"/>
          <w:sz w:val="24"/>
          <w:highlight w:val="none"/>
        </w:rPr>
        <w:t>性</w:t>
      </w:r>
      <w:r>
        <w:rPr>
          <w:rFonts w:hint="eastAsia" w:ascii="宋体" w:hAnsi="宋体" w:cs="仿宋_GB2312+3+1"/>
          <w:kern w:val="0"/>
          <w:sz w:val="24"/>
          <w:highlight w:val="none"/>
        </w:rPr>
        <w:t>质，制</w:t>
      </w:r>
      <w:r>
        <w:rPr>
          <w:rFonts w:hint="eastAsia" w:ascii="宋体" w:hAnsi="宋体" w:cs="仿宋_GB2312+3+2"/>
          <w:kern w:val="0"/>
          <w:sz w:val="24"/>
          <w:highlight w:val="none"/>
        </w:rPr>
        <w:t>定</w:t>
      </w:r>
      <w:r>
        <w:rPr>
          <w:rFonts w:hint="eastAsia" w:ascii="宋体" w:hAnsi="宋体" w:cs="仿宋_GB2312+3+1"/>
          <w:kern w:val="0"/>
          <w:sz w:val="24"/>
          <w:highlight w:val="none"/>
        </w:rPr>
        <w:t>有针</w:t>
      </w:r>
      <w:r>
        <w:rPr>
          <w:rFonts w:hint="eastAsia" w:ascii="宋体" w:hAnsi="宋体" w:cs="仿宋_GB2312+3+2"/>
          <w:kern w:val="0"/>
          <w:sz w:val="24"/>
          <w:highlight w:val="none"/>
        </w:rPr>
        <w:t>对</w:t>
      </w:r>
      <w:r>
        <w:rPr>
          <w:rFonts w:hint="eastAsia" w:ascii="宋体" w:hAnsi="宋体" w:cs="仿宋_GB2312+3+5"/>
          <w:kern w:val="0"/>
          <w:sz w:val="24"/>
          <w:highlight w:val="none"/>
        </w:rPr>
        <w:t>性</w:t>
      </w:r>
      <w:r>
        <w:rPr>
          <w:rFonts w:hint="eastAsia" w:ascii="宋体" w:hAnsi="宋体" w:cs="仿宋_GB2312+3+3"/>
          <w:kern w:val="0"/>
          <w:sz w:val="24"/>
          <w:highlight w:val="none"/>
        </w:rPr>
        <w:t>的</w:t>
      </w:r>
      <w:r>
        <w:rPr>
          <w:rFonts w:hint="eastAsia" w:ascii="宋体" w:hAnsi="宋体" w:cs="仿宋_GB2312+3+1"/>
          <w:kern w:val="0"/>
          <w:sz w:val="24"/>
          <w:highlight w:val="none"/>
        </w:rPr>
        <w:t>各项</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w:t>
      </w:r>
      <w:r>
        <w:rPr>
          <w:rFonts w:hint="eastAsia" w:ascii="宋体" w:hAnsi="宋体" w:cs="仿宋_GB2312+3+3"/>
          <w:kern w:val="0"/>
          <w:sz w:val="24"/>
          <w:highlight w:val="none"/>
        </w:rPr>
        <w:t>办</w:t>
      </w:r>
      <w:r>
        <w:rPr>
          <w:rFonts w:hint="eastAsia" w:ascii="宋体" w:hAnsi="宋体" w:cs="仿宋_GB2312+3+2"/>
          <w:kern w:val="0"/>
          <w:sz w:val="24"/>
          <w:highlight w:val="none"/>
        </w:rPr>
        <w:t>法</w:t>
      </w:r>
      <w:r>
        <w:rPr>
          <w:rFonts w:hint="eastAsia" w:ascii="宋体" w:hAnsi="宋体" w:cs="仿宋_GB2312+3+1"/>
          <w:kern w:val="0"/>
          <w:sz w:val="24"/>
          <w:highlight w:val="none"/>
        </w:rPr>
        <w:t>和实施</w:t>
      </w:r>
      <w:r>
        <w:rPr>
          <w:rFonts w:hint="eastAsia" w:ascii="宋体" w:hAnsi="宋体" w:cs="仿宋_GB2312+3+6"/>
          <w:kern w:val="0"/>
          <w:sz w:val="24"/>
          <w:highlight w:val="none"/>
        </w:rPr>
        <w:t>细</w:t>
      </w:r>
      <w:r>
        <w:rPr>
          <w:rFonts w:hint="eastAsia" w:ascii="宋体" w:hAnsi="宋体" w:cs="仿宋_GB2312+3+3"/>
          <w:kern w:val="0"/>
          <w:sz w:val="24"/>
          <w:highlight w:val="none"/>
        </w:rPr>
        <w:t>则</w:t>
      </w:r>
      <w:r>
        <w:rPr>
          <w:rFonts w:hint="eastAsia" w:ascii="宋体" w:hAnsi="宋体" w:cs="仿宋_GB2312+3+1"/>
          <w:kern w:val="0"/>
          <w:sz w:val="24"/>
          <w:highlight w:val="none"/>
        </w:rPr>
        <w:t>，</w:t>
      </w:r>
      <w:r>
        <w:rPr>
          <w:rFonts w:hint="eastAsia" w:ascii="宋体" w:hAnsi="宋体" w:cs="仿宋_GB2312+3+2"/>
          <w:kern w:val="0"/>
          <w:sz w:val="24"/>
          <w:highlight w:val="none"/>
        </w:rPr>
        <w:t>并</w:t>
      </w:r>
      <w:r>
        <w:rPr>
          <w:rFonts w:hint="eastAsia" w:ascii="宋体" w:hAnsi="宋体" w:cs="仿宋_GB2312+3+1"/>
          <w:kern w:val="0"/>
          <w:sz w:val="24"/>
          <w:highlight w:val="none"/>
        </w:rPr>
        <w:t>主</w:t>
      </w:r>
      <w:r>
        <w:rPr>
          <w:rFonts w:hint="eastAsia" w:ascii="宋体" w:hAnsi="宋体" w:cs="仿宋_GB2312+3+2"/>
          <w:kern w:val="0"/>
          <w:sz w:val="24"/>
          <w:highlight w:val="none"/>
        </w:rPr>
        <w:t>持</w:t>
      </w:r>
      <w:r>
        <w:rPr>
          <w:rFonts w:hint="eastAsia" w:ascii="宋体" w:hAnsi="宋体" w:cs="仿宋_GB2312+3+1"/>
          <w:kern w:val="0"/>
          <w:sz w:val="24"/>
          <w:highlight w:val="none"/>
        </w:rPr>
        <w:t>监督</w:t>
      </w:r>
      <w:r>
        <w:rPr>
          <w:rFonts w:hint="eastAsia" w:ascii="宋体" w:hAnsi="宋体" w:cs="仿宋_GB2312+3+4"/>
          <w:kern w:val="0"/>
          <w:sz w:val="24"/>
          <w:highlight w:val="none"/>
        </w:rPr>
        <w:t>其</w:t>
      </w:r>
      <w:r>
        <w:rPr>
          <w:rFonts w:hint="eastAsia" w:ascii="宋体" w:hAnsi="宋体" w:cs="仿宋_GB2312+3+1"/>
          <w:kern w:val="0"/>
          <w:sz w:val="24"/>
          <w:highlight w:val="none"/>
        </w:rPr>
        <w:t>实施</w:t>
      </w:r>
      <w:r>
        <w:rPr>
          <w:rFonts w:hint="eastAsia" w:ascii="宋体" w:hAnsi="宋体" w:cs="仿宋_GB2312+3+2"/>
          <w:kern w:val="0"/>
          <w:sz w:val="24"/>
          <w:highlight w:val="none"/>
        </w:rPr>
        <w:t>。</w:t>
      </w:r>
    </w:p>
    <w:p w14:paraId="11BF1663">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3</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必</w:t>
      </w:r>
      <w:r>
        <w:rPr>
          <w:rFonts w:hint="eastAsia" w:ascii="宋体" w:hAnsi="宋体" w:cs="仿宋_GB2312+3+1"/>
          <w:kern w:val="0"/>
          <w:sz w:val="24"/>
          <w:highlight w:val="none"/>
        </w:rPr>
        <w:t>须</w:t>
      </w:r>
      <w:r>
        <w:rPr>
          <w:rFonts w:hint="eastAsia" w:ascii="宋体" w:hAnsi="宋体" w:cs="仿宋_GB2312+3+2"/>
          <w:kern w:val="0"/>
          <w:sz w:val="24"/>
          <w:highlight w:val="none"/>
        </w:rPr>
        <w:t>根据</w:t>
      </w:r>
      <w:r>
        <w:rPr>
          <w:rFonts w:hint="eastAsia" w:ascii="宋体" w:hAnsi="宋体" w:cs="仿宋_GB2312+3+1"/>
          <w:kern w:val="0"/>
          <w:sz w:val="24"/>
          <w:highlight w:val="none"/>
        </w:rPr>
        <w:t>项目工程</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1"/>
          <w:kern w:val="0"/>
          <w:sz w:val="24"/>
          <w:highlight w:val="none"/>
        </w:rPr>
        <w:t>和工程</w:t>
      </w:r>
      <w:r>
        <w:rPr>
          <w:rFonts w:hint="eastAsia" w:ascii="宋体" w:hAnsi="宋体" w:cs="仿宋_GB2312+3+2"/>
          <w:kern w:val="0"/>
          <w:sz w:val="24"/>
          <w:highlight w:val="none"/>
        </w:rPr>
        <w:t>规</w:t>
      </w:r>
      <w:r>
        <w:rPr>
          <w:rFonts w:hint="eastAsia" w:ascii="宋体" w:hAnsi="宋体" w:cs="仿宋_GB2312+3+6"/>
          <w:kern w:val="0"/>
          <w:sz w:val="24"/>
          <w:highlight w:val="none"/>
        </w:rPr>
        <w:t>模</w:t>
      </w:r>
      <w:r>
        <w:rPr>
          <w:rFonts w:hint="eastAsia" w:ascii="宋体" w:hAnsi="宋体" w:cs="仿宋_GB2312+3+1"/>
          <w:kern w:val="0"/>
          <w:sz w:val="24"/>
          <w:highlight w:val="none"/>
        </w:rPr>
        <w:t>，</w:t>
      </w:r>
      <w:r>
        <w:rPr>
          <w:rFonts w:hint="eastAsia" w:ascii="宋体" w:hAnsi="宋体" w:cs="仿宋_GB2312+3+2"/>
          <w:kern w:val="0"/>
          <w:sz w:val="24"/>
          <w:highlight w:val="none"/>
        </w:rPr>
        <w:t>成</w:t>
      </w:r>
      <w:r>
        <w:rPr>
          <w:rFonts w:hint="eastAsia" w:ascii="宋体" w:hAnsi="宋体" w:cs="仿宋_GB2312+3+1"/>
          <w:kern w:val="0"/>
          <w:sz w:val="24"/>
          <w:highlight w:val="none"/>
        </w:rPr>
        <w:t>立工程项目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7"/>
          <w:kern w:val="0"/>
          <w:sz w:val="24"/>
          <w:highlight w:val="none"/>
        </w:rPr>
        <w:t>委</w:t>
      </w:r>
      <w:r>
        <w:rPr>
          <w:rFonts w:hint="eastAsia" w:ascii="宋体" w:hAnsi="宋体" w:cs="仿宋_GB2312+3+1"/>
          <w:kern w:val="0"/>
          <w:sz w:val="24"/>
          <w:highlight w:val="none"/>
        </w:rPr>
        <w:t>员</w:t>
      </w:r>
      <w:r>
        <w:rPr>
          <w:rFonts w:hint="eastAsia" w:ascii="宋体" w:hAnsi="宋体" w:cs="仿宋_GB2312+3+4"/>
          <w:kern w:val="0"/>
          <w:sz w:val="24"/>
          <w:highlight w:val="none"/>
        </w:rPr>
        <w:t>会或</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2"/>
          <w:kern w:val="0"/>
          <w:sz w:val="24"/>
          <w:highlight w:val="none"/>
        </w:rPr>
        <w:t>领导</w:t>
      </w:r>
      <w:r>
        <w:rPr>
          <w:rFonts w:hint="eastAsia" w:ascii="宋体" w:hAnsi="宋体" w:cs="仿宋_GB2312+3+3"/>
          <w:kern w:val="0"/>
          <w:sz w:val="24"/>
          <w:highlight w:val="none"/>
        </w:rPr>
        <w:t>小</w:t>
      </w:r>
      <w:r>
        <w:rPr>
          <w:rFonts w:hint="eastAsia" w:ascii="宋体" w:hAnsi="宋体" w:cs="仿宋_GB2312+3+2"/>
          <w:kern w:val="0"/>
          <w:sz w:val="24"/>
          <w:highlight w:val="none"/>
        </w:rPr>
        <w:t>组</w:t>
      </w:r>
      <w:r>
        <w:rPr>
          <w:rFonts w:hint="eastAsia" w:ascii="宋体" w:hAnsi="宋体" w:cs="仿宋_GB2312+3+1"/>
          <w:kern w:val="0"/>
          <w:sz w:val="24"/>
          <w:highlight w:val="none"/>
        </w:rPr>
        <w:t>，明确</w:t>
      </w:r>
      <w:r>
        <w:rPr>
          <w:rFonts w:hint="eastAsia" w:ascii="宋体" w:hAnsi="宋体" w:cs="仿宋_GB2312+3+2"/>
          <w:kern w:val="0"/>
          <w:sz w:val="24"/>
          <w:highlight w:val="none"/>
        </w:rPr>
        <w:t>本</w:t>
      </w:r>
      <w:r>
        <w:rPr>
          <w:rFonts w:hint="eastAsia" w:ascii="宋体" w:hAnsi="宋体" w:cs="仿宋_GB2312+3+1"/>
          <w:kern w:val="0"/>
          <w:sz w:val="24"/>
          <w:highlight w:val="none"/>
        </w:rPr>
        <w:t>项目工程</w:t>
      </w:r>
      <w:r>
        <w:rPr>
          <w:rFonts w:hint="eastAsia" w:ascii="宋体" w:hAnsi="宋体" w:cs="仿宋_GB2312+3+6"/>
          <w:kern w:val="0"/>
          <w:sz w:val="24"/>
          <w:highlight w:val="none"/>
        </w:rPr>
        <w:t>专</w:t>
      </w:r>
      <w:r>
        <w:rPr>
          <w:rFonts w:hint="eastAsia" w:ascii="宋体" w:hAnsi="宋体" w:cs="仿宋_GB2312+3+3"/>
          <w:kern w:val="0"/>
          <w:sz w:val="24"/>
          <w:highlight w:val="none"/>
        </w:rPr>
        <w:t>（</w:t>
      </w:r>
      <w:r>
        <w:rPr>
          <w:rFonts w:hint="eastAsia" w:ascii="宋体" w:hAnsi="宋体" w:cs="仿宋_GB2312+3+6"/>
          <w:kern w:val="0"/>
          <w:sz w:val="24"/>
          <w:highlight w:val="none"/>
        </w:rPr>
        <w:t>兼</w:t>
      </w:r>
      <w:r>
        <w:rPr>
          <w:rFonts w:hint="eastAsia" w:ascii="宋体" w:hAnsi="宋体" w:cs="仿宋_GB2312+3+3"/>
          <w:kern w:val="0"/>
          <w:sz w:val="24"/>
          <w:highlight w:val="none"/>
        </w:rPr>
        <w:t>）职安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w:t>
      </w:r>
      <w:r>
        <w:rPr>
          <w:rFonts w:hint="eastAsia" w:ascii="宋体" w:hAnsi="宋体" w:cs="仿宋_GB2312+3+8"/>
          <w:kern w:val="0"/>
          <w:sz w:val="24"/>
          <w:highlight w:val="none"/>
        </w:rPr>
        <w:t>支</w:t>
      </w:r>
      <w:r>
        <w:rPr>
          <w:rFonts w:hint="eastAsia" w:ascii="宋体" w:hAnsi="宋体" w:cs="仿宋_GB2312+3+2"/>
          <w:kern w:val="0"/>
          <w:sz w:val="24"/>
          <w:highlight w:val="none"/>
        </w:rPr>
        <w:t>持</w:t>
      </w:r>
      <w:r>
        <w:rPr>
          <w:rFonts w:hint="eastAsia" w:ascii="宋体" w:hAnsi="宋体" w:cs="仿宋_GB2312+3+1"/>
          <w:kern w:val="0"/>
          <w:sz w:val="24"/>
          <w:highlight w:val="none"/>
        </w:rPr>
        <w:t>、</w:t>
      </w:r>
      <w:r>
        <w:rPr>
          <w:rFonts w:hint="eastAsia" w:ascii="宋体" w:hAnsi="宋体" w:cs="仿宋_GB2312+3+4"/>
          <w:kern w:val="0"/>
          <w:sz w:val="24"/>
          <w:highlight w:val="none"/>
        </w:rPr>
        <w:t>指</w:t>
      </w:r>
      <w:r>
        <w:rPr>
          <w:rFonts w:hint="eastAsia" w:ascii="宋体" w:hAnsi="宋体" w:cs="仿宋_GB2312+3+2"/>
          <w:kern w:val="0"/>
          <w:sz w:val="24"/>
          <w:highlight w:val="none"/>
        </w:rPr>
        <w:t>导</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业监督管理人员工作，</w:t>
      </w:r>
      <w:r>
        <w:rPr>
          <w:rFonts w:hint="eastAsia" w:ascii="宋体" w:hAnsi="宋体" w:cs="仿宋_GB2312+3+2"/>
          <w:kern w:val="0"/>
          <w:sz w:val="24"/>
          <w:highlight w:val="none"/>
        </w:rPr>
        <w:t>并</w:t>
      </w:r>
      <w:r>
        <w:rPr>
          <w:rFonts w:hint="eastAsia" w:ascii="宋体" w:hAnsi="宋体" w:cs="仿宋_GB2312+3+3"/>
          <w:kern w:val="0"/>
          <w:sz w:val="24"/>
          <w:highlight w:val="none"/>
        </w:rPr>
        <w:t>不得</w:t>
      </w:r>
      <w:r>
        <w:rPr>
          <w:rFonts w:hint="eastAsia" w:ascii="宋体" w:hAnsi="宋体" w:cs="仿宋_GB2312+3+5"/>
          <w:kern w:val="0"/>
          <w:sz w:val="24"/>
          <w:highlight w:val="none"/>
        </w:rPr>
        <w:t>干</w:t>
      </w:r>
      <w:r>
        <w:rPr>
          <w:rFonts w:hint="eastAsia" w:ascii="宋体" w:hAnsi="宋体" w:cs="仿宋_GB2312+3+8"/>
          <w:kern w:val="0"/>
          <w:sz w:val="24"/>
          <w:highlight w:val="none"/>
        </w:rPr>
        <w:t>扰</w:t>
      </w:r>
      <w:r>
        <w:rPr>
          <w:rFonts w:hint="eastAsia" w:ascii="宋体" w:hAnsi="宋体" w:cs="仿宋_GB2312+3+4"/>
          <w:kern w:val="0"/>
          <w:sz w:val="24"/>
          <w:highlight w:val="none"/>
        </w:rPr>
        <w:t>或</w:t>
      </w:r>
      <w:r>
        <w:rPr>
          <w:rFonts w:hint="eastAsia" w:ascii="宋体" w:hAnsi="宋体" w:cs="仿宋_GB2312+3+8"/>
          <w:kern w:val="0"/>
          <w:sz w:val="24"/>
          <w:highlight w:val="none"/>
        </w:rPr>
        <w:t>阻</w:t>
      </w:r>
      <w:r>
        <w:rPr>
          <w:rFonts w:hint="eastAsia" w:ascii="宋体" w:hAnsi="宋体" w:cs="仿宋_GB2312+3+9"/>
          <w:kern w:val="0"/>
          <w:sz w:val="24"/>
          <w:highlight w:val="none"/>
        </w:rPr>
        <w:t>挠</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6"/>
          <w:kern w:val="0"/>
          <w:sz w:val="24"/>
          <w:highlight w:val="none"/>
        </w:rPr>
        <w:t>专</w:t>
      </w:r>
      <w:r>
        <w:rPr>
          <w:rFonts w:hint="eastAsia" w:ascii="宋体" w:hAnsi="宋体" w:cs="仿宋_GB2312+3+1"/>
          <w:kern w:val="0"/>
          <w:sz w:val="24"/>
          <w:highlight w:val="none"/>
        </w:rPr>
        <w:t>业监督管理人员行</w:t>
      </w:r>
      <w:r>
        <w:rPr>
          <w:rFonts w:hint="eastAsia" w:ascii="宋体" w:hAnsi="宋体" w:cs="仿宋_GB2312+3+3"/>
          <w:kern w:val="0"/>
          <w:sz w:val="24"/>
          <w:highlight w:val="none"/>
        </w:rPr>
        <w:t>使职权</w:t>
      </w:r>
      <w:r>
        <w:rPr>
          <w:rFonts w:hint="eastAsia" w:ascii="宋体" w:hAnsi="宋体" w:cs="仿宋_GB2312+3+2"/>
          <w:kern w:val="0"/>
          <w:sz w:val="24"/>
          <w:highlight w:val="none"/>
        </w:rPr>
        <w:t>。</w:t>
      </w:r>
    </w:p>
    <w:p w14:paraId="0DBCD7EC">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4</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在</w:t>
      </w:r>
      <w:r>
        <w:rPr>
          <w:rFonts w:hint="eastAsia" w:ascii="宋体" w:hAnsi="宋体" w:cs="仿宋_GB2312+3+2"/>
          <w:kern w:val="0"/>
          <w:sz w:val="24"/>
          <w:highlight w:val="none"/>
        </w:rPr>
        <w:t>组织</w:t>
      </w:r>
      <w:r>
        <w:rPr>
          <w:rFonts w:hint="eastAsia" w:ascii="宋体" w:hAnsi="宋体" w:cs="仿宋_GB2312+3+1"/>
          <w:kern w:val="0"/>
          <w:sz w:val="24"/>
          <w:highlight w:val="none"/>
        </w:rPr>
        <w:t>项目工程施工</w:t>
      </w:r>
      <w:r>
        <w:rPr>
          <w:rFonts w:hint="eastAsia" w:ascii="宋体" w:hAnsi="宋体" w:cs="仿宋_GB2312+3+5"/>
          <w:kern w:val="0"/>
          <w:sz w:val="24"/>
          <w:highlight w:val="none"/>
        </w:rPr>
        <w:t>前</w:t>
      </w:r>
      <w:r>
        <w:rPr>
          <w:rFonts w:hint="eastAsia" w:ascii="宋体" w:hAnsi="宋体" w:cs="仿宋_GB2312+3+1"/>
          <w:kern w:val="0"/>
          <w:sz w:val="24"/>
          <w:highlight w:val="none"/>
        </w:rPr>
        <w:t>，</w:t>
      </w:r>
      <w:r>
        <w:rPr>
          <w:rFonts w:hint="eastAsia" w:ascii="宋体" w:hAnsi="宋体" w:cs="仿宋_GB2312+3+2"/>
          <w:kern w:val="0"/>
          <w:sz w:val="24"/>
          <w:highlight w:val="none"/>
        </w:rPr>
        <w:t>必</w:t>
      </w:r>
      <w:r>
        <w:rPr>
          <w:rFonts w:hint="eastAsia" w:ascii="宋体" w:hAnsi="宋体" w:cs="仿宋_GB2312+3+1"/>
          <w:kern w:val="0"/>
          <w:sz w:val="24"/>
          <w:highlight w:val="none"/>
        </w:rPr>
        <w:t>须明确各</w:t>
      </w:r>
      <w:r>
        <w:rPr>
          <w:rFonts w:hint="eastAsia" w:ascii="宋体" w:hAnsi="宋体" w:cs="仿宋_GB2312+3+6"/>
          <w:kern w:val="0"/>
          <w:sz w:val="24"/>
          <w:highlight w:val="none"/>
        </w:rPr>
        <w:t>专</w:t>
      </w:r>
      <w:r>
        <w:rPr>
          <w:rFonts w:hint="eastAsia" w:ascii="宋体" w:hAnsi="宋体" w:cs="仿宋_GB2312+3+1"/>
          <w:kern w:val="0"/>
          <w:sz w:val="24"/>
          <w:highlight w:val="none"/>
        </w:rPr>
        <w:t>业管理部</w:t>
      </w:r>
      <w:r>
        <w:rPr>
          <w:rFonts w:hint="eastAsia" w:ascii="宋体" w:hAnsi="宋体" w:cs="仿宋_GB2312+3+2"/>
          <w:kern w:val="0"/>
          <w:sz w:val="24"/>
          <w:highlight w:val="none"/>
        </w:rPr>
        <w:t>门</w:t>
      </w:r>
      <w:r>
        <w:rPr>
          <w:rFonts w:hint="eastAsia" w:ascii="宋体" w:hAnsi="宋体" w:cs="仿宋_GB2312+3+1"/>
          <w:kern w:val="0"/>
          <w:sz w:val="24"/>
          <w:highlight w:val="none"/>
        </w:rPr>
        <w:t>和</w:t>
      </w:r>
      <w:r>
        <w:rPr>
          <w:rFonts w:hint="eastAsia" w:ascii="宋体" w:hAnsi="宋体" w:cs="仿宋_GB2312+3+3"/>
          <w:kern w:val="0"/>
          <w:sz w:val="24"/>
          <w:highlight w:val="none"/>
        </w:rPr>
        <w:t>关</w:t>
      </w:r>
      <w:r>
        <w:rPr>
          <w:rFonts w:hint="eastAsia" w:ascii="宋体" w:hAnsi="宋体" w:cs="仿宋_GB2312+3+6"/>
          <w:kern w:val="0"/>
          <w:sz w:val="24"/>
          <w:highlight w:val="none"/>
        </w:rPr>
        <w:t>键</w:t>
      </w:r>
      <w:r>
        <w:rPr>
          <w:rFonts w:hint="eastAsia" w:ascii="宋体" w:hAnsi="宋体" w:cs="仿宋_GB2312+3+3"/>
          <w:kern w:val="0"/>
          <w:sz w:val="24"/>
          <w:highlight w:val="none"/>
        </w:rPr>
        <w:t>岗</w:t>
      </w:r>
      <w:r>
        <w:rPr>
          <w:rFonts w:hint="eastAsia" w:ascii="宋体" w:hAnsi="宋体" w:cs="仿宋_GB2312+3+2"/>
          <w:kern w:val="0"/>
          <w:sz w:val="24"/>
          <w:highlight w:val="none"/>
        </w:rPr>
        <w:t>位</w:t>
      </w:r>
      <w:r>
        <w:rPr>
          <w:rFonts w:hint="eastAsia" w:ascii="宋体" w:hAnsi="宋体" w:cs="仿宋_GB2312+3+1"/>
          <w:kern w:val="0"/>
          <w:sz w:val="24"/>
          <w:highlight w:val="none"/>
        </w:rPr>
        <w:t>人员</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w:t>
      </w:r>
      <w:r>
        <w:rPr>
          <w:rFonts w:hint="eastAsia" w:ascii="宋体" w:hAnsi="宋体" w:cs="仿宋_GB2312+3+3"/>
          <w:kern w:val="0"/>
          <w:sz w:val="24"/>
          <w:highlight w:val="none"/>
        </w:rPr>
        <w:t>考核</w:t>
      </w:r>
      <w:r>
        <w:rPr>
          <w:rFonts w:hint="eastAsia" w:ascii="宋体" w:hAnsi="宋体" w:cs="仿宋_GB2312+3+4"/>
          <w:kern w:val="0"/>
          <w:sz w:val="24"/>
          <w:highlight w:val="none"/>
        </w:rPr>
        <w:t>指</w:t>
      </w:r>
      <w:r>
        <w:rPr>
          <w:rFonts w:hint="eastAsia" w:ascii="宋体" w:hAnsi="宋体" w:cs="仿宋_GB2312+3+1"/>
          <w:kern w:val="0"/>
          <w:sz w:val="24"/>
          <w:highlight w:val="none"/>
        </w:rPr>
        <w:t>标和</w:t>
      </w:r>
      <w:r>
        <w:rPr>
          <w:rFonts w:hint="eastAsia" w:ascii="宋体" w:hAnsi="宋体" w:cs="仿宋_GB2312+3+3"/>
          <w:kern w:val="0"/>
          <w:sz w:val="24"/>
          <w:highlight w:val="none"/>
        </w:rPr>
        <w:t>考核办</w:t>
      </w:r>
      <w:r>
        <w:rPr>
          <w:rFonts w:hint="eastAsia" w:ascii="宋体" w:hAnsi="宋体" w:cs="仿宋_GB2312+3+2"/>
          <w:kern w:val="0"/>
          <w:sz w:val="24"/>
          <w:highlight w:val="none"/>
        </w:rPr>
        <w:t>法</w:t>
      </w:r>
      <w:r>
        <w:rPr>
          <w:rFonts w:hint="eastAsia" w:ascii="宋体" w:hAnsi="宋体" w:cs="仿宋_GB2312+3+1"/>
          <w:kern w:val="0"/>
          <w:sz w:val="24"/>
          <w:highlight w:val="none"/>
        </w:rPr>
        <w:t>，</w:t>
      </w:r>
      <w:r>
        <w:rPr>
          <w:rFonts w:hint="eastAsia" w:ascii="宋体" w:hAnsi="宋体" w:cs="仿宋_GB2312+3+2"/>
          <w:kern w:val="0"/>
          <w:sz w:val="24"/>
          <w:highlight w:val="none"/>
        </w:rPr>
        <w:t>定期组织</w:t>
      </w:r>
      <w:r>
        <w:rPr>
          <w:rFonts w:hint="eastAsia" w:ascii="宋体" w:hAnsi="宋体" w:cs="仿宋_GB2312+3+1"/>
          <w:kern w:val="0"/>
          <w:sz w:val="24"/>
          <w:highlight w:val="none"/>
        </w:rPr>
        <w:t>实施</w:t>
      </w:r>
      <w:r>
        <w:rPr>
          <w:rFonts w:hint="eastAsia" w:ascii="宋体" w:hAnsi="宋体" w:cs="仿宋_GB2312+3+3"/>
          <w:kern w:val="0"/>
          <w:sz w:val="24"/>
          <w:highlight w:val="none"/>
        </w:rPr>
        <w:t>考核</w:t>
      </w:r>
      <w:r>
        <w:rPr>
          <w:rFonts w:hint="eastAsia" w:ascii="宋体" w:hAnsi="宋体" w:cs="仿宋_GB2312+3+1"/>
          <w:kern w:val="0"/>
          <w:sz w:val="24"/>
          <w:highlight w:val="none"/>
        </w:rPr>
        <w:t>，项目工程</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责任制</w:t>
      </w:r>
      <w:r>
        <w:rPr>
          <w:rFonts w:hint="eastAsia" w:ascii="宋体" w:hAnsi="宋体" w:cs="仿宋_GB2312+3+3"/>
          <w:kern w:val="0"/>
          <w:sz w:val="24"/>
          <w:highlight w:val="none"/>
        </w:rPr>
        <w:t>考核</w:t>
      </w:r>
      <w:r>
        <w:rPr>
          <w:rFonts w:hint="eastAsia" w:ascii="宋体" w:hAnsi="宋体" w:cs="仿宋_GB2312+3+1"/>
          <w:kern w:val="0"/>
          <w:sz w:val="24"/>
          <w:highlight w:val="none"/>
        </w:rPr>
        <w:t>要</w:t>
      </w:r>
      <w:r>
        <w:rPr>
          <w:rFonts w:hint="eastAsia" w:ascii="宋体" w:hAnsi="宋体" w:cs="仿宋_GB2312+3+4"/>
          <w:kern w:val="0"/>
          <w:sz w:val="24"/>
          <w:highlight w:val="none"/>
        </w:rPr>
        <w:t>与</w:t>
      </w:r>
      <w:r>
        <w:rPr>
          <w:rFonts w:hint="eastAsia" w:ascii="宋体" w:hAnsi="宋体" w:cs="仿宋_GB2312+3+1"/>
          <w:kern w:val="0"/>
          <w:sz w:val="24"/>
          <w:highlight w:val="none"/>
        </w:rPr>
        <w:t>经</w:t>
      </w:r>
      <w:r>
        <w:rPr>
          <w:rFonts w:hint="eastAsia" w:ascii="宋体" w:hAnsi="宋体" w:cs="仿宋_GB2312+3+2"/>
          <w:kern w:val="0"/>
          <w:sz w:val="24"/>
          <w:highlight w:val="none"/>
        </w:rPr>
        <w:t>济</w:t>
      </w:r>
      <w:r>
        <w:rPr>
          <w:rFonts w:hint="eastAsia" w:ascii="宋体" w:hAnsi="宋体" w:cs="仿宋_GB2312+3+1"/>
          <w:kern w:val="0"/>
          <w:sz w:val="24"/>
          <w:highlight w:val="none"/>
        </w:rPr>
        <w:t>效</w:t>
      </w:r>
      <w:r>
        <w:rPr>
          <w:rFonts w:hint="eastAsia" w:ascii="宋体" w:hAnsi="宋体" w:cs="仿宋_GB2312+3+3"/>
          <w:kern w:val="0"/>
          <w:sz w:val="24"/>
          <w:highlight w:val="none"/>
        </w:rPr>
        <w:t>益挂钩</w:t>
      </w:r>
      <w:r>
        <w:rPr>
          <w:rFonts w:hint="eastAsia" w:ascii="宋体" w:hAnsi="宋体" w:cs="仿宋_GB2312+3+2"/>
          <w:kern w:val="0"/>
          <w:sz w:val="24"/>
          <w:highlight w:val="none"/>
        </w:rPr>
        <w:t>；</w:t>
      </w:r>
    </w:p>
    <w:p w14:paraId="1C82263B">
      <w:pPr>
        <w:adjustRightInd w:val="0"/>
        <w:snapToGrid w:val="0"/>
        <w:spacing w:line="460" w:lineRule="exact"/>
        <w:ind w:firstLine="480" w:firstLineChars="200"/>
        <w:jc w:val="left"/>
        <w:rPr>
          <w:rFonts w:hint="eastAsia" w:ascii="宋体" w:hAnsi="宋体" w:cs="仿宋_GB2312+3+1"/>
          <w:kern w:val="0"/>
          <w:sz w:val="24"/>
          <w:highlight w:val="none"/>
        </w:rPr>
      </w:pPr>
      <w:r>
        <w:rPr>
          <w:rFonts w:hint="eastAsia" w:ascii="宋体" w:hAnsi="宋体" w:cs="仿宋_GB2312+3+2"/>
          <w:kern w:val="0"/>
          <w:sz w:val="24"/>
          <w:highlight w:val="none"/>
        </w:rPr>
        <w:t>5</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定期组织</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检</w:t>
      </w:r>
      <w:r>
        <w:rPr>
          <w:rFonts w:hint="eastAsia" w:ascii="宋体" w:hAnsi="宋体" w:cs="仿宋_GB2312+3+4"/>
          <w:kern w:val="0"/>
          <w:sz w:val="24"/>
          <w:highlight w:val="none"/>
        </w:rPr>
        <w:t>查</w:t>
      </w:r>
      <w:r>
        <w:rPr>
          <w:rFonts w:hint="eastAsia" w:ascii="宋体" w:hAnsi="宋体" w:cs="仿宋_GB2312+3+1"/>
          <w:kern w:val="0"/>
          <w:sz w:val="24"/>
          <w:highlight w:val="none"/>
        </w:rPr>
        <w:t>，</w:t>
      </w:r>
      <w:r>
        <w:rPr>
          <w:rFonts w:hint="eastAsia" w:ascii="宋体" w:hAnsi="宋体" w:cs="仿宋_GB2312+3+2"/>
          <w:kern w:val="0"/>
          <w:sz w:val="24"/>
          <w:highlight w:val="none"/>
        </w:rPr>
        <w:t>及</w:t>
      </w:r>
      <w:r>
        <w:rPr>
          <w:rFonts w:hint="eastAsia" w:ascii="宋体" w:hAnsi="宋体" w:cs="仿宋_GB2312+3+3"/>
          <w:kern w:val="0"/>
          <w:sz w:val="24"/>
          <w:highlight w:val="none"/>
        </w:rPr>
        <w:t>时</w:t>
      </w:r>
      <w:r>
        <w:rPr>
          <w:rFonts w:hint="eastAsia" w:ascii="宋体" w:hAnsi="宋体" w:cs="仿宋_GB2312+3+9"/>
          <w:kern w:val="0"/>
          <w:sz w:val="24"/>
          <w:highlight w:val="none"/>
        </w:rPr>
        <w:t>消</w:t>
      </w:r>
      <w:r>
        <w:rPr>
          <w:rFonts w:hint="eastAsia" w:ascii="宋体" w:hAnsi="宋体" w:cs="仿宋_GB2312+3+6"/>
          <w:kern w:val="0"/>
          <w:sz w:val="24"/>
          <w:highlight w:val="none"/>
        </w:rPr>
        <w:t>除</w:t>
      </w:r>
      <w:r>
        <w:rPr>
          <w:rFonts w:hint="eastAsia" w:ascii="宋体" w:hAnsi="宋体" w:cs="仿宋_GB2312+3+2"/>
          <w:kern w:val="0"/>
          <w:sz w:val="24"/>
          <w:highlight w:val="none"/>
        </w:rPr>
        <w:t>事故</w:t>
      </w:r>
      <w:r>
        <w:rPr>
          <w:rFonts w:hint="eastAsia" w:ascii="宋体" w:hAnsi="宋体" w:cs="仿宋_GB2312+3+6"/>
          <w:kern w:val="0"/>
          <w:sz w:val="24"/>
          <w:highlight w:val="none"/>
        </w:rPr>
        <w:t>隐患</w:t>
      </w:r>
      <w:r>
        <w:rPr>
          <w:rFonts w:hint="eastAsia" w:ascii="宋体" w:hAnsi="宋体" w:cs="仿宋_GB2312+3+1"/>
          <w:kern w:val="0"/>
          <w:sz w:val="24"/>
          <w:highlight w:val="none"/>
        </w:rPr>
        <w:t>，</w:t>
      </w:r>
      <w:r>
        <w:rPr>
          <w:rFonts w:hint="eastAsia" w:ascii="宋体" w:hAnsi="宋体" w:cs="仿宋_GB2312+3+2"/>
          <w:kern w:val="0"/>
          <w:sz w:val="24"/>
          <w:highlight w:val="none"/>
        </w:rPr>
        <w:t>对上级</w:t>
      </w:r>
      <w:r>
        <w:rPr>
          <w:rFonts w:hint="eastAsia" w:ascii="宋体" w:hAnsi="宋体" w:cs="仿宋_GB2312+3+1"/>
          <w:kern w:val="0"/>
          <w:sz w:val="24"/>
          <w:highlight w:val="none"/>
        </w:rPr>
        <w:t>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检</w:t>
      </w:r>
      <w:r>
        <w:rPr>
          <w:rFonts w:hint="eastAsia" w:ascii="宋体" w:hAnsi="宋体" w:cs="仿宋_GB2312+3+4"/>
          <w:kern w:val="0"/>
          <w:sz w:val="24"/>
          <w:highlight w:val="none"/>
        </w:rPr>
        <w:t>查</w:t>
      </w:r>
      <w:r>
        <w:rPr>
          <w:rFonts w:hint="eastAsia" w:ascii="宋体" w:hAnsi="宋体" w:cs="仿宋_GB2312+3+1"/>
          <w:kern w:val="0"/>
          <w:sz w:val="24"/>
          <w:highlight w:val="none"/>
        </w:rPr>
        <w:t>中</w:t>
      </w:r>
      <w:r>
        <w:rPr>
          <w:rFonts w:hint="eastAsia" w:ascii="宋体" w:hAnsi="宋体" w:cs="仿宋_GB2312+3+2"/>
          <w:kern w:val="0"/>
          <w:sz w:val="24"/>
          <w:highlight w:val="none"/>
        </w:rPr>
        <w:t>提</w:t>
      </w:r>
      <w:r>
        <w:rPr>
          <w:rFonts w:hint="eastAsia" w:ascii="宋体" w:hAnsi="宋体" w:cs="仿宋_GB2312+3+4"/>
          <w:kern w:val="0"/>
          <w:sz w:val="24"/>
          <w:highlight w:val="none"/>
        </w:rPr>
        <w:t>出</w:t>
      </w:r>
      <w:r>
        <w:rPr>
          <w:rFonts w:hint="eastAsia" w:ascii="宋体" w:hAnsi="宋体" w:cs="仿宋_GB2312+3+3"/>
          <w:kern w:val="0"/>
          <w:sz w:val="24"/>
          <w:highlight w:val="none"/>
        </w:rPr>
        <w:t>的</w:t>
      </w:r>
      <w:r>
        <w:rPr>
          <w:rFonts w:hint="eastAsia" w:ascii="宋体" w:hAnsi="宋体" w:cs="仿宋_GB2312+3+2"/>
          <w:kern w:val="0"/>
          <w:sz w:val="24"/>
          <w:highlight w:val="none"/>
        </w:rPr>
        <w:t>事故</w:t>
      </w:r>
      <w:r>
        <w:rPr>
          <w:rFonts w:hint="eastAsia" w:ascii="宋体" w:hAnsi="宋体" w:cs="仿宋_GB2312+3+6"/>
          <w:kern w:val="0"/>
          <w:sz w:val="24"/>
          <w:highlight w:val="none"/>
        </w:rPr>
        <w:t>隐患</w:t>
      </w:r>
      <w:r>
        <w:rPr>
          <w:rFonts w:hint="eastAsia" w:ascii="宋体" w:hAnsi="宋体" w:cs="仿宋_GB2312+3+1"/>
          <w:kern w:val="0"/>
          <w:sz w:val="24"/>
          <w:highlight w:val="none"/>
        </w:rPr>
        <w:t>和管理</w:t>
      </w:r>
      <w:r>
        <w:rPr>
          <w:rFonts w:hint="eastAsia" w:ascii="宋体" w:hAnsi="宋体" w:cs="仿宋_GB2312+3+4"/>
          <w:kern w:val="0"/>
          <w:sz w:val="24"/>
          <w:highlight w:val="none"/>
        </w:rPr>
        <w:t>存</w:t>
      </w:r>
      <w:r>
        <w:rPr>
          <w:rFonts w:hint="eastAsia" w:ascii="宋体" w:hAnsi="宋体" w:cs="仿宋_GB2312+3+1"/>
          <w:kern w:val="0"/>
          <w:sz w:val="24"/>
          <w:highlight w:val="none"/>
        </w:rPr>
        <w:t>在</w:t>
      </w:r>
      <w:r>
        <w:rPr>
          <w:rFonts w:hint="eastAsia" w:ascii="宋体" w:hAnsi="宋体" w:cs="仿宋_GB2312+3+4"/>
          <w:kern w:val="0"/>
          <w:sz w:val="24"/>
          <w:highlight w:val="none"/>
        </w:rPr>
        <w:t>问题</w:t>
      </w:r>
      <w:r>
        <w:rPr>
          <w:rFonts w:hint="eastAsia" w:ascii="宋体" w:hAnsi="宋体" w:cs="仿宋_GB2312+3+1"/>
          <w:kern w:val="0"/>
          <w:sz w:val="24"/>
          <w:highlight w:val="none"/>
        </w:rPr>
        <w:t>，应</w:t>
      </w:r>
      <w:r>
        <w:rPr>
          <w:rFonts w:hint="eastAsia" w:ascii="宋体" w:hAnsi="宋体" w:cs="仿宋_GB2312+3+3"/>
          <w:kern w:val="0"/>
          <w:sz w:val="24"/>
          <w:highlight w:val="none"/>
        </w:rPr>
        <w:t>按</w:t>
      </w:r>
      <w:r>
        <w:rPr>
          <w:rFonts w:hint="eastAsia" w:ascii="宋体" w:hAnsi="宋体" w:cs="仿宋_GB2312+3+2"/>
          <w:kern w:val="0"/>
          <w:sz w:val="24"/>
          <w:highlight w:val="none"/>
        </w:rPr>
        <w:t>照“</w:t>
      </w:r>
      <w:r>
        <w:rPr>
          <w:rFonts w:hint="eastAsia" w:ascii="宋体" w:hAnsi="宋体" w:cs="仿宋_GB2312+3+1"/>
          <w:kern w:val="0"/>
          <w:sz w:val="24"/>
          <w:highlight w:val="none"/>
        </w:rPr>
        <w:t>三</w:t>
      </w:r>
      <w:r>
        <w:rPr>
          <w:rFonts w:hint="eastAsia" w:ascii="宋体" w:hAnsi="宋体" w:cs="仿宋_GB2312+3+2"/>
          <w:kern w:val="0"/>
          <w:sz w:val="24"/>
          <w:highlight w:val="none"/>
        </w:rPr>
        <w:t>定”</w:t>
      </w:r>
      <w:r>
        <w:rPr>
          <w:rFonts w:hint="eastAsia" w:ascii="宋体" w:hAnsi="宋体" w:cs="仿宋_GB2312+3+3"/>
          <w:kern w:val="0"/>
          <w:sz w:val="24"/>
          <w:highlight w:val="none"/>
        </w:rPr>
        <w:t>原则（</w:t>
      </w:r>
      <w:r>
        <w:rPr>
          <w:rFonts w:hint="eastAsia" w:ascii="宋体" w:hAnsi="宋体" w:cs="仿宋_GB2312+3+2"/>
          <w:kern w:val="0"/>
          <w:sz w:val="24"/>
          <w:highlight w:val="none"/>
        </w:rPr>
        <w:t>定</w:t>
      </w:r>
      <w:r>
        <w:rPr>
          <w:rFonts w:hint="eastAsia" w:ascii="宋体" w:hAnsi="宋体" w:cs="仿宋_GB2312+3+1"/>
          <w:kern w:val="0"/>
          <w:sz w:val="24"/>
          <w:highlight w:val="none"/>
        </w:rPr>
        <w:t>人、</w:t>
      </w:r>
      <w:r>
        <w:rPr>
          <w:rFonts w:hint="eastAsia" w:ascii="宋体" w:hAnsi="宋体" w:cs="仿宋_GB2312+3+2"/>
          <w:kern w:val="0"/>
          <w:sz w:val="24"/>
          <w:highlight w:val="none"/>
        </w:rPr>
        <w:t>定</w:t>
      </w:r>
      <w:r>
        <w:rPr>
          <w:rFonts w:hint="eastAsia" w:ascii="宋体" w:hAnsi="宋体" w:cs="仿宋_GB2312+3+3"/>
          <w:kern w:val="0"/>
          <w:sz w:val="24"/>
          <w:highlight w:val="none"/>
        </w:rPr>
        <w:t>时</w:t>
      </w:r>
      <w:r>
        <w:rPr>
          <w:rFonts w:hint="eastAsia" w:ascii="宋体" w:hAnsi="宋体" w:cs="仿宋_GB2312+3+7"/>
          <w:kern w:val="0"/>
          <w:sz w:val="24"/>
          <w:highlight w:val="none"/>
        </w:rPr>
        <w:t>间</w:t>
      </w:r>
      <w:r>
        <w:rPr>
          <w:rFonts w:hint="eastAsia" w:ascii="宋体" w:hAnsi="宋体" w:cs="仿宋_GB2312+3+1"/>
          <w:kern w:val="0"/>
          <w:sz w:val="24"/>
          <w:highlight w:val="none"/>
        </w:rPr>
        <w:t>、</w:t>
      </w:r>
      <w:r>
        <w:rPr>
          <w:rFonts w:hint="eastAsia" w:ascii="宋体" w:hAnsi="宋体" w:cs="仿宋_GB2312+3+2"/>
          <w:kern w:val="0"/>
          <w:sz w:val="24"/>
          <w:highlight w:val="none"/>
        </w:rPr>
        <w:t>定措</w:t>
      </w:r>
      <w:r>
        <w:rPr>
          <w:rFonts w:hint="eastAsia" w:ascii="宋体" w:hAnsi="宋体" w:cs="仿宋_GB2312+3+1"/>
          <w:kern w:val="0"/>
          <w:sz w:val="24"/>
          <w:highlight w:val="none"/>
        </w:rPr>
        <w:t>施</w:t>
      </w:r>
      <w:r>
        <w:rPr>
          <w:rFonts w:hint="eastAsia" w:ascii="宋体" w:hAnsi="宋体" w:cs="仿宋_GB2312+3+3"/>
          <w:kern w:val="0"/>
          <w:sz w:val="24"/>
          <w:highlight w:val="none"/>
        </w:rPr>
        <w:t>）</w:t>
      </w:r>
      <w:r>
        <w:rPr>
          <w:rFonts w:hint="eastAsia" w:ascii="宋体" w:hAnsi="宋体" w:cs="仿宋_GB2312+3+5"/>
          <w:kern w:val="0"/>
          <w:sz w:val="24"/>
          <w:highlight w:val="none"/>
        </w:rPr>
        <w:t>予</w:t>
      </w:r>
      <w:r>
        <w:rPr>
          <w:rFonts w:hint="eastAsia" w:ascii="宋体" w:hAnsi="宋体" w:cs="仿宋_GB2312+3+1"/>
          <w:kern w:val="0"/>
          <w:sz w:val="24"/>
          <w:highlight w:val="none"/>
        </w:rPr>
        <w:t>以</w:t>
      </w:r>
      <w:r>
        <w:rPr>
          <w:rFonts w:hint="eastAsia" w:ascii="宋体" w:hAnsi="宋体" w:cs="仿宋_GB2312+3+2"/>
          <w:kern w:val="0"/>
          <w:sz w:val="24"/>
          <w:highlight w:val="none"/>
        </w:rPr>
        <w:t>解</w:t>
      </w:r>
      <w:r>
        <w:rPr>
          <w:rFonts w:hint="eastAsia" w:ascii="宋体" w:hAnsi="宋体" w:cs="仿宋_GB2312+3+3"/>
          <w:kern w:val="0"/>
          <w:sz w:val="24"/>
          <w:highlight w:val="none"/>
        </w:rPr>
        <w:t>决</w:t>
      </w:r>
      <w:r>
        <w:rPr>
          <w:rFonts w:hint="eastAsia" w:ascii="宋体" w:hAnsi="宋体" w:cs="仿宋_GB2312+3+1"/>
          <w:kern w:val="0"/>
          <w:sz w:val="24"/>
          <w:highlight w:val="none"/>
        </w:rPr>
        <w:t>，</w:t>
      </w:r>
      <w:r>
        <w:rPr>
          <w:rFonts w:hint="eastAsia" w:ascii="宋体" w:hAnsi="宋体" w:cs="仿宋_GB2312+3+2"/>
          <w:kern w:val="0"/>
          <w:sz w:val="24"/>
          <w:highlight w:val="none"/>
        </w:rPr>
        <w:t>并</w:t>
      </w:r>
      <w:r>
        <w:rPr>
          <w:rFonts w:hint="eastAsia" w:ascii="宋体" w:hAnsi="宋体" w:cs="仿宋_GB2312+3+3"/>
          <w:kern w:val="0"/>
          <w:sz w:val="24"/>
          <w:highlight w:val="none"/>
        </w:rPr>
        <w:t>按时</w:t>
      </w:r>
      <w:r>
        <w:rPr>
          <w:rFonts w:hint="eastAsia" w:ascii="宋体" w:hAnsi="宋体" w:cs="仿宋_GB2312+3+7"/>
          <w:kern w:val="0"/>
          <w:sz w:val="24"/>
          <w:highlight w:val="none"/>
        </w:rPr>
        <w:t>将</w:t>
      </w:r>
      <w:r>
        <w:rPr>
          <w:rFonts w:hint="eastAsia" w:ascii="宋体" w:hAnsi="宋体" w:cs="仿宋_GB2312+3+2"/>
          <w:kern w:val="0"/>
          <w:sz w:val="24"/>
          <w:highlight w:val="none"/>
        </w:rPr>
        <w:t>解</w:t>
      </w:r>
      <w:r>
        <w:rPr>
          <w:rFonts w:hint="eastAsia" w:ascii="宋体" w:hAnsi="宋体" w:cs="仿宋_GB2312+3+3"/>
          <w:kern w:val="0"/>
          <w:sz w:val="24"/>
          <w:highlight w:val="none"/>
        </w:rPr>
        <w:t>决</w:t>
      </w:r>
      <w:r>
        <w:rPr>
          <w:rFonts w:hint="eastAsia" w:ascii="宋体" w:hAnsi="宋体" w:cs="仿宋_GB2312+3+4"/>
          <w:kern w:val="0"/>
          <w:sz w:val="24"/>
          <w:highlight w:val="none"/>
        </w:rPr>
        <w:t>情况</w:t>
      </w:r>
      <w:r>
        <w:rPr>
          <w:rFonts w:hint="eastAsia" w:ascii="宋体" w:hAnsi="宋体" w:cs="仿宋_GB2312+3+5"/>
          <w:kern w:val="0"/>
          <w:sz w:val="24"/>
          <w:highlight w:val="none"/>
        </w:rPr>
        <w:t>向</w:t>
      </w:r>
      <w:r>
        <w:rPr>
          <w:rFonts w:hint="eastAsia" w:ascii="宋体" w:hAnsi="宋体" w:cs="仿宋_GB2312+3+2"/>
          <w:kern w:val="0"/>
          <w:sz w:val="24"/>
          <w:highlight w:val="none"/>
        </w:rPr>
        <w:t>上级</w:t>
      </w:r>
      <w:r>
        <w:rPr>
          <w:rFonts w:hint="eastAsia" w:ascii="宋体" w:hAnsi="宋体" w:cs="仿宋_GB2312+3+4"/>
          <w:kern w:val="0"/>
          <w:sz w:val="24"/>
          <w:highlight w:val="none"/>
        </w:rPr>
        <w:t>反</w:t>
      </w:r>
      <w:r>
        <w:rPr>
          <w:rFonts w:hint="eastAsia" w:ascii="宋体" w:hAnsi="宋体" w:cs="仿宋_GB2312+3+9"/>
          <w:kern w:val="0"/>
          <w:sz w:val="24"/>
          <w:highlight w:val="none"/>
        </w:rPr>
        <w:t>馈</w:t>
      </w:r>
      <w:r>
        <w:rPr>
          <w:rFonts w:hint="eastAsia" w:ascii="宋体" w:hAnsi="宋体" w:cs="仿宋_GB2312+3+1"/>
          <w:kern w:val="0"/>
          <w:sz w:val="24"/>
          <w:highlight w:val="none"/>
        </w:rPr>
        <w:t>。</w:t>
      </w:r>
      <w:r>
        <w:rPr>
          <w:rFonts w:hint="eastAsia" w:ascii="宋体" w:hAnsi="宋体" w:cs="仿宋_GB2312+3+3"/>
          <w:kern w:val="0"/>
          <w:sz w:val="24"/>
          <w:highlight w:val="none"/>
        </w:rPr>
        <w:t>重</w:t>
      </w:r>
      <w:r>
        <w:rPr>
          <w:rFonts w:hint="eastAsia" w:ascii="宋体" w:hAnsi="宋体" w:cs="仿宋_GB2312+3+2"/>
          <w:kern w:val="0"/>
          <w:sz w:val="24"/>
          <w:highlight w:val="none"/>
        </w:rPr>
        <w:t>大</w:t>
      </w:r>
      <w:r>
        <w:rPr>
          <w:rFonts w:hint="eastAsia" w:ascii="宋体" w:hAnsi="宋体" w:cs="仿宋_GB2312+3+6"/>
          <w:kern w:val="0"/>
          <w:sz w:val="24"/>
          <w:highlight w:val="none"/>
        </w:rPr>
        <w:t>隐患</w:t>
      </w:r>
      <w:r>
        <w:rPr>
          <w:rFonts w:hint="eastAsia" w:ascii="宋体" w:hAnsi="宋体" w:cs="仿宋_GB2312+3+2"/>
          <w:kern w:val="0"/>
          <w:sz w:val="24"/>
          <w:highlight w:val="none"/>
        </w:rPr>
        <w:t>必</w:t>
      </w:r>
      <w:r>
        <w:rPr>
          <w:rFonts w:hint="eastAsia" w:ascii="宋体" w:hAnsi="宋体" w:cs="仿宋_GB2312+3+1"/>
          <w:kern w:val="0"/>
          <w:sz w:val="24"/>
          <w:highlight w:val="none"/>
        </w:rPr>
        <w:t>须立</w:t>
      </w:r>
      <w:r>
        <w:rPr>
          <w:rFonts w:hint="eastAsia" w:ascii="宋体" w:hAnsi="宋体" w:cs="仿宋_GB2312+3+7"/>
          <w:kern w:val="0"/>
          <w:sz w:val="24"/>
          <w:highlight w:val="none"/>
        </w:rPr>
        <w:t>即</w:t>
      </w:r>
      <w:r>
        <w:rPr>
          <w:rFonts w:hint="eastAsia" w:ascii="宋体" w:hAnsi="宋体" w:cs="仿宋_GB2312+3+5"/>
          <w:kern w:val="0"/>
          <w:sz w:val="24"/>
          <w:highlight w:val="none"/>
        </w:rPr>
        <w:t>停</w:t>
      </w:r>
      <w:r>
        <w:rPr>
          <w:rFonts w:hint="eastAsia" w:ascii="宋体" w:hAnsi="宋体" w:cs="仿宋_GB2312+3+4"/>
          <w:kern w:val="0"/>
          <w:sz w:val="24"/>
          <w:highlight w:val="none"/>
        </w:rPr>
        <w:t>止</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w:t>
      </w:r>
      <w:r>
        <w:rPr>
          <w:rFonts w:hint="eastAsia" w:ascii="宋体" w:hAnsi="宋体" w:cs="仿宋_GB2312+3+9"/>
          <w:kern w:val="0"/>
          <w:sz w:val="24"/>
          <w:highlight w:val="none"/>
        </w:rPr>
        <w:t>待</w:t>
      </w:r>
      <w:r>
        <w:rPr>
          <w:rFonts w:hint="eastAsia" w:ascii="宋体" w:hAnsi="宋体" w:cs="仿宋_GB2312+3+6"/>
          <w:kern w:val="0"/>
          <w:sz w:val="24"/>
          <w:highlight w:val="none"/>
        </w:rPr>
        <w:t>隐患</w:t>
      </w:r>
      <w:r>
        <w:rPr>
          <w:rFonts w:hint="eastAsia" w:ascii="宋体" w:hAnsi="宋体" w:cs="仿宋_GB2312+3+9"/>
          <w:kern w:val="0"/>
          <w:sz w:val="24"/>
          <w:highlight w:val="none"/>
        </w:rPr>
        <w:t>消</w:t>
      </w:r>
      <w:r>
        <w:rPr>
          <w:rFonts w:hint="eastAsia" w:ascii="宋体" w:hAnsi="宋体" w:cs="仿宋_GB2312+3+6"/>
          <w:kern w:val="0"/>
          <w:sz w:val="24"/>
          <w:highlight w:val="none"/>
        </w:rPr>
        <w:t>除</w:t>
      </w:r>
      <w:r>
        <w:rPr>
          <w:rFonts w:hint="eastAsia" w:ascii="宋体" w:hAnsi="宋体" w:cs="仿宋_GB2312+3+1"/>
          <w:kern w:val="0"/>
          <w:sz w:val="24"/>
          <w:highlight w:val="none"/>
        </w:rPr>
        <w:t>，</w:t>
      </w:r>
      <w:r>
        <w:rPr>
          <w:rFonts w:hint="eastAsia" w:ascii="宋体" w:hAnsi="宋体" w:cs="仿宋_GB2312+3+2"/>
          <w:kern w:val="0"/>
          <w:sz w:val="24"/>
          <w:highlight w:val="none"/>
        </w:rPr>
        <w:t>报</w:t>
      </w:r>
      <w:r>
        <w:rPr>
          <w:rFonts w:hint="eastAsia" w:ascii="宋体" w:hAnsi="宋体" w:cs="仿宋_GB2312+3+6"/>
          <w:kern w:val="0"/>
          <w:sz w:val="24"/>
          <w:highlight w:val="none"/>
        </w:rPr>
        <w:t>请</w:t>
      </w:r>
      <w:r>
        <w:rPr>
          <w:rFonts w:hint="eastAsia" w:ascii="宋体" w:hAnsi="宋体" w:cs="仿宋_GB2312+3+2"/>
          <w:kern w:val="0"/>
          <w:sz w:val="24"/>
          <w:highlight w:val="none"/>
        </w:rPr>
        <w:t>上级</w:t>
      </w:r>
      <w:r>
        <w:rPr>
          <w:rFonts w:hint="eastAsia" w:ascii="宋体" w:hAnsi="宋体" w:cs="仿宋_GB2312+3+1"/>
          <w:kern w:val="0"/>
          <w:sz w:val="24"/>
          <w:highlight w:val="none"/>
        </w:rPr>
        <w:t>部</w:t>
      </w:r>
      <w:r>
        <w:rPr>
          <w:rFonts w:hint="eastAsia" w:ascii="宋体" w:hAnsi="宋体" w:cs="仿宋_GB2312+3+2"/>
          <w:kern w:val="0"/>
          <w:sz w:val="24"/>
          <w:highlight w:val="none"/>
        </w:rPr>
        <w:t>门</w:t>
      </w:r>
      <w:r>
        <w:rPr>
          <w:rFonts w:hint="eastAsia" w:ascii="宋体" w:hAnsi="宋体" w:cs="仿宋_GB2312+3+1"/>
          <w:kern w:val="0"/>
          <w:sz w:val="24"/>
          <w:highlight w:val="none"/>
        </w:rPr>
        <w:t>验</w:t>
      </w:r>
      <w:r>
        <w:rPr>
          <w:rFonts w:hint="eastAsia" w:ascii="宋体" w:hAnsi="宋体" w:cs="仿宋_GB2312+3+2"/>
          <w:kern w:val="0"/>
          <w:sz w:val="24"/>
          <w:highlight w:val="none"/>
        </w:rPr>
        <w:t>收合格后</w:t>
      </w:r>
      <w:r>
        <w:rPr>
          <w:rFonts w:hint="eastAsia" w:ascii="宋体" w:hAnsi="宋体" w:cs="仿宋_GB2312+3+1"/>
          <w:kern w:val="0"/>
          <w:sz w:val="24"/>
          <w:highlight w:val="none"/>
        </w:rPr>
        <w:t>，方</w:t>
      </w:r>
      <w:r>
        <w:rPr>
          <w:rFonts w:hint="eastAsia" w:ascii="宋体" w:hAnsi="宋体" w:cs="仿宋_GB2312+3+3"/>
          <w:kern w:val="0"/>
          <w:sz w:val="24"/>
          <w:highlight w:val="none"/>
        </w:rPr>
        <w:t>可</w:t>
      </w:r>
      <w:r>
        <w:rPr>
          <w:rFonts w:hint="eastAsia" w:ascii="宋体" w:hAnsi="宋体" w:cs="仿宋_GB2312+3+9"/>
          <w:kern w:val="0"/>
          <w:sz w:val="24"/>
          <w:highlight w:val="none"/>
        </w:rPr>
        <w:t>恢</w:t>
      </w:r>
      <w:r>
        <w:rPr>
          <w:rFonts w:hint="eastAsia" w:ascii="宋体" w:hAnsi="宋体" w:cs="仿宋_GB2312+3+5"/>
          <w:kern w:val="0"/>
          <w:sz w:val="24"/>
          <w:highlight w:val="none"/>
        </w:rPr>
        <w:t>复</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w:t>
      </w:r>
    </w:p>
    <w:p w14:paraId="541B564F">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6</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组织</w:t>
      </w:r>
      <w:r>
        <w:rPr>
          <w:rFonts w:hint="eastAsia" w:ascii="宋体" w:hAnsi="宋体" w:cs="仿宋_GB2312+3+1"/>
          <w:kern w:val="0"/>
          <w:sz w:val="24"/>
          <w:highlight w:val="none"/>
        </w:rPr>
        <w:t>制</w:t>
      </w:r>
      <w:r>
        <w:rPr>
          <w:rFonts w:hint="eastAsia" w:ascii="宋体" w:hAnsi="宋体" w:cs="仿宋_GB2312+3+2"/>
          <w:kern w:val="0"/>
          <w:sz w:val="24"/>
          <w:highlight w:val="none"/>
        </w:rPr>
        <w:t>定并</w:t>
      </w:r>
      <w:r>
        <w:rPr>
          <w:rFonts w:hint="eastAsia" w:ascii="宋体" w:hAnsi="宋体" w:cs="仿宋_GB2312+3+1"/>
          <w:kern w:val="0"/>
          <w:sz w:val="24"/>
          <w:highlight w:val="none"/>
        </w:rPr>
        <w:t>实施工程项目</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事故</w:t>
      </w:r>
      <w:r>
        <w:rPr>
          <w:rFonts w:hint="eastAsia" w:ascii="宋体" w:hAnsi="宋体" w:cs="仿宋_GB2312+3+1"/>
          <w:kern w:val="0"/>
          <w:sz w:val="24"/>
          <w:highlight w:val="none"/>
        </w:rPr>
        <w:t>应</w:t>
      </w:r>
      <w:r>
        <w:rPr>
          <w:rFonts w:hint="eastAsia" w:ascii="宋体" w:hAnsi="宋体" w:cs="仿宋_GB2312+3+8"/>
          <w:kern w:val="0"/>
          <w:sz w:val="24"/>
          <w:highlight w:val="none"/>
        </w:rPr>
        <w:t>急救</w:t>
      </w:r>
      <w:r>
        <w:rPr>
          <w:rFonts w:hint="eastAsia" w:ascii="宋体" w:hAnsi="宋体" w:cs="仿宋_GB2312+3+9"/>
          <w:kern w:val="0"/>
          <w:sz w:val="24"/>
          <w:highlight w:val="none"/>
        </w:rPr>
        <w:t>援</w:t>
      </w:r>
      <w:r>
        <w:rPr>
          <w:rFonts w:hint="eastAsia" w:ascii="宋体" w:hAnsi="宋体" w:cs="仿宋_GB2312+3+4"/>
          <w:kern w:val="0"/>
          <w:sz w:val="24"/>
          <w:highlight w:val="none"/>
        </w:rPr>
        <w:t>预案</w:t>
      </w:r>
      <w:r>
        <w:rPr>
          <w:rFonts w:hint="eastAsia" w:ascii="宋体" w:hAnsi="宋体" w:cs="仿宋_GB2312+3+2"/>
          <w:kern w:val="0"/>
          <w:sz w:val="24"/>
          <w:highlight w:val="none"/>
        </w:rPr>
        <w:t>。</w:t>
      </w:r>
    </w:p>
    <w:p w14:paraId="21D8D00E">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7</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坚持把</w:t>
      </w:r>
      <w:r>
        <w:rPr>
          <w:rFonts w:hint="eastAsia" w:ascii="宋体" w:hAnsi="宋体" w:cs="仿宋_GB2312+3+3"/>
          <w:kern w:val="0"/>
          <w:sz w:val="24"/>
          <w:highlight w:val="none"/>
        </w:rPr>
        <w:t>安</w:t>
      </w:r>
      <w:r>
        <w:rPr>
          <w:rFonts w:hint="eastAsia" w:ascii="宋体" w:hAnsi="宋体" w:cs="仿宋_GB2312+3+1"/>
          <w:kern w:val="0"/>
          <w:sz w:val="24"/>
          <w:highlight w:val="none"/>
        </w:rPr>
        <w:t>全管理作为项目管理</w:t>
      </w:r>
      <w:r>
        <w:rPr>
          <w:rFonts w:hint="eastAsia" w:ascii="宋体" w:hAnsi="宋体" w:cs="仿宋_GB2312+3+3"/>
          <w:kern w:val="0"/>
          <w:sz w:val="24"/>
          <w:highlight w:val="none"/>
        </w:rPr>
        <w:t>重</w:t>
      </w:r>
      <w:r>
        <w:rPr>
          <w:rFonts w:hint="eastAsia" w:ascii="宋体" w:hAnsi="宋体" w:cs="仿宋_GB2312+3+1"/>
          <w:kern w:val="0"/>
          <w:sz w:val="24"/>
          <w:highlight w:val="none"/>
        </w:rPr>
        <w:t>要内</w:t>
      </w:r>
      <w:r>
        <w:rPr>
          <w:rFonts w:hint="eastAsia" w:ascii="宋体" w:hAnsi="宋体" w:cs="仿宋_GB2312+3+3"/>
          <w:kern w:val="0"/>
          <w:sz w:val="24"/>
          <w:highlight w:val="none"/>
        </w:rPr>
        <w:t>容</w:t>
      </w:r>
      <w:r>
        <w:rPr>
          <w:rFonts w:hint="eastAsia" w:ascii="宋体" w:hAnsi="宋体" w:cs="仿宋_GB2312+3+1"/>
          <w:kern w:val="0"/>
          <w:sz w:val="24"/>
          <w:highlight w:val="none"/>
        </w:rPr>
        <w:t>，</w:t>
      </w:r>
      <w:r>
        <w:rPr>
          <w:rFonts w:hint="eastAsia" w:ascii="宋体" w:hAnsi="宋体" w:cs="仿宋_GB2312+3+4"/>
          <w:kern w:val="0"/>
          <w:sz w:val="24"/>
          <w:highlight w:val="none"/>
        </w:rPr>
        <w:t>与</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2"/>
          <w:kern w:val="0"/>
          <w:sz w:val="24"/>
          <w:highlight w:val="none"/>
        </w:rPr>
        <w:t>同</w:t>
      </w:r>
      <w:r>
        <w:rPr>
          <w:rFonts w:hint="eastAsia" w:ascii="宋体" w:hAnsi="宋体" w:cs="仿宋_GB2312+3+3"/>
          <w:kern w:val="0"/>
          <w:sz w:val="24"/>
          <w:highlight w:val="none"/>
        </w:rPr>
        <w:t>时</w:t>
      </w:r>
      <w:r>
        <w:rPr>
          <w:rFonts w:hint="eastAsia" w:ascii="宋体" w:hAnsi="宋体" w:cs="仿宋_GB2312+3+1"/>
          <w:kern w:val="0"/>
          <w:sz w:val="24"/>
          <w:highlight w:val="none"/>
        </w:rPr>
        <w:t>进行</w:t>
      </w:r>
      <w:r>
        <w:rPr>
          <w:rFonts w:hint="eastAsia" w:ascii="宋体" w:hAnsi="宋体" w:cs="仿宋_GB2312+3+2"/>
          <w:kern w:val="0"/>
          <w:sz w:val="24"/>
          <w:highlight w:val="none"/>
        </w:rPr>
        <w:t>。</w:t>
      </w:r>
    </w:p>
    <w:p w14:paraId="48FE2BB6">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8</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建立、</w:t>
      </w:r>
      <w:r>
        <w:rPr>
          <w:rFonts w:hint="eastAsia" w:ascii="宋体" w:hAnsi="宋体" w:cs="仿宋_GB2312+3+3"/>
          <w:kern w:val="0"/>
          <w:sz w:val="24"/>
          <w:highlight w:val="none"/>
        </w:rPr>
        <w:t>健</w:t>
      </w:r>
      <w:r>
        <w:rPr>
          <w:rFonts w:hint="eastAsia" w:ascii="宋体" w:hAnsi="宋体" w:cs="仿宋_GB2312+3+1"/>
          <w:kern w:val="0"/>
          <w:sz w:val="24"/>
          <w:highlight w:val="none"/>
        </w:rPr>
        <w:t>全工程项目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管理规章制度和</w:t>
      </w:r>
      <w:r>
        <w:rPr>
          <w:rFonts w:hint="eastAsia" w:ascii="宋体" w:hAnsi="宋体" w:cs="仿宋_GB2312+3+4"/>
          <w:kern w:val="0"/>
          <w:sz w:val="24"/>
          <w:highlight w:val="none"/>
        </w:rPr>
        <w:t>操</w:t>
      </w:r>
      <w:r>
        <w:rPr>
          <w:rFonts w:hint="eastAsia" w:ascii="宋体" w:hAnsi="宋体" w:cs="仿宋_GB2312+3+1"/>
          <w:kern w:val="0"/>
          <w:sz w:val="24"/>
          <w:highlight w:val="none"/>
        </w:rPr>
        <w:t>作</w:t>
      </w:r>
      <w:r>
        <w:rPr>
          <w:rFonts w:hint="eastAsia" w:ascii="宋体" w:hAnsi="宋体" w:cs="仿宋_GB2312+3+2"/>
          <w:kern w:val="0"/>
          <w:sz w:val="24"/>
          <w:highlight w:val="none"/>
        </w:rPr>
        <w:t>规</w:t>
      </w:r>
      <w:r>
        <w:rPr>
          <w:rFonts w:hint="eastAsia" w:ascii="宋体" w:hAnsi="宋体" w:cs="仿宋_GB2312+3+1"/>
          <w:kern w:val="0"/>
          <w:sz w:val="24"/>
          <w:highlight w:val="none"/>
        </w:rPr>
        <w:t>程，</w:t>
      </w:r>
      <w:r>
        <w:rPr>
          <w:rFonts w:hint="eastAsia" w:ascii="宋体" w:hAnsi="宋体" w:cs="仿宋_GB2312+3+2"/>
          <w:kern w:val="0"/>
          <w:sz w:val="24"/>
          <w:highlight w:val="none"/>
        </w:rPr>
        <w:t>合</w:t>
      </w:r>
      <w:r>
        <w:rPr>
          <w:rFonts w:hint="eastAsia" w:ascii="宋体" w:hAnsi="宋体" w:cs="仿宋_GB2312+3+1"/>
          <w:kern w:val="0"/>
          <w:sz w:val="24"/>
          <w:highlight w:val="none"/>
        </w:rPr>
        <w:t>理</w:t>
      </w:r>
      <w:r>
        <w:rPr>
          <w:rFonts w:hint="eastAsia" w:ascii="宋体" w:hAnsi="宋体" w:cs="仿宋_GB2312+3+3"/>
          <w:kern w:val="0"/>
          <w:sz w:val="24"/>
          <w:highlight w:val="none"/>
        </w:rPr>
        <w:t>配</w:t>
      </w:r>
      <w:r>
        <w:rPr>
          <w:rFonts w:hint="eastAsia" w:ascii="宋体" w:hAnsi="宋体" w:cs="仿宋_GB2312+3+6"/>
          <w:kern w:val="0"/>
          <w:sz w:val="24"/>
          <w:highlight w:val="none"/>
        </w:rPr>
        <w:t>置</w:t>
      </w:r>
      <w:r>
        <w:rPr>
          <w:rFonts w:hint="eastAsia" w:ascii="宋体" w:hAnsi="宋体" w:cs="仿宋_GB2312+3+1"/>
          <w:kern w:val="0"/>
          <w:sz w:val="24"/>
          <w:highlight w:val="none"/>
        </w:rPr>
        <w:t>人</w:t>
      </w:r>
      <w:r>
        <w:rPr>
          <w:rFonts w:hint="eastAsia" w:ascii="宋体" w:hAnsi="宋体" w:cs="仿宋_GB2312+3+2"/>
          <w:kern w:val="0"/>
          <w:sz w:val="24"/>
          <w:highlight w:val="none"/>
        </w:rPr>
        <w:t>力</w:t>
      </w:r>
      <w:r>
        <w:rPr>
          <w:rFonts w:hint="eastAsia" w:ascii="宋体" w:hAnsi="宋体" w:cs="仿宋_GB2312+3+1"/>
          <w:kern w:val="0"/>
          <w:sz w:val="24"/>
          <w:highlight w:val="none"/>
        </w:rPr>
        <w:t>、</w:t>
      </w:r>
      <w:r>
        <w:rPr>
          <w:rFonts w:hint="eastAsia" w:ascii="宋体" w:hAnsi="宋体" w:cs="仿宋_GB2312+3+6"/>
          <w:kern w:val="0"/>
          <w:sz w:val="24"/>
          <w:highlight w:val="none"/>
        </w:rPr>
        <w:t>物</w:t>
      </w:r>
      <w:r>
        <w:rPr>
          <w:rFonts w:hint="eastAsia" w:ascii="宋体" w:hAnsi="宋体" w:cs="仿宋_GB2312+3+4"/>
          <w:kern w:val="0"/>
          <w:sz w:val="24"/>
          <w:highlight w:val="none"/>
        </w:rPr>
        <w:t>资</w:t>
      </w:r>
      <w:r>
        <w:rPr>
          <w:rFonts w:hint="eastAsia" w:ascii="宋体" w:hAnsi="宋体" w:cs="仿宋_GB2312+3+1"/>
          <w:kern w:val="0"/>
          <w:sz w:val="24"/>
          <w:highlight w:val="none"/>
        </w:rPr>
        <w:t>、机</w:t>
      </w:r>
      <w:r>
        <w:rPr>
          <w:rFonts w:hint="eastAsia" w:ascii="宋体" w:hAnsi="宋体" w:cs="仿宋_GB2312+3+3"/>
          <w:kern w:val="0"/>
          <w:sz w:val="24"/>
          <w:highlight w:val="none"/>
        </w:rPr>
        <w:t>具</w:t>
      </w:r>
      <w:r>
        <w:rPr>
          <w:rFonts w:hint="eastAsia" w:ascii="宋体" w:hAnsi="宋体" w:cs="仿宋_GB2312+3+1"/>
          <w:kern w:val="0"/>
          <w:sz w:val="24"/>
          <w:highlight w:val="none"/>
        </w:rPr>
        <w:t>、</w:t>
      </w:r>
      <w:r>
        <w:rPr>
          <w:rFonts w:hint="eastAsia" w:ascii="宋体" w:hAnsi="宋体" w:cs="仿宋_GB2312+3+4"/>
          <w:kern w:val="0"/>
          <w:sz w:val="24"/>
          <w:highlight w:val="none"/>
        </w:rPr>
        <w:t>资</w:t>
      </w:r>
      <w:r>
        <w:rPr>
          <w:rFonts w:hint="eastAsia" w:ascii="宋体" w:hAnsi="宋体" w:cs="仿宋_GB2312+3+3"/>
          <w:kern w:val="0"/>
          <w:sz w:val="24"/>
          <w:highlight w:val="none"/>
        </w:rPr>
        <w:t>金</w:t>
      </w:r>
      <w:r>
        <w:rPr>
          <w:rFonts w:hint="eastAsia" w:ascii="宋体" w:hAnsi="宋体" w:cs="仿宋_GB2312+3+4"/>
          <w:kern w:val="0"/>
          <w:sz w:val="24"/>
          <w:highlight w:val="none"/>
        </w:rPr>
        <w:t>等</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要</w:t>
      </w:r>
      <w:r>
        <w:rPr>
          <w:rFonts w:hint="eastAsia" w:ascii="宋体" w:hAnsi="宋体" w:cs="仿宋_GB2312+3+3"/>
          <w:kern w:val="0"/>
          <w:sz w:val="24"/>
          <w:highlight w:val="none"/>
        </w:rPr>
        <w:t>素</w:t>
      </w:r>
      <w:r>
        <w:rPr>
          <w:rFonts w:hint="eastAsia" w:ascii="宋体" w:hAnsi="宋体" w:cs="仿宋_GB2312+3+1"/>
          <w:kern w:val="0"/>
          <w:sz w:val="24"/>
          <w:highlight w:val="none"/>
        </w:rPr>
        <w:t>。保</w:t>
      </w:r>
      <w:r>
        <w:rPr>
          <w:rFonts w:hint="eastAsia" w:ascii="宋体" w:hAnsi="宋体" w:cs="仿宋_GB2312+3+3"/>
          <w:kern w:val="0"/>
          <w:sz w:val="24"/>
          <w:highlight w:val="none"/>
        </w:rPr>
        <w:t>证</w:t>
      </w:r>
      <w:r>
        <w:rPr>
          <w:rFonts w:hint="eastAsia" w:ascii="宋体" w:hAnsi="宋体" w:cs="仿宋_GB2312+3+1"/>
          <w:kern w:val="0"/>
          <w:sz w:val="24"/>
          <w:highlight w:val="none"/>
        </w:rPr>
        <w:t>工程项目</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5"/>
          <w:kern w:val="0"/>
          <w:sz w:val="24"/>
          <w:highlight w:val="none"/>
        </w:rPr>
        <w:t>投</w:t>
      </w:r>
      <w:r>
        <w:rPr>
          <w:rFonts w:hint="eastAsia" w:ascii="宋体" w:hAnsi="宋体" w:cs="仿宋_GB2312+3+2"/>
          <w:kern w:val="0"/>
          <w:sz w:val="24"/>
          <w:highlight w:val="none"/>
        </w:rPr>
        <w:t>入</w:t>
      </w:r>
      <w:r>
        <w:rPr>
          <w:rFonts w:hint="eastAsia" w:ascii="宋体" w:hAnsi="宋体" w:cs="仿宋_GB2312+3+1"/>
          <w:kern w:val="0"/>
          <w:sz w:val="24"/>
          <w:highlight w:val="none"/>
        </w:rPr>
        <w:t>有效实施，</w:t>
      </w:r>
      <w:r>
        <w:rPr>
          <w:rFonts w:hint="eastAsia" w:ascii="宋体" w:hAnsi="宋体" w:cs="仿宋_GB2312+3+2"/>
          <w:kern w:val="0"/>
          <w:sz w:val="24"/>
          <w:highlight w:val="none"/>
        </w:rPr>
        <w:t>积极采用</w:t>
      </w:r>
      <w:r>
        <w:rPr>
          <w:rFonts w:hint="eastAsia" w:ascii="宋体" w:hAnsi="宋体" w:cs="仿宋_GB2312+3+1"/>
          <w:kern w:val="0"/>
          <w:sz w:val="24"/>
          <w:highlight w:val="none"/>
        </w:rPr>
        <w:t>新</w:t>
      </w:r>
      <w:r>
        <w:rPr>
          <w:rFonts w:hint="eastAsia" w:ascii="宋体" w:hAnsi="宋体" w:cs="仿宋_GB2312+3+2"/>
          <w:kern w:val="0"/>
          <w:sz w:val="24"/>
          <w:highlight w:val="none"/>
        </w:rPr>
        <w:t>技术</w:t>
      </w:r>
      <w:r>
        <w:rPr>
          <w:rFonts w:hint="eastAsia" w:ascii="宋体" w:hAnsi="宋体" w:cs="仿宋_GB2312+3+1"/>
          <w:kern w:val="0"/>
          <w:sz w:val="24"/>
          <w:highlight w:val="none"/>
        </w:rPr>
        <w:t>、新工</w:t>
      </w:r>
      <w:r>
        <w:rPr>
          <w:rFonts w:hint="eastAsia" w:ascii="宋体" w:hAnsi="宋体" w:cs="仿宋_GB2312+3+5"/>
          <w:kern w:val="0"/>
          <w:sz w:val="24"/>
          <w:highlight w:val="none"/>
        </w:rPr>
        <w:t>艺</w:t>
      </w:r>
      <w:r>
        <w:rPr>
          <w:rFonts w:hint="eastAsia" w:ascii="宋体" w:hAnsi="宋体" w:cs="仿宋_GB2312+3+1"/>
          <w:kern w:val="0"/>
          <w:sz w:val="24"/>
          <w:highlight w:val="none"/>
        </w:rPr>
        <w:t>、新</w:t>
      </w:r>
      <w:r>
        <w:rPr>
          <w:rFonts w:hint="eastAsia" w:ascii="宋体" w:hAnsi="宋体" w:cs="仿宋_GB2312+3+2"/>
          <w:kern w:val="0"/>
          <w:sz w:val="24"/>
          <w:highlight w:val="none"/>
        </w:rPr>
        <w:t>设</w:t>
      </w:r>
      <w:r>
        <w:rPr>
          <w:rFonts w:hint="eastAsia" w:ascii="宋体" w:hAnsi="宋体" w:cs="仿宋_GB2312+3+3"/>
          <w:kern w:val="0"/>
          <w:sz w:val="24"/>
          <w:highlight w:val="none"/>
        </w:rPr>
        <w:t>备</w:t>
      </w:r>
      <w:r>
        <w:rPr>
          <w:rFonts w:hint="eastAsia" w:ascii="宋体" w:hAnsi="宋体" w:cs="仿宋_GB2312+3+1"/>
          <w:kern w:val="0"/>
          <w:sz w:val="24"/>
          <w:highlight w:val="none"/>
        </w:rPr>
        <w:t>、新</w:t>
      </w:r>
      <w:r>
        <w:rPr>
          <w:rFonts w:hint="eastAsia" w:ascii="宋体" w:hAnsi="宋体" w:cs="仿宋_GB2312+3+4"/>
          <w:kern w:val="0"/>
          <w:sz w:val="24"/>
          <w:highlight w:val="none"/>
        </w:rPr>
        <w:t>材料</w:t>
      </w:r>
      <w:r>
        <w:rPr>
          <w:rFonts w:hint="eastAsia" w:ascii="宋体" w:hAnsi="宋体" w:cs="仿宋_GB2312+3+1"/>
          <w:kern w:val="0"/>
          <w:sz w:val="24"/>
          <w:highlight w:val="none"/>
        </w:rPr>
        <w:t>，</w:t>
      </w:r>
      <w:r>
        <w:rPr>
          <w:rFonts w:hint="eastAsia" w:ascii="宋体" w:hAnsi="宋体" w:cs="仿宋_GB2312+3+2"/>
          <w:kern w:val="0"/>
          <w:sz w:val="24"/>
          <w:highlight w:val="none"/>
        </w:rPr>
        <w:t>提</w:t>
      </w:r>
      <w:r>
        <w:rPr>
          <w:rFonts w:hint="eastAsia" w:ascii="宋体" w:hAnsi="宋体" w:cs="仿宋_GB2312+3+1"/>
          <w:kern w:val="0"/>
          <w:sz w:val="24"/>
          <w:highlight w:val="none"/>
        </w:rPr>
        <w:t>高施工</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水平。</w:t>
      </w:r>
    </w:p>
    <w:p w14:paraId="732BA087">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3"/>
          <w:kern w:val="0"/>
          <w:sz w:val="24"/>
          <w:highlight w:val="none"/>
        </w:rPr>
        <w:t>9</w:t>
      </w:r>
      <w:r>
        <w:rPr>
          <w:rFonts w:hint="eastAsia" w:ascii="宋体" w:hAnsi="宋体" w:cs="仿宋_GB2312+3+3"/>
          <w:kern w:val="0"/>
          <w:sz w:val="24"/>
          <w:highlight w:val="none"/>
          <w:lang w:eastAsia="zh-CN"/>
        </w:rPr>
        <w:t>）</w:t>
      </w:r>
      <w:r>
        <w:rPr>
          <w:rFonts w:hint="eastAsia" w:ascii="宋体" w:hAnsi="宋体" w:cs="仿宋_GB2312+3+3"/>
          <w:kern w:val="0"/>
          <w:sz w:val="24"/>
          <w:highlight w:val="none"/>
        </w:rPr>
        <w:t>依</w:t>
      </w:r>
      <w:r>
        <w:rPr>
          <w:rFonts w:hint="eastAsia" w:ascii="宋体" w:hAnsi="宋体" w:cs="仿宋_GB2312+3+2"/>
          <w:kern w:val="0"/>
          <w:sz w:val="24"/>
          <w:highlight w:val="none"/>
        </w:rPr>
        <w:t>据</w:t>
      </w:r>
      <w:r>
        <w:rPr>
          <w:rFonts w:hint="eastAsia" w:ascii="宋体" w:hAnsi="宋体" w:cs="仿宋_GB2312+3+1"/>
          <w:kern w:val="0"/>
          <w:sz w:val="24"/>
          <w:highlight w:val="none"/>
        </w:rPr>
        <w:t>工程</w:t>
      </w:r>
      <w:r>
        <w:rPr>
          <w:rFonts w:hint="eastAsia" w:ascii="宋体" w:hAnsi="宋体" w:cs="仿宋_GB2312+3+4"/>
          <w:kern w:val="0"/>
          <w:sz w:val="24"/>
          <w:highlight w:val="none"/>
        </w:rPr>
        <w:t>特</w:t>
      </w:r>
      <w:r>
        <w:rPr>
          <w:rFonts w:hint="eastAsia" w:ascii="宋体" w:hAnsi="宋体" w:cs="仿宋_GB2312+3+3"/>
          <w:kern w:val="0"/>
          <w:sz w:val="24"/>
          <w:highlight w:val="none"/>
        </w:rPr>
        <w:t>点</w:t>
      </w:r>
      <w:r>
        <w:rPr>
          <w:rFonts w:hint="eastAsia" w:ascii="宋体" w:hAnsi="宋体" w:cs="仿宋_GB2312+3+1"/>
          <w:kern w:val="0"/>
          <w:sz w:val="24"/>
          <w:highlight w:val="none"/>
        </w:rPr>
        <w:t>，</w:t>
      </w:r>
      <w:r>
        <w:rPr>
          <w:rFonts w:hint="eastAsia" w:ascii="宋体" w:hAnsi="宋体" w:cs="仿宋_GB2312+3+2"/>
          <w:kern w:val="0"/>
          <w:sz w:val="24"/>
          <w:highlight w:val="none"/>
        </w:rPr>
        <w:t>科学编</w:t>
      </w:r>
      <w:r>
        <w:rPr>
          <w:rFonts w:hint="eastAsia" w:ascii="宋体" w:hAnsi="宋体" w:cs="仿宋_GB2312+3+1"/>
          <w:kern w:val="0"/>
          <w:sz w:val="24"/>
          <w:highlight w:val="none"/>
        </w:rPr>
        <w:t>制施工</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2"/>
          <w:kern w:val="0"/>
          <w:sz w:val="24"/>
          <w:highlight w:val="none"/>
        </w:rPr>
        <w:t>措</w:t>
      </w:r>
      <w:r>
        <w:rPr>
          <w:rFonts w:hint="eastAsia" w:ascii="宋体" w:hAnsi="宋体" w:cs="仿宋_GB2312+3+1"/>
          <w:kern w:val="0"/>
          <w:sz w:val="24"/>
          <w:highlight w:val="none"/>
        </w:rPr>
        <w:t>施。</w:t>
      </w:r>
      <w:r>
        <w:rPr>
          <w:rFonts w:hint="eastAsia" w:ascii="宋体" w:hAnsi="宋体" w:cs="仿宋_GB2312+3+3"/>
          <w:kern w:val="0"/>
          <w:sz w:val="24"/>
          <w:highlight w:val="none"/>
        </w:rPr>
        <w:t>正</w:t>
      </w:r>
      <w:r>
        <w:rPr>
          <w:rFonts w:hint="eastAsia" w:ascii="宋体" w:hAnsi="宋体" w:cs="仿宋_GB2312+3+1"/>
          <w:kern w:val="0"/>
          <w:sz w:val="24"/>
          <w:highlight w:val="none"/>
        </w:rPr>
        <w:t>确</w:t>
      </w:r>
      <w:r>
        <w:rPr>
          <w:rFonts w:hint="eastAsia" w:ascii="宋体" w:hAnsi="宋体" w:cs="仿宋_GB2312+3+4"/>
          <w:kern w:val="0"/>
          <w:sz w:val="24"/>
          <w:highlight w:val="none"/>
        </w:rPr>
        <w:t>处</w:t>
      </w:r>
      <w:r>
        <w:rPr>
          <w:rFonts w:hint="eastAsia" w:ascii="宋体" w:hAnsi="宋体" w:cs="仿宋_GB2312+3+1"/>
          <w:kern w:val="0"/>
          <w:sz w:val="24"/>
          <w:highlight w:val="none"/>
        </w:rPr>
        <w:t>理</w:t>
      </w:r>
      <w:r>
        <w:rPr>
          <w:rFonts w:hint="eastAsia" w:ascii="宋体" w:hAnsi="宋体" w:cs="仿宋_GB2312+3+3"/>
          <w:kern w:val="0"/>
          <w:sz w:val="24"/>
          <w:highlight w:val="none"/>
        </w:rPr>
        <w:t>好安</w:t>
      </w:r>
      <w:r>
        <w:rPr>
          <w:rFonts w:hint="eastAsia" w:ascii="宋体" w:hAnsi="宋体" w:cs="仿宋_GB2312+3+1"/>
          <w:kern w:val="0"/>
          <w:sz w:val="24"/>
          <w:highlight w:val="none"/>
        </w:rPr>
        <w:t>全</w:t>
      </w:r>
      <w:r>
        <w:rPr>
          <w:rFonts w:hint="eastAsia" w:ascii="宋体" w:hAnsi="宋体" w:cs="仿宋_GB2312+3+4"/>
          <w:kern w:val="0"/>
          <w:sz w:val="24"/>
          <w:highlight w:val="none"/>
        </w:rPr>
        <w:t>与</w:t>
      </w:r>
      <w:r>
        <w:rPr>
          <w:rFonts w:hint="eastAsia" w:ascii="宋体" w:hAnsi="宋体" w:cs="仿宋_GB2312+3+1"/>
          <w:kern w:val="0"/>
          <w:sz w:val="24"/>
          <w:highlight w:val="none"/>
        </w:rPr>
        <w:t>进度、</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4"/>
          <w:kern w:val="0"/>
          <w:sz w:val="24"/>
          <w:highlight w:val="none"/>
        </w:rPr>
        <w:t>与</w:t>
      </w:r>
      <w:r>
        <w:rPr>
          <w:rFonts w:hint="eastAsia" w:ascii="宋体" w:hAnsi="宋体" w:cs="仿宋_GB2312+3+1"/>
          <w:kern w:val="0"/>
          <w:sz w:val="24"/>
          <w:highlight w:val="none"/>
        </w:rPr>
        <w:t>效</w:t>
      </w:r>
      <w:r>
        <w:rPr>
          <w:rFonts w:hint="eastAsia" w:ascii="宋体" w:hAnsi="宋体" w:cs="仿宋_GB2312+3+3"/>
          <w:kern w:val="0"/>
          <w:sz w:val="24"/>
          <w:highlight w:val="none"/>
        </w:rPr>
        <w:t>益关</w:t>
      </w:r>
      <w:r>
        <w:rPr>
          <w:rFonts w:hint="eastAsia" w:ascii="宋体" w:hAnsi="宋体" w:cs="仿宋_GB2312+3+1"/>
          <w:kern w:val="0"/>
          <w:sz w:val="24"/>
          <w:highlight w:val="none"/>
        </w:rPr>
        <w:t>系，</w:t>
      </w:r>
      <w:r>
        <w:rPr>
          <w:rFonts w:hint="eastAsia" w:ascii="宋体" w:hAnsi="宋体" w:cs="仿宋_GB2312+3+2"/>
          <w:kern w:val="0"/>
          <w:sz w:val="24"/>
          <w:highlight w:val="none"/>
        </w:rPr>
        <w:t>坚持把</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贯</w:t>
      </w:r>
      <w:r>
        <w:rPr>
          <w:rFonts w:hint="eastAsia" w:ascii="宋体" w:hAnsi="宋体" w:cs="仿宋_GB2312+3+9"/>
          <w:kern w:val="0"/>
          <w:sz w:val="24"/>
          <w:highlight w:val="none"/>
        </w:rPr>
        <w:t>穿</w:t>
      </w:r>
      <w:r>
        <w:rPr>
          <w:rFonts w:hint="eastAsia" w:ascii="宋体" w:hAnsi="宋体" w:cs="仿宋_GB2312+3+5"/>
          <w:kern w:val="0"/>
          <w:sz w:val="24"/>
          <w:highlight w:val="none"/>
        </w:rPr>
        <w:t>于</w:t>
      </w:r>
      <w:r>
        <w:rPr>
          <w:rFonts w:hint="eastAsia" w:ascii="宋体" w:hAnsi="宋体" w:cs="仿宋_GB2312+3+1"/>
          <w:kern w:val="0"/>
          <w:sz w:val="24"/>
          <w:highlight w:val="none"/>
        </w:rPr>
        <w:t>施工</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全过程，</w:t>
      </w:r>
      <w:r>
        <w:rPr>
          <w:rFonts w:hint="eastAsia" w:ascii="宋体" w:hAnsi="宋体" w:cs="仿宋_GB2312+3+2"/>
          <w:kern w:val="0"/>
          <w:sz w:val="24"/>
          <w:highlight w:val="none"/>
        </w:rPr>
        <w:t>把</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5"/>
          <w:kern w:val="0"/>
          <w:sz w:val="24"/>
          <w:highlight w:val="none"/>
        </w:rPr>
        <w:t>摆</w:t>
      </w:r>
      <w:r>
        <w:rPr>
          <w:rFonts w:hint="eastAsia" w:ascii="宋体" w:hAnsi="宋体" w:cs="仿宋_GB2312+3+1"/>
          <w:kern w:val="0"/>
          <w:sz w:val="24"/>
          <w:highlight w:val="none"/>
        </w:rPr>
        <w:t>在</w:t>
      </w:r>
      <w:r>
        <w:rPr>
          <w:rFonts w:hint="eastAsia" w:ascii="宋体" w:hAnsi="宋体" w:cs="仿宋_GB2312+3+3"/>
          <w:kern w:val="0"/>
          <w:sz w:val="24"/>
          <w:highlight w:val="none"/>
        </w:rPr>
        <w:t>首</w:t>
      </w:r>
      <w:r>
        <w:rPr>
          <w:rFonts w:hint="eastAsia" w:ascii="宋体" w:hAnsi="宋体" w:cs="仿宋_GB2312+3+2"/>
          <w:kern w:val="0"/>
          <w:sz w:val="24"/>
          <w:highlight w:val="none"/>
        </w:rPr>
        <w:t>位</w:t>
      </w:r>
      <w:r>
        <w:rPr>
          <w:rFonts w:hint="eastAsia" w:ascii="宋体" w:hAnsi="宋体" w:cs="仿宋_GB2312+3+9"/>
          <w:kern w:val="0"/>
          <w:sz w:val="24"/>
          <w:highlight w:val="none"/>
        </w:rPr>
        <w:t>抓</w:t>
      </w:r>
      <w:r>
        <w:rPr>
          <w:rFonts w:hint="eastAsia" w:ascii="宋体" w:hAnsi="宋体" w:cs="仿宋_GB2312+3+7"/>
          <w:kern w:val="0"/>
          <w:sz w:val="24"/>
          <w:highlight w:val="none"/>
        </w:rPr>
        <w:t>紧</w:t>
      </w:r>
      <w:r>
        <w:rPr>
          <w:rFonts w:hint="eastAsia" w:ascii="宋体" w:hAnsi="宋体" w:cs="仿宋_GB2312+3+1"/>
          <w:kern w:val="0"/>
          <w:sz w:val="24"/>
          <w:highlight w:val="none"/>
        </w:rPr>
        <w:t>、</w:t>
      </w:r>
      <w:r>
        <w:rPr>
          <w:rFonts w:hint="eastAsia" w:ascii="宋体" w:hAnsi="宋体" w:cs="仿宋_GB2312+3+9"/>
          <w:kern w:val="0"/>
          <w:sz w:val="24"/>
          <w:highlight w:val="none"/>
        </w:rPr>
        <w:t>抓</w:t>
      </w:r>
      <w:r>
        <w:rPr>
          <w:rFonts w:hint="eastAsia" w:ascii="宋体" w:hAnsi="宋体" w:cs="仿宋_GB2312+3+3"/>
          <w:kern w:val="0"/>
          <w:sz w:val="24"/>
          <w:highlight w:val="none"/>
        </w:rPr>
        <w:t>好</w:t>
      </w:r>
      <w:r>
        <w:rPr>
          <w:rFonts w:hint="eastAsia" w:ascii="宋体" w:hAnsi="宋体" w:cs="仿宋_GB2312+3+1"/>
          <w:kern w:val="0"/>
          <w:sz w:val="24"/>
          <w:highlight w:val="none"/>
        </w:rPr>
        <w:t>、</w:t>
      </w:r>
      <w:r>
        <w:rPr>
          <w:rFonts w:hint="eastAsia" w:ascii="宋体" w:hAnsi="宋体" w:cs="仿宋_GB2312+3+9"/>
          <w:kern w:val="0"/>
          <w:sz w:val="24"/>
          <w:highlight w:val="none"/>
        </w:rPr>
        <w:t>抓</w:t>
      </w:r>
      <w:r>
        <w:rPr>
          <w:rFonts w:hint="eastAsia" w:ascii="宋体" w:hAnsi="宋体" w:cs="仿宋_GB2312+3+1"/>
          <w:kern w:val="0"/>
          <w:sz w:val="24"/>
          <w:highlight w:val="none"/>
        </w:rPr>
        <w:t>实</w:t>
      </w:r>
      <w:r>
        <w:rPr>
          <w:rFonts w:hint="eastAsia" w:ascii="宋体" w:hAnsi="宋体" w:cs="仿宋_GB2312+3+2"/>
          <w:kern w:val="0"/>
          <w:sz w:val="24"/>
          <w:highlight w:val="none"/>
        </w:rPr>
        <w:t>。</w:t>
      </w:r>
    </w:p>
    <w:p w14:paraId="2697DF5F">
      <w:pPr>
        <w:adjustRightInd w:val="0"/>
        <w:snapToGrid w:val="0"/>
        <w:spacing w:line="460" w:lineRule="exact"/>
        <w:ind w:firstLine="360" w:firstLineChars="150"/>
        <w:jc w:val="left"/>
        <w:rPr>
          <w:rFonts w:hint="eastAsia" w:ascii="宋体" w:hAnsi="宋体" w:cs="仿宋_GB2312+3+1"/>
          <w:kern w:val="0"/>
          <w:sz w:val="24"/>
          <w:highlight w:val="none"/>
        </w:rPr>
      </w:pPr>
      <w:r>
        <w:rPr>
          <w:rFonts w:hint="eastAsia" w:ascii="宋体" w:hAnsi="宋体" w:cs="仿宋_GB2312+3+1"/>
          <w:kern w:val="0"/>
          <w:sz w:val="24"/>
          <w:highlight w:val="none"/>
        </w:rPr>
        <w:t>10</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发</w:t>
      </w:r>
      <w:r>
        <w:rPr>
          <w:rFonts w:hint="eastAsia" w:ascii="宋体" w:hAnsi="宋体" w:cs="仿宋_GB2312+3+2"/>
          <w:kern w:val="0"/>
          <w:sz w:val="24"/>
          <w:highlight w:val="none"/>
        </w:rPr>
        <w:t>动</w:t>
      </w:r>
      <w:r>
        <w:rPr>
          <w:rFonts w:hint="eastAsia" w:ascii="宋体" w:hAnsi="宋体" w:cs="仿宋_GB2312+3+9"/>
          <w:kern w:val="0"/>
          <w:sz w:val="24"/>
          <w:highlight w:val="none"/>
        </w:rPr>
        <w:t>群众</w:t>
      </w:r>
      <w:r>
        <w:rPr>
          <w:rFonts w:hint="eastAsia" w:ascii="宋体" w:hAnsi="宋体" w:cs="仿宋_GB2312+3+1"/>
          <w:kern w:val="0"/>
          <w:sz w:val="24"/>
          <w:highlight w:val="none"/>
        </w:rPr>
        <w:t>，实行全员、全面、全方</w:t>
      </w:r>
      <w:r>
        <w:rPr>
          <w:rFonts w:hint="eastAsia" w:ascii="宋体" w:hAnsi="宋体" w:cs="仿宋_GB2312+3+2"/>
          <w:kern w:val="0"/>
          <w:sz w:val="24"/>
          <w:highlight w:val="none"/>
        </w:rPr>
        <w:t>位</w:t>
      </w:r>
      <w:r>
        <w:rPr>
          <w:rFonts w:hint="eastAsia" w:ascii="宋体" w:hAnsi="宋体" w:cs="仿宋_GB2312+3+1"/>
          <w:kern w:val="0"/>
          <w:sz w:val="24"/>
          <w:highlight w:val="none"/>
        </w:rPr>
        <w:t>、全过程的</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管理。经</w:t>
      </w:r>
      <w:r>
        <w:rPr>
          <w:rFonts w:hint="eastAsia" w:ascii="宋体" w:hAnsi="宋体" w:cs="仿宋_GB2312+3+3"/>
          <w:kern w:val="0"/>
          <w:sz w:val="24"/>
          <w:highlight w:val="none"/>
        </w:rPr>
        <w:t>常</w:t>
      </w:r>
      <w:r>
        <w:rPr>
          <w:rFonts w:hint="eastAsia" w:ascii="宋体" w:hAnsi="宋体" w:cs="仿宋_GB2312+3+5"/>
          <w:kern w:val="0"/>
          <w:sz w:val="24"/>
          <w:highlight w:val="none"/>
        </w:rPr>
        <w:t>听</w:t>
      </w:r>
      <w:r>
        <w:rPr>
          <w:rFonts w:hint="eastAsia" w:ascii="宋体" w:hAnsi="宋体" w:cs="仿宋_GB2312+3+6"/>
          <w:kern w:val="0"/>
          <w:sz w:val="24"/>
          <w:highlight w:val="none"/>
        </w:rPr>
        <w:t>取</w:t>
      </w:r>
      <w:r>
        <w:rPr>
          <w:rFonts w:hint="eastAsia" w:ascii="宋体" w:hAnsi="宋体" w:cs="仿宋_GB2312+3+4"/>
          <w:kern w:val="0"/>
          <w:sz w:val="24"/>
          <w:highlight w:val="none"/>
        </w:rPr>
        <w:t>广</w:t>
      </w:r>
      <w:r>
        <w:rPr>
          <w:rFonts w:hint="eastAsia" w:ascii="宋体" w:hAnsi="宋体" w:cs="仿宋_GB2312+3+2"/>
          <w:kern w:val="0"/>
          <w:sz w:val="24"/>
          <w:highlight w:val="none"/>
        </w:rPr>
        <w:t>大</w:t>
      </w:r>
      <w:r>
        <w:rPr>
          <w:rFonts w:hint="eastAsia" w:ascii="宋体" w:hAnsi="宋体" w:cs="仿宋_GB2312+3+1"/>
          <w:kern w:val="0"/>
          <w:sz w:val="24"/>
          <w:highlight w:val="none"/>
        </w:rPr>
        <w:t>员工在</w:t>
      </w:r>
      <w:r>
        <w:rPr>
          <w:rFonts w:hint="eastAsia" w:ascii="宋体" w:hAnsi="宋体" w:cs="仿宋_GB2312+3+3"/>
          <w:kern w:val="0"/>
          <w:sz w:val="24"/>
          <w:highlight w:val="none"/>
        </w:rPr>
        <w:t>安</w:t>
      </w:r>
      <w:r>
        <w:rPr>
          <w:rFonts w:hint="eastAsia" w:ascii="宋体" w:hAnsi="宋体" w:cs="仿宋_GB2312+3+1"/>
          <w:kern w:val="0"/>
          <w:sz w:val="24"/>
          <w:highlight w:val="none"/>
        </w:rPr>
        <w:t>全</w:t>
      </w:r>
      <w:r>
        <w:rPr>
          <w:rFonts w:hint="eastAsia" w:ascii="宋体" w:hAnsi="宋体" w:cs="仿宋_GB2312+3+3"/>
          <w:kern w:val="0"/>
          <w:sz w:val="24"/>
          <w:highlight w:val="none"/>
        </w:rPr>
        <w:t>生</w:t>
      </w:r>
      <w:r>
        <w:rPr>
          <w:rFonts w:hint="eastAsia" w:ascii="宋体" w:hAnsi="宋体" w:cs="仿宋_GB2312+3+4"/>
          <w:kern w:val="0"/>
          <w:sz w:val="24"/>
          <w:highlight w:val="none"/>
        </w:rPr>
        <w:t>产</w:t>
      </w:r>
      <w:r>
        <w:rPr>
          <w:rFonts w:hint="eastAsia" w:ascii="宋体" w:hAnsi="宋体" w:cs="仿宋_GB2312+3+1"/>
          <w:kern w:val="0"/>
          <w:sz w:val="24"/>
          <w:highlight w:val="none"/>
        </w:rPr>
        <w:t>方面的</w:t>
      </w:r>
      <w:r>
        <w:rPr>
          <w:rFonts w:hint="eastAsia" w:ascii="宋体" w:hAnsi="宋体" w:cs="仿宋_GB2312+3+3"/>
          <w:kern w:val="0"/>
          <w:sz w:val="24"/>
          <w:highlight w:val="none"/>
        </w:rPr>
        <w:t>意</w:t>
      </w:r>
      <w:r>
        <w:rPr>
          <w:rFonts w:hint="eastAsia" w:ascii="宋体" w:hAnsi="宋体" w:cs="仿宋_GB2312+3+6"/>
          <w:kern w:val="0"/>
          <w:sz w:val="24"/>
          <w:highlight w:val="none"/>
        </w:rPr>
        <w:t>见</w:t>
      </w:r>
      <w:r>
        <w:rPr>
          <w:rFonts w:hint="eastAsia" w:ascii="宋体" w:hAnsi="宋体" w:cs="仿宋_GB2312+3+1"/>
          <w:kern w:val="0"/>
          <w:sz w:val="24"/>
          <w:highlight w:val="none"/>
        </w:rPr>
        <w:t>和建</w:t>
      </w:r>
      <w:r>
        <w:rPr>
          <w:rFonts w:hint="eastAsia" w:ascii="宋体" w:hAnsi="宋体" w:cs="仿宋_GB2312+3+5"/>
          <w:kern w:val="0"/>
          <w:sz w:val="24"/>
          <w:highlight w:val="none"/>
        </w:rPr>
        <w:t>议</w:t>
      </w:r>
      <w:r>
        <w:rPr>
          <w:rFonts w:hint="eastAsia" w:ascii="宋体" w:hAnsi="宋体" w:cs="仿宋_GB2312+3+1"/>
          <w:kern w:val="0"/>
          <w:sz w:val="24"/>
          <w:highlight w:val="none"/>
        </w:rPr>
        <w:t>，</w:t>
      </w:r>
      <w:r>
        <w:rPr>
          <w:rFonts w:hint="eastAsia" w:ascii="宋体" w:hAnsi="宋体" w:cs="仿宋_GB2312+3+3"/>
          <w:kern w:val="0"/>
          <w:sz w:val="24"/>
          <w:highlight w:val="none"/>
        </w:rPr>
        <w:t>总</w:t>
      </w:r>
      <w:r>
        <w:rPr>
          <w:rFonts w:hint="eastAsia" w:ascii="宋体" w:hAnsi="宋体" w:cs="仿宋_GB2312+3+2"/>
          <w:kern w:val="0"/>
          <w:sz w:val="24"/>
          <w:highlight w:val="none"/>
        </w:rPr>
        <w:t>结</w:t>
      </w:r>
      <w:r>
        <w:rPr>
          <w:rFonts w:hint="eastAsia" w:ascii="宋体" w:hAnsi="宋体" w:cs="仿宋_GB2312+3+4"/>
          <w:kern w:val="0"/>
          <w:sz w:val="24"/>
          <w:highlight w:val="none"/>
        </w:rPr>
        <w:t>推广</w:t>
      </w:r>
      <w:r>
        <w:rPr>
          <w:rFonts w:hint="eastAsia" w:ascii="宋体" w:hAnsi="宋体" w:cs="仿宋_GB2312+3+2"/>
          <w:kern w:val="0"/>
          <w:sz w:val="24"/>
          <w:highlight w:val="none"/>
        </w:rPr>
        <w:t>科学</w:t>
      </w:r>
      <w:r>
        <w:rPr>
          <w:rFonts w:hint="eastAsia" w:ascii="宋体" w:hAnsi="宋体" w:cs="仿宋_GB2312+3+1"/>
          <w:kern w:val="0"/>
          <w:sz w:val="24"/>
          <w:highlight w:val="none"/>
        </w:rPr>
        <w:t>管理经验，</w:t>
      </w:r>
      <w:r>
        <w:rPr>
          <w:rFonts w:hint="eastAsia" w:ascii="宋体" w:hAnsi="宋体" w:cs="仿宋_GB2312+3+2"/>
          <w:kern w:val="0"/>
          <w:sz w:val="24"/>
          <w:highlight w:val="none"/>
        </w:rPr>
        <w:t>及</w:t>
      </w:r>
      <w:r>
        <w:rPr>
          <w:rFonts w:hint="eastAsia" w:ascii="宋体" w:hAnsi="宋体" w:cs="仿宋_GB2312+3+3"/>
          <w:kern w:val="0"/>
          <w:sz w:val="24"/>
          <w:highlight w:val="none"/>
        </w:rPr>
        <w:t>时</w:t>
      </w:r>
      <w:r>
        <w:rPr>
          <w:rFonts w:hint="eastAsia" w:ascii="宋体" w:hAnsi="宋体" w:cs="仿宋_GB2312+3+5"/>
          <w:kern w:val="0"/>
          <w:sz w:val="24"/>
          <w:highlight w:val="none"/>
        </w:rPr>
        <w:t>表彰</w:t>
      </w:r>
      <w:r>
        <w:rPr>
          <w:rFonts w:hint="eastAsia" w:ascii="宋体" w:hAnsi="宋体" w:cs="仿宋_GB2312+3+2"/>
          <w:kern w:val="0"/>
          <w:sz w:val="24"/>
          <w:highlight w:val="none"/>
        </w:rPr>
        <w:t>先</w:t>
      </w:r>
      <w:r>
        <w:rPr>
          <w:rFonts w:hint="eastAsia" w:ascii="宋体" w:hAnsi="宋体" w:cs="仿宋_GB2312+3+1"/>
          <w:kern w:val="0"/>
          <w:sz w:val="24"/>
          <w:highlight w:val="none"/>
        </w:rPr>
        <w:t>进，</w:t>
      </w:r>
      <w:r>
        <w:rPr>
          <w:rFonts w:hint="eastAsia" w:ascii="宋体" w:hAnsi="宋体" w:cs="仿宋_GB2312+3+3"/>
          <w:kern w:val="0"/>
          <w:sz w:val="24"/>
          <w:highlight w:val="none"/>
        </w:rPr>
        <w:t>严</w:t>
      </w:r>
      <w:r>
        <w:rPr>
          <w:rFonts w:hint="eastAsia" w:ascii="宋体" w:hAnsi="宋体" w:cs="仿宋_GB2312+3+9"/>
          <w:kern w:val="0"/>
          <w:sz w:val="24"/>
          <w:highlight w:val="none"/>
        </w:rPr>
        <w:t>肃</w:t>
      </w:r>
      <w:r>
        <w:rPr>
          <w:rFonts w:hint="eastAsia" w:ascii="宋体" w:hAnsi="宋体" w:cs="仿宋_GB2312+3+4"/>
          <w:kern w:val="0"/>
          <w:sz w:val="24"/>
          <w:highlight w:val="none"/>
        </w:rPr>
        <w:t>处</w:t>
      </w:r>
      <w:r>
        <w:rPr>
          <w:rFonts w:hint="eastAsia" w:ascii="宋体" w:hAnsi="宋体" w:cs="仿宋_GB2312+3+6"/>
          <w:kern w:val="0"/>
          <w:sz w:val="24"/>
          <w:highlight w:val="none"/>
        </w:rPr>
        <w:t>罚</w:t>
      </w:r>
      <w:r>
        <w:rPr>
          <w:rFonts w:hint="eastAsia" w:ascii="宋体" w:hAnsi="宋体" w:cs="仿宋_GB2312+3+2"/>
          <w:kern w:val="0"/>
          <w:sz w:val="24"/>
          <w:highlight w:val="none"/>
        </w:rPr>
        <w:t>事故</w:t>
      </w:r>
      <w:r>
        <w:rPr>
          <w:rFonts w:hint="eastAsia" w:ascii="宋体" w:hAnsi="宋体" w:cs="仿宋_GB2312+3+1"/>
          <w:kern w:val="0"/>
          <w:sz w:val="24"/>
          <w:highlight w:val="none"/>
        </w:rPr>
        <w:t>责任</w:t>
      </w:r>
      <w:r>
        <w:rPr>
          <w:rFonts w:hint="eastAsia" w:ascii="宋体" w:hAnsi="宋体" w:cs="仿宋_GB2312+3+4"/>
          <w:kern w:val="0"/>
          <w:sz w:val="24"/>
          <w:highlight w:val="none"/>
        </w:rPr>
        <w:t>者</w:t>
      </w:r>
      <w:r>
        <w:rPr>
          <w:rFonts w:hint="eastAsia" w:ascii="宋体" w:hAnsi="宋体" w:cs="仿宋_GB2312+3+1"/>
          <w:kern w:val="0"/>
          <w:sz w:val="24"/>
          <w:highlight w:val="none"/>
        </w:rPr>
        <w:t>。</w:t>
      </w:r>
    </w:p>
    <w:p w14:paraId="0FB397D9">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1"/>
          <w:kern w:val="0"/>
          <w:sz w:val="24"/>
          <w:highlight w:val="none"/>
        </w:rPr>
        <w:t>11</w:t>
      </w:r>
      <w:r>
        <w:rPr>
          <w:rFonts w:hint="eastAsia" w:ascii="宋体" w:hAnsi="宋体" w:cs="仿宋_GB2312+3+3"/>
          <w:kern w:val="0"/>
          <w:sz w:val="24"/>
          <w:highlight w:val="none"/>
          <w:lang w:eastAsia="zh-CN"/>
        </w:rPr>
        <w:t>）</w:t>
      </w:r>
      <w:r>
        <w:rPr>
          <w:rFonts w:hint="eastAsia" w:ascii="宋体" w:hAnsi="宋体" w:cs="仿宋_GB2312+3+1"/>
          <w:kern w:val="0"/>
          <w:sz w:val="24"/>
          <w:highlight w:val="none"/>
        </w:rPr>
        <w:t>发</w:t>
      </w:r>
      <w:r>
        <w:rPr>
          <w:rFonts w:hint="eastAsia" w:ascii="宋体" w:hAnsi="宋体" w:cs="仿宋_GB2312+3+3"/>
          <w:kern w:val="0"/>
          <w:sz w:val="24"/>
          <w:highlight w:val="none"/>
        </w:rPr>
        <w:t>生</w:t>
      </w:r>
      <w:r>
        <w:rPr>
          <w:rFonts w:hint="eastAsia" w:ascii="宋体" w:hAnsi="宋体" w:cs="仿宋_GB2312+3+4"/>
          <w:kern w:val="0"/>
          <w:sz w:val="24"/>
          <w:highlight w:val="none"/>
        </w:rPr>
        <w:t>因</w:t>
      </w:r>
      <w:r>
        <w:rPr>
          <w:rFonts w:hint="eastAsia" w:ascii="宋体" w:hAnsi="宋体" w:cs="仿宋_GB2312+3+1"/>
          <w:kern w:val="0"/>
          <w:sz w:val="24"/>
          <w:highlight w:val="none"/>
        </w:rPr>
        <w:t>工</w:t>
      </w:r>
      <w:r>
        <w:rPr>
          <w:rFonts w:hint="eastAsia" w:ascii="宋体" w:hAnsi="宋体" w:cs="仿宋_GB2312+3+8"/>
          <w:kern w:val="0"/>
          <w:sz w:val="24"/>
          <w:highlight w:val="none"/>
        </w:rPr>
        <w:t>伤亡</w:t>
      </w:r>
      <w:r>
        <w:rPr>
          <w:rFonts w:hint="eastAsia" w:ascii="宋体" w:hAnsi="宋体" w:cs="仿宋_GB2312+3+2"/>
          <w:kern w:val="0"/>
          <w:sz w:val="24"/>
          <w:highlight w:val="none"/>
        </w:rPr>
        <w:t>事故</w:t>
      </w:r>
      <w:r>
        <w:rPr>
          <w:rFonts w:hint="eastAsia" w:ascii="宋体" w:hAnsi="宋体" w:cs="仿宋_GB2312+3+3"/>
          <w:kern w:val="0"/>
          <w:sz w:val="24"/>
          <w:highlight w:val="none"/>
        </w:rPr>
        <w:t>时</w:t>
      </w:r>
      <w:r>
        <w:rPr>
          <w:rFonts w:hint="eastAsia" w:ascii="宋体" w:hAnsi="宋体" w:cs="仿宋_GB2312+3+1"/>
          <w:kern w:val="0"/>
          <w:sz w:val="24"/>
          <w:highlight w:val="none"/>
        </w:rPr>
        <w:t>，</w:t>
      </w:r>
      <w:r>
        <w:rPr>
          <w:rFonts w:hint="eastAsia" w:ascii="宋体" w:hAnsi="宋体" w:cs="仿宋_GB2312+3+2"/>
          <w:kern w:val="0"/>
          <w:sz w:val="24"/>
          <w:highlight w:val="none"/>
        </w:rPr>
        <w:t>必</w:t>
      </w:r>
      <w:r>
        <w:rPr>
          <w:rFonts w:hint="eastAsia" w:ascii="宋体" w:hAnsi="宋体" w:cs="仿宋_GB2312+3+1"/>
          <w:kern w:val="0"/>
          <w:sz w:val="24"/>
          <w:highlight w:val="none"/>
        </w:rPr>
        <w:t>须</w:t>
      </w:r>
      <w:r>
        <w:rPr>
          <w:rFonts w:hint="eastAsia" w:ascii="宋体" w:hAnsi="宋体" w:cs="仿宋_GB2312+3+3"/>
          <w:kern w:val="0"/>
          <w:sz w:val="24"/>
          <w:highlight w:val="none"/>
        </w:rPr>
        <w:t>做好</w:t>
      </w:r>
      <w:r>
        <w:rPr>
          <w:rFonts w:hint="eastAsia" w:ascii="宋体" w:hAnsi="宋体" w:cs="仿宋_GB2312+3+2"/>
          <w:kern w:val="0"/>
          <w:sz w:val="24"/>
          <w:highlight w:val="none"/>
        </w:rPr>
        <w:t>事故现</w:t>
      </w:r>
      <w:r>
        <w:rPr>
          <w:rFonts w:hint="eastAsia" w:ascii="宋体" w:hAnsi="宋体" w:cs="仿宋_GB2312+3+1"/>
          <w:kern w:val="0"/>
          <w:sz w:val="24"/>
          <w:highlight w:val="none"/>
        </w:rPr>
        <w:t>场保</w:t>
      </w:r>
      <w:r>
        <w:rPr>
          <w:rFonts w:hint="eastAsia" w:ascii="宋体" w:hAnsi="宋体" w:cs="仿宋_GB2312+3+6"/>
          <w:kern w:val="0"/>
          <w:sz w:val="24"/>
          <w:highlight w:val="none"/>
        </w:rPr>
        <w:t>护</w:t>
      </w:r>
      <w:r>
        <w:rPr>
          <w:rFonts w:hint="eastAsia" w:ascii="宋体" w:hAnsi="宋体" w:cs="仿宋_GB2312+3+4"/>
          <w:kern w:val="0"/>
          <w:sz w:val="24"/>
          <w:highlight w:val="none"/>
        </w:rPr>
        <w:t>与</w:t>
      </w:r>
      <w:r>
        <w:rPr>
          <w:rFonts w:hint="eastAsia" w:ascii="宋体" w:hAnsi="宋体" w:cs="仿宋_GB2312+3+8"/>
          <w:kern w:val="0"/>
          <w:sz w:val="24"/>
          <w:highlight w:val="none"/>
        </w:rPr>
        <w:t>伤</w:t>
      </w:r>
      <w:r>
        <w:rPr>
          <w:rFonts w:hint="eastAsia" w:ascii="宋体" w:hAnsi="宋体" w:cs="仿宋_GB2312+3+1"/>
          <w:kern w:val="0"/>
          <w:sz w:val="24"/>
          <w:highlight w:val="none"/>
        </w:rPr>
        <w:t>员</w:t>
      </w:r>
      <w:r>
        <w:rPr>
          <w:rFonts w:hint="eastAsia" w:ascii="宋体" w:hAnsi="宋体" w:cs="仿宋_GB2312+3+8"/>
          <w:kern w:val="0"/>
          <w:sz w:val="24"/>
          <w:highlight w:val="none"/>
        </w:rPr>
        <w:t>抢救</w:t>
      </w:r>
      <w:r>
        <w:rPr>
          <w:rFonts w:hint="eastAsia" w:ascii="宋体" w:hAnsi="宋体" w:cs="仿宋_GB2312+3+1"/>
          <w:kern w:val="0"/>
          <w:sz w:val="24"/>
          <w:highlight w:val="none"/>
        </w:rPr>
        <w:t>工作，</w:t>
      </w:r>
      <w:r>
        <w:rPr>
          <w:rFonts w:hint="eastAsia" w:ascii="宋体" w:hAnsi="宋体" w:cs="仿宋_GB2312+3+3"/>
          <w:kern w:val="0"/>
          <w:sz w:val="24"/>
          <w:highlight w:val="none"/>
        </w:rPr>
        <w:t>按</w:t>
      </w:r>
      <w:r>
        <w:rPr>
          <w:rFonts w:hint="eastAsia" w:ascii="宋体" w:hAnsi="宋体" w:cs="仿宋_GB2312+3+2"/>
          <w:kern w:val="0"/>
          <w:sz w:val="24"/>
          <w:highlight w:val="none"/>
        </w:rPr>
        <w:t>规定及</w:t>
      </w:r>
      <w:r>
        <w:rPr>
          <w:rFonts w:hint="eastAsia" w:ascii="宋体" w:hAnsi="宋体" w:cs="仿宋_GB2312+3+3"/>
          <w:kern w:val="0"/>
          <w:sz w:val="24"/>
          <w:highlight w:val="none"/>
        </w:rPr>
        <w:t>时</w:t>
      </w:r>
      <w:r>
        <w:rPr>
          <w:rFonts w:hint="eastAsia" w:ascii="宋体" w:hAnsi="宋体" w:cs="仿宋_GB2312+3+2"/>
          <w:kern w:val="0"/>
          <w:sz w:val="24"/>
          <w:highlight w:val="none"/>
        </w:rPr>
        <w:t>上报</w:t>
      </w:r>
      <w:r>
        <w:rPr>
          <w:rFonts w:hint="eastAsia" w:ascii="宋体" w:hAnsi="宋体" w:cs="仿宋_GB2312+3+1"/>
          <w:kern w:val="0"/>
          <w:sz w:val="24"/>
          <w:highlight w:val="none"/>
        </w:rPr>
        <w:t>，</w:t>
      </w:r>
      <w:r>
        <w:rPr>
          <w:rFonts w:hint="eastAsia" w:ascii="宋体" w:hAnsi="宋体" w:cs="仿宋_GB2312+3+3"/>
          <w:kern w:val="0"/>
          <w:sz w:val="24"/>
          <w:highlight w:val="none"/>
        </w:rPr>
        <w:t>不得</w:t>
      </w:r>
      <w:r>
        <w:rPr>
          <w:rFonts w:hint="eastAsia" w:ascii="宋体" w:hAnsi="宋体" w:cs="仿宋_GB2312+3+6"/>
          <w:kern w:val="0"/>
          <w:sz w:val="24"/>
          <w:highlight w:val="none"/>
        </w:rPr>
        <w:t>隐</w:t>
      </w:r>
      <w:r>
        <w:rPr>
          <w:rFonts w:hint="eastAsia" w:ascii="宋体" w:hAnsi="宋体" w:cs="仿宋_GB2312+3+8"/>
          <w:kern w:val="0"/>
          <w:sz w:val="24"/>
          <w:highlight w:val="none"/>
        </w:rPr>
        <w:t>瞒</w:t>
      </w:r>
      <w:r>
        <w:rPr>
          <w:rFonts w:hint="eastAsia" w:ascii="宋体" w:hAnsi="宋体" w:cs="仿宋_GB2312+3+1"/>
          <w:kern w:val="0"/>
          <w:sz w:val="24"/>
          <w:highlight w:val="none"/>
        </w:rPr>
        <w:t>、</w:t>
      </w:r>
      <w:r>
        <w:rPr>
          <w:rFonts w:hint="eastAsia" w:ascii="宋体" w:hAnsi="宋体" w:cs="仿宋_GB2312+3+9"/>
          <w:kern w:val="0"/>
          <w:sz w:val="24"/>
          <w:highlight w:val="none"/>
        </w:rPr>
        <w:t>虚</w:t>
      </w:r>
      <w:r>
        <w:rPr>
          <w:rFonts w:hint="eastAsia" w:ascii="宋体" w:hAnsi="宋体" w:cs="仿宋_GB2312+3+2"/>
          <w:kern w:val="0"/>
          <w:sz w:val="24"/>
          <w:highlight w:val="none"/>
        </w:rPr>
        <w:t>报</w:t>
      </w:r>
      <w:r>
        <w:rPr>
          <w:rFonts w:hint="eastAsia" w:ascii="宋体" w:hAnsi="宋体" w:cs="仿宋_GB2312+3+1"/>
          <w:kern w:val="0"/>
          <w:sz w:val="24"/>
          <w:highlight w:val="none"/>
        </w:rPr>
        <w:t>和</w:t>
      </w:r>
      <w:r>
        <w:rPr>
          <w:rFonts w:hint="eastAsia" w:ascii="宋体" w:hAnsi="宋体" w:cs="仿宋_GB2312+3+2"/>
          <w:kern w:val="0"/>
          <w:sz w:val="24"/>
          <w:highlight w:val="none"/>
        </w:rPr>
        <w:t>故</w:t>
      </w:r>
      <w:r>
        <w:rPr>
          <w:rFonts w:hint="eastAsia" w:ascii="宋体" w:hAnsi="宋体" w:cs="仿宋_GB2312+3+3"/>
          <w:kern w:val="0"/>
          <w:sz w:val="24"/>
          <w:highlight w:val="none"/>
        </w:rPr>
        <w:t>意</w:t>
      </w:r>
      <w:r>
        <w:rPr>
          <w:rFonts w:hint="eastAsia" w:ascii="宋体" w:hAnsi="宋体" w:cs="仿宋_GB2312+3+10"/>
          <w:kern w:val="0"/>
          <w:sz w:val="24"/>
          <w:highlight w:val="none"/>
        </w:rPr>
        <w:t>拖延</w:t>
      </w:r>
      <w:r>
        <w:rPr>
          <w:rFonts w:hint="eastAsia" w:ascii="宋体" w:hAnsi="宋体" w:cs="仿宋_GB2312+3+3"/>
          <w:kern w:val="0"/>
          <w:sz w:val="24"/>
          <w:highlight w:val="none"/>
        </w:rPr>
        <w:t>不</w:t>
      </w:r>
      <w:r>
        <w:rPr>
          <w:rFonts w:hint="eastAsia" w:ascii="宋体" w:hAnsi="宋体" w:cs="仿宋_GB2312+3+2"/>
          <w:kern w:val="0"/>
          <w:sz w:val="24"/>
          <w:highlight w:val="none"/>
        </w:rPr>
        <w:t>报</w:t>
      </w:r>
      <w:r>
        <w:rPr>
          <w:rFonts w:hint="eastAsia" w:ascii="宋体" w:hAnsi="宋体" w:cs="仿宋_GB2312+3+1"/>
          <w:kern w:val="0"/>
          <w:sz w:val="24"/>
          <w:highlight w:val="none"/>
        </w:rPr>
        <w:t>。</w:t>
      </w:r>
      <w:r>
        <w:rPr>
          <w:rFonts w:hint="eastAsia" w:ascii="宋体" w:hAnsi="宋体" w:cs="仿宋_GB2312+3+2"/>
          <w:kern w:val="0"/>
          <w:sz w:val="24"/>
          <w:highlight w:val="none"/>
        </w:rPr>
        <w:t>积极</w:t>
      </w:r>
      <w:r>
        <w:rPr>
          <w:rFonts w:hint="eastAsia" w:ascii="宋体" w:hAnsi="宋体" w:cs="仿宋_GB2312+3+3"/>
          <w:kern w:val="0"/>
          <w:sz w:val="24"/>
          <w:highlight w:val="none"/>
        </w:rPr>
        <w:t>配</w:t>
      </w:r>
      <w:r>
        <w:rPr>
          <w:rFonts w:hint="eastAsia" w:ascii="宋体" w:hAnsi="宋体" w:cs="仿宋_GB2312+3+2"/>
          <w:kern w:val="0"/>
          <w:sz w:val="24"/>
          <w:highlight w:val="none"/>
        </w:rPr>
        <w:t>合事故</w:t>
      </w:r>
      <w:r>
        <w:rPr>
          <w:rFonts w:hint="eastAsia" w:ascii="宋体" w:hAnsi="宋体" w:cs="仿宋_GB2312+3+3"/>
          <w:kern w:val="0"/>
          <w:sz w:val="24"/>
          <w:highlight w:val="none"/>
        </w:rPr>
        <w:t>调</w:t>
      </w:r>
      <w:r>
        <w:rPr>
          <w:rFonts w:hint="eastAsia" w:ascii="宋体" w:hAnsi="宋体" w:cs="仿宋_GB2312+3+4"/>
          <w:kern w:val="0"/>
          <w:sz w:val="24"/>
          <w:highlight w:val="none"/>
        </w:rPr>
        <w:t>查</w:t>
      </w:r>
      <w:r>
        <w:rPr>
          <w:rFonts w:hint="eastAsia" w:ascii="宋体" w:hAnsi="宋体" w:cs="仿宋_GB2312+3+1"/>
          <w:kern w:val="0"/>
          <w:sz w:val="24"/>
          <w:highlight w:val="none"/>
        </w:rPr>
        <w:t>，认真制</w:t>
      </w:r>
      <w:r>
        <w:rPr>
          <w:rFonts w:hint="eastAsia" w:ascii="宋体" w:hAnsi="宋体" w:cs="仿宋_GB2312+3+2"/>
          <w:kern w:val="0"/>
          <w:sz w:val="24"/>
          <w:highlight w:val="none"/>
        </w:rPr>
        <w:t>定并</w:t>
      </w:r>
      <w:r>
        <w:rPr>
          <w:rFonts w:hint="eastAsia" w:ascii="宋体" w:hAnsi="宋体" w:cs="仿宋_GB2312+3+3"/>
          <w:kern w:val="0"/>
          <w:sz w:val="24"/>
          <w:highlight w:val="none"/>
        </w:rPr>
        <w:t>落</w:t>
      </w:r>
      <w:r>
        <w:rPr>
          <w:rFonts w:hint="eastAsia" w:ascii="宋体" w:hAnsi="宋体" w:cs="仿宋_GB2312+3+1"/>
          <w:kern w:val="0"/>
          <w:sz w:val="24"/>
          <w:highlight w:val="none"/>
        </w:rPr>
        <w:t>实</w:t>
      </w:r>
      <w:r>
        <w:rPr>
          <w:rFonts w:hint="eastAsia" w:ascii="宋体" w:hAnsi="宋体" w:cs="仿宋_GB2312+3+4"/>
          <w:kern w:val="0"/>
          <w:sz w:val="24"/>
          <w:highlight w:val="none"/>
        </w:rPr>
        <w:t>防</w:t>
      </w:r>
      <w:r>
        <w:rPr>
          <w:rFonts w:hint="eastAsia" w:ascii="宋体" w:hAnsi="宋体" w:cs="仿宋_GB2312+3+1"/>
          <w:kern w:val="0"/>
          <w:sz w:val="24"/>
          <w:highlight w:val="none"/>
        </w:rPr>
        <w:t>范</w:t>
      </w:r>
      <w:r>
        <w:rPr>
          <w:rFonts w:hint="eastAsia" w:ascii="宋体" w:hAnsi="宋体" w:cs="仿宋_GB2312+3+2"/>
          <w:kern w:val="0"/>
          <w:sz w:val="24"/>
          <w:highlight w:val="none"/>
        </w:rPr>
        <w:t>措</w:t>
      </w:r>
      <w:r>
        <w:rPr>
          <w:rFonts w:hint="eastAsia" w:ascii="宋体" w:hAnsi="宋体" w:cs="仿宋_GB2312+3+1"/>
          <w:kern w:val="0"/>
          <w:sz w:val="24"/>
          <w:highlight w:val="none"/>
        </w:rPr>
        <w:t>施，</w:t>
      </w:r>
      <w:r>
        <w:rPr>
          <w:rFonts w:hint="eastAsia" w:ascii="宋体" w:hAnsi="宋体" w:cs="仿宋_GB2312+3+10"/>
          <w:kern w:val="0"/>
          <w:sz w:val="24"/>
          <w:highlight w:val="none"/>
        </w:rPr>
        <w:t>吸</w:t>
      </w:r>
      <w:r>
        <w:rPr>
          <w:rFonts w:hint="eastAsia" w:ascii="宋体" w:hAnsi="宋体" w:cs="仿宋_GB2312+3+6"/>
          <w:kern w:val="0"/>
          <w:sz w:val="24"/>
          <w:highlight w:val="none"/>
        </w:rPr>
        <w:t>取</w:t>
      </w:r>
      <w:r>
        <w:rPr>
          <w:rFonts w:hint="eastAsia" w:ascii="宋体" w:hAnsi="宋体" w:cs="仿宋_GB2312+3+2"/>
          <w:kern w:val="0"/>
          <w:sz w:val="24"/>
          <w:highlight w:val="none"/>
        </w:rPr>
        <w:t>事故</w:t>
      </w:r>
      <w:r>
        <w:rPr>
          <w:rFonts w:hint="eastAsia" w:ascii="宋体" w:hAnsi="宋体" w:cs="仿宋_GB2312+3+5"/>
          <w:kern w:val="0"/>
          <w:sz w:val="24"/>
          <w:highlight w:val="none"/>
        </w:rPr>
        <w:t>教</w:t>
      </w:r>
      <w:r>
        <w:rPr>
          <w:rFonts w:hint="eastAsia" w:ascii="宋体" w:hAnsi="宋体" w:cs="仿宋_GB2312+3+6"/>
          <w:kern w:val="0"/>
          <w:sz w:val="24"/>
          <w:highlight w:val="none"/>
        </w:rPr>
        <w:t>训</w:t>
      </w:r>
      <w:r>
        <w:rPr>
          <w:rFonts w:hint="eastAsia" w:ascii="宋体" w:hAnsi="宋体" w:cs="仿宋_GB2312+3+1"/>
          <w:kern w:val="0"/>
          <w:sz w:val="24"/>
          <w:highlight w:val="none"/>
        </w:rPr>
        <w:t>，</w:t>
      </w:r>
      <w:r>
        <w:rPr>
          <w:rFonts w:hint="eastAsia" w:ascii="宋体" w:hAnsi="宋体" w:cs="仿宋_GB2312+3+4"/>
          <w:kern w:val="0"/>
          <w:sz w:val="24"/>
          <w:highlight w:val="none"/>
        </w:rPr>
        <w:t>防止</w:t>
      </w:r>
      <w:r>
        <w:rPr>
          <w:rFonts w:hint="eastAsia" w:ascii="宋体" w:hAnsi="宋体" w:cs="仿宋_GB2312+3+1"/>
          <w:kern w:val="0"/>
          <w:sz w:val="24"/>
          <w:highlight w:val="none"/>
        </w:rPr>
        <w:t>发</w:t>
      </w:r>
      <w:r>
        <w:rPr>
          <w:rFonts w:hint="eastAsia" w:ascii="宋体" w:hAnsi="宋体" w:cs="仿宋_GB2312+3+3"/>
          <w:kern w:val="0"/>
          <w:sz w:val="24"/>
          <w:highlight w:val="none"/>
        </w:rPr>
        <w:t>生重</w:t>
      </w:r>
      <w:r>
        <w:rPr>
          <w:rFonts w:hint="eastAsia" w:ascii="宋体" w:hAnsi="宋体" w:cs="仿宋_GB2312+3+5"/>
          <w:kern w:val="0"/>
          <w:sz w:val="24"/>
          <w:highlight w:val="none"/>
        </w:rPr>
        <w:t>复</w:t>
      </w:r>
      <w:r>
        <w:rPr>
          <w:rFonts w:hint="eastAsia" w:ascii="宋体" w:hAnsi="宋体" w:cs="仿宋_GB2312+3+2"/>
          <w:kern w:val="0"/>
          <w:sz w:val="24"/>
          <w:highlight w:val="none"/>
        </w:rPr>
        <w:t>事故。</w:t>
      </w:r>
    </w:p>
    <w:p w14:paraId="0331D574">
      <w:pPr>
        <w:adjustRightInd w:val="0"/>
        <w:snapToGrid w:val="0"/>
        <w:spacing w:line="460" w:lineRule="exact"/>
        <w:ind w:firstLine="480" w:firstLineChars="200"/>
        <w:jc w:val="left"/>
        <w:rPr>
          <w:rFonts w:hint="eastAsia" w:ascii="宋体" w:hAnsi="宋体" w:cs="仿宋_GB2312+3+2"/>
          <w:kern w:val="0"/>
          <w:sz w:val="24"/>
          <w:highlight w:val="none"/>
        </w:rPr>
      </w:pPr>
      <w:r>
        <w:rPr>
          <w:rFonts w:hint="eastAsia" w:ascii="宋体" w:hAnsi="宋体" w:cs="仿宋_GB2312+3+2"/>
          <w:kern w:val="0"/>
          <w:sz w:val="24"/>
          <w:highlight w:val="none"/>
        </w:rPr>
        <w:t>12</w:t>
      </w:r>
      <w:r>
        <w:rPr>
          <w:rFonts w:hint="eastAsia" w:ascii="宋体" w:hAnsi="宋体" w:cs="仿宋_GB2312+3+3"/>
          <w:kern w:val="0"/>
          <w:sz w:val="24"/>
          <w:highlight w:val="none"/>
          <w:lang w:eastAsia="zh-CN"/>
        </w:rPr>
        <w:t>）</w:t>
      </w:r>
      <w:r>
        <w:rPr>
          <w:rFonts w:hint="eastAsia" w:ascii="宋体" w:hAnsi="宋体" w:cs="仿宋_GB2312+3+2"/>
          <w:kern w:val="0"/>
          <w:sz w:val="24"/>
          <w:highlight w:val="none"/>
        </w:rPr>
        <w:t>对</w:t>
      </w:r>
      <w:r>
        <w:rPr>
          <w:rFonts w:hint="eastAsia" w:ascii="宋体" w:hAnsi="宋体" w:cs="仿宋_GB2312+3+4"/>
          <w:kern w:val="0"/>
          <w:sz w:val="24"/>
          <w:highlight w:val="none"/>
        </w:rPr>
        <w:t>因违</w:t>
      </w:r>
      <w:r>
        <w:rPr>
          <w:rFonts w:hint="eastAsia" w:ascii="宋体" w:hAnsi="宋体" w:cs="仿宋_GB2312+3+5"/>
          <w:kern w:val="0"/>
          <w:sz w:val="24"/>
          <w:highlight w:val="none"/>
        </w:rPr>
        <w:t>章</w:t>
      </w:r>
      <w:r>
        <w:rPr>
          <w:rFonts w:hint="eastAsia" w:ascii="宋体" w:hAnsi="宋体" w:cs="仿宋_GB2312+3+4"/>
          <w:kern w:val="0"/>
          <w:sz w:val="24"/>
          <w:highlight w:val="none"/>
        </w:rPr>
        <w:t>指挥或</w:t>
      </w:r>
      <w:r>
        <w:rPr>
          <w:rFonts w:hint="eastAsia" w:ascii="宋体" w:hAnsi="宋体" w:cs="仿宋_GB2312+3+3"/>
          <w:kern w:val="0"/>
          <w:sz w:val="24"/>
          <w:highlight w:val="none"/>
        </w:rPr>
        <w:t>决</w:t>
      </w:r>
      <w:r>
        <w:rPr>
          <w:rFonts w:hint="eastAsia" w:ascii="宋体" w:hAnsi="宋体" w:cs="仿宋_GB2312+3+2"/>
          <w:kern w:val="0"/>
          <w:sz w:val="24"/>
          <w:highlight w:val="none"/>
        </w:rPr>
        <w:t>策</w:t>
      </w:r>
      <w:r>
        <w:rPr>
          <w:rFonts w:hint="eastAsia" w:ascii="宋体" w:hAnsi="宋体" w:cs="仿宋_GB2312+3+6"/>
          <w:kern w:val="0"/>
          <w:sz w:val="24"/>
          <w:highlight w:val="none"/>
        </w:rPr>
        <w:t>失</w:t>
      </w:r>
      <w:r>
        <w:rPr>
          <w:rFonts w:hint="eastAsia" w:ascii="宋体" w:hAnsi="宋体" w:cs="仿宋_GB2312+3+5"/>
          <w:kern w:val="0"/>
          <w:sz w:val="24"/>
          <w:highlight w:val="none"/>
        </w:rPr>
        <w:t>误而</w:t>
      </w:r>
      <w:r>
        <w:rPr>
          <w:rFonts w:hint="eastAsia" w:ascii="宋体" w:hAnsi="宋体" w:cs="仿宋_GB2312+3+4"/>
          <w:kern w:val="0"/>
          <w:sz w:val="24"/>
          <w:highlight w:val="none"/>
        </w:rPr>
        <w:t>造</w:t>
      </w:r>
      <w:r>
        <w:rPr>
          <w:rFonts w:hint="eastAsia" w:ascii="宋体" w:hAnsi="宋体" w:cs="仿宋_GB2312+3+2"/>
          <w:kern w:val="0"/>
          <w:sz w:val="24"/>
          <w:highlight w:val="none"/>
        </w:rPr>
        <w:t>成</w:t>
      </w:r>
      <w:r>
        <w:rPr>
          <w:rFonts w:hint="eastAsia" w:ascii="宋体" w:hAnsi="宋体" w:cs="仿宋_GB2312+3+1"/>
          <w:kern w:val="0"/>
          <w:sz w:val="24"/>
          <w:highlight w:val="none"/>
        </w:rPr>
        <w:t>员工</w:t>
      </w:r>
      <w:r>
        <w:rPr>
          <w:rFonts w:hint="eastAsia" w:ascii="宋体" w:hAnsi="宋体" w:cs="仿宋_GB2312+3+8"/>
          <w:kern w:val="0"/>
          <w:sz w:val="24"/>
          <w:highlight w:val="none"/>
        </w:rPr>
        <w:t>伤亡的</w:t>
      </w:r>
      <w:r>
        <w:rPr>
          <w:rFonts w:hint="eastAsia" w:ascii="宋体" w:hAnsi="宋体" w:cs="仿宋_GB2312+3+2"/>
          <w:kern w:val="0"/>
          <w:sz w:val="24"/>
          <w:highlight w:val="none"/>
        </w:rPr>
        <w:t>事故承</w:t>
      </w:r>
      <w:r>
        <w:rPr>
          <w:rFonts w:hint="eastAsia" w:ascii="宋体" w:hAnsi="宋体" w:cs="仿宋_GB2312+3+3"/>
          <w:kern w:val="0"/>
          <w:sz w:val="24"/>
          <w:highlight w:val="none"/>
        </w:rPr>
        <w:t>担</w:t>
      </w:r>
      <w:r>
        <w:rPr>
          <w:rFonts w:hint="eastAsia" w:ascii="宋体" w:hAnsi="宋体" w:cs="仿宋_GB2312+3+2"/>
          <w:kern w:val="0"/>
          <w:sz w:val="24"/>
          <w:highlight w:val="none"/>
        </w:rPr>
        <w:t>领导</w:t>
      </w:r>
      <w:r>
        <w:rPr>
          <w:rFonts w:hint="eastAsia" w:ascii="宋体" w:hAnsi="宋体" w:cs="仿宋_GB2312+3+1"/>
          <w:kern w:val="0"/>
          <w:sz w:val="24"/>
          <w:highlight w:val="none"/>
        </w:rPr>
        <w:t>责任。</w:t>
      </w:r>
      <w:r>
        <w:rPr>
          <w:rFonts w:hint="eastAsia" w:ascii="宋体" w:hAnsi="宋体" w:cs="仿宋_GB2312+3+2"/>
          <w:kern w:val="0"/>
          <w:sz w:val="24"/>
          <w:highlight w:val="none"/>
        </w:rPr>
        <w:t>并对</w:t>
      </w:r>
      <w:r>
        <w:rPr>
          <w:rFonts w:hint="eastAsia" w:ascii="宋体" w:hAnsi="宋体" w:cs="仿宋_GB2312+3+4"/>
          <w:kern w:val="0"/>
          <w:sz w:val="24"/>
          <w:highlight w:val="none"/>
        </w:rPr>
        <w:t>因</w:t>
      </w:r>
      <w:r>
        <w:rPr>
          <w:rFonts w:hint="eastAsia" w:ascii="宋体" w:hAnsi="宋体" w:cs="仿宋_GB2312+3+1"/>
          <w:kern w:val="0"/>
          <w:sz w:val="24"/>
          <w:highlight w:val="none"/>
        </w:rPr>
        <w:t>强</w:t>
      </w:r>
      <w:r>
        <w:rPr>
          <w:rFonts w:hint="eastAsia" w:ascii="宋体" w:hAnsi="宋体" w:cs="仿宋_GB2312+3+4"/>
          <w:kern w:val="0"/>
          <w:sz w:val="24"/>
          <w:highlight w:val="none"/>
        </w:rPr>
        <w:t>令</w:t>
      </w:r>
      <w:r>
        <w:rPr>
          <w:rFonts w:hint="eastAsia" w:ascii="宋体" w:hAnsi="宋体" w:cs="仿宋_GB2312+3+1"/>
          <w:kern w:val="0"/>
          <w:sz w:val="24"/>
          <w:highlight w:val="none"/>
        </w:rPr>
        <w:t>员工</w:t>
      </w:r>
      <w:r>
        <w:rPr>
          <w:rFonts w:hint="eastAsia" w:ascii="宋体" w:hAnsi="宋体" w:cs="仿宋_GB2312+3+4"/>
          <w:kern w:val="0"/>
          <w:sz w:val="24"/>
          <w:highlight w:val="none"/>
        </w:rPr>
        <w:t>违</w:t>
      </w:r>
      <w:r>
        <w:rPr>
          <w:rFonts w:hint="eastAsia" w:ascii="宋体" w:hAnsi="宋体" w:cs="仿宋_GB2312+3+5"/>
          <w:kern w:val="0"/>
          <w:sz w:val="24"/>
          <w:highlight w:val="none"/>
        </w:rPr>
        <w:t>章</w:t>
      </w:r>
      <w:r>
        <w:rPr>
          <w:rFonts w:hint="eastAsia" w:ascii="宋体" w:hAnsi="宋体" w:cs="仿宋_GB2312+3+10"/>
          <w:kern w:val="0"/>
          <w:sz w:val="24"/>
          <w:highlight w:val="none"/>
        </w:rPr>
        <w:t>冒</w:t>
      </w:r>
      <w:r>
        <w:rPr>
          <w:rFonts w:hint="eastAsia" w:ascii="宋体" w:hAnsi="宋体" w:cs="仿宋_GB2312+3+8"/>
          <w:kern w:val="0"/>
          <w:sz w:val="24"/>
          <w:highlight w:val="none"/>
        </w:rPr>
        <w:t>险</w:t>
      </w:r>
      <w:r>
        <w:rPr>
          <w:rFonts w:hint="eastAsia" w:ascii="宋体" w:hAnsi="宋体" w:cs="仿宋_GB2312+3+1"/>
          <w:kern w:val="0"/>
          <w:sz w:val="24"/>
          <w:highlight w:val="none"/>
        </w:rPr>
        <w:t>作业，发</w:t>
      </w:r>
      <w:r>
        <w:rPr>
          <w:rFonts w:hint="eastAsia" w:ascii="宋体" w:hAnsi="宋体" w:cs="仿宋_GB2312+3+3"/>
          <w:kern w:val="0"/>
          <w:sz w:val="24"/>
          <w:highlight w:val="none"/>
        </w:rPr>
        <w:t>生重</w:t>
      </w:r>
      <w:r>
        <w:rPr>
          <w:rFonts w:hint="eastAsia" w:ascii="宋体" w:hAnsi="宋体" w:cs="仿宋_GB2312+3+2"/>
          <w:kern w:val="0"/>
          <w:sz w:val="24"/>
          <w:highlight w:val="none"/>
        </w:rPr>
        <w:t>大</w:t>
      </w:r>
      <w:r>
        <w:rPr>
          <w:rFonts w:hint="eastAsia" w:ascii="宋体" w:hAnsi="宋体" w:cs="仿宋_GB2312+3+8"/>
          <w:kern w:val="0"/>
          <w:sz w:val="24"/>
          <w:highlight w:val="none"/>
        </w:rPr>
        <w:t>伤亡</w:t>
      </w:r>
      <w:r>
        <w:rPr>
          <w:rFonts w:hint="eastAsia" w:ascii="宋体" w:hAnsi="宋体" w:cs="仿宋_GB2312+3+2"/>
          <w:kern w:val="0"/>
          <w:sz w:val="24"/>
          <w:highlight w:val="none"/>
        </w:rPr>
        <w:t>事故</w:t>
      </w:r>
      <w:r>
        <w:rPr>
          <w:rFonts w:hint="eastAsia" w:ascii="宋体" w:hAnsi="宋体" w:cs="仿宋_GB2312+3+1"/>
          <w:kern w:val="0"/>
          <w:sz w:val="24"/>
          <w:highlight w:val="none"/>
        </w:rPr>
        <w:t>，</w:t>
      </w:r>
      <w:r>
        <w:rPr>
          <w:rFonts w:hint="eastAsia" w:ascii="宋体" w:hAnsi="宋体" w:cs="仿宋_GB2312+3+2"/>
          <w:kern w:val="0"/>
          <w:sz w:val="24"/>
          <w:highlight w:val="none"/>
        </w:rPr>
        <w:t>承</w:t>
      </w:r>
      <w:r>
        <w:rPr>
          <w:rFonts w:hint="eastAsia" w:ascii="宋体" w:hAnsi="宋体" w:cs="仿宋_GB2312+3+3"/>
          <w:kern w:val="0"/>
          <w:sz w:val="24"/>
          <w:highlight w:val="none"/>
        </w:rPr>
        <w:t>担</w:t>
      </w:r>
      <w:r>
        <w:rPr>
          <w:rFonts w:hint="eastAsia" w:ascii="宋体" w:hAnsi="宋体" w:cs="仿宋_GB2312+3+8"/>
          <w:kern w:val="0"/>
          <w:sz w:val="24"/>
          <w:highlight w:val="none"/>
        </w:rPr>
        <w:t>刑</w:t>
      </w:r>
      <w:r>
        <w:rPr>
          <w:rFonts w:hint="eastAsia" w:ascii="宋体" w:hAnsi="宋体" w:cs="仿宋_GB2312+3+2"/>
          <w:kern w:val="0"/>
          <w:sz w:val="24"/>
          <w:highlight w:val="none"/>
        </w:rPr>
        <w:t>事</w:t>
      </w:r>
      <w:r>
        <w:rPr>
          <w:rFonts w:hint="eastAsia" w:ascii="宋体" w:hAnsi="宋体" w:cs="仿宋_GB2312+3+1"/>
          <w:kern w:val="0"/>
          <w:sz w:val="24"/>
          <w:highlight w:val="none"/>
        </w:rPr>
        <w:t>责任</w:t>
      </w:r>
      <w:r>
        <w:rPr>
          <w:rFonts w:hint="eastAsia" w:ascii="宋体" w:hAnsi="宋体" w:cs="仿宋_GB2312+3+2"/>
          <w:kern w:val="0"/>
          <w:sz w:val="24"/>
          <w:highlight w:val="none"/>
        </w:rPr>
        <w:t>。</w:t>
      </w:r>
    </w:p>
    <w:p w14:paraId="079D4189">
      <w:pPr>
        <w:bidi w:val="0"/>
        <w:ind w:firstLine="480" w:firstLineChars="200"/>
        <w:rPr>
          <w:rFonts w:hint="eastAsia"/>
          <w:highlight w:val="none"/>
        </w:rPr>
      </w:pPr>
      <w:r>
        <w:rPr>
          <w:rFonts w:hint="eastAsia"/>
          <w:highlight w:val="none"/>
        </w:rPr>
        <w:t>13</w:t>
      </w:r>
      <w:r>
        <w:rPr>
          <w:rFonts w:hint="eastAsia"/>
          <w:highlight w:val="none"/>
          <w:lang w:eastAsia="zh-CN"/>
        </w:rPr>
        <w:t>）</w:t>
      </w:r>
      <w:r>
        <w:rPr>
          <w:rFonts w:hint="eastAsia"/>
          <w:highlight w:val="none"/>
        </w:rPr>
        <w:t>及时、如实报告施工生产安全事故。</w:t>
      </w:r>
    </w:p>
    <w:p w14:paraId="1C9A5DE0">
      <w:pPr>
        <w:bidi w:val="0"/>
        <w:ind w:firstLine="480" w:firstLineChars="200"/>
        <w:rPr>
          <w:rFonts w:hint="default"/>
          <w:highlight w:val="none"/>
          <w:lang w:val="en-US" w:eastAsia="zh-CN"/>
        </w:rPr>
      </w:pPr>
      <w:r>
        <w:rPr>
          <w:rFonts w:hint="eastAsia"/>
          <w:highlight w:val="none"/>
        </w:rPr>
        <w:t>14</w:t>
      </w:r>
      <w:r>
        <w:rPr>
          <w:rFonts w:hint="eastAsia"/>
          <w:highlight w:val="none"/>
          <w:lang w:eastAsia="zh-CN"/>
        </w:rPr>
        <w:t>）</w:t>
      </w:r>
      <w:r>
        <w:rPr>
          <w:rFonts w:hint="eastAsia"/>
          <w:highlight w:val="none"/>
        </w:rPr>
        <w:t>保证安全生产和环保经费投入，并督促及时有效落实。</w:t>
      </w:r>
    </w:p>
    <w:p w14:paraId="7DF40141">
      <w:pPr>
        <w:spacing w:line="359" w:lineRule="auto"/>
        <w:ind w:left="516" w:firstLine="20"/>
        <w:rPr>
          <w:rFonts w:ascii="宋体" w:hAnsi="宋体" w:eastAsia="宋体" w:cs="宋体"/>
          <w:sz w:val="24"/>
          <w:szCs w:val="24"/>
          <w:highlight w:val="none"/>
        </w:rPr>
      </w:pPr>
      <w:r>
        <w:rPr>
          <w:rFonts w:ascii="宋体" w:hAnsi="宋体" w:eastAsia="宋体" w:cs="宋体"/>
          <w:spacing w:val="-2"/>
          <w:sz w:val="24"/>
          <w:szCs w:val="24"/>
          <w:highlight w:val="none"/>
        </w:rPr>
        <w:t>②</w:t>
      </w:r>
      <w:r>
        <w:rPr>
          <w:rFonts w:ascii="宋体" w:hAnsi="宋体" w:eastAsia="宋体" w:cs="宋体"/>
          <w:spacing w:val="-1"/>
          <w:sz w:val="24"/>
          <w:szCs w:val="24"/>
          <w:highlight w:val="none"/>
        </w:rPr>
        <w:t>项目总工程师</w:t>
      </w:r>
    </w:p>
    <w:p w14:paraId="6E2F0031">
      <w:pPr>
        <w:bidi w:val="0"/>
        <w:ind w:firstLine="480" w:firstLineChars="200"/>
        <w:rPr>
          <w:highlight w:val="none"/>
        </w:rPr>
      </w:pPr>
      <w:r>
        <w:rPr>
          <w:highlight w:val="none"/>
        </w:rPr>
        <w:t>项目总工程师对工程项目生产过程中安全生产负技术责任。</w:t>
      </w:r>
    </w:p>
    <w:p w14:paraId="50067DD4">
      <w:pPr>
        <w:numPr>
          <w:ilvl w:val="0"/>
          <w:numId w:val="0"/>
        </w:numPr>
        <w:bidi w:val="0"/>
        <w:ind w:firstLine="480" w:firstLineChars="200"/>
        <w:rPr>
          <w:highlight w:val="none"/>
        </w:rPr>
      </w:pPr>
      <w:r>
        <w:rPr>
          <w:highlight w:val="none"/>
        </w:rPr>
        <w:t>1)组织编制、会审施工组织设计、施工技术方案及危险性较大分部分项工程专项施工方案，对安全技术措施、防护设施进行技术把关。</w:t>
      </w:r>
    </w:p>
    <w:p w14:paraId="5FA506EA">
      <w:pPr>
        <w:numPr>
          <w:ilvl w:val="0"/>
          <w:numId w:val="0"/>
        </w:numPr>
        <w:bidi w:val="0"/>
        <w:ind w:firstLine="480" w:firstLineChars="200"/>
        <w:rPr>
          <w:highlight w:val="none"/>
        </w:rPr>
      </w:pPr>
      <w:r>
        <w:rPr>
          <w:highlight w:val="none"/>
        </w:rPr>
        <w:t>2)协助项目经理按规定要求开展实施项目的安全风险评估工作。</w:t>
      </w:r>
    </w:p>
    <w:p w14:paraId="7755C1CB">
      <w:pPr>
        <w:numPr>
          <w:ilvl w:val="0"/>
          <w:numId w:val="0"/>
        </w:numPr>
        <w:bidi w:val="0"/>
        <w:ind w:firstLine="480" w:firstLineChars="200"/>
        <w:rPr>
          <w:highlight w:val="none"/>
        </w:rPr>
      </w:pPr>
      <w:r>
        <w:rPr>
          <w:highlight w:val="none"/>
        </w:rPr>
        <w:t>3)对照图纸及设计说明的有关要求，组织对项目周围环境、地质条件、地下管</w:t>
      </w:r>
    </w:p>
    <w:p w14:paraId="1F79F0AC">
      <w:pPr>
        <w:bidi w:val="0"/>
        <w:rPr>
          <w:highlight w:val="none"/>
        </w:rPr>
      </w:pPr>
      <w:r>
        <w:rPr>
          <w:highlight w:val="none"/>
        </w:rPr>
        <w:t>线等因素进行调查复核。</w:t>
      </w:r>
    </w:p>
    <w:p w14:paraId="1E25C5AF">
      <w:pPr>
        <w:bidi w:val="0"/>
        <w:ind w:firstLine="480" w:firstLineChars="200"/>
        <w:rPr>
          <w:highlight w:val="none"/>
        </w:rPr>
      </w:pPr>
      <w:r>
        <w:rPr>
          <w:highlight w:val="none"/>
        </w:rPr>
        <w:t>4)督促技术部门按规定完成专项方案的报审、专家论证流程。</w:t>
      </w:r>
    </w:p>
    <w:p w14:paraId="568678C5">
      <w:pPr>
        <w:bidi w:val="0"/>
        <w:ind w:firstLine="480" w:firstLineChars="200"/>
        <w:rPr>
          <w:highlight w:val="none"/>
        </w:rPr>
      </w:pPr>
      <w:r>
        <w:rPr>
          <w:highlight w:val="none"/>
        </w:rPr>
        <w:t>5)督促技术部门牵头对分部分项工程施工进行安全技术交底。</w:t>
      </w:r>
    </w:p>
    <w:p w14:paraId="5EE3A7C9">
      <w:pPr>
        <w:bidi w:val="0"/>
        <w:ind w:firstLine="480" w:firstLineChars="200"/>
        <w:rPr>
          <w:highlight w:val="none"/>
        </w:rPr>
      </w:pPr>
      <w:r>
        <w:rPr>
          <w:highlight w:val="none"/>
        </w:rPr>
        <w:t>6)动态关注危险性较大分部分项工程实施过程中施工边界条件的变化，及时调整专项施工方案。</w:t>
      </w:r>
    </w:p>
    <w:p w14:paraId="54EBEEC6">
      <w:pPr>
        <w:bidi w:val="0"/>
        <w:ind w:firstLine="480" w:firstLineChars="200"/>
        <w:rPr>
          <w:rFonts w:hint="default"/>
          <w:highlight w:val="none"/>
          <w:lang w:val="en-US" w:eastAsia="zh-CN"/>
        </w:rPr>
      </w:pPr>
      <w:r>
        <w:rPr>
          <w:highlight w:val="none"/>
        </w:rPr>
        <w:t>7)针对项目应用的新材料、新工艺、新技术、新设备，组织编制并督促实施安全技术规程；编制作业指导书。</w:t>
      </w:r>
    </w:p>
    <w:p w14:paraId="1BE495AC">
      <w:pPr>
        <w:bidi w:val="0"/>
        <w:ind w:firstLine="480" w:firstLineChars="200"/>
        <w:rPr>
          <w:highlight w:val="none"/>
        </w:rPr>
      </w:pPr>
      <w:r>
        <w:rPr>
          <w:rFonts w:hint="eastAsia"/>
          <w:highlight w:val="none"/>
          <w:lang w:val="en-US" w:eastAsia="zh-CN"/>
        </w:rPr>
        <w:t>8</w:t>
      </w:r>
      <w:r>
        <w:rPr>
          <w:highlight w:val="none"/>
        </w:rPr>
        <w:t>)组织制订重大隐患治理方案。</w:t>
      </w:r>
    </w:p>
    <w:p w14:paraId="6FBCD397">
      <w:pPr>
        <w:bidi w:val="0"/>
        <w:ind w:firstLine="480" w:firstLineChars="200"/>
        <w:rPr>
          <w:highlight w:val="none"/>
        </w:rPr>
      </w:pPr>
      <w:r>
        <w:rPr>
          <w:rFonts w:hint="eastAsia"/>
          <w:highlight w:val="none"/>
          <w:lang w:val="en-US" w:eastAsia="zh-CN"/>
        </w:rPr>
        <w:t>9</w:t>
      </w:r>
      <w:r>
        <w:rPr>
          <w:highlight w:val="none"/>
        </w:rPr>
        <w:t>)分管试验检测工作，对试验检测的安全管理工作负技术领导责任。</w:t>
      </w:r>
    </w:p>
    <w:p w14:paraId="340CF243">
      <w:pPr>
        <w:bidi w:val="0"/>
        <w:ind w:firstLine="480" w:firstLineChars="200"/>
        <w:rPr>
          <w:highlight w:val="none"/>
        </w:rPr>
      </w:pPr>
      <w:r>
        <w:rPr>
          <w:highlight w:val="none"/>
        </w:rPr>
        <w:t>1</w:t>
      </w:r>
      <w:r>
        <w:rPr>
          <w:rFonts w:hint="eastAsia"/>
          <w:highlight w:val="none"/>
          <w:lang w:val="en-US" w:eastAsia="zh-CN"/>
        </w:rPr>
        <w:t>0</w:t>
      </w:r>
      <w:r>
        <w:rPr>
          <w:highlight w:val="none"/>
        </w:rPr>
        <w:t>)分管测量工作，对测量的安全管理工作负技术领导责任。</w:t>
      </w:r>
    </w:p>
    <w:p w14:paraId="132E7E49">
      <w:pPr>
        <w:bidi w:val="0"/>
        <w:ind w:firstLine="480" w:firstLineChars="200"/>
        <w:rPr>
          <w:highlight w:val="none"/>
        </w:rPr>
      </w:pPr>
      <w:r>
        <w:rPr>
          <w:highlight w:val="none"/>
        </w:rPr>
        <w:t>1</w:t>
      </w:r>
      <w:r>
        <w:rPr>
          <w:rFonts w:hint="eastAsia"/>
          <w:highlight w:val="none"/>
          <w:lang w:val="en-US" w:eastAsia="zh-CN"/>
        </w:rPr>
        <w:t>1</w:t>
      </w:r>
      <w:r>
        <w:rPr>
          <w:highlight w:val="none"/>
        </w:rPr>
        <w:t>) 按要求进行带班值班， 检查项目部的安全生产工作， 排查事故隐患， 协调解决安全生产问题。</w:t>
      </w:r>
    </w:p>
    <w:p w14:paraId="19270DD3">
      <w:pPr>
        <w:bidi w:val="0"/>
        <w:ind w:firstLine="480" w:firstLineChars="200"/>
        <w:rPr>
          <w:highlight w:val="none"/>
        </w:rPr>
      </w:pPr>
      <w:r>
        <w:rPr>
          <w:highlight w:val="none"/>
        </w:rPr>
        <w:t>1</w:t>
      </w:r>
      <w:r>
        <w:rPr>
          <w:rFonts w:hint="eastAsia"/>
          <w:highlight w:val="none"/>
          <w:lang w:val="en-US" w:eastAsia="zh-CN"/>
        </w:rPr>
        <w:t>2</w:t>
      </w:r>
      <w:r>
        <w:rPr>
          <w:highlight w:val="none"/>
        </w:rPr>
        <w:t>)参加生产安全事故(重大隐患)的调查处理。</w:t>
      </w:r>
    </w:p>
    <w:p w14:paraId="5F2F6A84">
      <w:pPr>
        <w:bidi w:val="0"/>
        <w:ind w:firstLine="480" w:firstLineChars="200"/>
        <w:rPr>
          <w:highlight w:val="none"/>
        </w:rPr>
      </w:pPr>
      <w:r>
        <w:rPr>
          <w:highlight w:val="none"/>
        </w:rPr>
        <w:t>③安监部职责</w:t>
      </w:r>
    </w:p>
    <w:p w14:paraId="51FC446A">
      <w:pPr>
        <w:bidi w:val="0"/>
        <w:ind w:firstLine="480" w:firstLineChars="200"/>
        <w:rPr>
          <w:highlight w:val="none"/>
        </w:rPr>
      </w:pPr>
      <w:r>
        <w:rPr>
          <w:highlight w:val="none"/>
        </w:rPr>
        <w:t>1)及时获取、识别适用于本项目的职业健康安全生产法律法规及标准规范，并 及时对从业人员进行宣贯培训。</w:t>
      </w:r>
    </w:p>
    <w:p w14:paraId="11E0A663">
      <w:pPr>
        <w:bidi w:val="0"/>
        <w:ind w:firstLine="480" w:firstLineChars="200"/>
        <w:rPr>
          <w:highlight w:val="none"/>
        </w:rPr>
      </w:pPr>
      <w:r>
        <w:rPr>
          <w:highlight w:val="none"/>
        </w:rPr>
        <w:t>2)协助项目经理及分管领导制定以责任制为核心的职业健康安全生产规章制度。</w:t>
      </w:r>
    </w:p>
    <w:p w14:paraId="0DC52931">
      <w:pPr>
        <w:bidi w:val="0"/>
        <w:ind w:firstLine="480" w:firstLineChars="200"/>
        <w:rPr>
          <w:highlight w:val="none"/>
        </w:rPr>
      </w:pPr>
      <w:r>
        <w:rPr>
          <w:highlight w:val="none"/>
        </w:rPr>
        <w:t>3)参与制定安全操作规程。</w:t>
      </w:r>
    </w:p>
    <w:p w14:paraId="74E791AD">
      <w:pPr>
        <w:bidi w:val="0"/>
        <w:ind w:firstLine="480" w:firstLineChars="200"/>
        <w:rPr>
          <w:highlight w:val="none"/>
        </w:rPr>
      </w:pPr>
      <w:r>
        <w:rPr>
          <w:highlight w:val="none"/>
        </w:rPr>
        <w:t>4)牵头编制安全生产保证计划、年(季)度安全生产工作计划，并定期检查计 划实施情况。</w:t>
      </w:r>
    </w:p>
    <w:p w14:paraId="6D7D660F">
      <w:pPr>
        <w:bidi w:val="0"/>
        <w:ind w:firstLine="480" w:firstLineChars="200"/>
        <w:rPr>
          <w:highlight w:val="none"/>
        </w:rPr>
      </w:pPr>
      <w:r>
        <w:rPr>
          <w:highlight w:val="none"/>
        </w:rPr>
        <w:t>5)督促检查各部门、工段、班组、船舶认真执行国家安全生产方针、政策、法规、法令、标准及上级指示、决议等，组织签订安全生产责任书。</w:t>
      </w:r>
    </w:p>
    <w:p w14:paraId="7065633E">
      <w:pPr>
        <w:bidi w:val="0"/>
        <w:ind w:firstLine="480" w:firstLineChars="200"/>
        <w:rPr>
          <w:highlight w:val="none"/>
        </w:rPr>
      </w:pPr>
      <w:r>
        <w:rPr>
          <w:highlight w:val="none"/>
        </w:rPr>
        <w:t>6)牵头组织危险有害因素的识别与评价，建立重大危害因素清单；组织编制项目应急预案，组织应急预案培训、交底，适时开展应急演练。</w:t>
      </w:r>
    </w:p>
    <w:p w14:paraId="07C7AED0">
      <w:pPr>
        <w:bidi w:val="0"/>
        <w:ind w:firstLine="480" w:firstLineChars="200"/>
        <w:rPr>
          <w:highlight w:val="none"/>
        </w:rPr>
      </w:pPr>
      <w:r>
        <w:rPr>
          <w:highlight w:val="none"/>
        </w:rPr>
        <w:t>7)牵头建立项目危险性较大分部分项工程清单， 参与编制、会审专项施工方案。</w:t>
      </w:r>
    </w:p>
    <w:p w14:paraId="7DFF45FC">
      <w:pPr>
        <w:bidi w:val="0"/>
        <w:ind w:firstLine="480" w:firstLineChars="200"/>
        <w:rPr>
          <w:highlight w:val="none"/>
        </w:rPr>
      </w:pPr>
      <w:r>
        <w:rPr>
          <w:highlight w:val="none"/>
        </w:rPr>
        <w:t>8)参与危险作业施工许可验收。</w:t>
      </w:r>
    </w:p>
    <w:p w14:paraId="538BB2C3">
      <w:pPr>
        <w:bidi w:val="0"/>
        <w:ind w:firstLine="480" w:firstLineChars="200"/>
        <w:rPr>
          <w:highlight w:val="none"/>
        </w:rPr>
      </w:pPr>
      <w:r>
        <w:rPr>
          <w:highlight w:val="none"/>
        </w:rPr>
        <w:t>9)建立特种作业人员花名册，并动态更新。</w:t>
      </w:r>
    </w:p>
    <w:p w14:paraId="62640650">
      <w:pPr>
        <w:bidi w:val="0"/>
        <w:ind w:firstLine="480" w:firstLineChars="200"/>
        <w:rPr>
          <w:highlight w:val="none"/>
        </w:rPr>
      </w:pPr>
      <w:r>
        <w:rPr>
          <w:highlight w:val="none"/>
        </w:rPr>
        <w:t>10)根据需求编制年度安全教育培训计划， 组织对新进场人员的“三级安全教育”、进场教育等教育培训，保证全员三级安全教育培训覆盖率 100%。</w:t>
      </w:r>
    </w:p>
    <w:p w14:paraId="25874E6B">
      <w:pPr>
        <w:bidi w:val="0"/>
        <w:ind w:firstLine="480" w:firstLineChars="200"/>
        <w:rPr>
          <w:highlight w:val="none"/>
        </w:rPr>
      </w:pPr>
      <w:r>
        <w:rPr>
          <w:highlight w:val="none"/>
        </w:rPr>
        <w:t>11)参与分部分项工程安全技术交底， 组织或参与特种作业人员的安全操作规程交底和培训，参与新工艺、新设备、新技术、新材料使用的教育培训。</w:t>
      </w:r>
    </w:p>
    <w:p w14:paraId="26DC9120">
      <w:pPr>
        <w:bidi w:val="0"/>
        <w:rPr>
          <w:highlight w:val="none"/>
        </w:rPr>
      </w:pPr>
      <w:r>
        <w:rPr>
          <w:highlight w:val="none"/>
        </w:rPr>
        <w:t>通过交底或培训， 书面告知作业人员项目存在的危险因素、防范措施及事故应急 措施。</w:t>
      </w:r>
    </w:p>
    <w:p w14:paraId="597964C6">
      <w:pPr>
        <w:bidi w:val="0"/>
        <w:ind w:firstLine="480" w:firstLineChars="200"/>
        <w:rPr>
          <w:highlight w:val="none"/>
        </w:rPr>
      </w:pPr>
      <w:r>
        <w:rPr>
          <w:highlight w:val="none"/>
        </w:rPr>
        <w:t>12)组织开展日常安全生产检查，监督事故隐患的整改落实情况。</w:t>
      </w:r>
    </w:p>
    <w:p w14:paraId="01FA4C80">
      <w:pPr>
        <w:bidi w:val="0"/>
        <w:ind w:firstLine="480" w:firstLineChars="200"/>
        <w:rPr>
          <w:highlight w:val="none"/>
        </w:rPr>
      </w:pPr>
      <w:r>
        <w:rPr>
          <w:highlight w:val="none"/>
        </w:rPr>
        <w:t>13)组织消防、安全防护设施专项检查。</w:t>
      </w:r>
    </w:p>
    <w:p w14:paraId="1AA5F983">
      <w:pPr>
        <w:bidi w:val="0"/>
        <w:ind w:firstLine="480" w:firstLineChars="200"/>
        <w:rPr>
          <w:highlight w:val="none"/>
        </w:rPr>
      </w:pPr>
      <w:r>
        <w:rPr>
          <w:highlight w:val="none"/>
        </w:rPr>
        <w:t>14) 参与月度安全生产大检查， 参与防台防汛、特种设备、临电、起重作业、模板、脚手架、易燃易爆危化品等安全专项检查。对查出的重大隐患登记建档， 重大隐 患有治理方案，并报相关部门备案。</w:t>
      </w:r>
    </w:p>
    <w:p w14:paraId="2DE82DD4">
      <w:pPr>
        <w:bidi w:val="0"/>
        <w:ind w:firstLine="480" w:firstLineChars="200"/>
        <w:rPr>
          <w:highlight w:val="none"/>
        </w:rPr>
      </w:pPr>
      <w:r>
        <w:rPr>
          <w:highlight w:val="none"/>
        </w:rPr>
        <w:t>15)参与施工现场安全设施、临时设施的验收、检查、维护工作。</w:t>
      </w:r>
    </w:p>
    <w:p w14:paraId="6B0C1B48">
      <w:pPr>
        <w:bidi w:val="0"/>
        <w:ind w:firstLine="480" w:firstLineChars="200"/>
        <w:rPr>
          <w:highlight w:val="none"/>
        </w:rPr>
      </w:pPr>
      <w:r>
        <w:rPr>
          <w:highlight w:val="none"/>
        </w:rPr>
        <w:t>16)参与项目安全风险评估， 协助技术管理部门制定重大危险有害因素及重大隐 患管控措施。</w:t>
      </w:r>
    </w:p>
    <w:p w14:paraId="20B31450">
      <w:pPr>
        <w:bidi w:val="0"/>
        <w:ind w:firstLine="480" w:firstLineChars="200"/>
        <w:rPr>
          <w:highlight w:val="none"/>
        </w:rPr>
      </w:pPr>
      <w:r>
        <w:rPr>
          <w:highlight w:val="none"/>
        </w:rPr>
        <w:t>17)组织开展“安全生产月” 、“隐患排查治理”及各类安全专项整治活动，活动有 方案，有记录、有总结。</w:t>
      </w:r>
    </w:p>
    <w:p w14:paraId="7749C7E1">
      <w:pPr>
        <w:bidi w:val="0"/>
        <w:ind w:firstLine="480" w:firstLineChars="200"/>
        <w:rPr>
          <w:highlight w:val="none"/>
        </w:rPr>
      </w:pPr>
      <w:r>
        <w:rPr>
          <w:highlight w:val="none"/>
        </w:rPr>
        <w:t>18)牵头编制项目安全专项费用使用总计划、年度计划及月度计划， 统计安全生产措施费用投入情况，配合合同管理部门向业主计量安全生产措施费用。</w:t>
      </w:r>
    </w:p>
    <w:p w14:paraId="62E05E6A">
      <w:pPr>
        <w:bidi w:val="0"/>
        <w:ind w:firstLine="480" w:firstLineChars="200"/>
        <w:rPr>
          <w:highlight w:val="none"/>
        </w:rPr>
      </w:pPr>
      <w:r>
        <w:rPr>
          <w:highlight w:val="none"/>
        </w:rPr>
        <w:t>19)对行业主管部门或上级单位的安全投诉及时处理。针对业主、监理及上级主 管部门在检查中提出的隐患整改意见，及时整改闭合。</w:t>
      </w:r>
    </w:p>
    <w:p w14:paraId="7543D5C2">
      <w:pPr>
        <w:bidi w:val="0"/>
        <w:ind w:firstLine="480" w:firstLineChars="200"/>
        <w:rPr>
          <w:highlight w:val="none"/>
        </w:rPr>
      </w:pPr>
      <w:r>
        <w:rPr>
          <w:highlight w:val="none"/>
        </w:rPr>
        <w:t>20)及时参与事故现场处置， 及时向有关部门报告。配合事故调查处理， 及时落 实整改措施。</w:t>
      </w:r>
    </w:p>
    <w:p w14:paraId="229CFC28">
      <w:pPr>
        <w:bidi w:val="0"/>
        <w:ind w:firstLine="480" w:firstLineChars="200"/>
        <w:rPr>
          <w:highlight w:val="none"/>
        </w:rPr>
      </w:pPr>
      <w:r>
        <w:rPr>
          <w:highlight w:val="none"/>
        </w:rPr>
        <w:t>21)协助上级安全管理部门落实国家注册安全工程师、国家要求取证的安全生产 管理人员的继续教育、取证换证工作，严格执行有关人员持证上岗的规定。</w:t>
      </w:r>
    </w:p>
    <w:p w14:paraId="064C5565">
      <w:pPr>
        <w:bidi w:val="0"/>
        <w:ind w:firstLine="480" w:firstLineChars="200"/>
        <w:rPr>
          <w:highlight w:val="none"/>
        </w:rPr>
      </w:pPr>
      <w:r>
        <w:rPr>
          <w:highlight w:val="none"/>
        </w:rPr>
        <w:t>22)按要求上报各类安全生产信息报表。</w:t>
      </w:r>
    </w:p>
    <w:p w14:paraId="3E078FA3">
      <w:pPr>
        <w:bidi w:val="0"/>
        <w:ind w:firstLine="480" w:firstLineChars="200"/>
        <w:rPr>
          <w:highlight w:val="none"/>
        </w:rPr>
      </w:pPr>
      <w:r>
        <w:rPr>
          <w:highlight w:val="none"/>
        </w:rPr>
        <w:t>④合约部职责</w:t>
      </w:r>
    </w:p>
    <w:p w14:paraId="2F480E09">
      <w:pPr>
        <w:bidi w:val="0"/>
        <w:ind w:firstLine="480" w:firstLineChars="200"/>
        <w:rPr>
          <w:highlight w:val="none"/>
        </w:rPr>
      </w:pPr>
      <w:r>
        <w:rPr>
          <w:highlight w:val="none"/>
        </w:rPr>
        <w:t>1)组织分包招议标及合同审查，确保分包单位具有独立法人资格和相应的资质 等级资格。</w:t>
      </w:r>
    </w:p>
    <w:p w14:paraId="471ABC63">
      <w:pPr>
        <w:bidi w:val="0"/>
        <w:ind w:firstLine="480" w:firstLineChars="200"/>
        <w:rPr>
          <w:highlight w:val="none"/>
        </w:rPr>
      </w:pPr>
      <w:r>
        <w:rPr>
          <w:highlight w:val="none"/>
        </w:rPr>
        <w:t>2)在签订有效的分包合同时，必须同时签订安全生产协议书。</w:t>
      </w:r>
    </w:p>
    <w:p w14:paraId="731AB5E1">
      <w:pPr>
        <w:bidi w:val="0"/>
        <w:ind w:firstLine="480" w:firstLineChars="200"/>
        <w:rPr>
          <w:highlight w:val="none"/>
        </w:rPr>
      </w:pPr>
      <w:r>
        <w:rPr>
          <w:highlight w:val="none"/>
        </w:rPr>
        <w:t>3)协助生产管理部门、安全管理部门做好分包队伍安全管理。</w:t>
      </w:r>
    </w:p>
    <w:p w14:paraId="11275F93">
      <w:pPr>
        <w:bidi w:val="0"/>
        <w:ind w:firstLine="480" w:firstLineChars="200"/>
        <w:rPr>
          <w:highlight w:val="none"/>
        </w:rPr>
      </w:pPr>
      <w:r>
        <w:rPr>
          <w:highlight w:val="none"/>
        </w:rPr>
        <w:t>4)做好安全生产措施费用的计量。</w:t>
      </w:r>
    </w:p>
    <w:p w14:paraId="1861E7DD">
      <w:pPr>
        <w:bidi w:val="0"/>
        <w:ind w:firstLine="480" w:firstLineChars="200"/>
        <w:rPr>
          <w:highlight w:val="none"/>
        </w:rPr>
      </w:pPr>
      <w:r>
        <w:rPr>
          <w:highlight w:val="none"/>
        </w:rPr>
        <w:t>5)使用、管理好本企业安全生产方面的资质证书。</w:t>
      </w:r>
    </w:p>
    <w:p w14:paraId="57D395A6">
      <w:pPr>
        <w:bidi w:val="0"/>
        <w:ind w:firstLine="480" w:firstLineChars="200"/>
        <w:rPr>
          <w:highlight w:val="none"/>
        </w:rPr>
      </w:pPr>
      <w:r>
        <w:rPr>
          <w:highlight w:val="none"/>
        </w:rPr>
        <w:t>6)每月定期收集分包队伍进场人员信息，协助综合办公室对进(退)场劳务人 员进行登记造册。</w:t>
      </w:r>
    </w:p>
    <w:p w14:paraId="5DB6D1F4">
      <w:pPr>
        <w:bidi w:val="0"/>
        <w:ind w:firstLine="480" w:firstLineChars="200"/>
        <w:rPr>
          <w:highlight w:val="none"/>
        </w:rPr>
      </w:pPr>
      <w:r>
        <w:rPr>
          <w:highlight w:val="none"/>
        </w:rPr>
        <w:t>⑤其他部门人员安全生产责任制</w:t>
      </w:r>
    </w:p>
    <w:p w14:paraId="53EB51DA">
      <w:pPr>
        <w:bidi w:val="0"/>
        <w:ind w:firstLine="480" w:firstLineChars="200"/>
        <w:rPr>
          <w:highlight w:val="none"/>
        </w:rPr>
      </w:pPr>
      <w:r>
        <w:rPr>
          <w:highlight w:val="none"/>
        </w:rPr>
        <w:t>负责配合协调现场安全生产工作，给予安全生产最大的支持。</w:t>
      </w:r>
    </w:p>
    <w:p w14:paraId="060F4787">
      <w:pPr>
        <w:bidi w:val="0"/>
        <w:ind w:firstLine="480" w:firstLineChars="200"/>
        <w:rPr>
          <w:highlight w:val="none"/>
        </w:rPr>
      </w:pPr>
      <w:r>
        <w:rPr>
          <w:highlight w:val="none"/>
        </w:rPr>
        <w:t>⑥安全监督人员安全生产责任</w:t>
      </w:r>
    </w:p>
    <w:p w14:paraId="66E8FF35">
      <w:pPr>
        <w:bidi w:val="0"/>
        <w:ind w:firstLine="480" w:firstLineChars="200"/>
        <w:rPr>
          <w:highlight w:val="none"/>
        </w:rPr>
      </w:pPr>
      <w:r>
        <w:rPr>
          <w:highlight w:val="none"/>
        </w:rPr>
        <w:t>1)负责监督施工现场安全管理制度及各项管理规定的贯彻实施，落实现场安全生产奖罚制度。</w:t>
      </w:r>
    </w:p>
    <w:p w14:paraId="44B45354">
      <w:pPr>
        <w:bidi w:val="0"/>
        <w:ind w:firstLine="480" w:firstLineChars="200"/>
        <w:rPr>
          <w:highlight w:val="none"/>
        </w:rPr>
      </w:pPr>
      <w:r>
        <w:rPr>
          <w:highlight w:val="none"/>
        </w:rPr>
        <w:t>2)进行日常安全检查，发现隐患及时上报安监部长，并要求现场技术人员及时 进行整改，跟踪落实各类事故隐患的整改。</w:t>
      </w:r>
    </w:p>
    <w:p w14:paraId="492D8DEA">
      <w:pPr>
        <w:bidi w:val="0"/>
        <w:ind w:firstLine="480" w:firstLineChars="200"/>
        <w:rPr>
          <w:highlight w:val="none"/>
        </w:rPr>
      </w:pPr>
      <w:r>
        <w:rPr>
          <w:highlight w:val="none"/>
        </w:rPr>
        <w:t>3)督促现场所有人员按要求穿戴好劳动防护用品，检查各项安全防护措施的有 效性， 有权制止他人的违规行为， 发现重大隐患要求现场立即整改， 并及时向安监部长和现场负责人报告。</w:t>
      </w:r>
    </w:p>
    <w:p w14:paraId="2E918D03">
      <w:pPr>
        <w:bidi w:val="0"/>
        <w:ind w:firstLine="480" w:firstLineChars="200"/>
        <w:rPr>
          <w:highlight w:val="none"/>
        </w:rPr>
      </w:pPr>
      <w:r>
        <w:rPr>
          <w:highlight w:val="none"/>
        </w:rPr>
        <w:t>4)负责各班组的安全教育和管理，协助相关部门抓好各班组、设备的资质管理 和相关证照把关，施工过程中加强督促检查，控制各班组、设备的事故发生率。</w:t>
      </w:r>
    </w:p>
    <w:p w14:paraId="5E327852">
      <w:pPr>
        <w:bidi w:val="0"/>
        <w:ind w:firstLine="480" w:firstLineChars="200"/>
        <w:rPr>
          <w:highlight w:val="none"/>
        </w:rPr>
      </w:pPr>
      <w:r>
        <w:rPr>
          <w:highlight w:val="none"/>
        </w:rPr>
        <w:t>5)组织开展安全教育和培训工作，对特殊工种作业人员把好外培质量关，确保 特殊工种的安全技术素质，确保持证上岗。</w:t>
      </w:r>
    </w:p>
    <w:p w14:paraId="5B155810">
      <w:pPr>
        <w:bidi w:val="0"/>
        <w:ind w:firstLine="480" w:firstLineChars="200"/>
        <w:rPr>
          <w:highlight w:val="none"/>
        </w:rPr>
      </w:pPr>
      <w:r>
        <w:rPr>
          <w:highlight w:val="none"/>
        </w:rPr>
        <w:t>6)组织召开现场安全会议和开展各类安全活动。</w:t>
      </w:r>
    </w:p>
    <w:p w14:paraId="35B4EC81">
      <w:pPr>
        <w:bidi w:val="0"/>
        <w:ind w:firstLine="480" w:firstLineChars="200"/>
        <w:rPr>
          <w:highlight w:val="none"/>
        </w:rPr>
      </w:pPr>
      <w:r>
        <w:rPr>
          <w:highlight w:val="none"/>
        </w:rPr>
        <w:t>7)重点抓好施工的季节性安全防范措施的现场落实工作。</w:t>
      </w:r>
    </w:p>
    <w:p w14:paraId="7ABC3186">
      <w:pPr>
        <w:bidi w:val="0"/>
        <w:ind w:firstLine="480" w:firstLineChars="200"/>
        <w:rPr>
          <w:highlight w:val="none"/>
        </w:rPr>
      </w:pPr>
      <w:r>
        <w:rPr>
          <w:highlight w:val="none"/>
        </w:rPr>
        <w:t>8) 及时传达上级主管部门对施工现场有关安全生产的指令， 抓好现场落实工作。</w:t>
      </w:r>
    </w:p>
    <w:p w14:paraId="3C615F8D">
      <w:pPr>
        <w:bidi w:val="0"/>
        <w:ind w:firstLine="480" w:firstLineChars="200"/>
        <w:rPr>
          <w:highlight w:val="none"/>
        </w:rPr>
      </w:pPr>
      <w:r>
        <w:rPr>
          <w:highlight w:val="none"/>
        </w:rPr>
        <w:t>9)发现事故，立即上报现场负责人，并采取有效措施防止事故扩大及蔓延，参 加各类事故(包括事故险兆)的调查、分析和处理。</w:t>
      </w:r>
    </w:p>
    <w:p w14:paraId="1ECE9933">
      <w:pPr>
        <w:bidi w:val="0"/>
        <w:ind w:firstLine="480" w:firstLineChars="200"/>
        <w:rPr>
          <w:highlight w:val="none"/>
        </w:rPr>
      </w:pPr>
      <w:r>
        <w:rPr>
          <w:highlight w:val="none"/>
        </w:rPr>
        <w:t>10)完成领导临时交办的工作任务。</w:t>
      </w:r>
    </w:p>
    <w:p w14:paraId="02B97089">
      <w:pPr>
        <w:bidi w:val="0"/>
        <w:ind w:firstLine="480" w:firstLineChars="200"/>
        <w:rPr>
          <w:highlight w:val="none"/>
        </w:rPr>
      </w:pPr>
      <w:r>
        <w:rPr>
          <w:highlight w:val="none"/>
        </w:rPr>
        <w:t>⑦班(组)长安全生产责任</w:t>
      </w:r>
    </w:p>
    <w:p w14:paraId="35C7C02D">
      <w:pPr>
        <w:bidi w:val="0"/>
        <w:ind w:firstLine="480" w:firstLineChars="200"/>
        <w:rPr>
          <w:highlight w:val="none"/>
        </w:rPr>
      </w:pPr>
      <w:r>
        <w:rPr>
          <w:highlight w:val="none"/>
        </w:rPr>
        <w:t>1)带领本班组员工认真落实上级安全生产规章制度，严格执行安全管理标准和 操作规程，遵守劳动纪律，制止“三违”行为。</w:t>
      </w:r>
    </w:p>
    <w:p w14:paraId="4D6EBD71">
      <w:pPr>
        <w:bidi w:val="0"/>
        <w:ind w:firstLine="480" w:firstLineChars="200"/>
        <w:rPr>
          <w:highlight w:val="none"/>
        </w:rPr>
      </w:pPr>
      <w:r>
        <w:rPr>
          <w:highlight w:val="none"/>
        </w:rPr>
        <w:t>2)认真坚持“三工”  (工前交代、工中检查、工后讲评)制度，积极开展班组安 全生产活动，做好班组安全活动记录和交接班记录。</w:t>
      </w:r>
    </w:p>
    <w:p w14:paraId="56E2E8F4">
      <w:pPr>
        <w:bidi w:val="0"/>
        <w:ind w:firstLine="480" w:firstLineChars="200"/>
        <w:rPr>
          <w:highlight w:val="none"/>
        </w:rPr>
      </w:pPr>
      <w:r>
        <w:rPr>
          <w:highlight w:val="none"/>
        </w:rPr>
        <w:t>3)认真组织安全生产和技术学习，不断提高班组人员安全技能素质，做好施工 过程中安全生产检查。及时制止员工违章行为， 消除事故隐患。 本班组不能处理事故 隐患及时向上级领导报告。</w:t>
      </w:r>
    </w:p>
    <w:p w14:paraId="09DE2FA3">
      <w:pPr>
        <w:bidi w:val="0"/>
        <w:ind w:firstLine="480" w:firstLineChars="200"/>
        <w:rPr>
          <w:highlight w:val="none"/>
        </w:rPr>
      </w:pPr>
      <w:r>
        <w:rPr>
          <w:highlight w:val="none"/>
        </w:rPr>
        <w:t>4)自觉接受上级领导和安检人员监督检查，对检查中提出的问题及时进行整改 不留隐患。</w:t>
      </w:r>
    </w:p>
    <w:p w14:paraId="7F9BE45A">
      <w:pPr>
        <w:bidi w:val="0"/>
        <w:ind w:firstLine="480" w:firstLineChars="200"/>
        <w:rPr>
          <w:rFonts w:hint="default"/>
          <w:highlight w:val="none"/>
          <w:lang w:val="en-US" w:eastAsia="zh-CN"/>
        </w:rPr>
      </w:pPr>
      <w:r>
        <w:rPr>
          <w:highlight w:val="none"/>
        </w:rPr>
        <w:t>5)认真执行安全技术交底制度，对不具备安全生产条件，人身安全得不到保障 工程任务，有权拒绝施工， 必要时可越级向上级领导或安检部门反映， 待问题解决后方可复工。</w:t>
      </w:r>
    </w:p>
    <w:p w14:paraId="670D3EC5">
      <w:pPr>
        <w:bidi w:val="0"/>
        <w:ind w:firstLine="480" w:firstLineChars="200"/>
        <w:rPr>
          <w:highlight w:val="none"/>
        </w:rPr>
      </w:pPr>
      <w:r>
        <w:rPr>
          <w:highlight w:val="none"/>
        </w:rPr>
        <w:t>6)对发现违章指挥、违章作业行为不予制止以及发现事故隐患不及时消除而导 致人身伤亡事故，承担直接领导责任。</w:t>
      </w:r>
    </w:p>
    <w:p w14:paraId="7B2D79FA">
      <w:pPr>
        <w:bidi w:val="0"/>
        <w:ind w:firstLine="480" w:firstLineChars="200"/>
        <w:rPr>
          <w:highlight w:val="none"/>
        </w:rPr>
      </w:pPr>
      <w:r>
        <w:rPr>
          <w:highlight w:val="none"/>
        </w:rPr>
        <w:t>⑨施工作业人员安全生产责任</w:t>
      </w:r>
    </w:p>
    <w:p w14:paraId="5775196E">
      <w:pPr>
        <w:bidi w:val="0"/>
        <w:ind w:firstLine="480" w:firstLineChars="200"/>
        <w:rPr>
          <w:highlight w:val="none"/>
        </w:rPr>
      </w:pPr>
      <w:r>
        <w:rPr>
          <w:highlight w:val="none"/>
        </w:rPr>
        <w:t>1)在班组长直接领导下积极参加各项安全活动，刻苦学习安全技术知识，不断 提高安全操作技能。</w:t>
      </w:r>
    </w:p>
    <w:p w14:paraId="35FA2C1C">
      <w:pPr>
        <w:bidi w:val="0"/>
        <w:ind w:firstLine="480" w:firstLineChars="200"/>
        <w:rPr>
          <w:highlight w:val="none"/>
        </w:rPr>
      </w:pPr>
      <w:r>
        <w:rPr>
          <w:highlight w:val="none"/>
        </w:rPr>
        <w:t>2)自觉遵守安全生产规章制度和操作规程，严格按照安全技术交底施工，按规 定佩戴劳动防护用品。在施工作业中做到不伤害他人，不伤害自己，不被他人伤害， 同时有责任劝阻他人违章作业。</w:t>
      </w:r>
    </w:p>
    <w:p w14:paraId="6E35D6C7">
      <w:pPr>
        <w:bidi w:val="0"/>
        <w:ind w:firstLine="480" w:firstLineChars="200"/>
        <w:rPr>
          <w:highlight w:val="none"/>
        </w:rPr>
      </w:pPr>
      <w:r>
        <w:rPr>
          <w:highlight w:val="none"/>
        </w:rPr>
        <w:t>3)爱护和正确使用机械设备、工具及劳动保护用品、防护用具；对成品、半成 品、材料及废料等按指定地点堆放整齐，做到文明施工。</w:t>
      </w:r>
    </w:p>
    <w:p w14:paraId="67D4D470">
      <w:pPr>
        <w:bidi w:val="0"/>
        <w:ind w:firstLine="480" w:firstLineChars="200"/>
        <w:rPr>
          <w:highlight w:val="none"/>
        </w:rPr>
      </w:pPr>
      <w:r>
        <w:rPr>
          <w:highlight w:val="none"/>
        </w:rPr>
        <w:t>4)作业前对使用机具、机械、电器设备、作业环境安全情况进行认真检查，发 现问题及时处理或向领导报告。</w:t>
      </w:r>
    </w:p>
    <w:p w14:paraId="3EF93BDF">
      <w:pPr>
        <w:bidi w:val="0"/>
        <w:ind w:firstLine="480" w:firstLineChars="200"/>
        <w:rPr>
          <w:highlight w:val="none"/>
        </w:rPr>
      </w:pPr>
      <w:r>
        <w:rPr>
          <w:highlight w:val="none"/>
        </w:rPr>
        <w:t>5)从事特种作业人员和技术工种人员积极参加培训，掌握本岗位操作技能，取 得特种作业资格，做到持证上岗。</w:t>
      </w:r>
    </w:p>
    <w:p w14:paraId="6F2B0FE4">
      <w:pPr>
        <w:bidi w:val="0"/>
        <w:ind w:firstLine="480" w:firstLineChars="200"/>
        <w:rPr>
          <w:highlight w:val="none"/>
        </w:rPr>
      </w:pPr>
      <w:r>
        <w:rPr>
          <w:highlight w:val="none"/>
        </w:rPr>
        <w:t>6)对施工现场不具备安全生产条件，有权建议改进，对违章指挥，强令冒险作 业，有权拒绝执行， 对危害生命安全和身体健康的行为， 有权提出批评、检举和控告。</w:t>
      </w:r>
    </w:p>
    <w:p w14:paraId="38DE0C97">
      <w:pPr>
        <w:bidi w:val="0"/>
        <w:ind w:firstLine="480" w:firstLineChars="200"/>
        <w:rPr>
          <w:highlight w:val="none"/>
        </w:rPr>
      </w:pPr>
      <w:r>
        <w:rPr>
          <w:highlight w:val="none"/>
        </w:rPr>
        <w:t>7)对因违章操作、盲目蛮干或不听指挥而造成本人及他人人身伤害事故和经济 损失承担直接责任。</w:t>
      </w:r>
    </w:p>
    <w:p w14:paraId="2C5AAE1C">
      <w:pPr>
        <w:pStyle w:val="3"/>
        <w:rPr>
          <w:highlight w:val="none"/>
        </w:rPr>
      </w:pPr>
      <w:bookmarkStart w:id="250" w:name="_Toc10366"/>
      <w:bookmarkStart w:id="251" w:name="_Toc31760"/>
      <w:r>
        <w:rPr>
          <w:rFonts w:hint="eastAsia"/>
          <w:highlight w:val="none"/>
          <w:lang w:val="en-US" w:eastAsia="zh-CN"/>
        </w:rPr>
        <w:t>6</w:t>
      </w:r>
      <w:r>
        <w:rPr>
          <w:rFonts w:hint="eastAsia"/>
          <w:highlight w:val="none"/>
        </w:rPr>
        <w:t>.2 制度保障措施</w:t>
      </w:r>
      <w:bookmarkEnd w:id="247"/>
      <w:bookmarkEnd w:id="248"/>
      <w:bookmarkEnd w:id="250"/>
      <w:bookmarkEnd w:id="251"/>
    </w:p>
    <w:bookmarkEnd w:id="249"/>
    <w:p w14:paraId="5599593D">
      <w:pPr>
        <w:bidi w:val="0"/>
        <w:ind w:firstLine="480" w:firstLineChars="20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建立完善的进场验收及检查制度。对进场设备严格执行进场验收，不合格设备材料，不予进场；实行作业前检查制度，对不合格材料、零部件不得使用并及时更换。</w:t>
      </w:r>
    </w:p>
    <w:p w14:paraId="3AFEF059">
      <w:pPr>
        <w:bidi w:val="0"/>
        <w:ind w:firstLine="480" w:firstLineChars="200"/>
        <w:rPr>
          <w:rFonts w:hint="eastAsia"/>
          <w:highlight w:val="none"/>
        </w:rPr>
      </w:pPr>
      <w:r>
        <w:rPr>
          <w:rFonts w:hint="eastAsia" w:ascii="宋体" w:hAnsi="宋体" w:eastAsia="宋体" w:cs="宋体"/>
          <w:color w:val="000000"/>
          <w:kern w:val="0"/>
          <w:sz w:val="24"/>
          <w:szCs w:val="24"/>
          <w:highlight w:val="none"/>
          <w:lang w:val="en-US" w:eastAsia="zh-CN" w:bidi="ar"/>
        </w:rPr>
        <w:t>（2）实行逐级安全技术交底制，由经理部组织有关人员进行详细安全技术交底，凡参加安全技术交底的人员要履行签字手续，并保存资料。项目经理部专职监察工程师对安全技术措施的执行情况进行监督检查，并</w:t>
      </w:r>
      <w:r>
        <w:rPr>
          <w:rFonts w:hint="eastAsia" w:cs="宋体"/>
          <w:color w:val="000000"/>
          <w:kern w:val="0"/>
          <w:sz w:val="24"/>
          <w:szCs w:val="24"/>
          <w:highlight w:val="none"/>
          <w:lang w:val="en-US" w:eastAsia="zh-CN" w:bidi="ar"/>
        </w:rPr>
        <w:t>做好</w:t>
      </w:r>
      <w:r>
        <w:rPr>
          <w:rFonts w:hint="eastAsia" w:ascii="宋体" w:hAnsi="宋体" w:eastAsia="宋体" w:cs="宋体"/>
          <w:color w:val="000000"/>
          <w:kern w:val="0"/>
          <w:sz w:val="24"/>
          <w:szCs w:val="24"/>
          <w:highlight w:val="none"/>
          <w:lang w:val="en-US" w:eastAsia="zh-CN" w:bidi="ar"/>
        </w:rPr>
        <w:t>记录和反馈信息。</w:t>
      </w:r>
    </w:p>
    <w:p w14:paraId="55F659B4">
      <w:pPr>
        <w:bidi w:val="0"/>
        <w:ind w:firstLine="48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建立和贯彻执行安全教育制度。对进场人员进行岗前教育和三级教育，使用安装作业安全教育，并做好记录存档</w:t>
      </w:r>
      <w:r>
        <w:rPr>
          <w:rFonts w:hint="eastAsia"/>
          <w:highlight w:val="none"/>
          <w:lang w:eastAsia="zh-CN"/>
        </w:rPr>
        <w:t>。</w:t>
      </w:r>
    </w:p>
    <w:p w14:paraId="46FDBD58">
      <w:pPr>
        <w:bidi w:val="0"/>
        <w:ind w:firstLine="480" w:firstLineChars="200"/>
        <w:rPr>
          <w:highlight w:val="none"/>
        </w:rPr>
      </w:pPr>
      <w:r>
        <w:rPr>
          <w:rFonts w:hint="eastAsia"/>
          <w:highlight w:val="none"/>
          <w:lang w:eastAsia="zh-CN"/>
        </w:rPr>
        <w:t>（</w:t>
      </w:r>
      <w:r>
        <w:rPr>
          <w:rFonts w:hint="eastAsia"/>
          <w:highlight w:val="none"/>
          <w:lang w:val="en-US" w:eastAsia="zh-CN"/>
        </w:rPr>
        <w:t>4</w:t>
      </w:r>
      <w:r>
        <w:rPr>
          <w:rFonts w:hint="eastAsia"/>
          <w:highlight w:val="none"/>
          <w:lang w:eastAsia="zh-CN"/>
        </w:rPr>
        <w:t>）</w:t>
      </w:r>
      <w:r>
        <w:rPr>
          <w:highlight w:val="none"/>
        </w:rPr>
        <w:t>危险性较大分部分项工程安全专项方案编制审批制度</w:t>
      </w:r>
      <w:r>
        <w:rPr>
          <w:rFonts w:hint="eastAsia"/>
          <w:highlight w:val="none"/>
          <w:lang w:eastAsia="zh-CN"/>
        </w:rPr>
        <w:t>。</w:t>
      </w:r>
      <w:r>
        <w:rPr>
          <w:highlight w:val="none"/>
        </w:rPr>
        <w:t>危险性较大的分部分项工程开工前，由项目总工程师组织工程、安</w:t>
      </w:r>
      <w:r>
        <w:rPr>
          <w:rFonts w:hint="eastAsia"/>
          <w:highlight w:val="none"/>
          <w:lang w:val="en-US" w:eastAsia="zh-CN"/>
        </w:rPr>
        <w:t>监</w:t>
      </w:r>
      <w:r>
        <w:rPr>
          <w:highlight w:val="none"/>
        </w:rPr>
        <w:t>及质检等部门的专业技术人员编制专项方案并按照归属关系及时将编制的专项方案报送公司或 分(子)公司总工办审核。超过一定规模的危险性较大分部分项工程安全专项方案编制后，项目部应组织有关专家对方案进行论证，并根据专家组提供的论证报告修改完善专项方案，并经目总监理工程师、建设单位项目负责人签字后，方可组织实施。</w:t>
      </w:r>
    </w:p>
    <w:p w14:paraId="16E2EA67">
      <w:pPr>
        <w:bidi w:val="0"/>
        <w:ind w:firstLine="480" w:firstLineChars="200"/>
        <w:rPr>
          <w:rFonts w:hint="eastAsia" w:ascii="宋体" w:hAnsi="宋体" w:eastAsia="宋体" w:cs="Times New Roman"/>
          <w:highlight w:val="none"/>
          <w:lang w:val="en-US" w:eastAsia="zh-CN"/>
        </w:rPr>
      </w:pPr>
      <w:r>
        <w:rPr>
          <w:rFonts w:hint="eastAsia"/>
          <w:highlight w:val="none"/>
          <w:lang w:val="en-US" w:eastAsia="zh-CN"/>
        </w:rPr>
        <w:t>（5）</w:t>
      </w:r>
      <w:r>
        <w:rPr>
          <w:highlight w:val="none"/>
        </w:rPr>
        <w:t>危险作业</w:t>
      </w:r>
      <w:r>
        <w:rPr>
          <w:rFonts w:hint="eastAsia"/>
          <w:highlight w:val="none"/>
          <w:lang w:val="en-US" w:eastAsia="zh-CN"/>
        </w:rPr>
        <w:t>许可</w:t>
      </w:r>
      <w:r>
        <w:rPr>
          <w:highlight w:val="none"/>
        </w:rPr>
        <w:t>制度</w:t>
      </w:r>
      <w:r>
        <w:rPr>
          <w:rFonts w:hint="eastAsia"/>
          <w:highlight w:val="none"/>
          <w:lang w:eastAsia="zh-CN"/>
        </w:rPr>
        <w:t>。</w:t>
      </w:r>
      <w:r>
        <w:rPr>
          <w:rFonts w:ascii="宋体" w:hAnsi="宋体" w:eastAsia="宋体" w:cs="Times New Roman"/>
          <w:highlight w:val="none"/>
        </w:rPr>
        <w:t>项目实施前，项目</w:t>
      </w:r>
      <w:r>
        <w:rPr>
          <w:rFonts w:hint="eastAsia" w:ascii="宋体" w:hAnsi="宋体" w:eastAsia="宋体" w:cs="Times New Roman"/>
          <w:highlight w:val="none"/>
        </w:rPr>
        <w:t>经理</w:t>
      </w:r>
      <w:r>
        <w:rPr>
          <w:rFonts w:ascii="宋体" w:hAnsi="宋体" w:eastAsia="宋体" w:cs="Times New Roman"/>
          <w:highlight w:val="none"/>
        </w:rPr>
        <w:t>部生产管理部门应根据危险源辨识情况，确定项目中存在的危险作业,并作为现场安全管控重点，做好相关的安全技术措施准备工作。危险作业计划施工时，负责该施工作业的工长</w:t>
      </w:r>
      <w:r>
        <w:rPr>
          <w:rFonts w:hint="eastAsia" w:ascii="宋体" w:hAnsi="宋体" w:eastAsia="宋体" w:cs="Times New Roman"/>
          <w:highlight w:val="none"/>
        </w:rPr>
        <w:t>（项目现场总监）</w:t>
      </w:r>
      <w:r>
        <w:rPr>
          <w:rFonts w:ascii="宋体" w:hAnsi="宋体" w:eastAsia="宋体" w:cs="Times New Roman"/>
          <w:highlight w:val="none"/>
        </w:rPr>
        <w:t>或工程管理人员应于施工前至少7日，向现场的生产</w:t>
      </w:r>
      <w:r>
        <w:rPr>
          <w:rFonts w:hint="eastAsia" w:ascii="宋体" w:hAnsi="宋体" w:eastAsia="宋体" w:cs="Times New Roman"/>
          <w:highlight w:val="none"/>
        </w:rPr>
        <w:t>副</w:t>
      </w:r>
      <w:r>
        <w:rPr>
          <w:rFonts w:ascii="宋体" w:hAnsi="宋体" w:eastAsia="宋体" w:cs="Times New Roman"/>
          <w:highlight w:val="none"/>
        </w:rPr>
        <w:t>经理提出作业申请。接到危险作业施工申请后，生产</w:t>
      </w:r>
      <w:r>
        <w:rPr>
          <w:rFonts w:hint="eastAsia" w:ascii="宋体" w:hAnsi="宋体" w:eastAsia="宋体" w:cs="Times New Roman"/>
          <w:highlight w:val="none"/>
        </w:rPr>
        <w:t>副</w:t>
      </w:r>
      <w:r>
        <w:rPr>
          <w:rFonts w:ascii="宋体" w:hAnsi="宋体" w:eastAsia="宋体" w:cs="Times New Roman"/>
          <w:highlight w:val="none"/>
        </w:rPr>
        <w:t>经理应会同技术负责人、</w:t>
      </w:r>
      <w:r>
        <w:rPr>
          <w:rFonts w:hint="eastAsia" w:ascii="宋体" w:hAnsi="宋体" w:eastAsia="宋体" w:cs="Times New Roman"/>
          <w:highlight w:val="none"/>
        </w:rPr>
        <w:t>分管设备副经理、</w:t>
      </w:r>
      <w:r>
        <w:rPr>
          <w:rFonts w:ascii="宋体" w:hAnsi="宋体" w:eastAsia="宋体" w:cs="Times New Roman"/>
          <w:highlight w:val="none"/>
        </w:rPr>
        <w:t>安全总监组织班组长、</w:t>
      </w:r>
      <w:r>
        <w:rPr>
          <w:rFonts w:hint="eastAsia" w:ascii="宋体" w:hAnsi="宋体" w:eastAsia="宋体" w:cs="Times New Roman"/>
          <w:highlight w:val="none"/>
        </w:rPr>
        <w:t>生产</w:t>
      </w:r>
      <w:r>
        <w:rPr>
          <w:rFonts w:ascii="宋体" w:hAnsi="宋体" w:eastAsia="宋体" w:cs="Times New Roman"/>
          <w:highlight w:val="none"/>
        </w:rPr>
        <w:t>、技术、质量、</w:t>
      </w:r>
      <w:r>
        <w:rPr>
          <w:rFonts w:hint="eastAsia" w:ascii="宋体" w:hAnsi="宋体" w:eastAsia="宋体" w:cs="Times New Roman"/>
          <w:highlight w:val="none"/>
        </w:rPr>
        <w:t>设备</w:t>
      </w:r>
      <w:r>
        <w:rPr>
          <w:rFonts w:ascii="宋体" w:hAnsi="宋体" w:eastAsia="宋体" w:cs="Times New Roman"/>
          <w:highlight w:val="none"/>
        </w:rPr>
        <w:t>、安全等管理部门进行现场作业条件确认。项目技术负责人、生产</w:t>
      </w:r>
      <w:r>
        <w:rPr>
          <w:rFonts w:hint="eastAsia" w:ascii="宋体" w:hAnsi="宋体" w:eastAsia="宋体" w:cs="Times New Roman"/>
          <w:highlight w:val="none"/>
        </w:rPr>
        <w:t>副</w:t>
      </w:r>
      <w:r>
        <w:rPr>
          <w:rFonts w:ascii="宋体" w:hAnsi="宋体" w:eastAsia="宋体" w:cs="Times New Roman"/>
          <w:highlight w:val="none"/>
        </w:rPr>
        <w:t>经理</w:t>
      </w:r>
      <w:r>
        <w:rPr>
          <w:rFonts w:hint="eastAsia" w:ascii="宋体" w:hAnsi="宋体" w:eastAsia="宋体" w:cs="Times New Roman"/>
          <w:highlight w:val="none"/>
        </w:rPr>
        <w:t>、分管设备副经理</w:t>
      </w:r>
      <w:r>
        <w:rPr>
          <w:rFonts w:ascii="宋体" w:hAnsi="宋体" w:eastAsia="宋体" w:cs="Times New Roman"/>
          <w:highlight w:val="none"/>
        </w:rPr>
        <w:t>和安全总监应当根据检查结果对作业条件进行复核。技术负责人负责有关工程技术质量内容的检查复核，</w:t>
      </w:r>
      <w:r>
        <w:rPr>
          <w:rFonts w:hint="eastAsia" w:ascii="宋体" w:hAnsi="宋体" w:eastAsia="宋体" w:cs="Times New Roman"/>
          <w:highlight w:val="none"/>
        </w:rPr>
        <w:t>分管设备副</w:t>
      </w:r>
      <w:r>
        <w:rPr>
          <w:rFonts w:ascii="宋体" w:hAnsi="宋体" w:eastAsia="宋体" w:cs="Times New Roman"/>
          <w:highlight w:val="none"/>
        </w:rPr>
        <w:t>经理负责设备</w:t>
      </w:r>
      <w:r>
        <w:rPr>
          <w:rFonts w:hint="eastAsia" w:ascii="宋体" w:hAnsi="宋体" w:eastAsia="宋体" w:cs="Times New Roman"/>
          <w:highlight w:val="none"/>
        </w:rPr>
        <w:t>的检查复核，生产副经理负责</w:t>
      </w:r>
      <w:r>
        <w:rPr>
          <w:rFonts w:ascii="宋体" w:hAnsi="宋体" w:eastAsia="宋体" w:cs="Times New Roman"/>
          <w:highlight w:val="none"/>
        </w:rPr>
        <w:t>安全防护设施的检查复核，安全总监负责监督现场条件确认的落实情况。</w:t>
      </w:r>
    </w:p>
    <w:p w14:paraId="7D6D5406">
      <w:pPr>
        <w:keepNext w:val="0"/>
        <w:keepLines w:val="0"/>
        <w:widowControl/>
        <w:suppressLineNumbers w:val="0"/>
        <w:ind w:firstLine="480" w:firstLineChars="200"/>
        <w:jc w:val="left"/>
        <w:rPr>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ascii="Times New Roman" w:hAnsi="Times New Roman" w:eastAsia="宋体" w:cs="Times New Roman"/>
          <w:highlight w:val="none"/>
          <w:lang w:val="en-US" w:eastAsia="zh-CN"/>
        </w:rPr>
        <w:t>安全风险分级管控制度。</w:t>
      </w:r>
      <w:r>
        <w:rPr>
          <w:rFonts w:hint="eastAsia" w:ascii="宋体" w:hAnsi="宋体" w:eastAsia="宋体" w:cs="宋体"/>
          <w:color w:val="000000"/>
          <w:kern w:val="0"/>
          <w:sz w:val="24"/>
          <w:szCs w:val="24"/>
          <w:highlight w:val="none"/>
          <w:lang w:val="en-US" w:eastAsia="zh-CN" w:bidi="ar"/>
        </w:rPr>
        <w:t xml:space="preserve">安全生产风险管控遵循风险级别越高管控层级越高的原则，并符合下列要求： </w:t>
      </w:r>
    </w:p>
    <w:p w14:paraId="7B9BF1E8">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a</w:t>
      </w:r>
      <w:r>
        <w:rPr>
          <w:rFonts w:hint="eastAsia" w:ascii="宋体" w:hAnsi="宋体" w:eastAsia="宋体" w:cs="宋体"/>
          <w:color w:val="000000"/>
          <w:kern w:val="0"/>
          <w:sz w:val="24"/>
          <w:szCs w:val="24"/>
          <w:highlight w:val="none"/>
          <w:lang w:val="en-US" w:eastAsia="zh-CN" w:bidi="ar"/>
        </w:rPr>
        <w:t xml:space="preserve">、对于较大风险和重大风险应重点进行管控； </w:t>
      </w:r>
    </w:p>
    <w:p w14:paraId="4CF1E0C9">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b</w:t>
      </w:r>
      <w:r>
        <w:rPr>
          <w:rFonts w:hint="eastAsia" w:ascii="宋体" w:hAnsi="宋体" w:eastAsia="宋体" w:cs="宋体"/>
          <w:color w:val="000000"/>
          <w:kern w:val="0"/>
          <w:sz w:val="24"/>
          <w:szCs w:val="24"/>
          <w:highlight w:val="none"/>
          <w:lang w:val="en-US" w:eastAsia="zh-CN" w:bidi="ar"/>
        </w:rPr>
        <w:t xml:space="preserve">、上一级负责管控的施工安全风险，下一级必须同时负责具体管控，并逐级落实具体措施； </w:t>
      </w:r>
    </w:p>
    <w:p w14:paraId="27338968">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c</w:t>
      </w:r>
      <w:r>
        <w:rPr>
          <w:rFonts w:hint="eastAsia" w:ascii="宋体" w:hAnsi="宋体" w:eastAsia="宋体" w:cs="宋体"/>
          <w:color w:val="000000"/>
          <w:kern w:val="0"/>
          <w:sz w:val="24"/>
          <w:szCs w:val="24"/>
          <w:highlight w:val="none"/>
          <w:lang w:val="en-US" w:eastAsia="zh-CN" w:bidi="ar"/>
        </w:rPr>
        <w:t xml:space="preserve">、管控层级可进行增加或提级； </w:t>
      </w:r>
    </w:p>
    <w:p w14:paraId="2C795EA4">
      <w:pPr>
        <w:keepNext w:val="0"/>
        <w:keepLines w:val="0"/>
        <w:widowControl/>
        <w:suppressLineNumbers w:val="0"/>
        <w:ind w:firstLine="480" w:firstLineChars="200"/>
        <w:jc w:val="left"/>
        <w:rPr>
          <w:highlight w:val="none"/>
        </w:rPr>
      </w:pPr>
      <w:r>
        <w:rPr>
          <w:rFonts w:hint="default" w:ascii="Times New Roman" w:hAnsi="Times New Roman" w:eastAsia="宋体" w:cs="Times New Roman"/>
          <w:color w:val="000000"/>
          <w:kern w:val="0"/>
          <w:sz w:val="24"/>
          <w:szCs w:val="24"/>
          <w:highlight w:val="none"/>
          <w:lang w:val="en-US" w:eastAsia="zh-CN" w:bidi="ar"/>
        </w:rPr>
        <w:t>d</w:t>
      </w:r>
      <w:r>
        <w:rPr>
          <w:rFonts w:hint="eastAsia" w:ascii="宋体" w:hAnsi="宋体" w:eastAsia="宋体" w:cs="宋体"/>
          <w:color w:val="000000"/>
          <w:kern w:val="0"/>
          <w:sz w:val="24"/>
          <w:szCs w:val="24"/>
          <w:highlight w:val="none"/>
          <w:lang w:val="en-US" w:eastAsia="zh-CN" w:bidi="ar"/>
        </w:rPr>
        <w:t>、风险管控采取公示告知、组织编制并落实专项施工方案、带班跟班作业、上级监督检查等方式予以管控。</w:t>
      </w:r>
    </w:p>
    <w:p w14:paraId="7CDD4499">
      <w:pPr>
        <w:bidi w:val="0"/>
        <w:ind w:firstLine="480" w:firstLineChars="200"/>
        <w:rPr>
          <w:highlight w:val="none"/>
        </w:rPr>
      </w:pPr>
      <w:r>
        <w:rPr>
          <w:rFonts w:hint="eastAsia"/>
          <w:highlight w:val="none"/>
          <w:lang w:val="en-US" w:eastAsia="zh-CN"/>
        </w:rPr>
        <w:t>项目部应加强安全生产风险的现场监控，明确分管领导、现场负责人，配齐生产、技术、安全、设备、班组长等相关人员，做好领导带班生产、管理人员跟班作业等，结合日常各项工作，实行网格化管理，实施监测预警，在相应方案中明确监控对象、监测指标及阈值、分级预警及处置流程等，按方案进行风险预警处置。较大风险（Ⅲ级）点、重大风险（</w:t>
      </w:r>
      <w:r>
        <w:rPr>
          <w:rFonts w:hint="default"/>
          <w:highlight w:val="none"/>
          <w:lang w:val="en-US" w:eastAsia="zh-CN"/>
        </w:rPr>
        <w:t>IV</w:t>
      </w:r>
      <w:r>
        <w:rPr>
          <w:rFonts w:hint="eastAsia"/>
          <w:highlight w:val="none"/>
          <w:lang w:val="en-US" w:eastAsia="zh-CN"/>
        </w:rPr>
        <w:t>级）点由生产管理部督促安装远程视频监控，分别接入分子公司、公司生产指挥中心。</w:t>
      </w:r>
    </w:p>
    <w:p w14:paraId="7B854CE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（8）事故隐患排查治理制度</w:t>
      </w:r>
    </w:p>
    <w:p w14:paraId="7FDA02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一般事故隐患由项目部安全管理部门和检查部门督促责任工区、责任部门或者责任分包作业单位整改落实，并组织验收。</w:t>
      </w:r>
    </w:p>
    <w:p w14:paraId="53CE5FB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重大事故隐患由项目主要负责人组织制定、实施事故隐患 治理方案，并组织验收；安全管理部门负责督促整改落实。重 大事故隐患治理方案应当包括以下内容：</w:t>
      </w:r>
    </w:p>
    <w:p w14:paraId="71C41332">
      <w:pPr>
        <w:bidi w:val="0"/>
        <w:ind w:firstLine="480" w:firstLineChars="200"/>
        <w:rPr>
          <w:rFonts w:hint="eastAsia"/>
          <w:highlight w:val="none"/>
          <w:lang w:val="en-US" w:eastAsia="zh-CN"/>
        </w:rPr>
      </w:pPr>
      <w:bookmarkStart w:id="252" w:name="（一）治理的目标和任务；"/>
      <w:bookmarkEnd w:id="252"/>
      <w:r>
        <w:rPr>
          <w:rFonts w:hint="eastAsia"/>
          <w:highlight w:val="none"/>
          <w:lang w:val="en-US" w:eastAsia="zh-CN"/>
        </w:rPr>
        <w:t>（一）治理的目标和任务；</w:t>
      </w:r>
    </w:p>
    <w:p w14:paraId="544E3A26">
      <w:pPr>
        <w:bidi w:val="0"/>
        <w:ind w:firstLine="480" w:firstLineChars="200"/>
        <w:rPr>
          <w:rFonts w:hint="eastAsia"/>
          <w:highlight w:val="none"/>
          <w:lang w:val="en-US" w:eastAsia="zh-CN"/>
        </w:rPr>
      </w:pPr>
      <w:bookmarkStart w:id="253" w:name="（二）采取的方法和措施；"/>
      <w:bookmarkEnd w:id="253"/>
      <w:r>
        <w:rPr>
          <w:rFonts w:hint="eastAsia"/>
          <w:highlight w:val="none"/>
          <w:lang w:val="en-US" w:eastAsia="zh-CN"/>
        </w:rPr>
        <w:t>（二）采取的方法和措施；</w:t>
      </w:r>
    </w:p>
    <w:p w14:paraId="3F84DE8C">
      <w:pPr>
        <w:bidi w:val="0"/>
        <w:ind w:firstLine="480" w:firstLineChars="200"/>
        <w:rPr>
          <w:rFonts w:hint="eastAsia"/>
          <w:highlight w:val="none"/>
          <w:lang w:val="en-US" w:eastAsia="zh-CN"/>
        </w:rPr>
      </w:pPr>
      <w:bookmarkStart w:id="254" w:name="（三）经费和物资的落实；"/>
      <w:bookmarkEnd w:id="254"/>
      <w:r>
        <w:rPr>
          <w:rFonts w:hint="eastAsia"/>
          <w:highlight w:val="none"/>
          <w:lang w:val="en-US" w:eastAsia="zh-CN"/>
        </w:rPr>
        <w:t>（三）经费和物资的落实；</w:t>
      </w:r>
    </w:p>
    <w:p w14:paraId="678ABD47">
      <w:pPr>
        <w:bidi w:val="0"/>
        <w:ind w:firstLine="480" w:firstLineChars="200"/>
        <w:rPr>
          <w:rFonts w:hint="eastAsia"/>
          <w:highlight w:val="none"/>
          <w:lang w:val="en-US" w:eastAsia="zh-CN"/>
        </w:rPr>
      </w:pPr>
      <w:bookmarkStart w:id="255" w:name="（四）负责治理的机构和人员；"/>
      <w:bookmarkEnd w:id="255"/>
      <w:r>
        <w:rPr>
          <w:rFonts w:hint="eastAsia"/>
          <w:highlight w:val="none"/>
          <w:lang w:val="en-US" w:eastAsia="zh-CN"/>
        </w:rPr>
        <w:t>（四）负责治理的机构和人员；</w:t>
      </w:r>
    </w:p>
    <w:p w14:paraId="1693D4AE">
      <w:pPr>
        <w:bidi w:val="0"/>
        <w:ind w:firstLine="480" w:firstLineChars="200"/>
        <w:rPr>
          <w:rFonts w:hint="eastAsia"/>
          <w:highlight w:val="none"/>
          <w:lang w:val="en-US" w:eastAsia="zh-CN"/>
        </w:rPr>
      </w:pPr>
      <w:bookmarkStart w:id="256" w:name="（五）治理的时限和要求；"/>
      <w:bookmarkEnd w:id="256"/>
      <w:r>
        <w:rPr>
          <w:rFonts w:hint="eastAsia"/>
          <w:highlight w:val="none"/>
          <w:lang w:val="en-US" w:eastAsia="zh-CN"/>
        </w:rPr>
        <w:t>（五）治理的时限和要求；</w:t>
      </w:r>
    </w:p>
    <w:p w14:paraId="2DF9302D">
      <w:pPr>
        <w:bidi w:val="0"/>
        <w:ind w:firstLine="480" w:firstLineChars="200"/>
        <w:rPr>
          <w:rFonts w:hint="eastAsia"/>
          <w:highlight w:val="none"/>
          <w:lang w:val="en-US" w:eastAsia="zh-CN"/>
        </w:rPr>
      </w:pPr>
      <w:bookmarkStart w:id="257" w:name="（六）安全措施和应急预案。"/>
      <w:bookmarkEnd w:id="257"/>
      <w:r>
        <w:rPr>
          <w:rFonts w:hint="eastAsia"/>
          <w:highlight w:val="none"/>
          <w:lang w:val="en-US" w:eastAsia="zh-CN"/>
        </w:rPr>
        <w:t>（六）安全措施和应急预案。</w:t>
      </w:r>
      <w:bookmarkStart w:id="258" w:name="第十三条【事故隐患治理防范】"/>
      <w:bookmarkEnd w:id="258"/>
      <w:r>
        <w:rPr>
          <w:rFonts w:hint="eastAsia"/>
          <w:highlight w:val="none"/>
          <w:lang w:val="en-US" w:eastAsia="zh-CN"/>
        </w:rPr>
        <w:t xml:space="preserve"> </w:t>
      </w:r>
    </w:p>
    <w:p w14:paraId="561D06F1">
      <w:pPr>
        <w:bidi w:val="0"/>
        <w:ind w:left="480" w:leftChars="200" w:firstLine="0" w:firstLineChars="0"/>
        <w:rPr>
          <w:highlight w:val="none"/>
        </w:rPr>
      </w:pPr>
      <w:r>
        <w:rPr>
          <w:rFonts w:hint="eastAsia"/>
          <w:highlight w:val="none"/>
        </w:rPr>
        <w:t>建立和完善塔式起重机安装作业各岗位（领导、相关部门）安全生产职责。严格按照各岗位安全生产职责执行。</w:t>
      </w:r>
    </w:p>
    <w:p w14:paraId="1BD61A76">
      <w:pPr>
        <w:bidi w:val="0"/>
        <w:ind w:firstLine="480" w:firstLineChars="200"/>
        <w:rPr>
          <w:highlight w:val="none"/>
        </w:rPr>
      </w:pPr>
      <w:r>
        <w:rPr>
          <w:rFonts w:hint="eastAsia"/>
          <w:highlight w:val="none"/>
        </w:rPr>
        <w:t>项目部从项目经理至作业员应层层明确安全岗位职责，确保安全工作有章可循。各部门安全岗位职责分工参见表</w:t>
      </w:r>
      <w:r>
        <w:rPr>
          <w:rFonts w:hint="eastAsia"/>
          <w:highlight w:val="none"/>
          <w:lang w:val="en-US" w:eastAsia="zh-CN"/>
        </w:rPr>
        <w:t>6</w:t>
      </w:r>
      <w:r>
        <w:rPr>
          <w:rFonts w:hint="eastAsia"/>
          <w:highlight w:val="none"/>
        </w:rPr>
        <w:t>.2-1</w:t>
      </w:r>
    </w:p>
    <w:p w14:paraId="73762266">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表6.2-1 安全生产岗位职责分工</w:t>
      </w:r>
    </w:p>
    <w:tbl>
      <w:tblPr>
        <w:tblStyle w:val="30"/>
        <w:tblW w:w="90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71"/>
        <w:gridCol w:w="5765"/>
      </w:tblGrid>
      <w:tr w14:paraId="0946B1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Align w:val="center"/>
          </w:tcPr>
          <w:p w14:paraId="5781EF2F">
            <w:pPr>
              <w:pStyle w:val="105"/>
              <w:bidi w:val="0"/>
              <w:rPr>
                <w:rFonts w:hint="eastAsia"/>
                <w:highlight w:val="none"/>
              </w:rPr>
            </w:pPr>
            <w:r>
              <w:rPr>
                <w:rFonts w:hint="eastAsia"/>
                <w:highlight w:val="none"/>
              </w:rPr>
              <w:t>安全生产</w:t>
            </w:r>
          </w:p>
          <w:p w14:paraId="1279BAEF">
            <w:pPr>
              <w:pStyle w:val="105"/>
              <w:bidi w:val="0"/>
              <w:rPr>
                <w:rFonts w:hint="eastAsia"/>
                <w:highlight w:val="none"/>
              </w:rPr>
            </w:pPr>
            <w:r>
              <w:rPr>
                <w:rFonts w:hint="eastAsia"/>
                <w:highlight w:val="none"/>
              </w:rPr>
              <w:t>领导小组</w:t>
            </w:r>
          </w:p>
        </w:tc>
        <w:tc>
          <w:tcPr>
            <w:tcW w:w="1035" w:type="dxa"/>
            <w:vAlign w:val="center"/>
          </w:tcPr>
          <w:p w14:paraId="08F995A6">
            <w:pPr>
              <w:pStyle w:val="105"/>
              <w:bidi w:val="0"/>
              <w:rPr>
                <w:rFonts w:hint="eastAsia"/>
                <w:highlight w:val="none"/>
              </w:rPr>
            </w:pPr>
            <w:r>
              <w:rPr>
                <w:rFonts w:hint="eastAsia"/>
                <w:highlight w:val="none"/>
              </w:rPr>
              <w:t>责任人</w:t>
            </w:r>
          </w:p>
        </w:tc>
        <w:tc>
          <w:tcPr>
            <w:tcW w:w="1171" w:type="dxa"/>
            <w:vAlign w:val="center"/>
          </w:tcPr>
          <w:p w14:paraId="4F5641BB">
            <w:pPr>
              <w:pStyle w:val="105"/>
              <w:bidi w:val="0"/>
              <w:rPr>
                <w:rFonts w:hint="eastAsia"/>
                <w:highlight w:val="none"/>
              </w:rPr>
            </w:pPr>
            <w:r>
              <w:rPr>
                <w:rFonts w:hint="eastAsia"/>
                <w:highlight w:val="none"/>
              </w:rPr>
              <w:t>职  务</w:t>
            </w:r>
          </w:p>
        </w:tc>
        <w:tc>
          <w:tcPr>
            <w:tcW w:w="5765" w:type="dxa"/>
            <w:vAlign w:val="center"/>
          </w:tcPr>
          <w:p w14:paraId="5DE0978F">
            <w:pPr>
              <w:pStyle w:val="105"/>
              <w:bidi w:val="0"/>
              <w:rPr>
                <w:rFonts w:hint="eastAsia"/>
                <w:highlight w:val="none"/>
              </w:rPr>
            </w:pPr>
            <w:r>
              <w:rPr>
                <w:rFonts w:hint="eastAsia"/>
                <w:highlight w:val="none"/>
              </w:rPr>
              <w:t>职责分工</w:t>
            </w:r>
          </w:p>
        </w:tc>
      </w:tr>
      <w:tr w14:paraId="6B7CA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Align w:val="center"/>
          </w:tcPr>
          <w:p w14:paraId="64C3508C">
            <w:pPr>
              <w:pStyle w:val="105"/>
              <w:bidi w:val="0"/>
              <w:rPr>
                <w:rFonts w:hint="eastAsia"/>
                <w:highlight w:val="none"/>
              </w:rPr>
            </w:pPr>
            <w:r>
              <w:rPr>
                <w:rFonts w:hint="eastAsia"/>
                <w:highlight w:val="none"/>
              </w:rPr>
              <w:t>组  长</w:t>
            </w:r>
          </w:p>
        </w:tc>
        <w:tc>
          <w:tcPr>
            <w:tcW w:w="1035" w:type="dxa"/>
            <w:vAlign w:val="center"/>
          </w:tcPr>
          <w:p w14:paraId="2D2ED6CA">
            <w:pPr>
              <w:pStyle w:val="105"/>
              <w:bidi w:val="0"/>
              <w:rPr>
                <w:rFonts w:hint="eastAsia"/>
                <w:highlight w:val="none"/>
                <w:lang w:val="en-US" w:eastAsia="zh-CN"/>
              </w:rPr>
            </w:pPr>
            <w:r>
              <w:rPr>
                <w:rFonts w:hint="eastAsia"/>
                <w:highlight w:val="none"/>
                <w:lang w:val="en-US" w:eastAsia="zh-CN"/>
              </w:rPr>
              <w:t>程金平</w:t>
            </w:r>
          </w:p>
        </w:tc>
        <w:tc>
          <w:tcPr>
            <w:tcW w:w="1171" w:type="dxa"/>
            <w:vAlign w:val="center"/>
          </w:tcPr>
          <w:p w14:paraId="188AC164">
            <w:pPr>
              <w:pStyle w:val="105"/>
              <w:bidi w:val="0"/>
              <w:rPr>
                <w:rFonts w:hint="eastAsia"/>
                <w:highlight w:val="none"/>
              </w:rPr>
            </w:pPr>
            <w:r>
              <w:rPr>
                <w:rFonts w:hint="eastAsia"/>
                <w:highlight w:val="none"/>
              </w:rPr>
              <w:t>项目经理</w:t>
            </w:r>
          </w:p>
        </w:tc>
        <w:tc>
          <w:tcPr>
            <w:tcW w:w="5765" w:type="dxa"/>
            <w:vAlign w:val="center"/>
          </w:tcPr>
          <w:p w14:paraId="2C486402">
            <w:pPr>
              <w:pStyle w:val="105"/>
              <w:bidi w:val="0"/>
              <w:rPr>
                <w:rFonts w:hint="eastAsia"/>
                <w:highlight w:val="none"/>
              </w:rPr>
            </w:pPr>
            <w:r>
              <w:rPr>
                <w:rFonts w:hint="eastAsia"/>
                <w:highlight w:val="none"/>
              </w:rPr>
              <w:t>安全第一责任人，主要负责进行定期或不定期安全大检查，及时解决安全隐患；组织项目部各部门进行全员安全教育，开展安全生产竞赛，发布安全生产奖惩办法与奖惩决定；主持处理安全事故，提出今后事故预防措施，并督促实施。</w:t>
            </w:r>
          </w:p>
        </w:tc>
      </w:tr>
      <w:tr w14:paraId="04C175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restart"/>
            <w:vAlign w:val="center"/>
          </w:tcPr>
          <w:p w14:paraId="592385A5">
            <w:pPr>
              <w:pStyle w:val="105"/>
              <w:bidi w:val="0"/>
              <w:rPr>
                <w:rFonts w:hint="eastAsia"/>
                <w:highlight w:val="none"/>
              </w:rPr>
            </w:pPr>
            <w:r>
              <w:rPr>
                <w:rFonts w:hint="eastAsia"/>
                <w:highlight w:val="none"/>
              </w:rPr>
              <w:t>副组长</w:t>
            </w:r>
          </w:p>
        </w:tc>
        <w:tc>
          <w:tcPr>
            <w:tcW w:w="1035" w:type="dxa"/>
            <w:vAlign w:val="center"/>
          </w:tcPr>
          <w:p w14:paraId="2CDCAA1D">
            <w:pPr>
              <w:pStyle w:val="105"/>
              <w:bidi w:val="0"/>
              <w:rPr>
                <w:rFonts w:hint="eastAsia"/>
                <w:highlight w:val="none"/>
                <w:lang w:val="en-US" w:eastAsia="zh-CN"/>
              </w:rPr>
            </w:pPr>
            <w:r>
              <w:rPr>
                <w:rFonts w:hint="eastAsia"/>
                <w:highlight w:val="none"/>
                <w:lang w:val="en-US" w:eastAsia="zh-CN"/>
              </w:rPr>
              <w:t>赵凯</w:t>
            </w:r>
          </w:p>
        </w:tc>
        <w:tc>
          <w:tcPr>
            <w:tcW w:w="1171" w:type="dxa"/>
            <w:vAlign w:val="center"/>
          </w:tcPr>
          <w:p w14:paraId="3DD93FB3">
            <w:pPr>
              <w:pStyle w:val="105"/>
              <w:bidi w:val="0"/>
              <w:rPr>
                <w:rFonts w:hint="eastAsia"/>
                <w:highlight w:val="none"/>
              </w:rPr>
            </w:pPr>
            <w:r>
              <w:rPr>
                <w:rFonts w:hint="eastAsia"/>
                <w:highlight w:val="none"/>
              </w:rPr>
              <w:t>项目书记</w:t>
            </w:r>
          </w:p>
        </w:tc>
        <w:tc>
          <w:tcPr>
            <w:tcW w:w="5765" w:type="dxa"/>
            <w:vAlign w:val="center"/>
          </w:tcPr>
          <w:p w14:paraId="767CF32B">
            <w:pPr>
              <w:pStyle w:val="105"/>
              <w:bidi w:val="0"/>
              <w:rPr>
                <w:rFonts w:hint="eastAsia"/>
                <w:highlight w:val="none"/>
              </w:rPr>
            </w:pPr>
            <w:r>
              <w:rPr>
                <w:rFonts w:hint="eastAsia"/>
                <w:highlight w:val="none"/>
              </w:rPr>
              <w:t>安全生产直接责任人，主要负责制定各种安全生产岗位责任制，并检查、督促、执行落实；安排日常安全工作，定期召开安全例会，分析安全情况，找出存在的问题，采取措施，并组织实施；经常深入现场检查设备、工具、生产、安全设施等情况，及时消除隐患。</w:t>
            </w:r>
          </w:p>
        </w:tc>
      </w:tr>
      <w:tr w14:paraId="50E9C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761F89BA">
            <w:pPr>
              <w:pStyle w:val="105"/>
              <w:bidi w:val="0"/>
              <w:rPr>
                <w:rFonts w:hint="eastAsia"/>
                <w:highlight w:val="none"/>
              </w:rPr>
            </w:pPr>
          </w:p>
        </w:tc>
        <w:tc>
          <w:tcPr>
            <w:tcW w:w="1035" w:type="dxa"/>
            <w:vAlign w:val="center"/>
          </w:tcPr>
          <w:p w14:paraId="77F756A8">
            <w:pPr>
              <w:pStyle w:val="105"/>
              <w:bidi w:val="0"/>
              <w:rPr>
                <w:rFonts w:hint="eastAsia"/>
                <w:highlight w:val="none"/>
                <w:lang w:val="en-US" w:eastAsia="zh-CN"/>
              </w:rPr>
            </w:pPr>
            <w:r>
              <w:rPr>
                <w:rFonts w:hint="eastAsia"/>
                <w:highlight w:val="none"/>
                <w:lang w:val="en-US" w:eastAsia="zh-CN"/>
              </w:rPr>
              <w:t>刘海</w:t>
            </w:r>
          </w:p>
        </w:tc>
        <w:tc>
          <w:tcPr>
            <w:tcW w:w="1171" w:type="dxa"/>
            <w:vAlign w:val="center"/>
          </w:tcPr>
          <w:p w14:paraId="2F9600DA">
            <w:pPr>
              <w:pStyle w:val="105"/>
              <w:bidi w:val="0"/>
              <w:rPr>
                <w:rFonts w:hint="eastAsia"/>
                <w:highlight w:val="none"/>
              </w:rPr>
            </w:pPr>
            <w:r>
              <w:rPr>
                <w:rFonts w:hint="eastAsia"/>
                <w:highlight w:val="none"/>
              </w:rPr>
              <w:t>项目总工</w:t>
            </w:r>
          </w:p>
        </w:tc>
        <w:tc>
          <w:tcPr>
            <w:tcW w:w="5765" w:type="dxa"/>
            <w:vAlign w:val="center"/>
          </w:tcPr>
          <w:p w14:paraId="1A10AF82">
            <w:pPr>
              <w:pStyle w:val="105"/>
              <w:bidi w:val="0"/>
              <w:rPr>
                <w:rFonts w:hint="eastAsia"/>
                <w:highlight w:val="none"/>
              </w:rPr>
            </w:pPr>
            <w:r>
              <w:rPr>
                <w:rFonts w:hint="eastAsia"/>
                <w:highlight w:val="none"/>
              </w:rPr>
              <w:t>组织编制、审定施工方案，审核技术文件和处理技术问题时，必须贯彻安全生产的原则；指导安全技术教育，组织安全专业技术培训；参加伤亡事故的调查处理，负责作出技术性结论。</w:t>
            </w:r>
          </w:p>
        </w:tc>
      </w:tr>
      <w:tr w14:paraId="1A861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589A88EF">
            <w:pPr>
              <w:pStyle w:val="105"/>
              <w:bidi w:val="0"/>
              <w:rPr>
                <w:rFonts w:hint="eastAsia"/>
                <w:highlight w:val="none"/>
              </w:rPr>
            </w:pPr>
          </w:p>
        </w:tc>
        <w:tc>
          <w:tcPr>
            <w:tcW w:w="1035" w:type="dxa"/>
            <w:vAlign w:val="center"/>
          </w:tcPr>
          <w:p w14:paraId="4EE389BE">
            <w:pPr>
              <w:pStyle w:val="105"/>
              <w:bidi w:val="0"/>
              <w:rPr>
                <w:rFonts w:hint="default"/>
                <w:highlight w:val="none"/>
                <w:lang w:val="en-US" w:eastAsia="zh-CN"/>
              </w:rPr>
            </w:pPr>
            <w:r>
              <w:rPr>
                <w:rFonts w:hint="eastAsia"/>
                <w:highlight w:val="none"/>
                <w:lang w:val="en-US" w:eastAsia="zh-CN"/>
              </w:rPr>
              <w:t>李野</w:t>
            </w:r>
          </w:p>
        </w:tc>
        <w:tc>
          <w:tcPr>
            <w:tcW w:w="1171" w:type="dxa"/>
            <w:vAlign w:val="center"/>
          </w:tcPr>
          <w:p w14:paraId="42315458">
            <w:pPr>
              <w:pStyle w:val="105"/>
              <w:bidi w:val="0"/>
              <w:rPr>
                <w:rFonts w:hint="eastAsia"/>
                <w:highlight w:val="none"/>
              </w:rPr>
            </w:pPr>
            <w:r>
              <w:rPr>
                <w:rFonts w:hint="eastAsia"/>
                <w:highlight w:val="none"/>
              </w:rPr>
              <w:t>副经理</w:t>
            </w:r>
          </w:p>
        </w:tc>
        <w:tc>
          <w:tcPr>
            <w:tcW w:w="5765" w:type="dxa"/>
            <w:vAlign w:val="center"/>
          </w:tcPr>
          <w:p w14:paraId="22275A84">
            <w:pPr>
              <w:pStyle w:val="105"/>
              <w:bidi w:val="0"/>
              <w:rPr>
                <w:rFonts w:hint="eastAsia"/>
                <w:highlight w:val="none"/>
              </w:rPr>
            </w:pPr>
            <w:r>
              <w:rPr>
                <w:rFonts w:hint="eastAsia"/>
                <w:highlight w:val="none"/>
              </w:rPr>
              <w:t>对项目安全生产承担直接责任、执行公司各项安全生产规定，贯彻项目部的安全管理制度；审查施工方案中提出的安全技术保证措施；提出安全生产奖惩意见；事故发生后，组织事故的调查、分析、处理和上报工作；参与事故的调查、处理和整改隐患。</w:t>
            </w:r>
          </w:p>
        </w:tc>
      </w:tr>
      <w:tr w14:paraId="6A7C55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restart"/>
            <w:vAlign w:val="center"/>
          </w:tcPr>
          <w:p w14:paraId="3450C983">
            <w:pPr>
              <w:pStyle w:val="105"/>
              <w:bidi w:val="0"/>
              <w:rPr>
                <w:rFonts w:hint="eastAsia"/>
                <w:highlight w:val="none"/>
              </w:rPr>
            </w:pPr>
            <w:r>
              <w:rPr>
                <w:rFonts w:hint="eastAsia"/>
                <w:highlight w:val="none"/>
              </w:rPr>
              <w:t>组  员</w:t>
            </w:r>
          </w:p>
        </w:tc>
        <w:tc>
          <w:tcPr>
            <w:tcW w:w="1035" w:type="dxa"/>
            <w:vAlign w:val="center"/>
          </w:tcPr>
          <w:p w14:paraId="6BDB42A5">
            <w:pPr>
              <w:pStyle w:val="105"/>
              <w:bidi w:val="0"/>
              <w:rPr>
                <w:rFonts w:hint="eastAsia"/>
                <w:highlight w:val="none"/>
                <w:lang w:val="en-US" w:eastAsia="zh-CN"/>
              </w:rPr>
            </w:pPr>
            <w:r>
              <w:rPr>
                <w:rFonts w:hint="eastAsia"/>
                <w:highlight w:val="none"/>
                <w:lang w:val="en-US" w:eastAsia="zh-CN"/>
              </w:rPr>
              <w:t>岳蛟</w:t>
            </w:r>
          </w:p>
        </w:tc>
        <w:tc>
          <w:tcPr>
            <w:tcW w:w="1171" w:type="dxa"/>
            <w:vAlign w:val="center"/>
          </w:tcPr>
          <w:p w14:paraId="638C7639">
            <w:pPr>
              <w:pStyle w:val="105"/>
              <w:bidi w:val="0"/>
              <w:rPr>
                <w:rFonts w:hint="eastAsia"/>
                <w:highlight w:val="none"/>
              </w:rPr>
            </w:pPr>
            <w:r>
              <w:rPr>
                <w:rFonts w:hint="eastAsia"/>
                <w:highlight w:val="none"/>
              </w:rPr>
              <w:t>质检部部长</w:t>
            </w:r>
          </w:p>
        </w:tc>
        <w:tc>
          <w:tcPr>
            <w:tcW w:w="5765" w:type="dxa"/>
            <w:vAlign w:val="center"/>
          </w:tcPr>
          <w:p w14:paraId="15CFD5DF">
            <w:pPr>
              <w:pStyle w:val="105"/>
              <w:bidi w:val="0"/>
              <w:rPr>
                <w:rFonts w:hint="eastAsia"/>
                <w:highlight w:val="none"/>
              </w:rPr>
            </w:pPr>
            <w:r>
              <w:rPr>
                <w:rFonts w:hint="eastAsia"/>
                <w:highlight w:val="none"/>
              </w:rPr>
              <w:t>经常深入现场，检查、掌握安全生产动态，提出整改意见，制止违章作业，对违反安全的操作，有权责令停工，并立即报告有关领导。参加领导组织的定期和不定期的安全检查，对查出的问题用安全通知书等形式上报下达，限期改进。</w:t>
            </w:r>
          </w:p>
        </w:tc>
      </w:tr>
      <w:tr w14:paraId="6E03A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349E0A67">
            <w:pPr>
              <w:pStyle w:val="105"/>
              <w:bidi w:val="0"/>
              <w:rPr>
                <w:rFonts w:hint="eastAsia"/>
                <w:highlight w:val="none"/>
              </w:rPr>
            </w:pPr>
          </w:p>
        </w:tc>
        <w:tc>
          <w:tcPr>
            <w:tcW w:w="1035" w:type="dxa"/>
            <w:vAlign w:val="center"/>
          </w:tcPr>
          <w:p w14:paraId="2A21F3B0">
            <w:pPr>
              <w:pStyle w:val="105"/>
              <w:bidi w:val="0"/>
              <w:rPr>
                <w:rFonts w:hint="eastAsia"/>
                <w:highlight w:val="none"/>
                <w:lang w:val="en-US" w:eastAsia="zh-CN"/>
              </w:rPr>
            </w:pPr>
            <w:r>
              <w:rPr>
                <w:rFonts w:hint="eastAsia"/>
                <w:highlight w:val="none"/>
                <w:lang w:val="en-US" w:eastAsia="zh-CN"/>
              </w:rPr>
              <w:t>陈硕</w:t>
            </w:r>
          </w:p>
        </w:tc>
        <w:tc>
          <w:tcPr>
            <w:tcW w:w="1171" w:type="dxa"/>
            <w:vAlign w:val="center"/>
          </w:tcPr>
          <w:p w14:paraId="252DAD57">
            <w:pPr>
              <w:pStyle w:val="105"/>
              <w:bidi w:val="0"/>
              <w:rPr>
                <w:rFonts w:hint="eastAsia"/>
                <w:highlight w:val="none"/>
              </w:rPr>
            </w:pPr>
            <w:r>
              <w:rPr>
                <w:rFonts w:hint="eastAsia"/>
                <w:highlight w:val="none"/>
              </w:rPr>
              <w:t>安</w:t>
            </w:r>
            <w:r>
              <w:rPr>
                <w:rFonts w:hint="eastAsia"/>
                <w:highlight w:val="none"/>
                <w:lang w:val="en-US" w:eastAsia="zh-CN"/>
              </w:rPr>
              <w:t>监</w:t>
            </w:r>
            <w:r>
              <w:rPr>
                <w:rFonts w:hint="eastAsia"/>
                <w:highlight w:val="none"/>
              </w:rPr>
              <w:t>部部长</w:t>
            </w:r>
          </w:p>
        </w:tc>
        <w:tc>
          <w:tcPr>
            <w:tcW w:w="5765" w:type="dxa"/>
            <w:vAlign w:val="center"/>
          </w:tcPr>
          <w:p w14:paraId="0F106E2D">
            <w:pPr>
              <w:pStyle w:val="105"/>
              <w:bidi w:val="0"/>
              <w:rPr>
                <w:rFonts w:hint="eastAsia"/>
                <w:highlight w:val="none"/>
              </w:rPr>
            </w:pPr>
            <w:r>
              <w:rPr>
                <w:rFonts w:hint="eastAsia"/>
                <w:highlight w:val="none"/>
              </w:rPr>
              <w:t>认真贯彻执行施工组织设计和技术交底中的安全措施；在施工现场随班盯岗，随时注意检查工人操作、工作环境、生产机具等安全情况和防护用品的正确使用情况；必须坚持特殊工种工人持证操作。</w:t>
            </w:r>
          </w:p>
        </w:tc>
      </w:tr>
      <w:tr w14:paraId="23DEEF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6085BCC6">
            <w:pPr>
              <w:pStyle w:val="105"/>
              <w:bidi w:val="0"/>
              <w:rPr>
                <w:rFonts w:hint="eastAsia"/>
                <w:highlight w:val="none"/>
              </w:rPr>
            </w:pPr>
          </w:p>
        </w:tc>
        <w:tc>
          <w:tcPr>
            <w:tcW w:w="1035" w:type="dxa"/>
            <w:vAlign w:val="center"/>
          </w:tcPr>
          <w:p w14:paraId="76AF63B8">
            <w:pPr>
              <w:pStyle w:val="105"/>
              <w:bidi w:val="0"/>
              <w:rPr>
                <w:rFonts w:hint="eastAsia"/>
                <w:highlight w:val="none"/>
                <w:lang w:val="en-US" w:eastAsia="zh-CN"/>
              </w:rPr>
            </w:pPr>
            <w:r>
              <w:rPr>
                <w:rFonts w:hint="eastAsia"/>
                <w:highlight w:val="none"/>
                <w:lang w:val="en-US" w:eastAsia="zh-CN"/>
              </w:rPr>
              <w:t>丁阳</w:t>
            </w:r>
          </w:p>
        </w:tc>
        <w:tc>
          <w:tcPr>
            <w:tcW w:w="1171" w:type="dxa"/>
            <w:vAlign w:val="center"/>
          </w:tcPr>
          <w:p w14:paraId="364B9618">
            <w:pPr>
              <w:pStyle w:val="105"/>
              <w:bidi w:val="0"/>
              <w:rPr>
                <w:rFonts w:hint="eastAsia"/>
                <w:highlight w:val="none"/>
              </w:rPr>
            </w:pPr>
            <w:r>
              <w:rPr>
                <w:rFonts w:hint="eastAsia"/>
                <w:highlight w:val="none"/>
              </w:rPr>
              <w:t>设备部部长</w:t>
            </w:r>
          </w:p>
        </w:tc>
        <w:tc>
          <w:tcPr>
            <w:tcW w:w="5765" w:type="dxa"/>
            <w:vAlign w:val="center"/>
          </w:tcPr>
          <w:p w14:paraId="3CF326B6">
            <w:pPr>
              <w:pStyle w:val="105"/>
              <w:bidi w:val="0"/>
              <w:rPr>
                <w:rFonts w:hint="eastAsia"/>
                <w:highlight w:val="none"/>
              </w:rPr>
            </w:pPr>
            <w:r>
              <w:rPr>
                <w:rFonts w:hint="eastAsia"/>
                <w:highlight w:val="none"/>
              </w:rPr>
              <w:t>认真落实公司及项目部关于设备管理的规章制度。加强设备的科学管理，确保设备使用安全，对违反设备操作规程及时提出处理意见。</w:t>
            </w:r>
          </w:p>
          <w:p w14:paraId="0779544E">
            <w:pPr>
              <w:pStyle w:val="105"/>
              <w:bidi w:val="0"/>
              <w:rPr>
                <w:rFonts w:hint="eastAsia"/>
                <w:highlight w:val="none"/>
              </w:rPr>
            </w:pPr>
            <w:r>
              <w:rPr>
                <w:rFonts w:hint="eastAsia"/>
                <w:highlight w:val="none"/>
              </w:rPr>
              <w:t>负责对设备安全事故提出分析和处理意见。</w:t>
            </w:r>
          </w:p>
        </w:tc>
      </w:tr>
      <w:tr w14:paraId="06225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92" w:type="dxa"/>
            <w:vMerge w:val="continue"/>
            <w:vAlign w:val="center"/>
          </w:tcPr>
          <w:p w14:paraId="67DBA245">
            <w:pPr>
              <w:pStyle w:val="105"/>
              <w:bidi w:val="0"/>
              <w:rPr>
                <w:rFonts w:hint="eastAsia"/>
                <w:highlight w:val="none"/>
              </w:rPr>
            </w:pPr>
          </w:p>
        </w:tc>
        <w:tc>
          <w:tcPr>
            <w:tcW w:w="1035" w:type="dxa"/>
            <w:vAlign w:val="center"/>
          </w:tcPr>
          <w:p w14:paraId="289F6C02">
            <w:pPr>
              <w:pStyle w:val="105"/>
              <w:bidi w:val="0"/>
              <w:rPr>
                <w:rFonts w:hint="eastAsia"/>
                <w:highlight w:val="none"/>
                <w:lang w:eastAsia="zh-CN"/>
              </w:rPr>
            </w:pPr>
            <w:r>
              <w:rPr>
                <w:rFonts w:hint="eastAsia"/>
                <w:highlight w:val="none"/>
                <w:lang w:val="en-US" w:eastAsia="zh-CN"/>
              </w:rPr>
              <w:t>桂海波</w:t>
            </w:r>
          </w:p>
        </w:tc>
        <w:tc>
          <w:tcPr>
            <w:tcW w:w="1171" w:type="dxa"/>
            <w:vAlign w:val="center"/>
          </w:tcPr>
          <w:p w14:paraId="6635E7A2">
            <w:pPr>
              <w:pStyle w:val="105"/>
              <w:bidi w:val="0"/>
              <w:rPr>
                <w:rFonts w:hint="eastAsia"/>
                <w:highlight w:val="none"/>
              </w:rPr>
            </w:pPr>
            <w:r>
              <w:rPr>
                <w:rFonts w:hint="eastAsia"/>
                <w:highlight w:val="none"/>
              </w:rPr>
              <w:t>工程部部长</w:t>
            </w:r>
          </w:p>
        </w:tc>
        <w:tc>
          <w:tcPr>
            <w:tcW w:w="5765" w:type="dxa"/>
            <w:vAlign w:val="center"/>
          </w:tcPr>
          <w:p w14:paraId="6E2257C6">
            <w:pPr>
              <w:pStyle w:val="105"/>
              <w:bidi w:val="0"/>
              <w:rPr>
                <w:rFonts w:hint="eastAsia"/>
                <w:highlight w:val="none"/>
              </w:rPr>
            </w:pPr>
            <w:r>
              <w:rPr>
                <w:rFonts w:hint="eastAsia"/>
                <w:highlight w:val="none"/>
              </w:rPr>
              <w:t>以身作则并教育职工严格遵守劳动纪律，严格执行安全技术操作规程；坚持工间检查制度和交接班制度；合理安排劳力，根据工人的身体、年龄、技术、熟练程度和其他特点分配工作，以防事故的发生；发生事故，要立即组织抢救和报告，并保护现场，参加事故调查分析</w:t>
            </w:r>
          </w:p>
        </w:tc>
      </w:tr>
    </w:tbl>
    <w:p w14:paraId="1E7E2513">
      <w:pPr>
        <w:pStyle w:val="3"/>
        <w:rPr>
          <w:highlight w:val="none"/>
        </w:rPr>
      </w:pPr>
      <w:bookmarkStart w:id="259" w:name="_Toc42642306"/>
      <w:bookmarkStart w:id="260" w:name="_Toc20981"/>
      <w:bookmarkStart w:id="261" w:name="_Toc24708"/>
      <w:bookmarkStart w:id="262" w:name="_Toc4768"/>
      <w:r>
        <w:rPr>
          <w:rFonts w:hint="eastAsia"/>
          <w:highlight w:val="none"/>
          <w:lang w:val="en-US" w:eastAsia="zh-CN"/>
        </w:rPr>
        <w:t>6</w:t>
      </w:r>
      <w:r>
        <w:rPr>
          <w:rFonts w:hint="eastAsia"/>
          <w:highlight w:val="none"/>
        </w:rPr>
        <w:t>.3 监管措施</w:t>
      </w:r>
      <w:bookmarkEnd w:id="259"/>
      <w:bookmarkEnd w:id="260"/>
      <w:bookmarkEnd w:id="261"/>
      <w:bookmarkEnd w:id="262"/>
    </w:p>
    <w:p w14:paraId="05A29CDA">
      <w:pPr>
        <w:bidi w:val="0"/>
        <w:ind w:firstLine="480" w:firstLineChars="200"/>
        <w:rPr>
          <w:highlight w:val="none"/>
        </w:rPr>
      </w:pPr>
      <w:r>
        <w:rPr>
          <w:rFonts w:hint="eastAsia"/>
          <w:highlight w:val="none"/>
        </w:rPr>
        <w:t>为落实塔式起重机安装安全管理工作，项目部采取以下监控措施：</w:t>
      </w:r>
    </w:p>
    <w:p w14:paraId="2A94EE1C">
      <w:pPr>
        <w:bidi w:val="0"/>
        <w:rPr>
          <w:highlight w:val="none"/>
        </w:rPr>
      </w:pPr>
      <w:r>
        <w:rPr>
          <w:rFonts w:hint="eastAsia"/>
          <w:highlight w:val="none"/>
        </w:rPr>
        <w:t>1）现场安全、技术管理人员必须参与作业施工方案的编制，熟悉方案。</w:t>
      </w:r>
    </w:p>
    <w:p w14:paraId="564F60AD">
      <w:pPr>
        <w:bidi w:val="0"/>
        <w:rPr>
          <w:highlight w:val="none"/>
        </w:rPr>
      </w:pPr>
      <w:r>
        <w:rPr>
          <w:rFonts w:hint="eastAsia"/>
          <w:highlight w:val="none"/>
        </w:rPr>
        <w:t>2）安装作业时必须按施工组织设备要求配置相关人员。</w:t>
      </w:r>
    </w:p>
    <w:p w14:paraId="5196A7CB">
      <w:pPr>
        <w:bidi w:val="0"/>
        <w:rPr>
          <w:highlight w:val="none"/>
        </w:rPr>
      </w:pPr>
      <w:r>
        <w:rPr>
          <w:rFonts w:hint="eastAsia"/>
          <w:highlight w:val="none"/>
        </w:rPr>
        <w:t>现场安全员监督操作人员是否按施工方案几安全操作规程进行操作，并督促操作人员按规定正确使用安全防护用品。</w:t>
      </w:r>
    </w:p>
    <w:p w14:paraId="10BC1752">
      <w:pPr>
        <w:bidi w:val="0"/>
        <w:rPr>
          <w:highlight w:val="none"/>
        </w:rPr>
      </w:pPr>
      <w:r>
        <w:rPr>
          <w:rFonts w:hint="eastAsia"/>
          <w:highlight w:val="none"/>
        </w:rPr>
        <w:t>3）专职安全人员对操作人员的操作实施全程监控，发现不良行为及时制</w:t>
      </w:r>
    </w:p>
    <w:p w14:paraId="542ECC19">
      <w:pPr>
        <w:bidi w:val="0"/>
        <w:rPr>
          <w:highlight w:val="none"/>
        </w:rPr>
      </w:pPr>
      <w:r>
        <w:rPr>
          <w:rFonts w:hint="eastAsia"/>
          <w:highlight w:val="none"/>
        </w:rPr>
        <w:t>止纠正。</w:t>
      </w:r>
    </w:p>
    <w:p w14:paraId="01EE2E65">
      <w:pPr>
        <w:bidi w:val="0"/>
        <w:rPr>
          <w:highlight w:val="none"/>
        </w:rPr>
      </w:pPr>
      <w:r>
        <w:rPr>
          <w:rFonts w:hint="eastAsia"/>
          <w:highlight w:val="none"/>
        </w:rPr>
        <w:t>4）现场管理人员必须留存影像、图片、纸质资料并建立每日汇报机制。</w:t>
      </w:r>
    </w:p>
    <w:p w14:paraId="6AEB3A89">
      <w:pPr>
        <w:bidi w:val="0"/>
        <w:rPr>
          <w:highlight w:val="none"/>
        </w:rPr>
      </w:pPr>
      <w:r>
        <w:rPr>
          <w:rFonts w:hint="eastAsia"/>
          <w:highlight w:val="none"/>
        </w:rPr>
        <w:t>5）带班领导随机抽查现场落实情况。</w:t>
      </w:r>
    </w:p>
    <w:p w14:paraId="40C2177A">
      <w:pPr>
        <w:bidi w:val="0"/>
        <w:rPr>
          <w:highlight w:val="none"/>
        </w:rPr>
      </w:pPr>
      <w:r>
        <w:rPr>
          <w:rFonts w:hint="eastAsia"/>
          <w:highlight w:val="none"/>
        </w:rPr>
        <w:t>6）每项工作完成后必须进行验收后方可开展下道工序。</w:t>
      </w:r>
    </w:p>
    <w:p w14:paraId="27A3C973">
      <w:pPr>
        <w:pStyle w:val="3"/>
        <w:rPr>
          <w:highlight w:val="none"/>
        </w:rPr>
      </w:pPr>
      <w:bookmarkStart w:id="263" w:name="_Toc20307"/>
      <w:bookmarkStart w:id="264" w:name="_Toc23430"/>
      <w:bookmarkStart w:id="265" w:name="_Toc42642307"/>
      <w:bookmarkStart w:id="266" w:name="_Toc17055"/>
      <w:r>
        <w:rPr>
          <w:rFonts w:hint="eastAsia"/>
          <w:highlight w:val="none"/>
          <w:lang w:val="en-US" w:eastAsia="zh-CN"/>
        </w:rPr>
        <w:t>6</w:t>
      </w:r>
      <w:r>
        <w:rPr>
          <w:rFonts w:hint="eastAsia"/>
          <w:highlight w:val="none"/>
        </w:rPr>
        <w:t>.4 施工安全技术控制措施</w:t>
      </w:r>
      <w:bookmarkEnd w:id="263"/>
      <w:bookmarkEnd w:id="264"/>
      <w:bookmarkEnd w:id="265"/>
      <w:bookmarkEnd w:id="266"/>
    </w:p>
    <w:p w14:paraId="3D492511">
      <w:pPr>
        <w:pStyle w:val="4"/>
        <w:tabs>
          <w:tab w:val="left" w:pos="0"/>
          <w:tab w:val="left" w:pos="630"/>
        </w:tabs>
        <w:bidi w:val="0"/>
        <w:rPr>
          <w:rFonts w:hint="default"/>
          <w:highlight w:val="none"/>
          <w:lang w:val="en-US" w:eastAsia="zh-CN"/>
        </w:rPr>
      </w:pPr>
      <w:bookmarkStart w:id="267" w:name="_Toc17617"/>
      <w:bookmarkStart w:id="268" w:name="_Toc23080"/>
      <w:r>
        <w:rPr>
          <w:rFonts w:hint="eastAsia"/>
          <w:highlight w:val="none"/>
          <w:lang w:val="en-US" w:eastAsia="zh-CN"/>
        </w:rPr>
        <w:t>6.4.1</w:t>
      </w:r>
      <w:r>
        <w:rPr>
          <w:rFonts w:hint="default"/>
          <w:highlight w:val="none"/>
          <w:lang w:val="en-US" w:eastAsia="zh-CN"/>
        </w:rPr>
        <w:t>安装</w:t>
      </w:r>
      <w:r>
        <w:rPr>
          <w:rFonts w:hint="eastAsia"/>
          <w:highlight w:val="none"/>
          <w:lang w:val="en-US" w:eastAsia="zh-CN"/>
        </w:rPr>
        <w:t>安全</w:t>
      </w:r>
      <w:r>
        <w:rPr>
          <w:rFonts w:hint="eastAsia"/>
          <w:highlight w:val="none"/>
        </w:rPr>
        <w:t>技术</w:t>
      </w:r>
      <w:r>
        <w:rPr>
          <w:rFonts w:hint="eastAsia"/>
          <w:highlight w:val="none"/>
          <w:lang w:val="en-US" w:eastAsia="zh-CN"/>
        </w:rPr>
        <w:t>管控措施</w:t>
      </w:r>
      <w:bookmarkEnd w:id="267"/>
      <w:bookmarkEnd w:id="268"/>
    </w:p>
    <w:p w14:paraId="10F0BC99">
      <w:pPr>
        <w:bidi w:val="0"/>
        <w:rPr>
          <w:rFonts w:hint="default"/>
          <w:highlight w:val="none"/>
          <w:lang w:val="en-US" w:eastAsia="zh-CN"/>
        </w:rPr>
      </w:pPr>
      <w:r>
        <w:rPr>
          <w:rFonts w:hint="default"/>
          <w:highlight w:val="none"/>
          <w:lang w:val="en-US" w:eastAsia="zh-CN"/>
        </w:rPr>
        <w:t>（1）必须佩戴安全帽，上高人员必须穿防滑鞋，危险部位作业必须系好安全带。</w:t>
      </w:r>
    </w:p>
    <w:p w14:paraId="41A61162">
      <w:pPr>
        <w:bidi w:val="0"/>
        <w:rPr>
          <w:rFonts w:hint="default"/>
          <w:highlight w:val="none"/>
          <w:lang w:val="en-US" w:eastAsia="zh-CN"/>
        </w:rPr>
      </w:pPr>
      <w:r>
        <w:rPr>
          <w:rFonts w:hint="default"/>
          <w:highlight w:val="none"/>
          <w:lang w:val="en-US" w:eastAsia="zh-CN"/>
        </w:rPr>
        <w:t>（2）作业吊车必须严格遵守安全操作规程。</w:t>
      </w:r>
    </w:p>
    <w:p w14:paraId="72AF5483">
      <w:pPr>
        <w:bidi w:val="0"/>
        <w:rPr>
          <w:rFonts w:hint="default"/>
          <w:highlight w:val="none"/>
          <w:lang w:val="en-US" w:eastAsia="zh-CN"/>
        </w:rPr>
      </w:pPr>
      <w:r>
        <w:rPr>
          <w:rFonts w:hint="default"/>
          <w:highlight w:val="none"/>
          <w:lang w:val="en-US" w:eastAsia="zh-CN"/>
        </w:rPr>
        <w:t>（3）工作期间一律禁止饮酒。</w:t>
      </w:r>
    </w:p>
    <w:p w14:paraId="44BC8B7E">
      <w:pPr>
        <w:bidi w:val="0"/>
        <w:rPr>
          <w:rFonts w:hint="default"/>
          <w:highlight w:val="none"/>
          <w:lang w:val="en-US" w:eastAsia="zh-CN"/>
        </w:rPr>
      </w:pPr>
      <w:r>
        <w:rPr>
          <w:rFonts w:hint="default"/>
          <w:highlight w:val="none"/>
          <w:lang w:val="en-US" w:eastAsia="zh-CN"/>
        </w:rPr>
        <w:t>（4）集中精力，不得随意开玩笑和打闹。</w:t>
      </w:r>
    </w:p>
    <w:p w14:paraId="2CFB3A12">
      <w:pPr>
        <w:bidi w:val="0"/>
        <w:rPr>
          <w:rFonts w:hint="default"/>
          <w:highlight w:val="none"/>
          <w:lang w:val="en-US" w:eastAsia="zh-CN"/>
        </w:rPr>
      </w:pPr>
      <w:r>
        <w:rPr>
          <w:rFonts w:hint="default"/>
          <w:highlight w:val="none"/>
          <w:lang w:val="en-US" w:eastAsia="zh-CN"/>
        </w:rPr>
        <w:t>（5）交叉作业时，要注意工具和零部件放置位置必须安全可靠，防止坠落伤人。</w:t>
      </w:r>
    </w:p>
    <w:p w14:paraId="014C83F0">
      <w:pPr>
        <w:bidi w:val="0"/>
        <w:rPr>
          <w:rFonts w:hint="default"/>
          <w:highlight w:val="none"/>
          <w:lang w:val="en-US" w:eastAsia="zh-CN"/>
        </w:rPr>
      </w:pPr>
      <w:r>
        <w:rPr>
          <w:rFonts w:hint="default"/>
          <w:highlight w:val="none"/>
          <w:lang w:val="en-US" w:eastAsia="zh-CN"/>
        </w:rPr>
        <w:t>（6）指挥人员应熟悉吊车起重性能、吊物的起重量以及构件安装部位。</w:t>
      </w:r>
    </w:p>
    <w:p w14:paraId="6EB2A446">
      <w:pPr>
        <w:bidi w:val="0"/>
        <w:rPr>
          <w:rFonts w:hint="default"/>
          <w:highlight w:val="none"/>
          <w:lang w:val="en-US" w:eastAsia="zh-CN"/>
        </w:rPr>
      </w:pPr>
      <w:r>
        <w:rPr>
          <w:rFonts w:hint="default"/>
          <w:highlight w:val="none"/>
          <w:lang w:val="en-US" w:eastAsia="zh-CN"/>
        </w:rPr>
        <w:t>（7）规定品起重高度超过两米要系拖拉绳。</w:t>
      </w:r>
    </w:p>
    <w:p w14:paraId="294983AE">
      <w:pPr>
        <w:bidi w:val="0"/>
        <w:rPr>
          <w:rFonts w:hint="default"/>
          <w:highlight w:val="none"/>
          <w:lang w:val="en-US" w:eastAsia="zh-CN"/>
        </w:rPr>
      </w:pPr>
      <w:r>
        <w:rPr>
          <w:rFonts w:hint="default"/>
          <w:highlight w:val="none"/>
          <w:lang w:val="en-US" w:eastAsia="zh-CN"/>
        </w:rPr>
        <w:t>（8）钢丝绳必须符合安全规定，所吊构件重心必须准确，符合说明书的要求。</w:t>
      </w:r>
    </w:p>
    <w:p w14:paraId="2262592A">
      <w:pPr>
        <w:bidi w:val="0"/>
        <w:rPr>
          <w:rFonts w:hint="default"/>
          <w:highlight w:val="none"/>
          <w:lang w:val="en-US" w:eastAsia="zh-CN"/>
        </w:rPr>
      </w:pPr>
      <w:r>
        <w:rPr>
          <w:rFonts w:hint="default"/>
          <w:highlight w:val="none"/>
          <w:lang w:val="en-US" w:eastAsia="zh-CN"/>
        </w:rPr>
        <w:t>（9）总成件及附属装置必须按规定上足所有的螺栓及销，确保使用的安全性。</w:t>
      </w:r>
    </w:p>
    <w:p w14:paraId="1228DD29">
      <w:pPr>
        <w:bidi w:val="0"/>
        <w:rPr>
          <w:rFonts w:hint="default"/>
          <w:highlight w:val="none"/>
          <w:lang w:val="en-US" w:eastAsia="zh-CN"/>
        </w:rPr>
      </w:pPr>
      <w:r>
        <w:rPr>
          <w:rFonts w:hint="default"/>
          <w:highlight w:val="none"/>
          <w:lang w:val="en-US" w:eastAsia="zh-CN"/>
        </w:rPr>
        <w:t>（10）有的裸体电线必须停电，专人守护。</w:t>
      </w:r>
    </w:p>
    <w:p w14:paraId="13E9D545">
      <w:pPr>
        <w:bidi w:val="0"/>
        <w:rPr>
          <w:rFonts w:hint="default"/>
          <w:highlight w:val="none"/>
          <w:lang w:val="en-US" w:eastAsia="zh-CN"/>
        </w:rPr>
      </w:pPr>
      <w:r>
        <w:rPr>
          <w:rFonts w:hint="default"/>
          <w:highlight w:val="none"/>
          <w:lang w:val="en-US" w:eastAsia="zh-CN"/>
        </w:rPr>
        <w:t>（11）雪、大雾、大风（风速达8.3m/s）等天气禁止拆装塔吊。</w:t>
      </w:r>
    </w:p>
    <w:p w14:paraId="67B7533E">
      <w:pPr>
        <w:bidi w:val="0"/>
        <w:rPr>
          <w:rFonts w:hint="default"/>
          <w:highlight w:val="none"/>
          <w:lang w:val="en-US" w:eastAsia="zh-CN"/>
        </w:rPr>
      </w:pPr>
      <w:r>
        <w:rPr>
          <w:rFonts w:hint="default"/>
          <w:highlight w:val="none"/>
          <w:lang w:val="en-US" w:eastAsia="zh-CN"/>
        </w:rPr>
        <w:t>（12）必须有足够的照明灯光。</w:t>
      </w:r>
    </w:p>
    <w:p w14:paraId="2C9C4FD8">
      <w:pPr>
        <w:bidi w:val="0"/>
        <w:rPr>
          <w:rFonts w:hint="default"/>
          <w:highlight w:val="none"/>
          <w:lang w:val="en-US" w:eastAsia="zh-CN"/>
        </w:rPr>
      </w:pPr>
      <w:r>
        <w:rPr>
          <w:rFonts w:hint="default"/>
          <w:highlight w:val="none"/>
          <w:lang w:val="en-US" w:eastAsia="zh-CN"/>
        </w:rPr>
        <w:t>（13）应禁止闲杂人员的进出，临街作业时，要采取临时保护措施。</w:t>
      </w:r>
    </w:p>
    <w:p w14:paraId="2B902131">
      <w:pPr>
        <w:pStyle w:val="4"/>
        <w:tabs>
          <w:tab w:val="left" w:pos="0"/>
          <w:tab w:val="left" w:pos="630"/>
        </w:tabs>
        <w:bidi w:val="0"/>
        <w:rPr>
          <w:rFonts w:hint="default"/>
          <w:highlight w:val="none"/>
          <w:lang w:val="en-US" w:eastAsia="zh-CN"/>
        </w:rPr>
      </w:pPr>
      <w:bookmarkStart w:id="269" w:name="_Toc24437"/>
      <w:bookmarkStart w:id="270" w:name="_Toc3128"/>
      <w:r>
        <w:rPr>
          <w:rFonts w:hint="eastAsia"/>
          <w:highlight w:val="none"/>
          <w:lang w:val="en-US" w:eastAsia="zh-CN"/>
        </w:rPr>
        <w:t>6.4.2</w:t>
      </w:r>
      <w:r>
        <w:rPr>
          <w:rFonts w:hint="default"/>
          <w:highlight w:val="none"/>
          <w:lang w:val="en-US" w:eastAsia="zh-CN"/>
        </w:rPr>
        <w:t>顶升</w:t>
      </w:r>
      <w:r>
        <w:rPr>
          <w:rFonts w:hint="eastAsia"/>
          <w:highlight w:val="none"/>
          <w:lang w:val="en-US" w:eastAsia="zh-CN"/>
        </w:rPr>
        <w:t>过程安全</w:t>
      </w:r>
      <w:r>
        <w:rPr>
          <w:rFonts w:hint="eastAsia"/>
          <w:highlight w:val="none"/>
        </w:rPr>
        <w:t>技术</w:t>
      </w:r>
      <w:r>
        <w:rPr>
          <w:rFonts w:hint="eastAsia"/>
          <w:highlight w:val="none"/>
          <w:lang w:val="en-US" w:eastAsia="zh-CN"/>
        </w:rPr>
        <w:t>管控措施</w:t>
      </w:r>
      <w:bookmarkEnd w:id="269"/>
      <w:bookmarkEnd w:id="270"/>
    </w:p>
    <w:p w14:paraId="26B11E2C">
      <w:pPr>
        <w:rPr>
          <w:rFonts w:hint="default"/>
          <w:highlight w:val="none"/>
          <w:lang w:val="en-US" w:eastAsia="zh-CN"/>
        </w:rPr>
      </w:pPr>
      <w:r>
        <w:rPr>
          <w:rFonts w:hint="default"/>
          <w:highlight w:val="none"/>
          <w:lang w:val="en-US" w:eastAsia="zh-CN"/>
        </w:rPr>
        <w:t>（1）</w:t>
      </w:r>
      <w:r>
        <w:rPr>
          <w:rFonts w:hint="eastAsia"/>
          <w:highlight w:val="none"/>
          <w:lang w:val="en-US" w:eastAsia="zh-CN"/>
        </w:rPr>
        <w:t>风力大于</w:t>
      </w:r>
      <w:r>
        <w:rPr>
          <w:rFonts w:hint="default"/>
          <w:highlight w:val="none"/>
          <w:lang w:val="en-US" w:eastAsia="zh-CN"/>
        </w:rPr>
        <w:t>于四级禁止顶升。</w:t>
      </w:r>
    </w:p>
    <w:p w14:paraId="7F39712A">
      <w:pPr>
        <w:rPr>
          <w:rFonts w:hint="default"/>
          <w:highlight w:val="none"/>
          <w:lang w:val="en-US" w:eastAsia="zh-CN"/>
        </w:rPr>
      </w:pPr>
      <w:r>
        <w:rPr>
          <w:rFonts w:hint="default"/>
          <w:highlight w:val="none"/>
          <w:lang w:val="en-US" w:eastAsia="zh-CN"/>
        </w:rPr>
        <w:t>（2）作业人员均要持有效证件上岗。</w:t>
      </w:r>
    </w:p>
    <w:p w14:paraId="79879815">
      <w:pPr>
        <w:rPr>
          <w:rFonts w:hint="default"/>
          <w:highlight w:val="none"/>
          <w:lang w:val="en-US" w:eastAsia="zh-CN"/>
        </w:rPr>
      </w:pPr>
      <w:r>
        <w:rPr>
          <w:rFonts w:hint="default"/>
          <w:highlight w:val="none"/>
          <w:lang w:val="en-US" w:eastAsia="zh-CN"/>
        </w:rPr>
        <w:t>（3）遵守安全操作规程及说明书规定的工艺和技术交底进行。</w:t>
      </w:r>
    </w:p>
    <w:p w14:paraId="15D9D9AC">
      <w:pPr>
        <w:rPr>
          <w:rFonts w:hint="default"/>
          <w:highlight w:val="none"/>
          <w:lang w:val="en-US" w:eastAsia="zh-CN"/>
        </w:rPr>
      </w:pPr>
      <w:r>
        <w:rPr>
          <w:rFonts w:hint="default"/>
          <w:highlight w:val="none"/>
          <w:lang w:val="en-US" w:eastAsia="zh-CN"/>
        </w:rPr>
        <w:t>（4）作业人员必须戴安全帽，着防滑鞋，必要时系安全带。</w:t>
      </w:r>
    </w:p>
    <w:p w14:paraId="11112B65">
      <w:pPr>
        <w:rPr>
          <w:rFonts w:hint="default"/>
          <w:highlight w:val="none"/>
          <w:lang w:val="en-US" w:eastAsia="zh-CN"/>
        </w:rPr>
      </w:pPr>
      <w:r>
        <w:rPr>
          <w:rFonts w:hint="default"/>
          <w:highlight w:val="none"/>
          <w:lang w:val="en-US" w:eastAsia="zh-CN"/>
        </w:rPr>
        <w:t>（5）使用的工具及螺栓应放在安全可靠的位置，防止坠落伤人。</w:t>
      </w:r>
    </w:p>
    <w:p w14:paraId="202BE2BF">
      <w:pPr>
        <w:pStyle w:val="5"/>
        <w:bidi w:val="0"/>
        <w:rPr>
          <w:rFonts w:hint="default"/>
          <w:highlight w:val="none"/>
          <w:lang w:val="en-US" w:eastAsia="zh-CN"/>
        </w:rPr>
      </w:pPr>
      <w:r>
        <w:rPr>
          <w:rFonts w:hint="eastAsia"/>
          <w:highlight w:val="none"/>
          <w:lang w:val="en-US" w:eastAsia="zh-CN"/>
        </w:rPr>
        <w:t>6.4.2.1</w:t>
      </w:r>
      <w:r>
        <w:rPr>
          <w:rFonts w:hint="default"/>
          <w:highlight w:val="none"/>
          <w:lang w:val="en-US" w:eastAsia="zh-CN"/>
        </w:rPr>
        <w:t>顶升过程中</w:t>
      </w:r>
      <w:r>
        <w:rPr>
          <w:rFonts w:hint="eastAsia"/>
          <w:highlight w:val="none"/>
          <w:lang w:val="en-US" w:eastAsia="zh-CN"/>
        </w:rPr>
        <w:t>安全</w:t>
      </w:r>
      <w:r>
        <w:rPr>
          <w:rFonts w:hint="eastAsia"/>
          <w:highlight w:val="none"/>
        </w:rPr>
        <w:t>技术</w:t>
      </w:r>
      <w:r>
        <w:rPr>
          <w:rFonts w:hint="eastAsia"/>
          <w:highlight w:val="none"/>
          <w:lang w:val="en-US" w:eastAsia="zh-CN"/>
        </w:rPr>
        <w:t>管控措施</w:t>
      </w:r>
    </w:p>
    <w:p w14:paraId="6471D804">
      <w:pPr>
        <w:rPr>
          <w:rFonts w:hint="default"/>
          <w:highlight w:val="none"/>
          <w:lang w:val="en-US" w:eastAsia="zh-CN"/>
        </w:rPr>
      </w:pPr>
      <w:r>
        <w:rPr>
          <w:rFonts w:hint="eastAsia"/>
          <w:highlight w:val="none"/>
          <w:lang w:val="en-US" w:eastAsia="zh-CN"/>
        </w:rPr>
        <w:t>（1）</w:t>
      </w:r>
      <w:r>
        <w:rPr>
          <w:rFonts w:hint="default"/>
          <w:highlight w:val="none"/>
          <w:lang w:val="en-US" w:eastAsia="zh-CN"/>
        </w:rPr>
        <w:t>运动前，必须检查顶升横梁是否处在正确位置，顶升上部是否处于平衡位置，否则应加以调整，使塔身前后两边平衡。调整方法：调整小车的位置，使得塔吊的上部重心落在顶升横梁的位置上，实际操作中，观察到爬升架上四角导向轮基本上与塔身标准节弦杆脱开时，即为理想位置）。</w:t>
      </w:r>
    </w:p>
    <w:p w14:paraId="78854261">
      <w:pPr>
        <w:rPr>
          <w:rFonts w:hint="default"/>
          <w:highlight w:val="none"/>
          <w:lang w:val="en-US" w:eastAsia="zh-CN"/>
        </w:rPr>
      </w:pPr>
      <w:r>
        <w:rPr>
          <w:rFonts w:hint="eastAsia"/>
          <w:highlight w:val="none"/>
          <w:lang w:val="en-US" w:eastAsia="zh-CN"/>
        </w:rPr>
        <w:t>（2）</w:t>
      </w:r>
      <w:r>
        <w:rPr>
          <w:rFonts w:hint="default"/>
          <w:highlight w:val="none"/>
          <w:lang w:val="en-US" w:eastAsia="zh-CN"/>
        </w:rPr>
        <w:t>操作中，吊臂不能旋转，油缸始终处于规定压力。</w:t>
      </w:r>
    </w:p>
    <w:p w14:paraId="649B1EC5">
      <w:pPr>
        <w:rPr>
          <w:rFonts w:hint="default"/>
          <w:highlight w:val="none"/>
          <w:lang w:val="en-US" w:eastAsia="zh-CN"/>
        </w:rPr>
      </w:pPr>
      <w:r>
        <w:rPr>
          <w:rFonts w:hint="eastAsia"/>
          <w:highlight w:val="none"/>
          <w:lang w:val="en-US" w:eastAsia="zh-CN"/>
        </w:rPr>
        <w:t>（3）</w:t>
      </w:r>
      <w:r>
        <w:rPr>
          <w:rFonts w:hint="default"/>
          <w:highlight w:val="none"/>
          <w:lang w:val="en-US" w:eastAsia="zh-CN"/>
        </w:rPr>
        <w:t>允许单独动作，严禁爬升与其它动作同时进行。</w:t>
      </w:r>
    </w:p>
    <w:p w14:paraId="66CD2B4E">
      <w:pPr>
        <w:rPr>
          <w:rFonts w:hint="default"/>
          <w:highlight w:val="none"/>
          <w:lang w:val="en-US" w:eastAsia="zh-CN"/>
        </w:rPr>
      </w:pPr>
      <w:r>
        <w:rPr>
          <w:rFonts w:hint="eastAsia"/>
          <w:highlight w:val="none"/>
          <w:lang w:val="en-US" w:eastAsia="zh-CN"/>
        </w:rPr>
        <w:t>（4）</w:t>
      </w:r>
      <w:r>
        <w:rPr>
          <w:rFonts w:hint="default"/>
          <w:highlight w:val="none"/>
          <w:lang w:val="en-US" w:eastAsia="zh-CN"/>
        </w:rPr>
        <w:t>升套与塔身标准节脱离后，禁止起吊重物。</w:t>
      </w:r>
    </w:p>
    <w:p w14:paraId="08AA370C">
      <w:pPr>
        <w:rPr>
          <w:rFonts w:hint="default"/>
          <w:highlight w:val="none"/>
          <w:lang w:val="en-US" w:eastAsia="zh-CN"/>
        </w:rPr>
      </w:pPr>
      <w:r>
        <w:rPr>
          <w:rFonts w:hint="eastAsia"/>
          <w:highlight w:val="none"/>
          <w:lang w:val="en-US" w:eastAsia="zh-CN"/>
        </w:rPr>
        <w:t>（5）</w:t>
      </w:r>
      <w:r>
        <w:rPr>
          <w:rFonts w:hint="default"/>
          <w:highlight w:val="none"/>
          <w:lang w:val="en-US" w:eastAsia="zh-CN"/>
        </w:rPr>
        <w:t>过程中起重臂应保持在正前方位置（引进标准节方为前方）。</w:t>
      </w:r>
    </w:p>
    <w:p w14:paraId="51955115">
      <w:pPr>
        <w:rPr>
          <w:rFonts w:hint="default"/>
          <w:highlight w:val="none"/>
          <w:lang w:val="en-US" w:eastAsia="zh-CN"/>
        </w:rPr>
      </w:pPr>
      <w:r>
        <w:rPr>
          <w:rFonts w:hint="eastAsia"/>
          <w:highlight w:val="none"/>
          <w:lang w:val="en-US" w:eastAsia="zh-CN"/>
        </w:rPr>
        <w:t>（6）</w:t>
      </w:r>
      <w:r>
        <w:rPr>
          <w:rFonts w:hint="default"/>
          <w:highlight w:val="none"/>
          <w:lang w:val="en-US" w:eastAsia="zh-CN"/>
        </w:rPr>
        <w:t>过程中，回转机构必须处于有效的制动状态。</w:t>
      </w:r>
    </w:p>
    <w:p w14:paraId="0D982EF4">
      <w:pPr>
        <w:rPr>
          <w:rFonts w:hint="default"/>
          <w:highlight w:val="none"/>
          <w:lang w:val="en-US" w:eastAsia="zh-CN"/>
        </w:rPr>
      </w:pPr>
      <w:r>
        <w:rPr>
          <w:rFonts w:hint="eastAsia"/>
          <w:highlight w:val="none"/>
          <w:lang w:val="en-US" w:eastAsia="zh-CN"/>
        </w:rPr>
        <w:t>（7）</w:t>
      </w:r>
      <w:r>
        <w:rPr>
          <w:rFonts w:hint="default"/>
          <w:highlight w:val="none"/>
          <w:lang w:val="en-US" w:eastAsia="zh-CN"/>
        </w:rPr>
        <w:t>连续加节，每加完一节后，用塔身自身起吊下一标准节前，塔身标准节和下支座之间的高强度螺栓要全部拧紧。</w:t>
      </w:r>
    </w:p>
    <w:p w14:paraId="541846E1">
      <w:pPr>
        <w:rPr>
          <w:rFonts w:hint="default"/>
          <w:highlight w:val="none"/>
          <w:lang w:val="en-US" w:eastAsia="zh-CN"/>
        </w:rPr>
      </w:pPr>
      <w:r>
        <w:rPr>
          <w:rFonts w:hint="eastAsia"/>
          <w:highlight w:val="none"/>
          <w:lang w:val="en-US" w:eastAsia="zh-CN"/>
        </w:rPr>
        <w:t>（8）</w:t>
      </w:r>
      <w:r>
        <w:rPr>
          <w:rFonts w:hint="default"/>
          <w:highlight w:val="none"/>
          <w:lang w:val="en-US" w:eastAsia="zh-CN"/>
        </w:rPr>
        <w:t>继续加的标准节必须与已有的塔身标准节对齐。</w:t>
      </w:r>
    </w:p>
    <w:p w14:paraId="453D2071">
      <w:pPr>
        <w:pStyle w:val="5"/>
        <w:bidi w:val="0"/>
        <w:rPr>
          <w:rFonts w:hint="default"/>
          <w:highlight w:val="none"/>
          <w:lang w:val="en-US" w:eastAsia="zh-CN"/>
        </w:rPr>
      </w:pPr>
      <w:r>
        <w:rPr>
          <w:rFonts w:hint="eastAsia"/>
          <w:highlight w:val="none"/>
          <w:lang w:val="en-US" w:eastAsia="zh-CN"/>
        </w:rPr>
        <w:t>6.4.2.2</w:t>
      </w:r>
      <w:r>
        <w:rPr>
          <w:rFonts w:hint="default"/>
          <w:highlight w:val="none"/>
          <w:lang w:val="en-US" w:eastAsia="zh-CN"/>
        </w:rPr>
        <w:t>顶升完毕后</w:t>
      </w:r>
      <w:r>
        <w:rPr>
          <w:rFonts w:hint="eastAsia"/>
          <w:highlight w:val="none"/>
          <w:lang w:val="en-US" w:eastAsia="zh-CN"/>
        </w:rPr>
        <w:t>安全</w:t>
      </w:r>
      <w:r>
        <w:rPr>
          <w:rFonts w:hint="eastAsia"/>
          <w:highlight w:val="none"/>
        </w:rPr>
        <w:t>技术</w:t>
      </w:r>
      <w:r>
        <w:rPr>
          <w:rFonts w:hint="eastAsia"/>
          <w:highlight w:val="none"/>
          <w:lang w:val="en-US" w:eastAsia="zh-CN"/>
        </w:rPr>
        <w:t>管控措施</w:t>
      </w:r>
    </w:p>
    <w:p w14:paraId="5AEE4F8C">
      <w:pPr>
        <w:rPr>
          <w:rFonts w:hint="default"/>
          <w:highlight w:val="none"/>
          <w:lang w:val="en-US" w:eastAsia="zh-CN"/>
        </w:rPr>
      </w:pPr>
      <w:r>
        <w:rPr>
          <w:rFonts w:hint="eastAsia"/>
          <w:highlight w:val="none"/>
          <w:lang w:val="en-US" w:eastAsia="zh-CN"/>
        </w:rPr>
        <w:t>（</w:t>
      </w:r>
      <w:r>
        <w:rPr>
          <w:rFonts w:hint="default"/>
          <w:highlight w:val="none"/>
          <w:lang w:val="en-US" w:eastAsia="zh-CN"/>
        </w:rPr>
        <w:t>1</w:t>
      </w:r>
      <w:r>
        <w:rPr>
          <w:rFonts w:hint="eastAsia"/>
          <w:highlight w:val="none"/>
          <w:lang w:val="en-US" w:eastAsia="zh-CN"/>
        </w:rPr>
        <w:t>）</w:t>
      </w:r>
      <w:r>
        <w:rPr>
          <w:rFonts w:hint="default"/>
          <w:highlight w:val="none"/>
          <w:lang w:val="en-US" w:eastAsia="zh-CN"/>
        </w:rPr>
        <w:t>加节完毕，应旋转臂架至不同的角度，检查塔身节各接头高强度螺栓的拧紧情况，重点检查下支座与塔身连接螺栓的紧固情况。（哪一塔身主弦杆位于平衡臂正下方，就把主弦杆从下到下的螺栓拧紧）。</w:t>
      </w:r>
    </w:p>
    <w:p w14:paraId="0E880576">
      <w:pPr>
        <w:rPr>
          <w:rFonts w:hint="default"/>
          <w:highlight w:val="none"/>
          <w:lang w:val="en-US" w:eastAsia="zh-CN"/>
        </w:rPr>
      </w:pPr>
      <w:r>
        <w:rPr>
          <w:rFonts w:hint="eastAsia"/>
          <w:highlight w:val="none"/>
          <w:lang w:val="en-US" w:eastAsia="zh-CN"/>
        </w:rPr>
        <w:t>（</w:t>
      </w:r>
      <w:r>
        <w:rPr>
          <w:rFonts w:hint="default"/>
          <w:highlight w:val="none"/>
          <w:lang w:val="en-US" w:eastAsia="zh-CN"/>
        </w:rPr>
        <w:t>2</w:t>
      </w:r>
      <w:r>
        <w:rPr>
          <w:rFonts w:hint="eastAsia"/>
          <w:highlight w:val="none"/>
          <w:lang w:val="en-US" w:eastAsia="zh-CN"/>
        </w:rPr>
        <w:t>）</w:t>
      </w:r>
      <w:r>
        <w:rPr>
          <w:rFonts w:hint="default"/>
          <w:highlight w:val="none"/>
          <w:lang w:val="en-US" w:eastAsia="zh-CN"/>
        </w:rPr>
        <w:t>加节完毕，将爬升架下降到塔身底部并加以固定，以降低整个塔机的重心和减少迎风面积。</w:t>
      </w:r>
    </w:p>
    <w:p w14:paraId="46EA9A66">
      <w:pPr>
        <w:rPr>
          <w:rFonts w:hint="default"/>
          <w:highlight w:val="none"/>
          <w:lang w:val="en-US" w:eastAsia="zh-CN"/>
        </w:rPr>
      </w:pPr>
      <w:r>
        <w:rPr>
          <w:rFonts w:hint="eastAsia"/>
          <w:highlight w:val="none"/>
          <w:lang w:val="en-US" w:eastAsia="zh-CN"/>
        </w:rPr>
        <w:t>（</w:t>
      </w:r>
      <w:r>
        <w:rPr>
          <w:rFonts w:hint="default"/>
          <w:highlight w:val="none"/>
          <w:lang w:val="en-US" w:eastAsia="zh-CN"/>
        </w:rPr>
        <w:t>3</w:t>
      </w:r>
      <w:r>
        <w:rPr>
          <w:rFonts w:hint="eastAsia"/>
          <w:highlight w:val="none"/>
          <w:lang w:val="en-US" w:eastAsia="zh-CN"/>
        </w:rPr>
        <w:t>）</w:t>
      </w:r>
      <w:r>
        <w:rPr>
          <w:rFonts w:hint="default"/>
          <w:highlight w:val="none"/>
          <w:lang w:val="en-US" w:eastAsia="zh-CN"/>
        </w:rPr>
        <w:t>加节完毕，将操作手柄置于零位，并切断液压系统电源。</w:t>
      </w:r>
    </w:p>
    <w:p w14:paraId="04EEA392">
      <w:pPr>
        <w:pStyle w:val="4"/>
        <w:tabs>
          <w:tab w:val="left" w:pos="0"/>
          <w:tab w:val="left" w:pos="630"/>
        </w:tabs>
        <w:bidi w:val="0"/>
        <w:rPr>
          <w:rFonts w:hint="default"/>
          <w:highlight w:val="none"/>
          <w:lang w:val="en-US" w:eastAsia="zh-CN"/>
        </w:rPr>
      </w:pPr>
      <w:bookmarkStart w:id="271" w:name="_Toc5740"/>
      <w:bookmarkStart w:id="272" w:name="_Toc11806"/>
      <w:r>
        <w:rPr>
          <w:rFonts w:hint="eastAsia"/>
          <w:highlight w:val="none"/>
          <w:lang w:val="en-US" w:eastAsia="zh-CN"/>
        </w:rPr>
        <w:t>6.4.3</w:t>
      </w:r>
      <w:r>
        <w:rPr>
          <w:rFonts w:hint="default"/>
          <w:highlight w:val="none"/>
          <w:lang w:val="en-US" w:eastAsia="zh-CN"/>
        </w:rPr>
        <w:t>群塔施工安全</w:t>
      </w:r>
      <w:r>
        <w:rPr>
          <w:rFonts w:hint="eastAsia"/>
          <w:highlight w:val="none"/>
        </w:rPr>
        <w:t>技术</w:t>
      </w:r>
      <w:r>
        <w:rPr>
          <w:rFonts w:hint="default"/>
          <w:highlight w:val="none"/>
          <w:lang w:val="en-US" w:eastAsia="zh-CN"/>
        </w:rPr>
        <w:t>保证措施</w:t>
      </w:r>
      <w:bookmarkEnd w:id="271"/>
      <w:bookmarkEnd w:id="272"/>
    </w:p>
    <w:p w14:paraId="7FC657E0">
      <w:pPr>
        <w:pStyle w:val="5"/>
        <w:bidi w:val="0"/>
        <w:rPr>
          <w:rFonts w:hint="default"/>
          <w:highlight w:val="none"/>
          <w:lang w:val="en-US" w:eastAsia="zh-CN"/>
        </w:rPr>
      </w:pPr>
      <w:r>
        <w:rPr>
          <w:rFonts w:hint="eastAsia"/>
          <w:highlight w:val="none"/>
          <w:lang w:val="en-US" w:eastAsia="zh-CN"/>
        </w:rPr>
        <w:t>6.4.3.1</w:t>
      </w:r>
      <w:r>
        <w:rPr>
          <w:rFonts w:hint="default"/>
          <w:highlight w:val="none"/>
          <w:lang w:val="en-US" w:eastAsia="zh-CN"/>
        </w:rPr>
        <w:t>群塔安装顶升应遵循的原则</w:t>
      </w:r>
    </w:p>
    <w:p w14:paraId="2B96D45A">
      <w:pPr>
        <w:bidi w:val="0"/>
        <w:rPr>
          <w:rFonts w:hint="default"/>
          <w:highlight w:val="none"/>
          <w:lang w:val="en-US" w:eastAsia="zh-CN"/>
        </w:rPr>
      </w:pPr>
      <w:r>
        <w:rPr>
          <w:rFonts w:hint="default"/>
          <w:highlight w:val="none"/>
          <w:lang w:val="en-US" w:eastAsia="zh-CN"/>
        </w:rPr>
        <w:t>（1）高塔的最低部件</w:t>
      </w:r>
      <w:r>
        <w:rPr>
          <w:rFonts w:hint="eastAsia"/>
          <w:highlight w:val="none"/>
          <w:lang w:val="en-US" w:eastAsia="zh-CN"/>
        </w:rPr>
        <w:t>（</w:t>
      </w:r>
      <w:r>
        <w:rPr>
          <w:rFonts w:hint="default"/>
          <w:highlight w:val="none"/>
          <w:lang w:val="en-US" w:eastAsia="zh-CN"/>
        </w:rPr>
        <w:t>吊钩较高的位置，平衡重</w:t>
      </w:r>
      <w:r>
        <w:rPr>
          <w:rFonts w:hint="eastAsia"/>
          <w:highlight w:val="none"/>
          <w:lang w:val="en-US" w:eastAsia="zh-CN"/>
        </w:rPr>
        <w:t>）</w:t>
      </w:r>
      <w:r>
        <w:rPr>
          <w:rFonts w:hint="default"/>
          <w:highlight w:val="none"/>
          <w:lang w:val="en-US" w:eastAsia="zh-CN"/>
        </w:rPr>
        <w:t>和另一台塔机的最高部件之间的净高差必须大于2米</w:t>
      </w:r>
      <w:r>
        <w:rPr>
          <w:rFonts w:hint="eastAsia"/>
          <w:highlight w:val="none"/>
          <w:lang w:val="en-US" w:eastAsia="zh-CN"/>
        </w:rPr>
        <w:t>（</w:t>
      </w:r>
      <w:r>
        <w:rPr>
          <w:rFonts w:hint="default"/>
          <w:highlight w:val="none"/>
          <w:lang w:val="en-US" w:eastAsia="zh-CN"/>
        </w:rPr>
        <w:t>最小值</w:t>
      </w:r>
      <w:r>
        <w:rPr>
          <w:rFonts w:hint="eastAsia"/>
          <w:highlight w:val="none"/>
          <w:lang w:val="en-US" w:eastAsia="zh-CN"/>
        </w:rPr>
        <w:t>）</w:t>
      </w:r>
      <w:r>
        <w:rPr>
          <w:rFonts w:hint="default"/>
          <w:highlight w:val="none"/>
          <w:lang w:val="en-US" w:eastAsia="zh-CN"/>
        </w:rPr>
        <w:t>。</w:t>
      </w:r>
    </w:p>
    <w:p w14:paraId="47826075">
      <w:pPr>
        <w:bidi w:val="0"/>
        <w:rPr>
          <w:rFonts w:hint="default"/>
          <w:highlight w:val="none"/>
          <w:lang w:val="en-US" w:eastAsia="zh-CN"/>
        </w:rPr>
      </w:pPr>
      <w:r>
        <w:rPr>
          <w:rFonts w:hint="default"/>
          <w:highlight w:val="none"/>
          <w:lang w:val="en-US" w:eastAsia="zh-CN"/>
        </w:rPr>
        <w:t>（2）当塔机在另一台塔机的上面工作时，高塔必须装备有防止起升钢丝绳进入正在工作的低搭的平衡臂工作区域的装置，安全距离为2米。</w:t>
      </w:r>
    </w:p>
    <w:p w14:paraId="01E357EF">
      <w:pPr>
        <w:bidi w:val="0"/>
        <w:ind w:left="0" w:leftChars="0" w:firstLine="0" w:firstLineChars="0"/>
        <w:jc w:val="center"/>
        <w:rPr>
          <w:rFonts w:hint="eastAsia" w:ascii="宋体" w:hAnsi="宋体" w:cs="宋体"/>
          <w:kern w:val="0"/>
          <w:sz w:val="24"/>
          <w:highlight w:val="none"/>
        </w:rPr>
      </w:pPr>
      <w:r>
        <w:rPr>
          <w:rFonts w:hint="eastAsia" w:ascii="宋体" w:hAnsi="宋体" w:cs="宋体"/>
          <w:kern w:val="0"/>
          <w:sz w:val="24"/>
          <w:highlight w:val="none"/>
        </w:rPr>
        <w:drawing>
          <wp:inline distT="0" distB="0" distL="114300" distR="114300">
            <wp:extent cx="4912995" cy="2195830"/>
            <wp:effectExtent l="0" t="0" r="1905" b="1270"/>
            <wp:docPr id="11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0"/>
                    <pic:cNvPicPr>
                      <a:picLocks noChangeAspect="1"/>
                    </pic:cNvPicPr>
                  </pic:nvPicPr>
                  <pic:blipFill>
                    <a:blip r:embed="rId61"/>
                    <a:stretch>
                      <a:fillRect/>
                    </a:stretch>
                  </pic:blipFill>
                  <pic:spPr>
                    <a:xfrm>
                      <a:off x="0" y="0"/>
                      <a:ext cx="4912995" cy="2195830"/>
                    </a:xfrm>
                    <a:prstGeom prst="rect">
                      <a:avLst/>
                    </a:prstGeom>
                    <a:noFill/>
                    <a:ln>
                      <a:noFill/>
                    </a:ln>
                  </pic:spPr>
                </pic:pic>
              </a:graphicData>
            </a:graphic>
          </wp:inline>
        </w:drawing>
      </w:r>
    </w:p>
    <w:p w14:paraId="5556A752">
      <w:pPr>
        <w:bidi w:val="0"/>
        <w:ind w:left="0" w:leftChars="0" w:firstLine="0" w:firstLineChars="0"/>
        <w:jc w:val="center"/>
        <w:rPr>
          <w:rFonts w:hint="eastAsia"/>
          <w:highlight w:val="none"/>
        </w:rPr>
      </w:pPr>
      <w:r>
        <w:rPr>
          <w:rFonts w:ascii="宋体" w:hAnsi="宋体"/>
          <w:sz w:val="24"/>
          <w:highlight w:val="none"/>
        </w:rPr>
        <w:drawing>
          <wp:inline distT="0" distB="0" distL="114300" distR="114300">
            <wp:extent cx="3962400" cy="2195830"/>
            <wp:effectExtent l="0" t="0" r="0" b="1270"/>
            <wp:docPr id="11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1"/>
                    <pic:cNvPicPr>
                      <a:picLocks noChangeAspect="1"/>
                    </pic:cNvPicPr>
                  </pic:nvPicPr>
                  <pic:blipFill>
                    <a:blip r:embed="rId62"/>
                    <a:stretch>
                      <a:fillRect/>
                    </a:stretch>
                  </pic:blipFill>
                  <pic:spPr>
                    <a:xfrm>
                      <a:off x="0" y="0"/>
                      <a:ext cx="3962400" cy="2195830"/>
                    </a:xfrm>
                    <a:prstGeom prst="rect">
                      <a:avLst/>
                    </a:prstGeom>
                    <a:noFill/>
                    <a:ln>
                      <a:noFill/>
                    </a:ln>
                  </pic:spPr>
                </pic:pic>
              </a:graphicData>
            </a:graphic>
          </wp:inline>
        </w:drawing>
      </w:r>
    </w:p>
    <w:p w14:paraId="73C69690">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图6.4.3-1 群塔安装示意图</w:t>
      </w:r>
    </w:p>
    <w:p w14:paraId="576B6832">
      <w:pPr>
        <w:pStyle w:val="5"/>
        <w:bidi w:val="0"/>
        <w:rPr>
          <w:rFonts w:hint="default"/>
          <w:highlight w:val="none"/>
          <w:lang w:val="en-US" w:eastAsia="zh-CN"/>
        </w:rPr>
      </w:pPr>
      <w:r>
        <w:rPr>
          <w:rFonts w:hint="eastAsia"/>
          <w:highlight w:val="none"/>
          <w:lang w:val="en-US" w:eastAsia="zh-CN"/>
        </w:rPr>
        <w:t>6.4.3.2</w:t>
      </w:r>
      <w:r>
        <w:rPr>
          <w:rFonts w:hint="default"/>
          <w:highlight w:val="none"/>
          <w:lang w:val="en-US" w:eastAsia="zh-CN"/>
        </w:rPr>
        <w:t>群塔作业应遵循的原则</w:t>
      </w:r>
    </w:p>
    <w:p w14:paraId="35D1E8D4">
      <w:pPr>
        <w:rPr>
          <w:rFonts w:hint="default"/>
          <w:b/>
          <w:bCs/>
          <w:highlight w:val="none"/>
          <w:lang w:val="en-US" w:eastAsia="zh-CN"/>
        </w:rPr>
      </w:pPr>
      <w:r>
        <w:rPr>
          <w:rFonts w:hint="default"/>
          <w:b/>
          <w:bCs/>
          <w:highlight w:val="none"/>
          <w:lang w:val="en-US" w:eastAsia="zh-CN"/>
        </w:rPr>
        <w:t>1、低塔让高塔原则</w:t>
      </w:r>
    </w:p>
    <w:p w14:paraId="193C3049">
      <w:pPr>
        <w:ind w:firstLine="480" w:firstLineChars="200"/>
        <w:rPr>
          <w:rFonts w:hint="default"/>
          <w:highlight w:val="none"/>
          <w:lang w:val="en-US" w:eastAsia="zh-CN"/>
        </w:rPr>
      </w:pPr>
      <w:r>
        <w:rPr>
          <w:rFonts w:hint="default"/>
          <w:highlight w:val="none"/>
          <w:lang w:val="en-US" w:eastAsia="zh-CN"/>
        </w:rPr>
        <w:t>一般情况下，主要位置的塔吊、施工繁忙的塔吊应安装的较高，次要位置的塔吊安装的较低，施工中，低位塔吊应关注相关的高位塔吊运行情况，在查明情况后再进行动作。</w:t>
      </w:r>
    </w:p>
    <w:p w14:paraId="2DEE6E10">
      <w:pPr>
        <w:rPr>
          <w:rFonts w:hint="default"/>
          <w:b/>
          <w:bCs/>
          <w:highlight w:val="none"/>
          <w:lang w:val="en-US" w:eastAsia="zh-CN"/>
        </w:rPr>
      </w:pPr>
      <w:r>
        <w:rPr>
          <w:rFonts w:hint="default"/>
          <w:b/>
          <w:bCs/>
          <w:highlight w:val="none"/>
          <w:lang w:val="en-US" w:eastAsia="zh-CN"/>
        </w:rPr>
        <w:t>2、后塔让先塔原则</w:t>
      </w:r>
    </w:p>
    <w:p w14:paraId="0ACFB34D">
      <w:pPr>
        <w:ind w:firstLine="480" w:firstLineChars="200"/>
        <w:rPr>
          <w:rFonts w:hint="default"/>
          <w:highlight w:val="none"/>
          <w:lang w:val="en-US" w:eastAsia="zh-CN"/>
        </w:rPr>
      </w:pPr>
      <w:r>
        <w:rPr>
          <w:rFonts w:hint="default"/>
          <w:highlight w:val="none"/>
          <w:lang w:val="en-US" w:eastAsia="zh-CN"/>
        </w:rPr>
        <w:t>塔吊同时在交叉作业区运行时，后进入该区域的塔吊应避让先进入该区域的塔吊。</w:t>
      </w:r>
    </w:p>
    <w:p w14:paraId="2A7900E7">
      <w:pPr>
        <w:rPr>
          <w:rFonts w:hint="default"/>
          <w:b/>
          <w:bCs/>
          <w:highlight w:val="none"/>
          <w:lang w:val="en-US" w:eastAsia="zh-CN"/>
        </w:rPr>
      </w:pPr>
      <w:r>
        <w:rPr>
          <w:rFonts w:hint="default"/>
          <w:b/>
          <w:bCs/>
          <w:highlight w:val="none"/>
          <w:lang w:val="en-US" w:eastAsia="zh-CN"/>
        </w:rPr>
        <w:t>3、动塔让静塔原则</w:t>
      </w:r>
    </w:p>
    <w:p w14:paraId="2DA33E79">
      <w:pPr>
        <w:ind w:firstLine="480" w:firstLineChars="200"/>
        <w:rPr>
          <w:rFonts w:hint="default"/>
          <w:highlight w:val="none"/>
          <w:lang w:val="en-US" w:eastAsia="zh-CN"/>
        </w:rPr>
      </w:pPr>
      <w:r>
        <w:rPr>
          <w:rFonts w:hint="default"/>
          <w:highlight w:val="none"/>
          <w:lang w:val="en-US" w:eastAsia="zh-CN"/>
        </w:rPr>
        <w:t>塔吊在交叉作业区施工时，有动作的塔吊应避让正停在某位置施工的塔吊。</w:t>
      </w:r>
    </w:p>
    <w:p w14:paraId="3CEED3FA">
      <w:pPr>
        <w:rPr>
          <w:rFonts w:hint="default"/>
          <w:b/>
          <w:bCs/>
          <w:highlight w:val="none"/>
          <w:lang w:val="en-US" w:eastAsia="zh-CN"/>
        </w:rPr>
      </w:pPr>
      <w:r>
        <w:rPr>
          <w:rFonts w:hint="default"/>
          <w:b/>
          <w:bCs/>
          <w:highlight w:val="none"/>
          <w:lang w:val="en-US" w:eastAsia="zh-CN"/>
        </w:rPr>
        <w:t>4、荷重先行原则</w:t>
      </w:r>
    </w:p>
    <w:p w14:paraId="6F543125">
      <w:pPr>
        <w:ind w:firstLine="480" w:firstLineChars="200"/>
        <w:rPr>
          <w:rFonts w:hint="default"/>
          <w:highlight w:val="none"/>
          <w:lang w:val="en-US" w:eastAsia="zh-CN"/>
        </w:rPr>
      </w:pPr>
      <w:r>
        <w:rPr>
          <w:rFonts w:hint="default"/>
          <w:highlight w:val="none"/>
          <w:lang w:val="en-US" w:eastAsia="zh-CN"/>
        </w:rPr>
        <w:t>两塔同时施工在交叉作业区时，无吊载的塔吊应避让有吊载的塔吊，吊载较轻或所吊构件较小的塔吊应避让吊载较重或吊物尺寸较大的塔吊。</w:t>
      </w:r>
    </w:p>
    <w:p w14:paraId="48C70BBC">
      <w:pPr>
        <w:rPr>
          <w:rFonts w:hint="default"/>
          <w:b/>
          <w:bCs/>
          <w:highlight w:val="none"/>
          <w:lang w:val="en-US" w:eastAsia="zh-CN"/>
        </w:rPr>
      </w:pPr>
      <w:r>
        <w:rPr>
          <w:rFonts w:hint="default"/>
          <w:b/>
          <w:bCs/>
          <w:highlight w:val="none"/>
          <w:lang w:val="en-US" w:eastAsia="zh-CN"/>
        </w:rPr>
        <w:t>5、客塔让主塔原则</w:t>
      </w:r>
    </w:p>
    <w:p w14:paraId="0D95D36C">
      <w:pPr>
        <w:ind w:firstLine="480" w:firstLineChars="200"/>
        <w:rPr>
          <w:rFonts w:hint="default"/>
          <w:highlight w:val="none"/>
          <w:lang w:val="en-US" w:eastAsia="zh-CN"/>
        </w:rPr>
      </w:pPr>
      <w:r>
        <w:rPr>
          <w:rFonts w:hint="default"/>
          <w:highlight w:val="none"/>
          <w:lang w:val="en-US" w:eastAsia="zh-CN"/>
        </w:rPr>
        <w:t>在明确划分施工区域后，闯入非本塔吊施工区域的塔吊应主动避让，该区域主塔吊。</w:t>
      </w:r>
    </w:p>
    <w:p w14:paraId="03B9115C">
      <w:pPr>
        <w:pStyle w:val="4"/>
        <w:tabs>
          <w:tab w:val="left" w:pos="0"/>
          <w:tab w:val="left" w:pos="630"/>
        </w:tabs>
        <w:bidi w:val="0"/>
        <w:rPr>
          <w:rFonts w:hint="default"/>
          <w:highlight w:val="none"/>
          <w:lang w:val="en-US" w:eastAsia="zh-CN"/>
        </w:rPr>
      </w:pPr>
      <w:bookmarkStart w:id="273" w:name="_Toc20568"/>
      <w:bookmarkStart w:id="274" w:name="_Toc13270"/>
      <w:r>
        <w:rPr>
          <w:rFonts w:hint="eastAsia"/>
          <w:highlight w:val="none"/>
          <w:lang w:val="en-US" w:eastAsia="zh-CN"/>
        </w:rPr>
        <w:t>6.4.4</w:t>
      </w:r>
      <w:r>
        <w:rPr>
          <w:rFonts w:hint="default"/>
          <w:highlight w:val="none"/>
          <w:lang w:val="en-US" w:eastAsia="zh-CN"/>
        </w:rPr>
        <w:t>吊装</w:t>
      </w:r>
      <w:r>
        <w:rPr>
          <w:rFonts w:hint="eastAsia"/>
          <w:highlight w:val="none"/>
          <w:lang w:val="en-US" w:eastAsia="zh-CN"/>
        </w:rPr>
        <w:t>安全技术管控措施</w:t>
      </w:r>
      <w:bookmarkEnd w:id="273"/>
      <w:bookmarkEnd w:id="274"/>
    </w:p>
    <w:p w14:paraId="08F0FEA1">
      <w:pPr>
        <w:ind w:firstLine="480" w:firstLineChars="200"/>
        <w:rPr>
          <w:rFonts w:hint="default"/>
          <w:highlight w:val="none"/>
          <w:lang w:val="en-US" w:eastAsia="zh-CN"/>
        </w:rPr>
      </w:pPr>
      <w:r>
        <w:rPr>
          <w:rFonts w:hint="default"/>
          <w:highlight w:val="none"/>
          <w:lang w:val="en-US" w:eastAsia="zh-CN"/>
        </w:rPr>
        <w:t>起重吊装前，必须对工作现场环境、经过路线、架空电线、建筑物以及构件重量和分布等情况进行全面了解，吊装操作规定如下：</w:t>
      </w:r>
    </w:p>
    <w:p w14:paraId="214363ED">
      <w:pPr>
        <w:rPr>
          <w:rFonts w:hint="default"/>
          <w:highlight w:val="none"/>
          <w:lang w:val="en-US" w:eastAsia="zh-CN"/>
        </w:rPr>
      </w:pPr>
      <w:r>
        <w:rPr>
          <w:rFonts w:hint="eastAsia"/>
          <w:highlight w:val="none"/>
          <w:lang w:val="en-US" w:eastAsia="zh-CN"/>
        </w:rPr>
        <w:t>1、</w:t>
      </w:r>
      <w:r>
        <w:rPr>
          <w:rFonts w:hint="default"/>
          <w:highlight w:val="none"/>
          <w:lang w:val="en-US" w:eastAsia="zh-CN"/>
        </w:rPr>
        <w:t>起重臂回转半径内无障碍物。</w:t>
      </w:r>
    </w:p>
    <w:p w14:paraId="374EDD92">
      <w:pPr>
        <w:rPr>
          <w:rFonts w:hint="default"/>
          <w:highlight w:val="none"/>
          <w:lang w:val="en-US" w:eastAsia="zh-CN"/>
        </w:rPr>
      </w:pPr>
      <w:r>
        <w:rPr>
          <w:rFonts w:hint="eastAsia"/>
          <w:highlight w:val="none"/>
          <w:lang w:val="en-US" w:eastAsia="zh-CN"/>
        </w:rPr>
        <w:t>2、</w:t>
      </w:r>
      <w:r>
        <w:rPr>
          <w:rFonts w:hint="default"/>
          <w:highlight w:val="none"/>
          <w:lang w:val="en-US" w:eastAsia="zh-CN"/>
        </w:rPr>
        <w:t>操作前重点检查：</w:t>
      </w:r>
    </w:p>
    <w:p w14:paraId="42DFA866">
      <w:pPr>
        <w:rPr>
          <w:rFonts w:hint="default"/>
          <w:highlight w:val="none"/>
          <w:lang w:val="en-US" w:eastAsia="zh-CN"/>
        </w:rPr>
      </w:pPr>
      <w:r>
        <w:rPr>
          <w:rFonts w:hint="eastAsia"/>
          <w:highlight w:val="none"/>
          <w:lang w:val="en-US" w:eastAsia="zh-CN"/>
        </w:rPr>
        <w:t>（1）</w:t>
      </w:r>
      <w:r>
        <w:rPr>
          <w:rFonts w:hint="default"/>
          <w:highlight w:val="none"/>
          <w:lang w:val="en-US" w:eastAsia="zh-CN"/>
        </w:rPr>
        <w:t>机械结构的外观情况，各传动机构应正常；</w:t>
      </w:r>
    </w:p>
    <w:p w14:paraId="0BD074A0">
      <w:pPr>
        <w:rPr>
          <w:rFonts w:hint="default"/>
          <w:highlight w:val="none"/>
          <w:lang w:val="en-US" w:eastAsia="zh-CN"/>
        </w:rPr>
      </w:pPr>
      <w:r>
        <w:rPr>
          <w:rFonts w:hint="eastAsia"/>
          <w:highlight w:val="none"/>
          <w:lang w:val="en-US" w:eastAsia="zh-CN"/>
        </w:rPr>
        <w:t>（2）</w:t>
      </w:r>
      <w:r>
        <w:rPr>
          <w:rFonts w:hint="default"/>
          <w:highlight w:val="none"/>
          <w:lang w:val="en-US" w:eastAsia="zh-CN"/>
        </w:rPr>
        <w:t>各齿轮箱、液压油箱的油位应符合标准；</w:t>
      </w:r>
    </w:p>
    <w:p w14:paraId="58224DD9">
      <w:pPr>
        <w:rPr>
          <w:rFonts w:hint="default"/>
          <w:highlight w:val="none"/>
          <w:lang w:val="en-US" w:eastAsia="zh-CN"/>
        </w:rPr>
      </w:pPr>
      <w:r>
        <w:rPr>
          <w:rFonts w:hint="eastAsia"/>
          <w:highlight w:val="none"/>
          <w:lang w:val="en-US" w:eastAsia="zh-CN"/>
        </w:rPr>
        <w:t>（3）</w:t>
      </w:r>
      <w:r>
        <w:rPr>
          <w:rFonts w:hint="default"/>
          <w:highlight w:val="none"/>
          <w:lang w:val="en-US" w:eastAsia="zh-CN"/>
        </w:rPr>
        <w:t>主要部位连接螺栓应无松动；</w:t>
      </w:r>
    </w:p>
    <w:p w14:paraId="1D2433B6">
      <w:pPr>
        <w:rPr>
          <w:rFonts w:hint="default"/>
          <w:highlight w:val="none"/>
          <w:lang w:val="en-US" w:eastAsia="zh-CN"/>
        </w:rPr>
      </w:pPr>
      <w:r>
        <w:rPr>
          <w:rFonts w:hint="eastAsia"/>
          <w:highlight w:val="none"/>
          <w:lang w:val="en-US" w:eastAsia="zh-CN"/>
        </w:rPr>
        <w:t>（4）</w:t>
      </w:r>
      <w:r>
        <w:rPr>
          <w:rFonts w:hint="default"/>
          <w:highlight w:val="none"/>
          <w:lang w:val="en-US" w:eastAsia="zh-CN"/>
        </w:rPr>
        <w:t>钢丝绳磨损情况及穿绕滑轮应符合规定；</w:t>
      </w:r>
    </w:p>
    <w:p w14:paraId="1D582A50">
      <w:pPr>
        <w:rPr>
          <w:rFonts w:hint="default"/>
          <w:highlight w:val="none"/>
          <w:lang w:val="en-US" w:eastAsia="zh-CN"/>
        </w:rPr>
      </w:pPr>
      <w:r>
        <w:rPr>
          <w:rFonts w:hint="eastAsia"/>
          <w:highlight w:val="none"/>
          <w:lang w:val="en-US" w:eastAsia="zh-CN"/>
        </w:rPr>
        <w:t>（5）</w:t>
      </w:r>
      <w:r>
        <w:rPr>
          <w:rFonts w:hint="default"/>
          <w:highlight w:val="none"/>
          <w:lang w:val="en-US" w:eastAsia="zh-CN"/>
        </w:rPr>
        <w:t>供电电缆应无磨损；</w:t>
      </w:r>
    </w:p>
    <w:p w14:paraId="7CB5140E">
      <w:pPr>
        <w:rPr>
          <w:rFonts w:hint="default"/>
          <w:highlight w:val="none"/>
          <w:lang w:val="en-US" w:eastAsia="zh-CN"/>
        </w:rPr>
      </w:pPr>
      <w:r>
        <w:rPr>
          <w:rFonts w:hint="eastAsia"/>
          <w:highlight w:val="none"/>
          <w:lang w:val="en-US" w:eastAsia="zh-CN"/>
        </w:rPr>
        <w:t>（6）</w:t>
      </w:r>
      <w:r>
        <w:rPr>
          <w:rFonts w:hint="default"/>
          <w:highlight w:val="none"/>
          <w:lang w:val="en-US" w:eastAsia="zh-CN"/>
        </w:rPr>
        <w:t>检查电源电压应达到380伏，其变动范围不得超过±20伏，送电前启动控制开关应在零位。接通电源，检查金属结构部分无漏电后方可上机操作；</w:t>
      </w:r>
    </w:p>
    <w:p w14:paraId="557DE64D">
      <w:pPr>
        <w:rPr>
          <w:rFonts w:hint="default"/>
          <w:highlight w:val="none"/>
          <w:lang w:val="en-US" w:eastAsia="zh-CN"/>
        </w:rPr>
      </w:pPr>
      <w:r>
        <w:rPr>
          <w:rFonts w:hint="eastAsia"/>
          <w:highlight w:val="none"/>
          <w:lang w:val="en-US" w:eastAsia="zh-CN"/>
        </w:rPr>
        <w:t>（7）</w:t>
      </w:r>
      <w:r>
        <w:rPr>
          <w:rFonts w:hint="default"/>
          <w:highlight w:val="none"/>
          <w:lang w:val="en-US" w:eastAsia="zh-CN"/>
        </w:rPr>
        <w:t>空载运转，检查回转、起重、变幅等各机构的制动器、安全限位、防护装置等确认正确后，方可作业。</w:t>
      </w:r>
    </w:p>
    <w:p w14:paraId="2910B3FB">
      <w:pPr>
        <w:rPr>
          <w:rFonts w:hint="default"/>
          <w:highlight w:val="none"/>
          <w:lang w:val="en-US" w:eastAsia="zh-CN"/>
        </w:rPr>
      </w:pPr>
      <w:r>
        <w:rPr>
          <w:rFonts w:hint="eastAsia"/>
          <w:highlight w:val="none"/>
          <w:lang w:val="en-US" w:eastAsia="zh-CN"/>
        </w:rPr>
        <w:t>3、</w:t>
      </w:r>
      <w:r>
        <w:rPr>
          <w:rFonts w:hint="default"/>
          <w:highlight w:val="none"/>
          <w:lang w:val="en-US" w:eastAsia="zh-CN"/>
        </w:rPr>
        <w:t>在作业时，操作人员在进行起重机回转、吊钩升降、变幅等动作前，应鸣声示意。</w:t>
      </w:r>
    </w:p>
    <w:p w14:paraId="6F5FFD4A">
      <w:pPr>
        <w:rPr>
          <w:rFonts w:hint="default"/>
          <w:highlight w:val="none"/>
          <w:lang w:val="en-US" w:eastAsia="zh-CN"/>
        </w:rPr>
      </w:pPr>
      <w:r>
        <w:rPr>
          <w:rFonts w:hint="eastAsia"/>
          <w:highlight w:val="none"/>
          <w:lang w:val="en-US" w:eastAsia="zh-CN"/>
        </w:rPr>
        <w:t>4、</w:t>
      </w:r>
      <w:r>
        <w:rPr>
          <w:rFonts w:hint="default"/>
          <w:highlight w:val="none"/>
          <w:lang w:val="en-US" w:eastAsia="zh-CN"/>
        </w:rPr>
        <w:t>地面指挥人员必须经过培训取得合格证后，方可担任指挥。作业时应与操作人员密切配合。操作人员应严格执行指挥人员的信号，如信号不清或错误，操作人员应拒绝执行。</w:t>
      </w:r>
    </w:p>
    <w:p w14:paraId="781476F9">
      <w:pPr>
        <w:rPr>
          <w:rFonts w:hint="default"/>
          <w:highlight w:val="none"/>
          <w:lang w:val="en-US" w:eastAsia="zh-CN"/>
        </w:rPr>
      </w:pPr>
      <w:r>
        <w:rPr>
          <w:rFonts w:hint="eastAsia"/>
          <w:highlight w:val="none"/>
          <w:lang w:val="en-US" w:eastAsia="zh-CN"/>
        </w:rPr>
        <w:t>5、</w:t>
      </w:r>
      <w:r>
        <w:rPr>
          <w:rFonts w:hint="default"/>
          <w:highlight w:val="none"/>
          <w:lang w:val="en-US" w:eastAsia="zh-CN"/>
        </w:rPr>
        <w:t>当操作室远离地面，正常指挥发生困难时，可设高空、地面两个指挥人员或采用对讲机进行指挥。</w:t>
      </w:r>
    </w:p>
    <w:p w14:paraId="509CAEDC">
      <w:pPr>
        <w:rPr>
          <w:rFonts w:hint="default"/>
          <w:highlight w:val="none"/>
          <w:lang w:val="en-US" w:eastAsia="zh-CN"/>
        </w:rPr>
      </w:pPr>
      <w:r>
        <w:rPr>
          <w:rFonts w:hint="eastAsia"/>
          <w:highlight w:val="none"/>
          <w:lang w:val="en-US" w:eastAsia="zh-CN"/>
        </w:rPr>
        <w:t>6、</w:t>
      </w:r>
      <w:r>
        <w:rPr>
          <w:rFonts w:hint="default"/>
          <w:highlight w:val="none"/>
          <w:lang w:val="en-US" w:eastAsia="zh-CN"/>
        </w:rPr>
        <w:t>遇六级以上大风或大雨、大雪、大雾等恶劣天气时应停止起重机露天作业。</w:t>
      </w:r>
    </w:p>
    <w:p w14:paraId="2D6FC361">
      <w:pPr>
        <w:rPr>
          <w:rFonts w:hint="default"/>
          <w:highlight w:val="none"/>
          <w:lang w:val="en-US" w:eastAsia="zh-CN"/>
        </w:rPr>
      </w:pPr>
      <w:r>
        <w:rPr>
          <w:rFonts w:hint="eastAsia"/>
          <w:highlight w:val="none"/>
          <w:lang w:val="en-US" w:eastAsia="zh-CN"/>
        </w:rPr>
        <w:t>7、</w:t>
      </w:r>
      <w:r>
        <w:rPr>
          <w:rFonts w:hint="default"/>
          <w:highlight w:val="none"/>
          <w:lang w:val="en-US" w:eastAsia="zh-CN"/>
        </w:rPr>
        <w:t>起重机的变幅指示器、力矩限制器以及起重机的各种行程限位开关等保护装置，必须完整齐全、灵敏可靠，不得随意调整和拆除。严禁用限位装置代替操作机构。</w:t>
      </w:r>
    </w:p>
    <w:p w14:paraId="2176A50C">
      <w:pPr>
        <w:rPr>
          <w:rFonts w:hint="default"/>
          <w:highlight w:val="none"/>
          <w:lang w:val="en-US" w:eastAsia="zh-CN"/>
        </w:rPr>
      </w:pPr>
      <w:r>
        <w:rPr>
          <w:rFonts w:hint="eastAsia"/>
          <w:highlight w:val="none"/>
          <w:lang w:val="en-US" w:eastAsia="zh-CN"/>
        </w:rPr>
        <w:t>8、</w:t>
      </w:r>
      <w:r>
        <w:rPr>
          <w:rFonts w:hint="default"/>
          <w:highlight w:val="none"/>
          <w:lang w:val="en-US" w:eastAsia="zh-CN"/>
        </w:rPr>
        <w:t>起重机作业时，重物下方不得有人停留或通过。严禁用塔吊运载人员。</w:t>
      </w:r>
    </w:p>
    <w:p w14:paraId="60ECD6A6">
      <w:pPr>
        <w:rPr>
          <w:rFonts w:hint="default"/>
          <w:highlight w:val="none"/>
          <w:lang w:val="en-US" w:eastAsia="zh-CN"/>
        </w:rPr>
      </w:pPr>
      <w:r>
        <w:rPr>
          <w:rFonts w:hint="eastAsia"/>
          <w:highlight w:val="none"/>
          <w:lang w:val="en-US" w:eastAsia="zh-CN"/>
        </w:rPr>
        <w:t>9、</w:t>
      </w:r>
      <w:r>
        <w:rPr>
          <w:rFonts w:hint="default"/>
          <w:highlight w:val="none"/>
          <w:lang w:val="en-US" w:eastAsia="zh-CN"/>
        </w:rPr>
        <w:t>起重机机械必须按规定的起重性能作业，不得超荷载和吊不明重量的物件。特殊情况下需超荷载使用时，必须有保证安全的技术措施，经技术负责人批准，有专人在现场监护下，方可起吊。</w:t>
      </w:r>
    </w:p>
    <w:p w14:paraId="66BC2A9E">
      <w:pPr>
        <w:rPr>
          <w:rFonts w:hint="default"/>
          <w:highlight w:val="none"/>
          <w:lang w:val="en-US" w:eastAsia="zh-CN"/>
        </w:rPr>
      </w:pPr>
      <w:r>
        <w:rPr>
          <w:rFonts w:hint="eastAsia"/>
          <w:highlight w:val="none"/>
          <w:lang w:val="en-US" w:eastAsia="zh-CN"/>
        </w:rPr>
        <w:t>10、</w:t>
      </w:r>
      <w:r>
        <w:rPr>
          <w:rFonts w:hint="default"/>
          <w:highlight w:val="none"/>
          <w:lang w:val="en-US" w:eastAsia="zh-CN"/>
        </w:rPr>
        <w:t>严禁使用起重机进行斜拉、斜吊、和起吊地下埋设或凝结在地面上的重物。现场浇筑的砼构件或模板，必须全部松动后方可起吊。</w:t>
      </w:r>
    </w:p>
    <w:p w14:paraId="628C8FFC">
      <w:pPr>
        <w:rPr>
          <w:rFonts w:hint="default"/>
          <w:highlight w:val="none"/>
          <w:lang w:val="en-US" w:eastAsia="zh-CN"/>
        </w:rPr>
      </w:pPr>
      <w:r>
        <w:rPr>
          <w:rFonts w:hint="eastAsia"/>
          <w:highlight w:val="none"/>
          <w:lang w:val="en-US" w:eastAsia="zh-CN"/>
        </w:rPr>
        <w:t>11、</w:t>
      </w:r>
      <w:r>
        <w:rPr>
          <w:rFonts w:hint="default"/>
          <w:highlight w:val="none"/>
          <w:lang w:val="en-US" w:eastAsia="zh-CN"/>
        </w:rPr>
        <w:t>起吊重物时应绑扎平稳、牢固，不得在重物上堆放或悬挂零星物件。零星材料和物件，必须用吊笼或钢丝绳绑扎牢固后，方可起吊。标有绑扎位置的或记号的物件，应按标明位置绑扎。绑扎钢丝绳与物件的夹角不得小于30度   。</w:t>
      </w:r>
    </w:p>
    <w:p w14:paraId="7C5EA1EE">
      <w:pPr>
        <w:rPr>
          <w:rFonts w:hint="default"/>
          <w:highlight w:val="none"/>
          <w:lang w:val="en-US" w:eastAsia="zh-CN"/>
        </w:rPr>
      </w:pPr>
      <w:r>
        <w:rPr>
          <w:rFonts w:hint="eastAsia"/>
          <w:highlight w:val="none"/>
          <w:lang w:val="en-US" w:eastAsia="zh-CN"/>
        </w:rPr>
        <w:t>12、</w:t>
      </w:r>
      <w:r>
        <w:rPr>
          <w:rFonts w:hint="default"/>
          <w:highlight w:val="none"/>
          <w:lang w:val="en-US" w:eastAsia="zh-CN"/>
        </w:rPr>
        <w:t>起重机在雨雪天气作业时，应先经过试吊，确认制动器灵敏可靠后方可进行作业。</w:t>
      </w:r>
    </w:p>
    <w:p w14:paraId="06D88E2F">
      <w:pPr>
        <w:rPr>
          <w:rFonts w:hint="default"/>
          <w:highlight w:val="none"/>
          <w:lang w:val="en-US" w:eastAsia="zh-CN"/>
        </w:rPr>
      </w:pPr>
      <w:r>
        <w:rPr>
          <w:rFonts w:hint="eastAsia"/>
          <w:highlight w:val="none"/>
          <w:lang w:val="en-US" w:eastAsia="zh-CN"/>
        </w:rPr>
        <w:t>13、</w:t>
      </w:r>
      <w:r>
        <w:rPr>
          <w:rFonts w:hint="default"/>
          <w:highlight w:val="none"/>
          <w:lang w:val="en-US" w:eastAsia="zh-CN"/>
        </w:rPr>
        <w:t>起重机在吊装满荷载时或接近满荷载时，应先将重物吊离地面20-50cm停止提升检查:起重机的稳定性能、制动器的可靠性、重物的平衡性、绑扎的牢固性。确认无误后方可再行提升。对于有可能晃动的重物，必须栓拉绳。</w:t>
      </w:r>
    </w:p>
    <w:p w14:paraId="2964EE9C">
      <w:pPr>
        <w:rPr>
          <w:rFonts w:hint="default"/>
          <w:highlight w:val="none"/>
          <w:lang w:val="en-US" w:eastAsia="zh-CN"/>
        </w:rPr>
      </w:pPr>
      <w:r>
        <w:rPr>
          <w:rFonts w:hint="eastAsia"/>
          <w:highlight w:val="none"/>
          <w:lang w:val="en-US" w:eastAsia="zh-CN"/>
        </w:rPr>
        <w:t>14、</w:t>
      </w:r>
      <w:r>
        <w:rPr>
          <w:rFonts w:hint="default"/>
          <w:highlight w:val="none"/>
          <w:lang w:val="en-US" w:eastAsia="zh-CN"/>
        </w:rPr>
        <w:t>重物提升和降落速度要均匀。严禁突快突慢和突然制动。左右回转动作要平稳，当回转未停稳前不得作回转运动。</w:t>
      </w:r>
    </w:p>
    <w:p w14:paraId="56303645">
      <w:pPr>
        <w:rPr>
          <w:rFonts w:hint="default"/>
          <w:highlight w:val="none"/>
          <w:lang w:val="en-US" w:eastAsia="zh-CN"/>
        </w:rPr>
      </w:pPr>
      <w:r>
        <w:rPr>
          <w:rFonts w:hint="eastAsia"/>
          <w:highlight w:val="none"/>
          <w:lang w:val="en-US" w:eastAsia="zh-CN"/>
        </w:rPr>
        <w:t>15、</w:t>
      </w:r>
      <w:r>
        <w:rPr>
          <w:rFonts w:hint="default"/>
          <w:highlight w:val="none"/>
          <w:lang w:val="en-US" w:eastAsia="zh-CN"/>
        </w:rPr>
        <w:t>起重机不得靠近架空输电线路作业，如限于现场条件，必须在线路旁作业时，应采取安全保护措施。3.16起重机使用的钢丝绳，应有制造厂的技术证明文件作为依据。如无证件时应经过检测试验合格后方可使用。</w:t>
      </w:r>
    </w:p>
    <w:p w14:paraId="782E79D4">
      <w:pPr>
        <w:rPr>
          <w:rFonts w:hint="default"/>
          <w:highlight w:val="none"/>
          <w:lang w:val="en-US" w:eastAsia="zh-CN"/>
        </w:rPr>
      </w:pPr>
      <w:r>
        <w:rPr>
          <w:rFonts w:hint="eastAsia"/>
          <w:highlight w:val="none"/>
          <w:lang w:val="en-US" w:eastAsia="zh-CN"/>
        </w:rPr>
        <w:t>16、</w:t>
      </w:r>
      <w:r>
        <w:rPr>
          <w:rFonts w:hint="default"/>
          <w:highlight w:val="none"/>
          <w:lang w:val="en-US" w:eastAsia="zh-CN"/>
        </w:rPr>
        <w:t>起重机使用的钢丝绳，其结构型式、规格强度必须符合该型起重机的要求。钢丝绳固定牢固、排列整齐，放出钢丝绳时，卷筒上至少保留3圈以上。收放钢丝绳时应防止钢丝绳打环、扭结、弯折和乱绳。</w:t>
      </w:r>
    </w:p>
    <w:p w14:paraId="56047A5E">
      <w:pPr>
        <w:rPr>
          <w:rFonts w:hint="default"/>
          <w:highlight w:val="none"/>
          <w:lang w:val="en-US" w:eastAsia="zh-CN"/>
        </w:rPr>
      </w:pPr>
      <w:r>
        <w:rPr>
          <w:rFonts w:hint="eastAsia"/>
          <w:highlight w:val="none"/>
          <w:lang w:val="en-US" w:eastAsia="zh-CN"/>
        </w:rPr>
        <w:t>17、</w:t>
      </w:r>
      <w:r>
        <w:rPr>
          <w:rFonts w:hint="default"/>
          <w:highlight w:val="none"/>
          <w:lang w:val="en-US" w:eastAsia="zh-CN"/>
        </w:rPr>
        <w:t>钢丝绳采用编结固接时，编结部分的长度不得小于钢丝绳直径的15倍，并不得少于300mm，其编结部分应绑扎细钢丝。采用绳卡固结时，数量不得少于3个。最后一个卡子距绳头的长度不小于140mm。绳卡夹板应在钢丝绳工作时受力的一侧，“U”形螺栓需在钢丝绳的尾端，不得正反交错。绳卡固定后，待钢丝绳受力后再度紧固，并应拧紧到使两绳直径高度压扁1/3左右。作业中必须经常检查紧固情况。</w:t>
      </w:r>
    </w:p>
    <w:p w14:paraId="271CC781">
      <w:pPr>
        <w:rPr>
          <w:rFonts w:hint="default"/>
          <w:highlight w:val="none"/>
          <w:lang w:val="en-US" w:eastAsia="zh-CN"/>
        </w:rPr>
      </w:pPr>
      <w:r>
        <w:rPr>
          <w:rFonts w:hint="eastAsia"/>
          <w:highlight w:val="none"/>
          <w:lang w:val="en-US" w:eastAsia="zh-CN"/>
        </w:rPr>
        <w:t>18、</w:t>
      </w:r>
      <w:r>
        <w:rPr>
          <w:rFonts w:hint="default"/>
          <w:highlight w:val="none"/>
          <w:lang w:val="en-US" w:eastAsia="zh-CN"/>
        </w:rPr>
        <w:t>每班作业前，应对钢丝绳所有可见部分以及钢丝绳的连接部位进行检查。钢丝绳表面磨损或腐蚀使钢丝绳的名义直径减少7%时或在规定长度范围内断丝根数达到以下表规定时应予更换。</w:t>
      </w:r>
    </w:p>
    <w:p w14:paraId="572984A2">
      <w:pPr>
        <w:rPr>
          <w:rFonts w:hint="default"/>
          <w:highlight w:val="none"/>
          <w:lang w:val="en-US" w:eastAsia="zh-CN"/>
        </w:rPr>
      </w:pPr>
      <w:r>
        <w:rPr>
          <w:rFonts w:hint="eastAsia"/>
          <w:highlight w:val="none"/>
          <w:lang w:val="en-US" w:eastAsia="zh-CN"/>
        </w:rPr>
        <w:t>19、</w:t>
      </w:r>
      <w:r>
        <w:rPr>
          <w:rFonts w:hint="default"/>
          <w:highlight w:val="none"/>
          <w:lang w:val="en-US" w:eastAsia="zh-CN"/>
        </w:rPr>
        <w:t>起重机的吊钩和吊环严禁补焊，有下列情况之一的即应更换：</w:t>
      </w:r>
    </w:p>
    <w:p w14:paraId="4C4ED6CC">
      <w:pPr>
        <w:rPr>
          <w:rFonts w:hint="default"/>
          <w:highlight w:val="none"/>
          <w:lang w:val="en-US" w:eastAsia="zh-CN"/>
        </w:rPr>
      </w:pPr>
      <w:r>
        <w:rPr>
          <w:rFonts w:hint="eastAsia"/>
          <w:highlight w:val="none"/>
          <w:lang w:val="en-US" w:eastAsia="zh-CN"/>
        </w:rPr>
        <w:t>（1）</w:t>
      </w:r>
      <w:r>
        <w:rPr>
          <w:rFonts w:hint="default"/>
          <w:highlight w:val="none"/>
          <w:lang w:val="en-US" w:eastAsia="zh-CN"/>
        </w:rPr>
        <w:t>表面有裂纹。</w:t>
      </w:r>
    </w:p>
    <w:p w14:paraId="2ECDBC7F">
      <w:pPr>
        <w:rPr>
          <w:rFonts w:hint="default"/>
          <w:highlight w:val="none"/>
          <w:lang w:val="en-US" w:eastAsia="zh-CN"/>
        </w:rPr>
      </w:pPr>
      <w:r>
        <w:rPr>
          <w:rFonts w:hint="eastAsia"/>
          <w:highlight w:val="none"/>
          <w:lang w:val="en-US" w:eastAsia="zh-CN"/>
        </w:rPr>
        <w:t>（2）</w:t>
      </w:r>
      <w:r>
        <w:rPr>
          <w:rFonts w:hint="default"/>
          <w:highlight w:val="none"/>
          <w:lang w:val="en-US" w:eastAsia="zh-CN"/>
        </w:rPr>
        <w:t>危险断面及钩颈有永久变形。</w:t>
      </w:r>
    </w:p>
    <w:p w14:paraId="324C4CDA">
      <w:pPr>
        <w:rPr>
          <w:rFonts w:hint="default"/>
          <w:highlight w:val="none"/>
          <w:lang w:val="en-US" w:eastAsia="zh-CN"/>
        </w:rPr>
      </w:pPr>
      <w:r>
        <w:rPr>
          <w:rFonts w:hint="eastAsia"/>
          <w:highlight w:val="none"/>
          <w:lang w:val="en-US" w:eastAsia="zh-CN"/>
        </w:rPr>
        <w:t>（3）</w:t>
      </w:r>
      <w:r>
        <w:rPr>
          <w:rFonts w:hint="default"/>
          <w:highlight w:val="none"/>
          <w:lang w:val="en-US" w:eastAsia="zh-CN"/>
        </w:rPr>
        <w:t>挂绳处断面磨损超过高度10％。</w:t>
      </w:r>
    </w:p>
    <w:p w14:paraId="18179B4C">
      <w:pPr>
        <w:rPr>
          <w:rFonts w:hint="default"/>
          <w:highlight w:val="none"/>
          <w:lang w:val="en-US" w:eastAsia="zh-CN"/>
        </w:rPr>
      </w:pPr>
      <w:r>
        <w:rPr>
          <w:rFonts w:hint="eastAsia"/>
          <w:highlight w:val="none"/>
          <w:lang w:val="en-US" w:eastAsia="zh-CN"/>
        </w:rPr>
        <w:t>（4）</w:t>
      </w:r>
      <w:r>
        <w:rPr>
          <w:rFonts w:hint="default"/>
          <w:highlight w:val="none"/>
          <w:lang w:val="en-US" w:eastAsia="zh-CN"/>
        </w:rPr>
        <w:t>吊钩衬套磨损超过原厚度50％，心轴（销子）磨损超过其直径的百分之三。</w:t>
      </w:r>
    </w:p>
    <w:p w14:paraId="22AEC297">
      <w:pPr>
        <w:rPr>
          <w:rFonts w:hint="default"/>
          <w:highlight w:val="none"/>
          <w:lang w:val="en-US" w:eastAsia="zh-CN"/>
        </w:rPr>
      </w:pPr>
      <w:r>
        <w:rPr>
          <w:rFonts w:hint="eastAsia"/>
          <w:highlight w:val="none"/>
          <w:lang w:val="en-US" w:eastAsia="zh-CN"/>
        </w:rPr>
        <w:t>（5）</w:t>
      </w:r>
      <w:r>
        <w:rPr>
          <w:rFonts w:hint="default"/>
          <w:highlight w:val="none"/>
          <w:lang w:val="en-US" w:eastAsia="zh-CN"/>
        </w:rPr>
        <w:t>起重机制动器的制动鼓面磨损达1.5—2.0mm时（大径取大值，小径取小值）或制动带磨损超过原厚度50％时均应更换。</w:t>
      </w:r>
    </w:p>
    <w:p w14:paraId="650DA767">
      <w:pPr>
        <w:rPr>
          <w:rFonts w:hint="default"/>
          <w:highlight w:val="none"/>
          <w:lang w:val="en-US" w:eastAsia="zh-CN"/>
        </w:rPr>
      </w:pPr>
      <w:r>
        <w:rPr>
          <w:rFonts w:hint="eastAsia"/>
          <w:highlight w:val="none"/>
          <w:lang w:val="en-US" w:eastAsia="zh-CN"/>
        </w:rPr>
        <w:t>20、</w:t>
      </w:r>
      <w:r>
        <w:rPr>
          <w:rFonts w:hint="default"/>
          <w:highlight w:val="none"/>
          <w:lang w:val="en-US" w:eastAsia="zh-CN"/>
        </w:rPr>
        <w:t>吊装作业步骤</w:t>
      </w:r>
    </w:p>
    <w:p w14:paraId="6142F52E">
      <w:pPr>
        <w:rPr>
          <w:rFonts w:hint="default"/>
          <w:highlight w:val="none"/>
          <w:lang w:val="en-US" w:eastAsia="zh-CN"/>
        </w:rPr>
      </w:pPr>
      <w:r>
        <w:rPr>
          <w:rFonts w:hint="default"/>
          <w:highlight w:val="none"/>
          <w:lang w:val="en-US" w:eastAsia="zh-CN"/>
        </w:rPr>
        <w:t>（1）作业前，应进行空载运转，试验各工作机构是否运转正常，有无噪音及异响，各机构的制动器及安全防护装置是否有效，确认正常后方可作业。</w:t>
      </w:r>
    </w:p>
    <w:p w14:paraId="34063D75">
      <w:pPr>
        <w:rPr>
          <w:rFonts w:hint="default"/>
          <w:highlight w:val="none"/>
          <w:lang w:val="en-US" w:eastAsia="zh-CN"/>
        </w:rPr>
      </w:pPr>
      <w:r>
        <w:rPr>
          <w:rFonts w:hint="default"/>
          <w:highlight w:val="none"/>
          <w:lang w:val="en-US" w:eastAsia="zh-CN"/>
        </w:rPr>
        <w:t>（2）由地面指挥告知塔吊司机吊装内容，通知司索工就位，并将吊装路线及时告知地面工作人员做好避让工作。</w:t>
      </w:r>
    </w:p>
    <w:p w14:paraId="5C712513">
      <w:pPr>
        <w:rPr>
          <w:rFonts w:hint="default"/>
          <w:highlight w:val="none"/>
          <w:lang w:val="en-US" w:eastAsia="zh-CN"/>
        </w:rPr>
      </w:pPr>
      <w:r>
        <w:rPr>
          <w:rFonts w:hint="default"/>
          <w:highlight w:val="none"/>
          <w:lang w:val="en-US" w:eastAsia="zh-CN"/>
        </w:rPr>
        <w:t>（3）司索工绑扎吊物吊点。</w:t>
      </w:r>
    </w:p>
    <w:p w14:paraId="7894B77C">
      <w:pPr>
        <w:rPr>
          <w:rFonts w:hint="default"/>
          <w:highlight w:val="none"/>
          <w:lang w:val="en-US" w:eastAsia="zh-CN"/>
        </w:rPr>
      </w:pPr>
      <w:r>
        <w:rPr>
          <w:rFonts w:hint="default"/>
          <w:highlight w:val="none"/>
          <w:lang w:val="en-US" w:eastAsia="zh-CN"/>
        </w:rPr>
        <w:t>（4）信号工通知塔吊司机试吊。</w:t>
      </w:r>
    </w:p>
    <w:p w14:paraId="153FB9A6">
      <w:pPr>
        <w:rPr>
          <w:rFonts w:hint="default"/>
          <w:highlight w:val="none"/>
          <w:lang w:val="en-US" w:eastAsia="zh-CN"/>
        </w:rPr>
      </w:pPr>
      <w:r>
        <w:rPr>
          <w:rFonts w:hint="default"/>
          <w:highlight w:val="none"/>
          <w:lang w:val="en-US" w:eastAsia="zh-CN"/>
        </w:rPr>
        <w:t>（5）信号工通知塔吊司机正式起吊。</w:t>
      </w:r>
    </w:p>
    <w:p w14:paraId="26CEF2E9">
      <w:pPr>
        <w:rPr>
          <w:rFonts w:hint="default"/>
          <w:highlight w:val="none"/>
          <w:lang w:val="en-US" w:eastAsia="zh-CN"/>
        </w:rPr>
      </w:pPr>
      <w:r>
        <w:rPr>
          <w:rFonts w:hint="default"/>
          <w:highlight w:val="none"/>
          <w:lang w:val="en-US" w:eastAsia="zh-CN"/>
        </w:rPr>
        <w:t>（6）信号工通知塔吊司机将起吊物平稳就位。</w:t>
      </w:r>
    </w:p>
    <w:p w14:paraId="6803AD94">
      <w:pPr>
        <w:pStyle w:val="4"/>
        <w:tabs>
          <w:tab w:val="left" w:pos="0"/>
          <w:tab w:val="left" w:pos="630"/>
        </w:tabs>
        <w:bidi w:val="0"/>
        <w:rPr>
          <w:rFonts w:hint="default"/>
          <w:highlight w:val="none"/>
          <w:lang w:val="en-US" w:eastAsia="zh-CN"/>
        </w:rPr>
      </w:pPr>
      <w:bookmarkStart w:id="275" w:name="_Toc9542"/>
      <w:bookmarkStart w:id="276" w:name="_Toc11245"/>
      <w:r>
        <w:rPr>
          <w:rFonts w:hint="eastAsia"/>
          <w:highlight w:val="none"/>
          <w:lang w:val="en-US" w:eastAsia="zh-CN"/>
        </w:rPr>
        <w:t>6.4.5塔机</w:t>
      </w:r>
      <w:r>
        <w:rPr>
          <w:rFonts w:hint="default"/>
          <w:highlight w:val="none"/>
          <w:lang w:val="en-US" w:eastAsia="zh-CN"/>
        </w:rPr>
        <w:t>操作中安全注意事项</w:t>
      </w:r>
      <w:bookmarkEnd w:id="275"/>
      <w:bookmarkEnd w:id="276"/>
    </w:p>
    <w:p w14:paraId="095139F9">
      <w:pPr>
        <w:rPr>
          <w:rFonts w:hint="default"/>
          <w:highlight w:val="none"/>
          <w:lang w:val="en-US" w:eastAsia="zh-CN"/>
        </w:rPr>
      </w:pPr>
      <w:r>
        <w:rPr>
          <w:rFonts w:hint="default"/>
          <w:highlight w:val="none"/>
          <w:lang w:val="en-US" w:eastAsia="zh-CN"/>
        </w:rPr>
        <w:t>（1）操作各控制器时应依次逐级操作，严禁越档操作。在变换运转方向时，应将控制器转到零位，待电动机停止转动后，在转向另一方向。操作时力求平稳。严禁急开急停。</w:t>
      </w:r>
    </w:p>
    <w:p w14:paraId="55B01C63">
      <w:pPr>
        <w:rPr>
          <w:rFonts w:hint="default"/>
          <w:highlight w:val="none"/>
          <w:lang w:val="en-US" w:eastAsia="zh-CN"/>
        </w:rPr>
      </w:pPr>
      <w:r>
        <w:rPr>
          <w:rFonts w:hint="default"/>
          <w:highlight w:val="none"/>
          <w:lang w:val="en-US" w:eastAsia="zh-CN"/>
        </w:rPr>
        <w:t>（2）吊钩提升接近臂杆顶部、小车行至端点时，应减速缓行至停止位置。吊钩距臂杆顶部不得小于一米。</w:t>
      </w:r>
    </w:p>
    <w:p w14:paraId="301762F1">
      <w:pPr>
        <w:rPr>
          <w:rFonts w:hint="default"/>
          <w:highlight w:val="none"/>
          <w:lang w:val="en-US" w:eastAsia="zh-CN"/>
        </w:rPr>
      </w:pPr>
      <w:r>
        <w:rPr>
          <w:rFonts w:hint="default"/>
          <w:highlight w:val="none"/>
          <w:lang w:val="en-US" w:eastAsia="zh-CN"/>
        </w:rPr>
        <w:t>（3）每次变幅后应对变幅部位进行检查。允许带载变幅的在满荷载或接近满荷载时，不得变幅。</w:t>
      </w:r>
    </w:p>
    <w:p w14:paraId="596582DD">
      <w:pPr>
        <w:rPr>
          <w:rFonts w:hint="default"/>
          <w:highlight w:val="none"/>
          <w:lang w:val="en-US" w:eastAsia="zh-CN"/>
        </w:rPr>
      </w:pPr>
      <w:r>
        <w:rPr>
          <w:rFonts w:hint="default"/>
          <w:highlight w:val="none"/>
          <w:lang w:val="en-US" w:eastAsia="zh-CN"/>
        </w:rPr>
        <w:t>（4）提升重物后严禁自由下落。重物就位时，可用微动机构或使用制动器使之缓慢下降。</w:t>
      </w:r>
    </w:p>
    <w:p w14:paraId="569C76CE">
      <w:pPr>
        <w:rPr>
          <w:rFonts w:hint="default"/>
          <w:highlight w:val="none"/>
          <w:lang w:val="en-US" w:eastAsia="zh-CN"/>
        </w:rPr>
      </w:pPr>
      <w:r>
        <w:rPr>
          <w:rFonts w:hint="default"/>
          <w:highlight w:val="none"/>
          <w:lang w:val="en-US" w:eastAsia="zh-CN"/>
        </w:rPr>
        <w:t>（5）提升的重物平移时，应高出其跨越的障碍物0.5m以上。</w:t>
      </w:r>
    </w:p>
    <w:p w14:paraId="728C61FF">
      <w:pPr>
        <w:rPr>
          <w:rFonts w:hint="default"/>
          <w:highlight w:val="none"/>
          <w:lang w:val="en-US" w:eastAsia="zh-CN"/>
        </w:rPr>
      </w:pPr>
      <w:r>
        <w:rPr>
          <w:rFonts w:hint="default"/>
          <w:highlight w:val="none"/>
          <w:lang w:val="en-US" w:eastAsia="zh-CN"/>
        </w:rPr>
        <w:t>（6）钢筋、型钢、管材等细长和多根物件必须捆扎牢靠，多点起吊。单头“千斤”或捆扎不牢靠不准吊。</w:t>
      </w:r>
    </w:p>
    <w:p w14:paraId="5EE892D1">
      <w:pPr>
        <w:rPr>
          <w:rFonts w:hint="default"/>
          <w:highlight w:val="none"/>
          <w:lang w:val="en-US" w:eastAsia="zh-CN"/>
        </w:rPr>
      </w:pPr>
      <w:r>
        <w:rPr>
          <w:rFonts w:hint="default"/>
          <w:highlight w:val="none"/>
          <w:lang w:val="en-US" w:eastAsia="zh-CN"/>
        </w:rPr>
        <w:t>（7）多孔板、积灰斗、手推翻斗车不用四点吊或大模板外挂板不用卸甲不准吊。</w:t>
      </w:r>
    </w:p>
    <w:p w14:paraId="6A9B4F97">
      <w:pPr>
        <w:rPr>
          <w:rFonts w:hint="default"/>
          <w:highlight w:val="none"/>
          <w:lang w:val="en-US" w:eastAsia="zh-CN"/>
        </w:rPr>
      </w:pPr>
      <w:r>
        <w:rPr>
          <w:rFonts w:hint="default"/>
          <w:highlight w:val="none"/>
          <w:lang w:val="en-US" w:eastAsia="zh-CN"/>
        </w:rPr>
        <w:t>（8）吊砌块必须使用安全可靠的砌块夹具，吊砖必须使用砖笼，并堆放整齐。木砖、预埋件等零星物件要用盛器堆放稳妥，叠放不齐不准吊。</w:t>
      </w:r>
    </w:p>
    <w:p w14:paraId="63040859">
      <w:pPr>
        <w:pStyle w:val="4"/>
        <w:tabs>
          <w:tab w:val="left" w:pos="0"/>
          <w:tab w:val="left" w:pos="630"/>
        </w:tabs>
        <w:bidi w:val="0"/>
        <w:rPr>
          <w:rFonts w:hint="default"/>
          <w:highlight w:val="none"/>
          <w:lang w:val="en-US" w:eastAsia="zh-CN"/>
        </w:rPr>
      </w:pPr>
      <w:bookmarkStart w:id="277" w:name="_Toc1108"/>
      <w:bookmarkStart w:id="278" w:name="_Toc538"/>
      <w:r>
        <w:rPr>
          <w:rFonts w:hint="eastAsia"/>
          <w:highlight w:val="none"/>
          <w:lang w:val="en-US" w:eastAsia="zh-CN"/>
        </w:rPr>
        <w:t>6.4.6塔机</w:t>
      </w:r>
      <w:r>
        <w:rPr>
          <w:rFonts w:hint="default"/>
          <w:highlight w:val="none"/>
          <w:lang w:val="en-US" w:eastAsia="zh-CN"/>
        </w:rPr>
        <w:t>作业后安全注意事项</w:t>
      </w:r>
      <w:bookmarkEnd w:id="277"/>
      <w:bookmarkEnd w:id="278"/>
    </w:p>
    <w:p w14:paraId="2BF4AB31">
      <w:pPr>
        <w:rPr>
          <w:rFonts w:hint="default"/>
          <w:highlight w:val="none"/>
          <w:lang w:val="en-US" w:eastAsia="zh-CN"/>
        </w:rPr>
      </w:pPr>
      <w:r>
        <w:rPr>
          <w:rFonts w:hint="default"/>
          <w:highlight w:val="none"/>
          <w:lang w:val="en-US" w:eastAsia="zh-CN"/>
        </w:rPr>
        <w:t>（1）作业后，臂杆应转到顺风方向，并放松回转制动器。小车及平衡重应移到非工作状态位置。吊钩提升到离臂杆顶端2—3m处。</w:t>
      </w:r>
    </w:p>
    <w:p w14:paraId="3F8DB6DA">
      <w:pPr>
        <w:rPr>
          <w:rFonts w:hint="default"/>
          <w:highlight w:val="none"/>
          <w:lang w:val="en-US" w:eastAsia="zh-CN"/>
        </w:rPr>
      </w:pPr>
      <w:r>
        <w:rPr>
          <w:rFonts w:hint="default"/>
          <w:highlight w:val="none"/>
          <w:lang w:val="en-US" w:eastAsia="zh-CN"/>
        </w:rPr>
        <w:t>（2）将每个控制开关拨至零位，依次断开各路开关，关闭操作室门窗，下机后关闭电源总开关。打开高空指示灯。</w:t>
      </w:r>
    </w:p>
    <w:p w14:paraId="6E2CB721">
      <w:pPr>
        <w:rPr>
          <w:rFonts w:hint="default"/>
          <w:highlight w:val="none"/>
          <w:lang w:val="en-US" w:eastAsia="zh-CN"/>
        </w:rPr>
      </w:pPr>
      <w:r>
        <w:rPr>
          <w:rFonts w:hint="default"/>
          <w:highlight w:val="none"/>
          <w:lang w:val="en-US" w:eastAsia="zh-CN"/>
        </w:rPr>
        <w:t>（3）应用经纬仪经常检查塔身垂直度并及时调整。</w:t>
      </w:r>
    </w:p>
    <w:p w14:paraId="7E8F234F">
      <w:pPr>
        <w:rPr>
          <w:rFonts w:hint="default"/>
          <w:highlight w:val="none"/>
          <w:lang w:val="en-US" w:eastAsia="zh-CN"/>
        </w:rPr>
      </w:pPr>
    </w:p>
    <w:p w14:paraId="73973224">
      <w:pPr>
        <w:pStyle w:val="4"/>
        <w:bidi w:val="0"/>
        <w:rPr>
          <w:highlight w:val="none"/>
        </w:rPr>
      </w:pPr>
      <w:bookmarkStart w:id="279" w:name="_Toc530055697"/>
      <w:bookmarkStart w:id="280" w:name="_Toc24745_WPSOffice_Level2"/>
      <w:r>
        <w:rPr>
          <w:rFonts w:hint="eastAsia"/>
          <w:highlight w:val="none"/>
          <w:lang w:val="en-US" w:eastAsia="zh-CN"/>
        </w:rPr>
        <w:t>6</w:t>
      </w:r>
      <w:r>
        <w:rPr>
          <w:highlight w:val="none"/>
        </w:rPr>
        <w:t>.4.</w:t>
      </w:r>
      <w:r>
        <w:rPr>
          <w:rFonts w:hint="eastAsia"/>
          <w:highlight w:val="none"/>
          <w:lang w:val="en-US" w:eastAsia="zh-CN"/>
        </w:rPr>
        <w:t>7</w:t>
      </w:r>
      <w:r>
        <w:rPr>
          <w:rFonts w:hint="eastAsia"/>
          <w:highlight w:val="none"/>
        </w:rPr>
        <w:t>电气设备</w:t>
      </w:r>
      <w:r>
        <w:rPr>
          <w:rFonts w:hint="eastAsia"/>
          <w:highlight w:val="none"/>
          <w:lang w:val="en-US" w:eastAsia="zh-CN"/>
        </w:rPr>
        <w:t>技术管控措施</w:t>
      </w:r>
    </w:p>
    <w:bookmarkEnd w:id="279"/>
    <w:bookmarkEnd w:id="280"/>
    <w:p w14:paraId="212C7ECB">
      <w:pPr>
        <w:bidi w:val="0"/>
        <w:rPr>
          <w:highlight w:val="none"/>
        </w:rPr>
      </w:pPr>
      <w:bookmarkStart w:id="281" w:name="_Toc530055698"/>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电气部分</w:t>
      </w:r>
      <w:bookmarkEnd w:id="281"/>
    </w:p>
    <w:p w14:paraId="74FC9021">
      <w:pPr>
        <w:bidi w:val="0"/>
        <w:ind w:firstLine="480" w:firstLineChars="200"/>
        <w:rPr>
          <w:highlight w:val="none"/>
        </w:rPr>
      </w:pPr>
      <w:r>
        <w:rPr>
          <w:rFonts w:hint="eastAsia"/>
          <w:highlight w:val="none"/>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4D4C9387">
      <w:pPr>
        <w:bidi w:val="0"/>
        <w:rPr>
          <w:highlight w:val="none"/>
        </w:rPr>
      </w:pPr>
      <w:bookmarkStart w:id="282" w:name="_Toc530055699"/>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供电</w:t>
      </w:r>
      <w:bookmarkEnd w:id="282"/>
    </w:p>
    <w:p w14:paraId="59BE2BC6">
      <w:pPr>
        <w:bidi w:val="0"/>
        <w:ind w:firstLine="480" w:firstLineChars="200"/>
        <w:rPr>
          <w:highlight w:val="none"/>
        </w:rPr>
      </w:pPr>
      <w:r>
        <w:rPr>
          <w:rFonts w:hint="eastAsia"/>
          <w:highlight w:val="none"/>
        </w:rPr>
        <w:t>起重机供电电源为三相交流电源,电压380V±10%,频率50HZ。</w:t>
      </w:r>
    </w:p>
    <w:p w14:paraId="27377D02">
      <w:pPr>
        <w:bidi w:val="0"/>
        <w:rPr>
          <w:highlight w:val="none"/>
        </w:rPr>
      </w:pPr>
      <w:bookmarkStart w:id="283" w:name="_Toc530055700"/>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电气保护</w:t>
      </w:r>
      <w:bookmarkEnd w:id="283"/>
    </w:p>
    <w:p w14:paraId="7A2867AA">
      <w:pPr>
        <w:bidi w:val="0"/>
        <w:rPr>
          <w:highlight w:val="none"/>
        </w:rPr>
      </w:pPr>
      <w:r>
        <w:rPr>
          <w:rFonts w:hint="eastAsia"/>
          <w:highlight w:val="none"/>
        </w:rPr>
        <w:t>1）短路及过载保护</w:t>
      </w:r>
    </w:p>
    <w:p w14:paraId="4BA21377">
      <w:pPr>
        <w:bidi w:val="0"/>
        <w:ind w:firstLine="480" w:firstLineChars="200"/>
        <w:rPr>
          <w:highlight w:val="none"/>
        </w:rPr>
      </w:pPr>
      <w:r>
        <w:rPr>
          <w:rFonts w:hint="eastAsia"/>
          <w:highlight w:val="none"/>
        </w:rPr>
        <w:t>起重机总受电屏、控制屏进出电源设置断路器、控制回路设置小容量断路器，使各机构在短路，过载等事故状态下，迅速与电源脱离,以达到保护设备及</w:t>
      </w:r>
      <w:bookmarkStart w:id="284" w:name="_Toc20258_WPSOffice_Level2"/>
      <w:r>
        <w:rPr>
          <w:rFonts w:hint="eastAsia"/>
          <w:highlight w:val="none"/>
        </w:rPr>
        <w:t>人机安全的目的。</w:t>
      </w:r>
      <w:bookmarkEnd w:id="284"/>
    </w:p>
    <w:p w14:paraId="7FC3883D">
      <w:pPr>
        <w:bidi w:val="0"/>
        <w:rPr>
          <w:highlight w:val="none"/>
        </w:rPr>
      </w:pPr>
      <w:r>
        <w:rPr>
          <w:rFonts w:hint="eastAsia"/>
          <w:highlight w:val="none"/>
        </w:rPr>
        <w:t>2）失压保护</w:t>
      </w:r>
    </w:p>
    <w:p w14:paraId="2187EC71">
      <w:pPr>
        <w:bidi w:val="0"/>
        <w:ind w:firstLine="480" w:firstLineChars="200"/>
        <w:rPr>
          <w:highlight w:val="none"/>
        </w:rPr>
      </w:pPr>
      <w:r>
        <w:rPr>
          <w:rFonts w:hint="eastAsia"/>
          <w:highlight w:val="none"/>
        </w:rPr>
        <w:t>在总受电屏及机构控制屏中，用线路接触器</w:t>
      </w:r>
      <w:bookmarkStart w:id="285" w:name="_Toc12226_WPSOffice_Level2"/>
      <w:r>
        <w:rPr>
          <w:rFonts w:hint="eastAsia"/>
          <w:highlight w:val="none"/>
        </w:rPr>
        <w:t>作为失压保护</w:t>
      </w:r>
      <w:bookmarkEnd w:id="285"/>
      <w:r>
        <w:rPr>
          <w:rFonts w:hint="eastAsia"/>
          <w:highlight w:val="none"/>
        </w:rPr>
        <w:t>装置，当供电电源中断时,能够自动断开电源。</w:t>
      </w:r>
    </w:p>
    <w:p w14:paraId="58B2AC2D">
      <w:pPr>
        <w:bidi w:val="0"/>
        <w:rPr>
          <w:highlight w:val="none"/>
        </w:rPr>
      </w:pPr>
      <w:r>
        <w:rPr>
          <w:rFonts w:hint="eastAsia"/>
          <w:highlight w:val="none"/>
        </w:rPr>
        <w:t>3）零位保护</w:t>
      </w:r>
    </w:p>
    <w:p w14:paraId="1165CFCF">
      <w:pPr>
        <w:bidi w:val="0"/>
        <w:ind w:firstLine="480" w:firstLineChars="200"/>
        <w:rPr>
          <w:highlight w:val="none"/>
        </w:rPr>
      </w:pPr>
      <w:r>
        <w:rPr>
          <w:rFonts w:hint="eastAsia"/>
          <w:highlight w:val="none"/>
        </w:rPr>
        <w:t>司机室的联动台凸轮控制器手柄上设有零位连锁，达到零位的目的。即当起重机开始运转前和失压恢复供电时，必须将控制器的手柄置于零位，各机构</w:t>
      </w:r>
      <w:bookmarkStart w:id="286" w:name="_Toc29864_WPSOffice_Level1"/>
      <w:r>
        <w:rPr>
          <w:rFonts w:hint="eastAsia"/>
          <w:highlight w:val="none"/>
        </w:rPr>
        <w:t>的电动机才能启动工作。</w:t>
      </w:r>
      <w:bookmarkEnd w:id="286"/>
    </w:p>
    <w:p w14:paraId="055EC179">
      <w:pPr>
        <w:bidi w:val="0"/>
        <w:rPr>
          <w:highlight w:val="none"/>
        </w:rPr>
      </w:pPr>
      <w:r>
        <w:rPr>
          <w:rFonts w:hint="eastAsia"/>
          <w:highlight w:val="none"/>
        </w:rPr>
        <w:t>4）紧急断电保护</w:t>
      </w:r>
    </w:p>
    <w:p w14:paraId="53110ECC">
      <w:pPr>
        <w:bidi w:val="0"/>
        <w:ind w:firstLine="480" w:firstLineChars="200"/>
        <w:rPr>
          <w:highlight w:val="none"/>
        </w:rPr>
      </w:pPr>
      <w:r>
        <w:rPr>
          <w:rFonts w:hint="eastAsia"/>
          <w:highlight w:val="none"/>
        </w:rPr>
        <w:t>司机室内设有紧急断电按钮，当起重机发生紧急情况时，随时方便地切断控制回路电源，从而使主回路断电，确保起重机的安全运行。</w:t>
      </w:r>
    </w:p>
    <w:p w14:paraId="1D66F3C3">
      <w:pPr>
        <w:bidi w:val="0"/>
        <w:rPr>
          <w:highlight w:val="none"/>
        </w:rPr>
      </w:pPr>
      <w:r>
        <w:rPr>
          <w:rFonts w:hint="eastAsia"/>
          <w:highlight w:val="none"/>
        </w:rPr>
        <w:t>5）起升,行程限位保护</w:t>
      </w:r>
    </w:p>
    <w:p w14:paraId="66A668B7">
      <w:pPr>
        <w:bidi w:val="0"/>
        <w:ind w:firstLine="480" w:firstLineChars="200"/>
        <w:rPr>
          <w:highlight w:val="none"/>
        </w:rPr>
      </w:pPr>
      <w:r>
        <w:rPr>
          <w:rFonts w:hint="eastAsia"/>
          <w:highlight w:val="none"/>
        </w:rPr>
        <w:t>起升采用变频控制，起升机构设有限位开关，可保证吊钩上升到极限位置时切断电源，变幅、回转运行到极限位置时切断控制回路电源，使主回路断电，从而达到减速和停</w:t>
      </w:r>
      <w:bookmarkStart w:id="287" w:name="_Toc27220_WPSOffice_Level2"/>
      <w:r>
        <w:rPr>
          <w:rFonts w:hint="eastAsia"/>
          <w:highlight w:val="none"/>
        </w:rPr>
        <w:t>车的目的，确保起重机的</w:t>
      </w:r>
      <w:bookmarkEnd w:id="287"/>
      <w:r>
        <w:rPr>
          <w:rFonts w:hint="eastAsia"/>
          <w:highlight w:val="none"/>
        </w:rPr>
        <w:t>安全运行。</w:t>
      </w:r>
    </w:p>
    <w:p w14:paraId="60BD1612">
      <w:pPr>
        <w:bidi w:val="0"/>
        <w:rPr>
          <w:highlight w:val="none"/>
        </w:rPr>
      </w:pPr>
      <w:r>
        <w:rPr>
          <w:rFonts w:hint="eastAsia"/>
          <w:highlight w:val="none"/>
          <w:lang w:val="en-US" w:eastAsia="zh-CN"/>
        </w:rPr>
        <w:t>6</w:t>
      </w:r>
      <w:r>
        <w:rPr>
          <w:rFonts w:hint="eastAsia"/>
          <w:highlight w:val="none"/>
        </w:rPr>
        <w:t>）超载保护</w:t>
      </w:r>
    </w:p>
    <w:p w14:paraId="6F54A060">
      <w:pPr>
        <w:bidi w:val="0"/>
        <w:ind w:firstLine="480" w:firstLineChars="200"/>
        <w:rPr>
          <w:highlight w:val="none"/>
        </w:rPr>
      </w:pPr>
      <w:r>
        <w:rPr>
          <w:rFonts w:hint="eastAsia"/>
          <w:highlight w:val="none"/>
        </w:rPr>
        <w:t>起升机构配置超载限制器，具有报警功能，当载荷达到额定起重量的90％时，能发出提示性报警信号，当起重量超过额定起重量时，能自动切断起升动力源，并发出禁止性报警信号。</w:t>
      </w:r>
    </w:p>
    <w:p w14:paraId="297EB24B">
      <w:pPr>
        <w:bidi w:val="0"/>
        <w:rPr>
          <w:highlight w:val="none"/>
        </w:rPr>
      </w:pPr>
      <w:r>
        <w:rPr>
          <w:rFonts w:hint="eastAsia"/>
          <w:highlight w:val="none"/>
          <w:lang w:val="en-US" w:eastAsia="zh-CN"/>
        </w:rPr>
        <w:t>7</w:t>
      </w:r>
      <w:r>
        <w:rPr>
          <w:rFonts w:hint="eastAsia"/>
          <w:highlight w:val="none"/>
        </w:rPr>
        <w:t>）控制柜,端子箱防护等级IP55，端子箱采用下部或侧部进线上部做防雨，槽盖加防脱落装置。</w:t>
      </w:r>
    </w:p>
    <w:p w14:paraId="1B212E70">
      <w:pPr>
        <w:bidi w:val="0"/>
        <w:rPr>
          <w:highlight w:val="none"/>
        </w:rPr>
      </w:pPr>
      <w:bookmarkStart w:id="288" w:name="_Toc530055703"/>
      <w:bookmarkStart w:id="289" w:name="_Toc530055701"/>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起重机的接地</w:t>
      </w:r>
      <w:bookmarkEnd w:id="288"/>
    </w:p>
    <w:p w14:paraId="12F5321F">
      <w:pPr>
        <w:bidi w:val="0"/>
        <w:rPr>
          <w:highlight w:val="none"/>
        </w:rPr>
      </w:pPr>
      <w:r>
        <w:rPr>
          <w:rFonts w:hint="eastAsia"/>
          <w:highlight w:val="none"/>
        </w:rPr>
        <w:t>1）起重机的金属结构及所有电气设备的金属外壳，电缆金属外皮和变压器的低压侧均有可靠的接地。</w:t>
      </w:r>
    </w:p>
    <w:p w14:paraId="3AF6199D">
      <w:pPr>
        <w:bidi w:val="0"/>
        <w:rPr>
          <w:highlight w:val="none"/>
        </w:rPr>
      </w:pPr>
      <w:r>
        <w:rPr>
          <w:rFonts w:hint="eastAsia"/>
          <w:highlight w:val="none"/>
        </w:rPr>
        <w:t>3）起重机上任何一点的接地电阻均不大于4Ω。</w:t>
      </w:r>
    </w:p>
    <w:p w14:paraId="596E8B17">
      <w:pPr>
        <w:bidi w:val="0"/>
        <w:rPr>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操纵方式</w:t>
      </w:r>
      <w:bookmarkEnd w:id="289"/>
    </w:p>
    <w:p w14:paraId="1900238B">
      <w:pPr>
        <w:bidi w:val="0"/>
        <w:rPr>
          <w:highlight w:val="none"/>
        </w:rPr>
      </w:pPr>
      <w:r>
        <w:rPr>
          <w:rFonts w:hint="eastAsia"/>
          <w:highlight w:val="none"/>
        </w:rPr>
        <w:t>1）司机室设有总电源和控制电源开关状态信号指示灯。</w:t>
      </w:r>
    </w:p>
    <w:p w14:paraId="075EC4ED">
      <w:pPr>
        <w:bidi w:val="0"/>
        <w:rPr>
          <w:highlight w:val="none"/>
        </w:rPr>
      </w:pPr>
      <w:r>
        <w:rPr>
          <w:rFonts w:hint="eastAsia"/>
          <w:highlight w:val="none"/>
        </w:rPr>
        <w:t>2）司机室设置交流220V电源插座及三相380V电源，备接其它电气设备。</w:t>
      </w:r>
    </w:p>
    <w:p w14:paraId="5F936AA7">
      <w:pPr>
        <w:bidi w:val="0"/>
        <w:rPr>
          <w:highlight w:val="none"/>
        </w:rPr>
      </w:pPr>
      <w:r>
        <w:rPr>
          <w:rFonts w:hint="eastAsia"/>
          <w:highlight w:val="none"/>
        </w:rPr>
        <w:t>3）司机室设有36V插座，以便于检修作业。</w:t>
      </w:r>
    </w:p>
    <w:p w14:paraId="0D12F839">
      <w:pPr>
        <w:bidi w:val="0"/>
        <w:rPr>
          <w:highlight w:val="none"/>
        </w:rPr>
      </w:pPr>
      <w:r>
        <w:rPr>
          <w:rFonts w:hint="eastAsia"/>
          <w:highlight w:val="none"/>
        </w:rPr>
        <w:t>4）司机室用交流220V/40W荧光灯具照明，以满足照度不低于200LX的要求。</w:t>
      </w:r>
    </w:p>
    <w:p w14:paraId="4D44D57A">
      <w:pPr>
        <w:bidi w:val="0"/>
        <w:rPr>
          <w:highlight w:val="none"/>
        </w:rPr>
      </w:pPr>
      <w:bookmarkStart w:id="290" w:name="_Toc530055702"/>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highlight w:val="none"/>
        </w:rPr>
        <w:t>照明信号</w:t>
      </w:r>
      <w:bookmarkEnd w:id="290"/>
    </w:p>
    <w:p w14:paraId="34D86656">
      <w:pPr>
        <w:bidi w:val="0"/>
        <w:rPr>
          <w:highlight w:val="none"/>
        </w:rPr>
      </w:pPr>
      <w:r>
        <w:rPr>
          <w:rFonts w:hint="eastAsia"/>
          <w:highlight w:val="none"/>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4B7FFE47">
      <w:pPr>
        <w:bidi w:val="0"/>
        <w:rPr>
          <w:highlight w:val="none"/>
        </w:rPr>
      </w:pPr>
      <w:r>
        <w:rPr>
          <w:rFonts w:hint="eastAsia"/>
          <w:highlight w:val="none"/>
        </w:rPr>
        <w:t>2）设有报警装置,操作时起提示作用，在司机室通过按钮开关控制。</w:t>
      </w:r>
    </w:p>
    <w:p w14:paraId="6B581DC7">
      <w:pPr>
        <w:bidi w:val="0"/>
        <w:rPr>
          <w:highlight w:val="none"/>
        </w:rPr>
      </w:pPr>
      <w:bookmarkStart w:id="291" w:name="_Toc530055704"/>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highlight w:val="none"/>
        </w:rPr>
        <w:t>其它</w:t>
      </w:r>
      <w:bookmarkEnd w:id="291"/>
    </w:p>
    <w:p w14:paraId="51BC3D44">
      <w:pPr>
        <w:bidi w:val="0"/>
        <w:rPr>
          <w:highlight w:val="none"/>
        </w:rPr>
      </w:pPr>
      <w:r>
        <w:rPr>
          <w:rFonts w:hint="eastAsia"/>
          <w:highlight w:val="none"/>
        </w:rPr>
        <w:t>1）起重机上布线采用截面积不小于2.5mm²的铜导线。</w:t>
      </w:r>
    </w:p>
    <w:p w14:paraId="3825E0F6">
      <w:pPr>
        <w:bidi w:val="0"/>
        <w:rPr>
          <w:color w:val="808080" w:themeColor="background1" w:themeShade="80"/>
          <w:highlight w:val="none"/>
        </w:rPr>
      </w:pPr>
      <w:r>
        <w:rPr>
          <w:rFonts w:hint="eastAsia"/>
          <w:highlight w:val="none"/>
        </w:rPr>
        <w:t>2）总受电屏和各机构控制屏中的布线采用铜导线和铜排。</w:t>
      </w:r>
    </w:p>
    <w:p w14:paraId="361865C9">
      <w:pPr>
        <w:pStyle w:val="4"/>
        <w:tabs>
          <w:tab w:val="left" w:pos="0"/>
          <w:tab w:val="left" w:pos="630"/>
        </w:tabs>
        <w:bidi w:val="0"/>
        <w:rPr>
          <w:rFonts w:hint="default"/>
          <w:highlight w:val="none"/>
          <w:lang w:val="en-US" w:eastAsia="zh-CN"/>
        </w:rPr>
      </w:pPr>
      <w:bookmarkStart w:id="292" w:name="_Toc9893"/>
      <w:bookmarkStart w:id="293" w:name="_Toc19093"/>
      <w:r>
        <w:rPr>
          <w:rFonts w:hint="eastAsia"/>
          <w:highlight w:val="none"/>
          <w:lang w:val="en-US" w:eastAsia="zh-CN"/>
        </w:rPr>
        <w:t>6.4.8</w:t>
      </w:r>
      <w:r>
        <w:rPr>
          <w:rFonts w:hint="default"/>
          <w:highlight w:val="none"/>
          <w:lang w:val="en-US" w:eastAsia="zh-CN"/>
        </w:rPr>
        <w:t>维护与保养</w:t>
      </w:r>
      <w:bookmarkEnd w:id="292"/>
      <w:bookmarkEnd w:id="293"/>
    </w:p>
    <w:p w14:paraId="5B595DD9">
      <w:pPr>
        <w:rPr>
          <w:rFonts w:hint="default"/>
          <w:highlight w:val="none"/>
          <w:lang w:val="en-US" w:eastAsia="zh-CN"/>
        </w:rPr>
      </w:pPr>
      <w:r>
        <w:rPr>
          <w:rFonts w:hint="eastAsia"/>
          <w:highlight w:val="none"/>
          <w:lang w:val="en-US" w:eastAsia="zh-CN"/>
        </w:rPr>
        <w:t>（1）</w:t>
      </w:r>
      <w:r>
        <w:rPr>
          <w:rFonts w:hint="default"/>
          <w:highlight w:val="none"/>
          <w:lang w:val="en-US" w:eastAsia="zh-CN"/>
        </w:rPr>
        <w:t>机械的制动器应经常进行检查和调整制动瓦和制动轮的间隙，以保证制动的灵活可靠，其间隙在0.5～1.0mm之间，在摩擦面上不应有污物存在，遇有异物即用汽油洗净。</w:t>
      </w:r>
    </w:p>
    <w:p w14:paraId="11CE9896">
      <w:pPr>
        <w:rPr>
          <w:rFonts w:hint="default"/>
          <w:highlight w:val="none"/>
          <w:lang w:val="en-US" w:eastAsia="zh-CN"/>
        </w:rPr>
      </w:pPr>
      <w:r>
        <w:rPr>
          <w:rFonts w:hint="eastAsia"/>
          <w:highlight w:val="none"/>
          <w:lang w:val="en-US" w:eastAsia="zh-CN"/>
        </w:rPr>
        <w:t>（2）</w:t>
      </w:r>
      <w:r>
        <w:rPr>
          <w:rFonts w:hint="default"/>
          <w:highlight w:val="none"/>
          <w:lang w:val="en-US" w:eastAsia="zh-CN"/>
        </w:rPr>
        <w:t>减速箱、变速箱、外啮合齿轮等部分的润滑按照润滑指标进行添加或更换。要注意检查各部位的钢丝绳有无断股现象和松股现象，如超过有关规定，必须立即更换。</w:t>
      </w:r>
    </w:p>
    <w:p w14:paraId="4CD38123">
      <w:pPr>
        <w:rPr>
          <w:rFonts w:hint="default"/>
          <w:highlight w:val="none"/>
          <w:lang w:val="en-US" w:eastAsia="zh-CN"/>
        </w:rPr>
      </w:pPr>
      <w:r>
        <w:rPr>
          <w:rFonts w:hint="eastAsia"/>
          <w:highlight w:val="none"/>
          <w:lang w:val="en-US" w:eastAsia="zh-CN"/>
        </w:rPr>
        <w:t>（3）</w:t>
      </w:r>
      <w:r>
        <w:rPr>
          <w:rFonts w:hint="default"/>
          <w:highlight w:val="none"/>
          <w:lang w:val="en-US" w:eastAsia="zh-CN"/>
        </w:rPr>
        <w:t>经常检查各部位的联结情况，如有松动应予以拧紧，塔身连结螺栓应在塔身受压时检查松紧度，所有连接销轴必须带有开口销，并需张开。</w:t>
      </w:r>
    </w:p>
    <w:p w14:paraId="6BA691EB">
      <w:pPr>
        <w:rPr>
          <w:rFonts w:hint="default"/>
          <w:highlight w:val="none"/>
          <w:lang w:val="en-US" w:eastAsia="zh-CN"/>
        </w:rPr>
      </w:pPr>
      <w:r>
        <w:rPr>
          <w:rFonts w:hint="eastAsia"/>
          <w:highlight w:val="none"/>
          <w:lang w:val="en-US" w:eastAsia="zh-CN"/>
        </w:rPr>
        <w:t>（4）</w:t>
      </w:r>
      <w:r>
        <w:rPr>
          <w:rFonts w:hint="default"/>
          <w:highlight w:val="none"/>
          <w:lang w:val="en-US" w:eastAsia="zh-CN"/>
        </w:rPr>
        <w:t>安装、拆卸和调整回转机械时，要注意保证回转机械与减速器的中心线与回转大齿圈的中心线平行，回转小齿轮与大齿圈的啮合面不小于70％，啮合间隙要合适。</w:t>
      </w:r>
    </w:p>
    <w:p w14:paraId="0FA2835A">
      <w:pPr>
        <w:rPr>
          <w:rFonts w:hint="default"/>
          <w:highlight w:val="none"/>
          <w:lang w:val="en-US" w:eastAsia="zh-CN"/>
        </w:rPr>
      </w:pPr>
      <w:r>
        <w:rPr>
          <w:rFonts w:hint="eastAsia"/>
          <w:highlight w:val="none"/>
          <w:lang w:val="en-US" w:eastAsia="zh-CN"/>
        </w:rPr>
        <w:t>（5）</w:t>
      </w:r>
      <w:r>
        <w:rPr>
          <w:rFonts w:hint="default"/>
          <w:highlight w:val="none"/>
          <w:lang w:val="en-US" w:eastAsia="zh-CN"/>
        </w:rPr>
        <w:t>在运输中尽量设法防止构件变形及碰撞损坏，必须定期检修和保养，经常检查结构联结螺栓、焊缝以及构件是否损坏、变形和松动。</w:t>
      </w:r>
    </w:p>
    <w:p w14:paraId="36416BB6">
      <w:pPr>
        <w:rPr>
          <w:rFonts w:hint="default"/>
          <w:highlight w:val="none"/>
          <w:lang w:val="en-US" w:eastAsia="zh-CN"/>
        </w:rPr>
      </w:pPr>
      <w:r>
        <w:rPr>
          <w:rFonts w:hint="eastAsia"/>
          <w:highlight w:val="none"/>
          <w:lang w:val="en-US" w:eastAsia="zh-CN"/>
        </w:rPr>
        <w:t>（6）</w:t>
      </w:r>
      <w:r>
        <w:rPr>
          <w:rFonts w:hint="default"/>
          <w:highlight w:val="none"/>
          <w:lang w:val="en-US" w:eastAsia="zh-CN"/>
        </w:rPr>
        <w:t>塔吊基础沉降观测半月一次。垂直度在塔吊自由高度时半月一次测定。 在塔机出现沉降，垂直度偏差超过规定范围时，必须进行偏差校正。在最低节与塔吊基脚螺栓加垫钢片校正。校正过程中用高吨位千斤顶顶起塔身，顶塔身之前，塔身用大缆绳四面揽紧，在确保安全的前提下才能起顶塔身。</w:t>
      </w:r>
    </w:p>
    <w:p w14:paraId="55173C25">
      <w:pPr>
        <w:rPr>
          <w:rFonts w:ascii="宋体" w:hAnsi="宋体" w:eastAsia="宋体" w:cs="宋体"/>
          <w:color w:val="808080" w:themeColor="background1" w:themeShade="80"/>
          <w:sz w:val="24"/>
          <w:szCs w:val="24"/>
          <w:highlight w:val="none"/>
        </w:rPr>
      </w:pPr>
      <w:r>
        <w:rPr>
          <w:rFonts w:hint="eastAsia"/>
          <w:highlight w:val="none"/>
          <w:lang w:val="en-US" w:eastAsia="zh-CN"/>
        </w:rPr>
        <w:t>（7）</w:t>
      </w:r>
      <w:r>
        <w:rPr>
          <w:rFonts w:hint="default"/>
          <w:highlight w:val="none"/>
          <w:lang w:val="en-US" w:eastAsia="zh-CN"/>
        </w:rPr>
        <w:t>塔机必须定机定人，专人负责，非机组人员不得进入司机室擅自进行操作。处理电气故障时，须有维修人员。</w:t>
      </w:r>
    </w:p>
    <w:p w14:paraId="45A6AF37">
      <w:pPr>
        <w:pStyle w:val="4"/>
        <w:bidi w:val="0"/>
        <w:rPr>
          <w:rFonts w:hint="eastAsia"/>
          <w:highlight w:val="none"/>
        </w:rPr>
      </w:pPr>
      <w:r>
        <w:rPr>
          <w:rFonts w:hint="eastAsia"/>
          <w:highlight w:val="none"/>
          <w:lang w:val="en-US" w:eastAsia="zh-CN"/>
        </w:rPr>
        <w:t>6</w:t>
      </w:r>
      <w:r>
        <w:rPr>
          <w:rFonts w:hint="eastAsia"/>
          <w:highlight w:val="none"/>
        </w:rPr>
        <w:t>.4.9强制性条文和具体措施</w:t>
      </w:r>
    </w:p>
    <w:p w14:paraId="12E7A684">
      <w:pPr>
        <w:bidi w:val="0"/>
        <w:rPr>
          <w:highlight w:val="none"/>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应执行的强制性条文</w:t>
      </w:r>
    </w:p>
    <w:p w14:paraId="7E06D737">
      <w:pPr>
        <w:bidi w:val="0"/>
        <w:ind w:firstLine="480" w:firstLineChars="200"/>
        <w:rPr>
          <w:highlight w:val="none"/>
        </w:rPr>
      </w:pPr>
      <w:r>
        <w:rPr>
          <w:rFonts w:hint="eastAsia"/>
          <w:highlight w:val="none"/>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3644ED83">
      <w:pPr>
        <w:bidi w:val="0"/>
        <w:rPr>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具体措施</w:t>
      </w:r>
    </w:p>
    <w:p w14:paraId="541C9491">
      <w:pPr>
        <w:bidi w:val="0"/>
        <w:ind w:firstLine="480" w:firstLineChars="200"/>
        <w:rPr>
          <w:rFonts w:hint="eastAsia" w:ascii="宋体" w:hAnsi="宋体" w:eastAsia="宋体" w:cs="宋体"/>
          <w:color w:val="808080" w:themeColor="background1" w:themeShade="80"/>
          <w:szCs w:val="24"/>
          <w:highlight w:val="none"/>
        </w:rPr>
      </w:pPr>
      <w:r>
        <w:rPr>
          <w:rFonts w:hint="eastAsia"/>
          <w:highlight w:val="none"/>
        </w:rPr>
        <w:t>电气系统的验收作为整机验收的一部分，调试不合格不得投入使用。</w:t>
      </w:r>
    </w:p>
    <w:p w14:paraId="46F70687">
      <w:pPr>
        <w:pStyle w:val="4"/>
        <w:bidi w:val="0"/>
        <w:rPr>
          <w:rFonts w:hint="default"/>
          <w:highlight w:val="none"/>
          <w:lang w:val="en-US" w:eastAsia="zh-CN"/>
        </w:rPr>
      </w:pPr>
      <w:bookmarkStart w:id="294" w:name="_Toc951"/>
      <w:bookmarkStart w:id="295" w:name="_Toc5129"/>
      <w:bookmarkStart w:id="296" w:name="_Toc18484"/>
      <w:r>
        <w:rPr>
          <w:rFonts w:hint="eastAsia"/>
          <w:highlight w:val="none"/>
          <w:lang w:val="en-US" w:eastAsia="zh-CN"/>
        </w:rPr>
        <w:t>6.4.10监控监测措施</w:t>
      </w:r>
      <w:bookmarkEnd w:id="294"/>
      <w:bookmarkEnd w:id="295"/>
      <w:bookmarkEnd w:id="296"/>
    </w:p>
    <w:p w14:paraId="6874E436">
      <w:pPr>
        <w:pStyle w:val="5"/>
        <w:bidi w:val="0"/>
        <w:rPr>
          <w:rFonts w:hint="default"/>
          <w:highlight w:val="none"/>
          <w:lang w:val="en-US" w:eastAsia="zh-CN"/>
        </w:rPr>
      </w:pPr>
      <w:bookmarkStart w:id="297" w:name="_Toc22702"/>
      <w:bookmarkStart w:id="298" w:name="_Toc32645"/>
      <w:r>
        <w:rPr>
          <w:rFonts w:hint="eastAsia"/>
          <w:highlight w:val="none"/>
          <w:lang w:val="en-US" w:eastAsia="zh-CN"/>
        </w:rPr>
        <w:t>6.4.10.1监测项目</w:t>
      </w:r>
      <w:bookmarkEnd w:id="297"/>
      <w:bookmarkEnd w:id="298"/>
    </w:p>
    <w:p w14:paraId="5EFCFD8E">
      <w:pPr>
        <w:ind w:firstLine="480" w:firstLineChars="200"/>
        <w:rPr>
          <w:rFonts w:hint="default"/>
          <w:highlight w:val="none"/>
          <w:lang w:val="en-US" w:eastAsia="zh-CN"/>
        </w:rPr>
      </w:pPr>
      <w:r>
        <w:rPr>
          <w:rFonts w:hint="default"/>
          <w:highlight w:val="none"/>
          <w:lang w:val="en-US" w:eastAsia="zh-CN"/>
        </w:rPr>
        <w:t>塔吊监测的主要内容为塔身垂直度监测、基础沉降监测、基础位移监测。</w:t>
      </w:r>
    </w:p>
    <w:p w14:paraId="6001870B">
      <w:pPr>
        <w:pStyle w:val="5"/>
        <w:bidi w:val="0"/>
        <w:rPr>
          <w:rFonts w:hint="default"/>
          <w:highlight w:val="none"/>
          <w:lang w:val="en-US" w:eastAsia="zh-CN"/>
        </w:rPr>
      </w:pPr>
      <w:bookmarkStart w:id="299" w:name="_Toc17955"/>
      <w:bookmarkStart w:id="300" w:name="_Toc14789"/>
      <w:r>
        <w:rPr>
          <w:rFonts w:hint="eastAsia"/>
          <w:highlight w:val="none"/>
          <w:lang w:val="en-US" w:eastAsia="zh-CN"/>
        </w:rPr>
        <w:t>6.4.10.2监测方法</w:t>
      </w:r>
      <w:bookmarkEnd w:id="299"/>
      <w:bookmarkEnd w:id="300"/>
    </w:p>
    <w:p w14:paraId="0923FBF8">
      <w:pPr>
        <w:ind w:firstLine="480" w:firstLineChars="200"/>
        <w:rPr>
          <w:rFonts w:hint="default"/>
          <w:highlight w:val="none"/>
          <w:lang w:val="en-US" w:eastAsia="zh-CN"/>
        </w:rPr>
      </w:pPr>
      <w:r>
        <w:rPr>
          <w:rFonts w:hint="default"/>
          <w:highlight w:val="none"/>
          <w:lang w:val="en-US" w:eastAsia="zh-CN"/>
        </w:rPr>
        <w:t>塔吊安装好由技术监督部门进行设备检测</w:t>
      </w:r>
      <w:r>
        <w:rPr>
          <w:rFonts w:hint="eastAsia"/>
          <w:highlight w:val="none"/>
          <w:lang w:val="en-US" w:eastAsia="zh-CN"/>
        </w:rPr>
        <w:t>，</w:t>
      </w:r>
      <w:r>
        <w:rPr>
          <w:rFonts w:hint="default"/>
          <w:highlight w:val="none"/>
          <w:lang w:val="en-US" w:eastAsia="zh-CN"/>
        </w:rPr>
        <w:t>检测合格再组织检查验收，验收合格后方可交付使用。</w:t>
      </w:r>
    </w:p>
    <w:p w14:paraId="0C4E7CB3">
      <w:pPr>
        <w:bidi w:val="0"/>
        <w:ind w:firstLine="480" w:firstLineChars="200"/>
        <w:rPr>
          <w:rFonts w:hint="default"/>
          <w:highlight w:val="none"/>
          <w:lang w:val="en-US" w:eastAsia="zh-CN"/>
        </w:rPr>
      </w:pPr>
      <w:r>
        <w:rPr>
          <w:rFonts w:hint="eastAsia"/>
          <w:highlight w:val="none"/>
          <w:lang w:val="en-US" w:eastAsia="zh-CN"/>
        </w:rPr>
        <w:t>（</w:t>
      </w:r>
      <w:r>
        <w:rPr>
          <w:rFonts w:hint="default"/>
          <w:highlight w:val="none"/>
          <w:lang w:val="en-US" w:eastAsia="zh-CN"/>
        </w:rPr>
        <w:t>1）塔吊塔身垂直度监测</w:t>
      </w:r>
    </w:p>
    <w:p w14:paraId="37B954B2">
      <w:pPr>
        <w:bidi w:val="0"/>
        <w:ind w:firstLine="480" w:firstLineChars="200"/>
        <w:rPr>
          <w:rFonts w:hint="eastAsia"/>
          <w:highlight w:val="none"/>
          <w:lang w:val="en-US" w:eastAsia="zh-CN"/>
        </w:rPr>
      </w:pPr>
      <w:r>
        <w:rPr>
          <w:rFonts w:hint="default"/>
          <w:highlight w:val="none"/>
          <w:lang w:val="en-US" w:eastAsia="zh-CN"/>
        </w:rPr>
        <w:t>用</w:t>
      </w:r>
      <w:r>
        <w:rPr>
          <w:rFonts w:hint="eastAsia"/>
          <w:highlight w:val="none"/>
          <w:lang w:val="en-US" w:eastAsia="zh-CN"/>
        </w:rPr>
        <w:t>全站仪</w:t>
      </w:r>
      <w:r>
        <w:rPr>
          <w:rFonts w:hint="default"/>
          <w:highlight w:val="none"/>
          <w:lang w:val="en-US" w:eastAsia="zh-CN"/>
        </w:rPr>
        <w:t>定期测量塔吊垂直度确保塔吊使用过程的安全稳定，测量方法</w:t>
      </w:r>
      <w:r>
        <w:rPr>
          <w:rFonts w:hint="eastAsia"/>
          <w:highlight w:val="none"/>
          <w:lang w:val="en-US" w:eastAsia="zh-CN"/>
        </w:rPr>
        <w:t>如</w:t>
      </w:r>
      <w:r>
        <w:rPr>
          <w:rFonts w:hint="default"/>
          <w:highlight w:val="none"/>
          <w:lang w:val="en-US" w:eastAsia="zh-CN"/>
        </w:rPr>
        <w:t>下图</w:t>
      </w:r>
      <w:r>
        <w:rPr>
          <w:rFonts w:hint="eastAsia"/>
          <w:highlight w:val="none"/>
          <w:lang w:val="en-US" w:eastAsia="zh-CN"/>
        </w:rPr>
        <w:t>：</w:t>
      </w:r>
    </w:p>
    <w:p w14:paraId="01A31A32">
      <w:pPr>
        <w:bidi w:val="0"/>
        <w:ind w:left="0" w:leftChars="0" w:firstLine="0" w:firstLineChars="0"/>
        <w:jc w:val="center"/>
        <w:rPr>
          <w:highlight w:val="none"/>
        </w:rPr>
      </w:pPr>
      <w:r>
        <w:rPr>
          <w:highlight w:val="none"/>
        </w:rPr>
        <w:drawing>
          <wp:inline distT="0" distB="0" distL="114300" distR="114300">
            <wp:extent cx="4229100" cy="1573530"/>
            <wp:effectExtent l="0" t="0" r="0" b="1270"/>
            <wp:docPr id="3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1"/>
                    <pic:cNvPicPr>
                      <a:picLocks noChangeAspect="1"/>
                    </pic:cNvPicPr>
                  </pic:nvPicPr>
                  <pic:blipFill>
                    <a:blip r:embed="rId63"/>
                    <a:stretch>
                      <a:fillRect/>
                    </a:stretch>
                  </pic:blipFill>
                  <pic:spPr>
                    <a:xfrm>
                      <a:off x="0" y="0"/>
                      <a:ext cx="4229100" cy="1573530"/>
                    </a:xfrm>
                    <a:prstGeom prst="rect">
                      <a:avLst/>
                    </a:prstGeom>
                    <a:noFill/>
                    <a:ln>
                      <a:noFill/>
                    </a:ln>
                  </pic:spPr>
                </pic:pic>
              </a:graphicData>
            </a:graphic>
          </wp:inline>
        </w:drawing>
      </w:r>
    </w:p>
    <w:p w14:paraId="6439C6B0">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图6.4.10-1</w:t>
      </w:r>
      <w:r>
        <w:rPr>
          <w:rFonts w:hint="default"/>
          <w:highlight w:val="none"/>
          <w:lang w:val="en-US" w:eastAsia="zh-CN"/>
        </w:rPr>
        <w:t>塔吊垂直度观测示意图</w:t>
      </w:r>
    </w:p>
    <w:p w14:paraId="7C761D9A">
      <w:pPr>
        <w:bidi w:val="0"/>
        <w:ind w:firstLine="480" w:firstLineChars="200"/>
        <w:rPr>
          <w:rFonts w:hint="default"/>
          <w:highlight w:val="none"/>
          <w:lang w:val="en-US" w:eastAsia="zh-CN"/>
        </w:rPr>
      </w:pPr>
      <w:r>
        <w:rPr>
          <w:rFonts w:hint="default"/>
          <w:highlight w:val="none"/>
          <w:lang w:val="en-US" w:eastAsia="zh-CN"/>
        </w:rPr>
        <w:t>独立状态或附着状态下最高附着点以上塔身轴线对支承面垂直度不得大于4/1000</w:t>
      </w:r>
      <w:r>
        <w:rPr>
          <w:rFonts w:hint="eastAsia"/>
          <w:highlight w:val="none"/>
          <w:lang w:val="en-US" w:eastAsia="zh-CN"/>
        </w:rPr>
        <w:t>，</w:t>
      </w:r>
      <w:r>
        <w:rPr>
          <w:rFonts w:hint="default"/>
          <w:highlight w:val="none"/>
          <w:lang w:val="en-US" w:eastAsia="zh-CN"/>
        </w:rPr>
        <w:t>最高附着点下塔身轴线对支承面垂直度不得大于相应高度的2/1000。即塔机垂直度&lt;4/1000，安装附着装置后，附着以下&lt;2/1000，附着以上&lt;4/1000。</w:t>
      </w:r>
    </w:p>
    <w:p w14:paraId="41A5305B">
      <w:pPr>
        <w:bidi w:val="0"/>
        <w:ind w:firstLine="480" w:firstLineChars="200"/>
        <w:rPr>
          <w:rFonts w:hint="eastAsia"/>
          <w:highlight w:val="none"/>
          <w:lang w:val="en-US" w:eastAsia="zh-CN"/>
        </w:rPr>
      </w:pPr>
      <w:r>
        <w:rPr>
          <w:rFonts w:hint="eastAsia"/>
          <w:highlight w:val="none"/>
          <w:lang w:val="en-US" w:eastAsia="zh-CN"/>
        </w:rPr>
        <w:t>（2）塔吊基础沉降、位移监测</w:t>
      </w:r>
    </w:p>
    <w:p w14:paraId="537365EC">
      <w:pPr>
        <w:bidi w:val="0"/>
        <w:ind w:firstLine="480" w:firstLineChars="200"/>
        <w:rPr>
          <w:rFonts w:hint="default"/>
          <w:highlight w:val="none"/>
          <w:lang w:val="en-US" w:eastAsia="zh-CN"/>
        </w:rPr>
      </w:pPr>
      <w:r>
        <w:rPr>
          <w:rFonts w:hint="default"/>
          <w:highlight w:val="none"/>
          <w:lang w:val="en-US" w:eastAsia="zh-CN"/>
        </w:rPr>
        <w:t>在塔</w:t>
      </w:r>
      <w:r>
        <w:rPr>
          <w:rFonts w:hint="eastAsia"/>
          <w:highlight w:val="none"/>
          <w:lang w:val="en-US" w:eastAsia="zh-CN"/>
        </w:rPr>
        <w:t>吊</w:t>
      </w:r>
      <w:r>
        <w:rPr>
          <w:rFonts w:hint="default"/>
          <w:highlight w:val="none"/>
          <w:lang w:val="en-US" w:eastAsia="zh-CN"/>
        </w:rPr>
        <w:t>基础承台上设置四个水平定位点，作为沉降观测点。布置情况</w:t>
      </w:r>
      <w:r>
        <w:rPr>
          <w:rFonts w:hint="eastAsia"/>
          <w:highlight w:val="none"/>
          <w:lang w:val="en-US" w:eastAsia="zh-CN"/>
        </w:rPr>
        <w:t>如</w:t>
      </w:r>
      <w:r>
        <w:rPr>
          <w:rFonts w:hint="default"/>
          <w:highlight w:val="none"/>
          <w:lang w:val="en-US" w:eastAsia="zh-CN"/>
        </w:rPr>
        <w:t>下图</w:t>
      </w:r>
      <w:r>
        <w:rPr>
          <w:rFonts w:hint="eastAsia"/>
          <w:highlight w:val="none"/>
          <w:lang w:val="en-US" w:eastAsia="zh-CN"/>
        </w:rPr>
        <w:t>：</w:t>
      </w:r>
    </w:p>
    <w:p w14:paraId="3D4F6965">
      <w:pPr>
        <w:bidi w:val="0"/>
        <w:ind w:left="0" w:leftChars="0" w:firstLine="0" w:firstLineChars="0"/>
        <w:jc w:val="center"/>
        <w:rPr>
          <w:rFonts w:hint="default"/>
          <w:highlight w:val="none"/>
          <w:lang w:val="en-US" w:eastAsia="zh-CN"/>
        </w:rPr>
      </w:pPr>
      <w:r>
        <w:rPr>
          <w:highlight w:val="none"/>
        </w:rPr>
        <w:drawing>
          <wp:inline distT="0" distB="0" distL="114300" distR="114300">
            <wp:extent cx="4632960" cy="2103755"/>
            <wp:effectExtent l="0" t="0" r="2540" b="4445"/>
            <wp:docPr id="3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2"/>
                    <pic:cNvPicPr>
                      <a:picLocks noChangeAspect="1"/>
                    </pic:cNvPicPr>
                  </pic:nvPicPr>
                  <pic:blipFill>
                    <a:blip r:embed="rId64">
                      <a:clrChange>
                        <a:clrFrom>
                          <a:srgbClr val="FCFEFC">
                            <a:alpha val="100000"/>
                          </a:srgbClr>
                        </a:clrFrom>
                        <a:clrTo>
                          <a:srgbClr val="FCFEFC">
                            <a:alpha val="100000"/>
                            <a:alpha val="0"/>
                          </a:srgbClr>
                        </a:clrTo>
                      </a:clrChange>
                    </a:blip>
                    <a:stretch>
                      <a:fillRect/>
                    </a:stretch>
                  </pic:blipFill>
                  <pic:spPr>
                    <a:xfrm>
                      <a:off x="0" y="0"/>
                      <a:ext cx="4632960" cy="2103755"/>
                    </a:xfrm>
                    <a:prstGeom prst="rect">
                      <a:avLst/>
                    </a:prstGeom>
                    <a:noFill/>
                    <a:ln>
                      <a:noFill/>
                    </a:ln>
                  </pic:spPr>
                </pic:pic>
              </a:graphicData>
            </a:graphic>
          </wp:inline>
        </w:drawing>
      </w:r>
    </w:p>
    <w:p w14:paraId="6F8D86AD">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图6.4.10-2塔吊沉降观测示意图</w:t>
      </w:r>
    </w:p>
    <w:p w14:paraId="759A4706">
      <w:pPr>
        <w:pStyle w:val="5"/>
        <w:bidi w:val="0"/>
        <w:rPr>
          <w:rFonts w:hint="default"/>
          <w:highlight w:val="none"/>
          <w:lang w:val="en-US" w:eastAsia="zh-CN"/>
        </w:rPr>
      </w:pPr>
      <w:bookmarkStart w:id="301" w:name="_Toc12390"/>
      <w:bookmarkStart w:id="302" w:name="_Toc3551"/>
      <w:r>
        <w:rPr>
          <w:rFonts w:hint="eastAsia"/>
          <w:highlight w:val="none"/>
          <w:lang w:val="en-US" w:eastAsia="zh-CN"/>
        </w:rPr>
        <w:t>6.4.10.3监测频率</w:t>
      </w:r>
      <w:bookmarkEnd w:id="301"/>
      <w:bookmarkEnd w:id="302"/>
    </w:p>
    <w:p w14:paraId="4D654238">
      <w:pPr>
        <w:ind w:firstLine="480" w:firstLineChars="200"/>
        <w:rPr>
          <w:rFonts w:hint="default"/>
          <w:highlight w:val="none"/>
          <w:lang w:val="en-US" w:eastAsia="zh-CN"/>
        </w:rPr>
      </w:pPr>
      <w:r>
        <w:rPr>
          <w:rFonts w:hint="eastAsia"/>
          <w:highlight w:val="none"/>
          <w:lang w:val="en-US" w:eastAsia="zh-CN"/>
        </w:rPr>
        <w:t>正常使用情况下，</w:t>
      </w:r>
      <w:r>
        <w:rPr>
          <w:rFonts w:hint="default"/>
          <w:highlight w:val="none"/>
          <w:lang w:val="en-US" w:eastAsia="zh-CN"/>
        </w:rPr>
        <w:t>主体施工阶段每月不得少于二次</w:t>
      </w:r>
      <w:r>
        <w:rPr>
          <w:rFonts w:hint="eastAsia"/>
          <w:highlight w:val="none"/>
          <w:lang w:val="en-US" w:eastAsia="zh-CN"/>
        </w:rPr>
        <w:t>，</w:t>
      </w:r>
      <w:r>
        <w:rPr>
          <w:rFonts w:hint="default"/>
          <w:highlight w:val="none"/>
          <w:lang w:val="en-US" w:eastAsia="zh-CN"/>
        </w:rPr>
        <w:t>其它阶段每月一次</w:t>
      </w:r>
      <w:r>
        <w:rPr>
          <w:rFonts w:hint="eastAsia"/>
          <w:highlight w:val="none"/>
          <w:lang w:val="en-US" w:eastAsia="zh-CN"/>
        </w:rPr>
        <w:t>。遇特殊天气或其他特殊情况，根据实际需要增加监控监测频率，如三天一次、每周一次等。</w:t>
      </w:r>
    </w:p>
    <w:p w14:paraId="4252DAA5">
      <w:pPr>
        <w:pStyle w:val="5"/>
        <w:bidi w:val="0"/>
        <w:rPr>
          <w:rFonts w:hint="default"/>
          <w:highlight w:val="none"/>
          <w:lang w:val="en-US" w:eastAsia="zh-CN"/>
        </w:rPr>
      </w:pPr>
      <w:bookmarkStart w:id="303" w:name="_Toc12969"/>
      <w:bookmarkStart w:id="304" w:name="_Toc24242"/>
      <w:r>
        <w:rPr>
          <w:rFonts w:hint="eastAsia"/>
          <w:highlight w:val="none"/>
          <w:lang w:val="en-US" w:eastAsia="zh-CN"/>
        </w:rPr>
        <w:t>6.4.10.4监测记录表</w:t>
      </w:r>
      <w:bookmarkEnd w:id="303"/>
      <w:bookmarkEnd w:id="304"/>
    </w:p>
    <w:p w14:paraId="30176616">
      <w:pPr>
        <w:pStyle w:val="15"/>
        <w:bidi w:val="0"/>
        <w:rPr>
          <w:rFonts w:hint="eastAsia"/>
          <w:highlight w:val="none"/>
          <w:lang w:val="en-US" w:eastAsia="zh-CN"/>
        </w:rPr>
      </w:pPr>
      <w:r>
        <w:rPr>
          <w:rFonts w:hint="eastAsia"/>
          <w:highlight w:val="none"/>
          <w:lang w:val="en-US" w:eastAsia="zh-CN"/>
        </w:rPr>
        <w:t>表6-</w:t>
      </w:r>
      <w:r>
        <w:rPr>
          <w:rFonts w:hint="eastAsia"/>
          <w:highlight w:val="none"/>
          <w:lang w:val="en-US" w:eastAsia="zh-CN"/>
        </w:rPr>
        <w:fldChar w:fldCharType="begin"/>
      </w:r>
      <w:r>
        <w:rPr>
          <w:rFonts w:hint="eastAsia"/>
          <w:highlight w:val="none"/>
          <w:lang w:val="en-US" w:eastAsia="zh-CN"/>
        </w:rPr>
        <w:instrText xml:space="preserve"> SEQ 表6-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塔式起重机垂直度观测记录表</w:t>
      </w:r>
    </w:p>
    <w:tbl>
      <w:tblPr>
        <w:tblStyle w:val="30"/>
        <w:tblW w:w="4995"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36"/>
        <w:gridCol w:w="1121"/>
        <w:gridCol w:w="927"/>
        <w:gridCol w:w="929"/>
        <w:gridCol w:w="813"/>
        <w:gridCol w:w="813"/>
        <w:gridCol w:w="813"/>
        <w:gridCol w:w="813"/>
        <w:gridCol w:w="818"/>
        <w:gridCol w:w="830"/>
      </w:tblGrid>
      <w:tr w14:paraId="3C32F9A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373" w:type="pct"/>
            <w:tcBorders>
              <w:tl2br w:val="nil"/>
              <w:tr2bl w:val="nil"/>
            </w:tcBorders>
            <w:shd w:val="clear" w:color="auto" w:fill="DAE3F3" w:themeFill="accent5" w:themeFillTint="32"/>
            <w:noWrap w:val="0"/>
            <w:vAlign w:val="center"/>
          </w:tcPr>
          <w:p w14:paraId="6062E3B2">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658" w:type="pct"/>
            <w:tcBorders>
              <w:tl2br w:val="nil"/>
              <w:tr2bl w:val="nil"/>
            </w:tcBorders>
            <w:shd w:val="clear" w:color="auto" w:fill="DAE3F3" w:themeFill="accent5" w:themeFillTint="32"/>
            <w:noWrap w:val="0"/>
            <w:vAlign w:val="center"/>
          </w:tcPr>
          <w:p w14:paraId="3F69449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塔吊布置位置及编号</w:t>
            </w:r>
          </w:p>
        </w:tc>
        <w:tc>
          <w:tcPr>
            <w:tcW w:w="544" w:type="pct"/>
            <w:tcBorders>
              <w:tl2br w:val="nil"/>
              <w:tr2bl w:val="nil"/>
            </w:tcBorders>
            <w:shd w:val="clear" w:color="auto" w:fill="DAE3F3" w:themeFill="accent5" w:themeFillTint="32"/>
            <w:noWrap w:val="0"/>
            <w:vAlign w:val="center"/>
          </w:tcPr>
          <w:p w14:paraId="7B69464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观测日期</w:t>
            </w:r>
          </w:p>
        </w:tc>
        <w:tc>
          <w:tcPr>
            <w:tcW w:w="545" w:type="pct"/>
            <w:tcBorders>
              <w:tl2br w:val="nil"/>
              <w:tr2bl w:val="nil"/>
            </w:tcBorders>
            <w:shd w:val="clear" w:color="auto" w:fill="DAE3F3" w:themeFill="accent5" w:themeFillTint="32"/>
            <w:noWrap w:val="0"/>
            <w:vAlign w:val="center"/>
          </w:tcPr>
          <w:p w14:paraId="6C30A88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测量高度</w:t>
            </w:r>
          </w:p>
        </w:tc>
        <w:tc>
          <w:tcPr>
            <w:tcW w:w="477" w:type="pct"/>
            <w:tcBorders>
              <w:tl2br w:val="nil"/>
              <w:tr2bl w:val="nil"/>
            </w:tcBorders>
            <w:shd w:val="clear" w:color="auto" w:fill="DAE3F3" w:themeFill="accent5" w:themeFillTint="32"/>
            <w:noWrap w:val="0"/>
            <w:vAlign w:val="center"/>
          </w:tcPr>
          <w:p w14:paraId="6E20F109">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X方向偏差</w:t>
            </w:r>
          </w:p>
        </w:tc>
        <w:tc>
          <w:tcPr>
            <w:tcW w:w="477" w:type="pct"/>
            <w:tcBorders>
              <w:tl2br w:val="nil"/>
              <w:tr2bl w:val="nil"/>
            </w:tcBorders>
            <w:shd w:val="clear" w:color="auto" w:fill="DAE3F3" w:themeFill="accent5" w:themeFillTint="32"/>
            <w:noWrap w:val="0"/>
            <w:vAlign w:val="center"/>
          </w:tcPr>
          <w:p w14:paraId="29414AE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Y方向偏差</w:t>
            </w:r>
          </w:p>
        </w:tc>
        <w:tc>
          <w:tcPr>
            <w:tcW w:w="477" w:type="pct"/>
            <w:tcBorders>
              <w:tl2br w:val="nil"/>
              <w:tr2bl w:val="nil"/>
            </w:tcBorders>
            <w:shd w:val="clear" w:color="auto" w:fill="DAE3F3" w:themeFill="accent5" w:themeFillTint="32"/>
            <w:noWrap w:val="0"/>
            <w:vAlign w:val="center"/>
          </w:tcPr>
          <w:p w14:paraId="648292C7">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垂直度偏差</w:t>
            </w:r>
          </w:p>
        </w:tc>
        <w:tc>
          <w:tcPr>
            <w:tcW w:w="477" w:type="pct"/>
            <w:tcBorders>
              <w:tl2br w:val="nil"/>
              <w:tr2bl w:val="nil"/>
            </w:tcBorders>
            <w:shd w:val="clear" w:color="auto" w:fill="DAE3F3" w:themeFill="accent5" w:themeFillTint="32"/>
            <w:noWrap w:val="0"/>
            <w:vAlign w:val="center"/>
          </w:tcPr>
          <w:p w14:paraId="34DE9AEB">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测量仪器型号</w:t>
            </w:r>
          </w:p>
        </w:tc>
        <w:tc>
          <w:tcPr>
            <w:tcW w:w="480" w:type="pct"/>
            <w:tcBorders>
              <w:tl2br w:val="nil"/>
              <w:tr2bl w:val="nil"/>
            </w:tcBorders>
            <w:shd w:val="clear" w:color="auto" w:fill="DAE3F3" w:themeFill="accent5" w:themeFillTint="32"/>
            <w:noWrap w:val="0"/>
            <w:vAlign w:val="center"/>
          </w:tcPr>
          <w:p w14:paraId="3515DB84">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检测人</w:t>
            </w:r>
          </w:p>
        </w:tc>
        <w:tc>
          <w:tcPr>
            <w:tcW w:w="487" w:type="pct"/>
            <w:tcBorders>
              <w:tl2br w:val="nil"/>
              <w:tr2bl w:val="nil"/>
            </w:tcBorders>
            <w:shd w:val="clear" w:color="auto" w:fill="DAE3F3" w:themeFill="accent5" w:themeFillTint="32"/>
            <w:noWrap w:val="0"/>
            <w:vAlign w:val="center"/>
          </w:tcPr>
          <w:p w14:paraId="4829626E">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14:paraId="07842D8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6B99DD9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658" w:type="pct"/>
            <w:tcBorders>
              <w:tl2br w:val="nil"/>
              <w:tr2bl w:val="nil"/>
            </w:tcBorders>
            <w:noWrap w:val="0"/>
            <w:vAlign w:val="center"/>
          </w:tcPr>
          <w:p w14:paraId="087E00C9">
            <w:pPr>
              <w:spacing w:line="240" w:lineRule="auto"/>
              <w:ind w:firstLine="0" w:firstLineChars="0"/>
              <w:jc w:val="center"/>
              <w:rPr>
                <w:rFonts w:hint="eastAsia" w:ascii="仿宋" w:hAnsi="仿宋" w:eastAsia="仿宋" w:cs="仿宋"/>
                <w:sz w:val="21"/>
                <w:szCs w:val="21"/>
                <w:highlight w:val="none"/>
              </w:rPr>
            </w:pPr>
          </w:p>
        </w:tc>
        <w:tc>
          <w:tcPr>
            <w:tcW w:w="544" w:type="pct"/>
            <w:tcBorders>
              <w:tl2br w:val="nil"/>
              <w:tr2bl w:val="nil"/>
            </w:tcBorders>
            <w:noWrap w:val="0"/>
            <w:vAlign w:val="center"/>
          </w:tcPr>
          <w:p w14:paraId="7F9F1E63">
            <w:pPr>
              <w:spacing w:line="240" w:lineRule="auto"/>
              <w:ind w:firstLine="0" w:firstLineChars="0"/>
              <w:jc w:val="center"/>
              <w:rPr>
                <w:rFonts w:hint="eastAsia" w:ascii="仿宋" w:hAnsi="仿宋" w:eastAsia="仿宋" w:cs="仿宋"/>
                <w:sz w:val="21"/>
                <w:szCs w:val="21"/>
                <w:highlight w:val="none"/>
              </w:rPr>
            </w:pPr>
          </w:p>
        </w:tc>
        <w:tc>
          <w:tcPr>
            <w:tcW w:w="545" w:type="pct"/>
            <w:tcBorders>
              <w:tl2br w:val="nil"/>
              <w:tr2bl w:val="nil"/>
            </w:tcBorders>
            <w:noWrap w:val="0"/>
            <w:vAlign w:val="center"/>
          </w:tcPr>
          <w:p w14:paraId="3957A43B">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42DAFBD1">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3917C1F8">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76D85C95">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1F29FF87">
            <w:pPr>
              <w:spacing w:line="240" w:lineRule="auto"/>
              <w:ind w:firstLine="0" w:firstLineChars="0"/>
              <w:jc w:val="center"/>
              <w:rPr>
                <w:rFonts w:hint="eastAsia" w:ascii="仿宋" w:hAnsi="仿宋" w:eastAsia="仿宋" w:cs="仿宋"/>
                <w:sz w:val="21"/>
                <w:szCs w:val="21"/>
                <w:highlight w:val="none"/>
              </w:rPr>
            </w:pPr>
          </w:p>
        </w:tc>
        <w:tc>
          <w:tcPr>
            <w:tcW w:w="480" w:type="pct"/>
            <w:tcBorders>
              <w:tl2br w:val="nil"/>
              <w:tr2bl w:val="nil"/>
            </w:tcBorders>
            <w:noWrap w:val="0"/>
            <w:vAlign w:val="center"/>
          </w:tcPr>
          <w:p w14:paraId="6DA6B557">
            <w:pPr>
              <w:spacing w:line="240" w:lineRule="auto"/>
              <w:ind w:firstLine="0" w:firstLineChars="0"/>
              <w:jc w:val="center"/>
              <w:rPr>
                <w:rFonts w:hint="eastAsia" w:ascii="仿宋" w:hAnsi="仿宋" w:eastAsia="仿宋" w:cs="仿宋"/>
                <w:sz w:val="21"/>
                <w:szCs w:val="21"/>
                <w:highlight w:val="none"/>
              </w:rPr>
            </w:pPr>
          </w:p>
        </w:tc>
        <w:tc>
          <w:tcPr>
            <w:tcW w:w="487" w:type="pct"/>
            <w:tcBorders>
              <w:tl2br w:val="nil"/>
              <w:tr2bl w:val="nil"/>
            </w:tcBorders>
            <w:noWrap w:val="0"/>
            <w:vAlign w:val="center"/>
          </w:tcPr>
          <w:p w14:paraId="73BD7B3D">
            <w:pPr>
              <w:spacing w:line="240" w:lineRule="auto"/>
              <w:ind w:firstLine="0" w:firstLineChars="0"/>
              <w:jc w:val="center"/>
              <w:rPr>
                <w:rFonts w:hint="eastAsia" w:ascii="仿宋" w:hAnsi="仿宋" w:eastAsia="仿宋" w:cs="仿宋"/>
                <w:sz w:val="21"/>
                <w:szCs w:val="21"/>
                <w:highlight w:val="none"/>
              </w:rPr>
            </w:pPr>
          </w:p>
        </w:tc>
      </w:tr>
      <w:tr w14:paraId="1F125C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12AA22C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658" w:type="pct"/>
            <w:tcBorders>
              <w:tl2br w:val="nil"/>
              <w:tr2bl w:val="nil"/>
            </w:tcBorders>
            <w:noWrap w:val="0"/>
            <w:vAlign w:val="center"/>
          </w:tcPr>
          <w:p w14:paraId="747EABCC">
            <w:pPr>
              <w:spacing w:line="240" w:lineRule="auto"/>
              <w:ind w:firstLine="0" w:firstLineChars="0"/>
              <w:jc w:val="center"/>
              <w:rPr>
                <w:rFonts w:hint="eastAsia" w:ascii="仿宋" w:hAnsi="仿宋" w:eastAsia="仿宋" w:cs="仿宋"/>
                <w:sz w:val="21"/>
                <w:szCs w:val="21"/>
                <w:highlight w:val="none"/>
              </w:rPr>
            </w:pPr>
          </w:p>
        </w:tc>
        <w:tc>
          <w:tcPr>
            <w:tcW w:w="544" w:type="pct"/>
            <w:tcBorders>
              <w:tl2br w:val="nil"/>
              <w:tr2bl w:val="nil"/>
            </w:tcBorders>
            <w:noWrap w:val="0"/>
            <w:vAlign w:val="center"/>
          </w:tcPr>
          <w:p w14:paraId="1F54A54B">
            <w:pPr>
              <w:spacing w:line="240" w:lineRule="auto"/>
              <w:ind w:firstLine="0" w:firstLineChars="0"/>
              <w:jc w:val="center"/>
              <w:rPr>
                <w:rFonts w:hint="eastAsia" w:ascii="仿宋" w:hAnsi="仿宋" w:eastAsia="仿宋" w:cs="仿宋"/>
                <w:sz w:val="21"/>
                <w:szCs w:val="21"/>
                <w:highlight w:val="none"/>
              </w:rPr>
            </w:pPr>
          </w:p>
        </w:tc>
        <w:tc>
          <w:tcPr>
            <w:tcW w:w="545" w:type="pct"/>
            <w:tcBorders>
              <w:tl2br w:val="nil"/>
              <w:tr2bl w:val="nil"/>
            </w:tcBorders>
            <w:noWrap w:val="0"/>
            <w:vAlign w:val="center"/>
          </w:tcPr>
          <w:p w14:paraId="5B913B05">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5E8E1AA7">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46006DAD">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0938D410">
            <w:pPr>
              <w:spacing w:line="240" w:lineRule="auto"/>
              <w:ind w:firstLine="0" w:firstLineChars="0"/>
              <w:jc w:val="center"/>
              <w:rPr>
                <w:rFonts w:hint="eastAsia" w:ascii="仿宋" w:hAnsi="仿宋" w:eastAsia="仿宋" w:cs="仿宋"/>
                <w:sz w:val="21"/>
                <w:szCs w:val="21"/>
                <w:highlight w:val="none"/>
              </w:rPr>
            </w:pPr>
          </w:p>
        </w:tc>
        <w:tc>
          <w:tcPr>
            <w:tcW w:w="477" w:type="pct"/>
            <w:tcBorders>
              <w:tl2br w:val="nil"/>
              <w:tr2bl w:val="nil"/>
            </w:tcBorders>
            <w:noWrap w:val="0"/>
            <w:vAlign w:val="center"/>
          </w:tcPr>
          <w:p w14:paraId="5B44B555">
            <w:pPr>
              <w:spacing w:line="240" w:lineRule="auto"/>
              <w:ind w:firstLine="0" w:firstLineChars="0"/>
              <w:jc w:val="center"/>
              <w:rPr>
                <w:rFonts w:hint="eastAsia" w:ascii="仿宋" w:hAnsi="仿宋" w:eastAsia="仿宋" w:cs="仿宋"/>
                <w:sz w:val="21"/>
                <w:szCs w:val="21"/>
                <w:highlight w:val="none"/>
              </w:rPr>
            </w:pPr>
          </w:p>
        </w:tc>
        <w:tc>
          <w:tcPr>
            <w:tcW w:w="480" w:type="pct"/>
            <w:tcBorders>
              <w:tl2br w:val="nil"/>
              <w:tr2bl w:val="nil"/>
            </w:tcBorders>
            <w:noWrap w:val="0"/>
            <w:vAlign w:val="center"/>
          </w:tcPr>
          <w:p w14:paraId="769149BE">
            <w:pPr>
              <w:spacing w:line="240" w:lineRule="auto"/>
              <w:ind w:firstLine="0" w:firstLineChars="0"/>
              <w:jc w:val="center"/>
              <w:rPr>
                <w:rFonts w:hint="eastAsia" w:ascii="仿宋" w:hAnsi="仿宋" w:eastAsia="仿宋" w:cs="仿宋"/>
                <w:sz w:val="21"/>
                <w:szCs w:val="21"/>
                <w:highlight w:val="none"/>
              </w:rPr>
            </w:pPr>
          </w:p>
        </w:tc>
        <w:tc>
          <w:tcPr>
            <w:tcW w:w="487" w:type="pct"/>
            <w:tcBorders>
              <w:tl2br w:val="nil"/>
              <w:tr2bl w:val="nil"/>
            </w:tcBorders>
            <w:noWrap w:val="0"/>
            <w:vAlign w:val="center"/>
          </w:tcPr>
          <w:p w14:paraId="181829D7">
            <w:pPr>
              <w:spacing w:line="240" w:lineRule="auto"/>
              <w:ind w:firstLine="0" w:firstLineChars="0"/>
              <w:jc w:val="center"/>
              <w:rPr>
                <w:rFonts w:hint="eastAsia" w:ascii="仿宋" w:hAnsi="仿宋" w:eastAsia="仿宋" w:cs="仿宋"/>
                <w:sz w:val="21"/>
                <w:szCs w:val="21"/>
                <w:highlight w:val="none"/>
              </w:rPr>
            </w:pPr>
          </w:p>
        </w:tc>
      </w:tr>
    </w:tbl>
    <w:p w14:paraId="310ED20F">
      <w:pPr>
        <w:pStyle w:val="15"/>
        <w:bidi w:val="0"/>
        <w:rPr>
          <w:rFonts w:hint="eastAsia"/>
          <w:highlight w:val="none"/>
          <w:lang w:val="en-US" w:eastAsia="zh-CN"/>
        </w:rPr>
      </w:pPr>
      <w:r>
        <w:rPr>
          <w:rFonts w:hint="eastAsia"/>
          <w:highlight w:val="none"/>
          <w:lang w:val="en-US" w:eastAsia="zh-CN"/>
        </w:rPr>
        <w:t>表6-</w:t>
      </w:r>
      <w:r>
        <w:rPr>
          <w:rFonts w:hint="eastAsia"/>
          <w:highlight w:val="none"/>
          <w:lang w:val="en-US" w:eastAsia="zh-CN"/>
        </w:rPr>
        <w:fldChar w:fldCharType="begin"/>
      </w:r>
      <w:r>
        <w:rPr>
          <w:rFonts w:hint="eastAsia"/>
          <w:highlight w:val="none"/>
          <w:lang w:val="en-US" w:eastAsia="zh-CN"/>
        </w:rPr>
        <w:instrText xml:space="preserve"> SEQ 表6- \* ARABIC </w:instrText>
      </w:r>
      <w:r>
        <w:rPr>
          <w:rFonts w:hint="eastAsia"/>
          <w:highlight w:val="none"/>
          <w:lang w:val="en-US" w:eastAsia="zh-CN"/>
        </w:rPr>
        <w:fldChar w:fldCharType="separate"/>
      </w:r>
      <w:r>
        <w:rPr>
          <w:rFonts w:hint="eastAsia"/>
          <w:highlight w:val="none"/>
          <w:lang w:val="en-US" w:eastAsia="zh-CN"/>
        </w:rPr>
        <w:t>2</w:t>
      </w:r>
      <w:r>
        <w:rPr>
          <w:rFonts w:hint="eastAsia"/>
          <w:highlight w:val="none"/>
          <w:lang w:val="en-US" w:eastAsia="zh-CN"/>
        </w:rPr>
        <w:fldChar w:fldCharType="end"/>
      </w:r>
      <w:r>
        <w:rPr>
          <w:rFonts w:hint="eastAsia"/>
          <w:highlight w:val="none"/>
          <w:lang w:val="en-US" w:eastAsia="zh-CN"/>
        </w:rPr>
        <w:t>塔式起重机基础沉降、位移观测记录表</w:t>
      </w:r>
    </w:p>
    <w:tbl>
      <w:tblPr>
        <w:tblStyle w:val="30"/>
        <w:tblW w:w="4997"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36"/>
        <w:gridCol w:w="704"/>
        <w:gridCol w:w="619"/>
        <w:gridCol w:w="803"/>
        <w:gridCol w:w="812"/>
        <w:gridCol w:w="534"/>
        <w:gridCol w:w="655"/>
        <w:gridCol w:w="694"/>
        <w:gridCol w:w="536"/>
        <w:gridCol w:w="544"/>
        <w:gridCol w:w="635"/>
        <w:gridCol w:w="670"/>
        <w:gridCol w:w="675"/>
      </w:tblGrid>
      <w:tr w14:paraId="5F48FF3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63" w:hRule="atLeast"/>
          <w:tblHeader/>
          <w:jc w:val="center"/>
        </w:trPr>
        <w:tc>
          <w:tcPr>
            <w:tcW w:w="373" w:type="pct"/>
            <w:vMerge w:val="restart"/>
            <w:tcBorders>
              <w:tl2br w:val="nil"/>
              <w:tr2bl w:val="nil"/>
            </w:tcBorders>
            <w:shd w:val="clear" w:color="auto" w:fill="DAE3F3" w:themeFill="accent5" w:themeFillTint="32"/>
            <w:noWrap w:val="0"/>
            <w:vAlign w:val="center"/>
          </w:tcPr>
          <w:p w14:paraId="0EC8E439">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序号</w:t>
            </w:r>
          </w:p>
        </w:tc>
        <w:tc>
          <w:tcPr>
            <w:tcW w:w="413" w:type="pct"/>
            <w:vMerge w:val="restart"/>
            <w:tcBorders>
              <w:tl2br w:val="nil"/>
              <w:tr2bl w:val="nil"/>
            </w:tcBorders>
            <w:shd w:val="clear" w:color="auto" w:fill="DAE3F3" w:themeFill="accent5" w:themeFillTint="32"/>
            <w:noWrap w:val="0"/>
            <w:vAlign w:val="center"/>
          </w:tcPr>
          <w:p w14:paraId="2023215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塔吊布置位置及编号</w:t>
            </w:r>
          </w:p>
        </w:tc>
        <w:tc>
          <w:tcPr>
            <w:tcW w:w="363" w:type="pct"/>
            <w:vMerge w:val="restart"/>
            <w:tcBorders>
              <w:tl2br w:val="nil"/>
              <w:tr2bl w:val="nil"/>
            </w:tcBorders>
            <w:shd w:val="clear" w:color="auto" w:fill="DAE3F3" w:themeFill="accent5" w:themeFillTint="32"/>
            <w:noWrap w:val="0"/>
            <w:vAlign w:val="center"/>
          </w:tcPr>
          <w:p w14:paraId="3D61DD5D">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观测日期</w:t>
            </w:r>
          </w:p>
        </w:tc>
        <w:tc>
          <w:tcPr>
            <w:tcW w:w="471" w:type="pct"/>
            <w:vMerge w:val="restart"/>
            <w:tcBorders>
              <w:tl2br w:val="nil"/>
              <w:tr2bl w:val="nil"/>
            </w:tcBorders>
            <w:shd w:val="clear" w:color="auto" w:fill="DAE3F3" w:themeFill="accent5" w:themeFillTint="32"/>
            <w:noWrap w:val="0"/>
            <w:vAlign w:val="center"/>
          </w:tcPr>
          <w:p w14:paraId="4A9674FA">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X坐标值</w:t>
            </w:r>
          </w:p>
        </w:tc>
        <w:tc>
          <w:tcPr>
            <w:tcW w:w="476" w:type="pct"/>
            <w:vMerge w:val="restart"/>
            <w:tcBorders>
              <w:tl2br w:val="nil"/>
              <w:tr2bl w:val="nil"/>
            </w:tcBorders>
            <w:shd w:val="clear" w:color="auto" w:fill="DAE3F3" w:themeFill="accent5" w:themeFillTint="32"/>
            <w:noWrap w:val="0"/>
            <w:vAlign w:val="center"/>
          </w:tcPr>
          <w:p w14:paraId="61C563B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Y坐标值</w:t>
            </w:r>
          </w:p>
        </w:tc>
        <w:tc>
          <w:tcPr>
            <w:tcW w:w="313" w:type="pct"/>
            <w:vMerge w:val="restart"/>
            <w:tcBorders>
              <w:tl2br w:val="nil"/>
              <w:tr2bl w:val="nil"/>
            </w:tcBorders>
            <w:shd w:val="clear" w:color="auto" w:fill="DAE3F3" w:themeFill="accent5" w:themeFillTint="32"/>
            <w:noWrap w:val="0"/>
            <w:vAlign w:val="center"/>
          </w:tcPr>
          <w:p w14:paraId="2633D97C">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高程值(m)</w:t>
            </w:r>
          </w:p>
        </w:tc>
        <w:tc>
          <w:tcPr>
            <w:tcW w:w="791" w:type="pct"/>
            <w:gridSpan w:val="2"/>
            <w:tcBorders>
              <w:tl2br w:val="nil"/>
              <w:tr2bl w:val="nil"/>
            </w:tcBorders>
            <w:shd w:val="clear" w:color="auto" w:fill="DAE3F3" w:themeFill="accent5" w:themeFillTint="32"/>
            <w:noWrap w:val="0"/>
            <w:vAlign w:val="center"/>
          </w:tcPr>
          <w:p w14:paraId="1D704B13">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沉降差（mm）</w:t>
            </w:r>
          </w:p>
        </w:tc>
        <w:tc>
          <w:tcPr>
            <w:tcW w:w="633" w:type="pct"/>
            <w:gridSpan w:val="2"/>
            <w:tcBorders>
              <w:tl2br w:val="nil"/>
              <w:tr2bl w:val="nil"/>
            </w:tcBorders>
            <w:shd w:val="clear" w:color="auto" w:fill="DAE3F3" w:themeFill="accent5" w:themeFillTint="32"/>
            <w:noWrap w:val="0"/>
            <w:vAlign w:val="center"/>
          </w:tcPr>
          <w:p w14:paraId="66AFD6F4">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位移差（mm）</w:t>
            </w:r>
          </w:p>
        </w:tc>
        <w:tc>
          <w:tcPr>
            <w:tcW w:w="372" w:type="pct"/>
            <w:vMerge w:val="restart"/>
            <w:tcBorders>
              <w:tl2br w:val="nil"/>
              <w:tr2bl w:val="nil"/>
            </w:tcBorders>
            <w:shd w:val="clear" w:color="auto" w:fill="DAE3F3" w:themeFill="accent5" w:themeFillTint="32"/>
            <w:noWrap w:val="0"/>
            <w:vAlign w:val="center"/>
          </w:tcPr>
          <w:p w14:paraId="42C48822">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测量仪器型号</w:t>
            </w:r>
          </w:p>
        </w:tc>
        <w:tc>
          <w:tcPr>
            <w:tcW w:w="393" w:type="pct"/>
            <w:vMerge w:val="restart"/>
            <w:tcBorders>
              <w:tl2br w:val="nil"/>
              <w:tr2bl w:val="nil"/>
            </w:tcBorders>
            <w:shd w:val="clear" w:color="auto" w:fill="DAE3F3" w:themeFill="accent5" w:themeFillTint="32"/>
            <w:noWrap w:val="0"/>
            <w:vAlign w:val="center"/>
          </w:tcPr>
          <w:p w14:paraId="6845FC0F">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检测人</w:t>
            </w:r>
          </w:p>
        </w:tc>
        <w:tc>
          <w:tcPr>
            <w:tcW w:w="395" w:type="pct"/>
            <w:vMerge w:val="restart"/>
            <w:tcBorders>
              <w:tl2br w:val="nil"/>
              <w:tr2bl w:val="nil"/>
            </w:tcBorders>
            <w:shd w:val="clear" w:color="auto" w:fill="DAE3F3" w:themeFill="accent5" w:themeFillTint="32"/>
            <w:noWrap w:val="0"/>
            <w:vAlign w:val="center"/>
          </w:tcPr>
          <w:p w14:paraId="1ED050FE">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备注</w:t>
            </w:r>
          </w:p>
        </w:tc>
      </w:tr>
      <w:tr w14:paraId="477719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63" w:hRule="atLeast"/>
          <w:tblHeader/>
          <w:jc w:val="center"/>
        </w:trPr>
        <w:tc>
          <w:tcPr>
            <w:tcW w:w="373" w:type="pct"/>
            <w:vMerge w:val="continue"/>
            <w:tcBorders>
              <w:tl2br w:val="nil"/>
              <w:tr2bl w:val="nil"/>
            </w:tcBorders>
            <w:shd w:val="clear" w:color="auto" w:fill="DAE3F3" w:themeFill="accent5" w:themeFillTint="32"/>
            <w:noWrap w:val="0"/>
            <w:vAlign w:val="center"/>
          </w:tcPr>
          <w:p w14:paraId="4E8A9218">
            <w:pPr>
              <w:spacing w:line="240" w:lineRule="auto"/>
              <w:ind w:firstLine="0" w:firstLineChars="0"/>
              <w:jc w:val="center"/>
              <w:rPr>
                <w:highlight w:val="none"/>
              </w:rPr>
            </w:pPr>
          </w:p>
        </w:tc>
        <w:tc>
          <w:tcPr>
            <w:tcW w:w="413" w:type="pct"/>
            <w:vMerge w:val="continue"/>
            <w:tcBorders>
              <w:tl2br w:val="nil"/>
              <w:tr2bl w:val="nil"/>
            </w:tcBorders>
            <w:shd w:val="clear" w:color="auto" w:fill="DAE3F3" w:themeFill="accent5" w:themeFillTint="32"/>
            <w:noWrap w:val="0"/>
            <w:vAlign w:val="center"/>
          </w:tcPr>
          <w:p w14:paraId="7584E79E">
            <w:pPr>
              <w:spacing w:line="240" w:lineRule="auto"/>
              <w:ind w:firstLine="0" w:firstLineChars="0"/>
              <w:jc w:val="center"/>
              <w:rPr>
                <w:highlight w:val="none"/>
              </w:rPr>
            </w:pPr>
          </w:p>
        </w:tc>
        <w:tc>
          <w:tcPr>
            <w:tcW w:w="363" w:type="pct"/>
            <w:vMerge w:val="continue"/>
            <w:tcBorders>
              <w:tl2br w:val="nil"/>
              <w:tr2bl w:val="nil"/>
            </w:tcBorders>
            <w:shd w:val="clear" w:color="auto" w:fill="DAE3F3" w:themeFill="accent5" w:themeFillTint="32"/>
            <w:noWrap w:val="0"/>
            <w:vAlign w:val="center"/>
          </w:tcPr>
          <w:p w14:paraId="1AC2B482">
            <w:pPr>
              <w:spacing w:line="240" w:lineRule="auto"/>
              <w:ind w:firstLine="0" w:firstLineChars="0"/>
              <w:jc w:val="center"/>
              <w:rPr>
                <w:highlight w:val="none"/>
              </w:rPr>
            </w:pPr>
          </w:p>
        </w:tc>
        <w:tc>
          <w:tcPr>
            <w:tcW w:w="471" w:type="pct"/>
            <w:vMerge w:val="continue"/>
            <w:tcBorders>
              <w:tl2br w:val="nil"/>
              <w:tr2bl w:val="nil"/>
            </w:tcBorders>
            <w:shd w:val="clear" w:color="auto" w:fill="DAE3F3" w:themeFill="accent5" w:themeFillTint="32"/>
            <w:noWrap w:val="0"/>
            <w:vAlign w:val="center"/>
          </w:tcPr>
          <w:p w14:paraId="41015434">
            <w:pPr>
              <w:spacing w:line="240" w:lineRule="auto"/>
              <w:ind w:firstLine="0" w:firstLineChars="0"/>
              <w:jc w:val="center"/>
              <w:rPr>
                <w:highlight w:val="none"/>
              </w:rPr>
            </w:pPr>
          </w:p>
        </w:tc>
        <w:tc>
          <w:tcPr>
            <w:tcW w:w="476" w:type="pct"/>
            <w:vMerge w:val="continue"/>
            <w:tcBorders>
              <w:tl2br w:val="nil"/>
              <w:tr2bl w:val="nil"/>
            </w:tcBorders>
            <w:shd w:val="clear" w:color="auto" w:fill="DAE3F3" w:themeFill="accent5" w:themeFillTint="32"/>
            <w:noWrap w:val="0"/>
            <w:vAlign w:val="center"/>
          </w:tcPr>
          <w:p w14:paraId="0F69C141">
            <w:pPr>
              <w:spacing w:line="240" w:lineRule="auto"/>
              <w:ind w:firstLine="0" w:firstLineChars="0"/>
              <w:jc w:val="center"/>
              <w:rPr>
                <w:highlight w:val="none"/>
              </w:rPr>
            </w:pPr>
          </w:p>
        </w:tc>
        <w:tc>
          <w:tcPr>
            <w:tcW w:w="313" w:type="pct"/>
            <w:vMerge w:val="continue"/>
            <w:tcBorders>
              <w:tl2br w:val="nil"/>
              <w:tr2bl w:val="nil"/>
            </w:tcBorders>
            <w:shd w:val="clear" w:color="auto" w:fill="DAE3F3" w:themeFill="accent5" w:themeFillTint="32"/>
            <w:noWrap w:val="0"/>
            <w:vAlign w:val="center"/>
          </w:tcPr>
          <w:p w14:paraId="0A1AE50B">
            <w:pPr>
              <w:spacing w:line="240" w:lineRule="auto"/>
              <w:ind w:firstLine="0" w:firstLineChars="0"/>
              <w:jc w:val="center"/>
              <w:rPr>
                <w:highlight w:val="none"/>
              </w:rPr>
            </w:pPr>
          </w:p>
        </w:tc>
        <w:tc>
          <w:tcPr>
            <w:tcW w:w="384" w:type="pct"/>
            <w:tcBorders>
              <w:tl2br w:val="nil"/>
              <w:tr2bl w:val="nil"/>
            </w:tcBorders>
            <w:shd w:val="clear" w:color="auto" w:fill="DAE3F3" w:themeFill="accent5" w:themeFillTint="32"/>
            <w:noWrap w:val="0"/>
            <w:vAlign w:val="center"/>
          </w:tcPr>
          <w:p w14:paraId="6743EC59">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本次</w:t>
            </w:r>
          </w:p>
        </w:tc>
        <w:tc>
          <w:tcPr>
            <w:tcW w:w="406" w:type="pct"/>
            <w:tcBorders>
              <w:tl2br w:val="nil"/>
              <w:tr2bl w:val="nil"/>
            </w:tcBorders>
            <w:shd w:val="clear" w:color="auto" w:fill="DAE3F3" w:themeFill="accent5" w:themeFillTint="32"/>
            <w:noWrap w:val="0"/>
            <w:vAlign w:val="center"/>
          </w:tcPr>
          <w:p w14:paraId="5F4E9CB4">
            <w:pPr>
              <w:spacing w:line="240" w:lineRule="auto"/>
              <w:ind w:firstLine="0" w:firstLineChars="0"/>
              <w:jc w:val="center"/>
              <w:rPr>
                <w:rFonts w:hint="default"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累计</w:t>
            </w:r>
          </w:p>
        </w:tc>
        <w:tc>
          <w:tcPr>
            <w:tcW w:w="314" w:type="pct"/>
            <w:tcBorders>
              <w:tl2br w:val="nil"/>
              <w:tr2bl w:val="nil"/>
            </w:tcBorders>
            <w:shd w:val="clear" w:color="auto" w:fill="DAE3F3" w:themeFill="accent5" w:themeFillTint="32"/>
            <w:noWrap w:val="0"/>
            <w:vAlign w:val="center"/>
          </w:tcPr>
          <w:p w14:paraId="4361630A">
            <w:pPr>
              <w:spacing w:line="240" w:lineRule="auto"/>
              <w:ind w:firstLine="0" w:firstLineChars="0"/>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本次</w:t>
            </w:r>
          </w:p>
        </w:tc>
        <w:tc>
          <w:tcPr>
            <w:tcW w:w="318" w:type="pct"/>
            <w:tcBorders>
              <w:tl2br w:val="nil"/>
              <w:tr2bl w:val="nil"/>
            </w:tcBorders>
            <w:shd w:val="clear" w:color="auto" w:fill="DAE3F3" w:themeFill="accent5" w:themeFillTint="32"/>
            <w:noWrap w:val="0"/>
            <w:vAlign w:val="center"/>
          </w:tcPr>
          <w:p w14:paraId="30C60249">
            <w:pPr>
              <w:spacing w:line="240" w:lineRule="auto"/>
              <w:ind w:firstLine="0" w:firstLineChars="0"/>
              <w:jc w:val="center"/>
              <w:rPr>
                <w:highlight w:val="none"/>
              </w:rPr>
            </w:pPr>
            <w:r>
              <w:rPr>
                <w:rFonts w:hint="eastAsia" w:ascii="仿宋" w:hAnsi="仿宋" w:eastAsia="仿宋" w:cs="仿宋"/>
                <w:b/>
                <w:bCs/>
                <w:sz w:val="21"/>
                <w:szCs w:val="21"/>
                <w:highlight w:val="none"/>
                <w:lang w:val="en-US" w:eastAsia="zh-CN"/>
              </w:rPr>
              <w:t>累计</w:t>
            </w:r>
          </w:p>
        </w:tc>
        <w:tc>
          <w:tcPr>
            <w:tcW w:w="372" w:type="pct"/>
            <w:vMerge w:val="continue"/>
            <w:tcBorders>
              <w:tl2br w:val="nil"/>
              <w:tr2bl w:val="nil"/>
            </w:tcBorders>
            <w:shd w:val="clear" w:color="auto" w:fill="DAE3F3" w:themeFill="accent5" w:themeFillTint="32"/>
            <w:noWrap w:val="0"/>
            <w:vAlign w:val="center"/>
          </w:tcPr>
          <w:p w14:paraId="0527C13E">
            <w:pPr>
              <w:spacing w:line="240" w:lineRule="auto"/>
              <w:ind w:firstLine="0" w:firstLineChars="0"/>
              <w:jc w:val="center"/>
              <w:rPr>
                <w:rFonts w:hint="eastAsia" w:ascii="仿宋" w:hAnsi="仿宋" w:eastAsia="仿宋" w:cs="仿宋"/>
                <w:b/>
                <w:bCs/>
                <w:sz w:val="21"/>
                <w:szCs w:val="21"/>
                <w:highlight w:val="none"/>
                <w:lang w:val="en-US" w:eastAsia="zh-CN"/>
              </w:rPr>
            </w:pPr>
          </w:p>
        </w:tc>
        <w:tc>
          <w:tcPr>
            <w:tcW w:w="393" w:type="pct"/>
            <w:vMerge w:val="continue"/>
            <w:tcBorders>
              <w:tl2br w:val="nil"/>
              <w:tr2bl w:val="nil"/>
            </w:tcBorders>
            <w:shd w:val="clear" w:color="auto" w:fill="DAE3F3" w:themeFill="accent5" w:themeFillTint="32"/>
            <w:noWrap w:val="0"/>
            <w:vAlign w:val="center"/>
          </w:tcPr>
          <w:p w14:paraId="65641A9D">
            <w:pPr>
              <w:spacing w:line="240" w:lineRule="auto"/>
              <w:ind w:firstLine="0" w:firstLineChars="0"/>
              <w:jc w:val="center"/>
              <w:rPr>
                <w:rFonts w:hint="eastAsia" w:ascii="仿宋" w:hAnsi="仿宋" w:eastAsia="仿宋" w:cs="仿宋"/>
                <w:b/>
                <w:bCs/>
                <w:sz w:val="21"/>
                <w:szCs w:val="21"/>
                <w:highlight w:val="none"/>
                <w:lang w:val="en-US" w:eastAsia="zh-CN"/>
              </w:rPr>
            </w:pPr>
          </w:p>
        </w:tc>
        <w:tc>
          <w:tcPr>
            <w:tcW w:w="395" w:type="pct"/>
            <w:vMerge w:val="continue"/>
            <w:tcBorders>
              <w:tl2br w:val="nil"/>
              <w:tr2bl w:val="nil"/>
            </w:tcBorders>
            <w:shd w:val="clear" w:color="auto" w:fill="DAE3F3" w:themeFill="accent5" w:themeFillTint="32"/>
            <w:noWrap w:val="0"/>
            <w:vAlign w:val="center"/>
          </w:tcPr>
          <w:p w14:paraId="5D1AFA43">
            <w:pPr>
              <w:spacing w:line="240" w:lineRule="auto"/>
              <w:ind w:firstLine="0" w:firstLineChars="0"/>
              <w:jc w:val="center"/>
              <w:rPr>
                <w:rFonts w:hint="eastAsia" w:ascii="仿宋" w:hAnsi="仿宋" w:eastAsia="仿宋" w:cs="仿宋"/>
                <w:b/>
                <w:bCs/>
                <w:sz w:val="21"/>
                <w:szCs w:val="21"/>
                <w:highlight w:val="none"/>
                <w:lang w:val="en-US" w:eastAsia="zh-CN"/>
              </w:rPr>
            </w:pPr>
          </w:p>
        </w:tc>
      </w:tr>
      <w:tr w14:paraId="1F87BE6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57E6CA43">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413" w:type="pct"/>
            <w:tcBorders>
              <w:tl2br w:val="nil"/>
              <w:tr2bl w:val="nil"/>
            </w:tcBorders>
            <w:noWrap w:val="0"/>
            <w:vAlign w:val="center"/>
          </w:tcPr>
          <w:p w14:paraId="4B2C8B30">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7619C661">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0ED84AFC">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3C27422D">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579CE12C">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5A925338">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4FA20D28">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38221A6A">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4839EDDB">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6CA03E37">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30D6BCE6">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1FB57DC5">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初始值</w:t>
            </w:r>
          </w:p>
        </w:tc>
      </w:tr>
      <w:tr w14:paraId="2F9983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3B0B320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413" w:type="pct"/>
            <w:tcBorders>
              <w:tl2br w:val="nil"/>
              <w:tr2bl w:val="nil"/>
            </w:tcBorders>
            <w:noWrap w:val="0"/>
            <w:vAlign w:val="center"/>
          </w:tcPr>
          <w:p w14:paraId="20F899D5">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04E86281">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00883C15">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703760B8">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76CFD4C1">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1DBF52E6">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44A67814">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3A0A4D26">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21EFAF85">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11A58A75">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69023DA6">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2E3981AB">
            <w:pPr>
              <w:spacing w:line="240" w:lineRule="auto"/>
              <w:ind w:firstLine="0" w:firstLineChars="0"/>
              <w:jc w:val="center"/>
              <w:rPr>
                <w:rFonts w:hint="eastAsia" w:ascii="仿宋" w:hAnsi="仿宋" w:eastAsia="仿宋" w:cs="仿宋"/>
                <w:sz w:val="21"/>
                <w:szCs w:val="21"/>
                <w:highlight w:val="none"/>
              </w:rPr>
            </w:pPr>
          </w:p>
        </w:tc>
      </w:tr>
      <w:tr w14:paraId="1C7F727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73" w:type="pct"/>
            <w:tcBorders>
              <w:tl2br w:val="nil"/>
              <w:tr2bl w:val="nil"/>
            </w:tcBorders>
            <w:noWrap w:val="0"/>
            <w:vAlign w:val="center"/>
          </w:tcPr>
          <w:p w14:paraId="3F246E2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w:t>
            </w:r>
          </w:p>
        </w:tc>
        <w:tc>
          <w:tcPr>
            <w:tcW w:w="413" w:type="pct"/>
            <w:tcBorders>
              <w:tl2br w:val="nil"/>
              <w:tr2bl w:val="nil"/>
            </w:tcBorders>
            <w:noWrap w:val="0"/>
            <w:vAlign w:val="center"/>
          </w:tcPr>
          <w:p w14:paraId="390F4D55">
            <w:pPr>
              <w:spacing w:line="240" w:lineRule="auto"/>
              <w:ind w:firstLine="0" w:firstLineChars="0"/>
              <w:jc w:val="center"/>
              <w:rPr>
                <w:rFonts w:hint="eastAsia" w:ascii="仿宋" w:hAnsi="仿宋" w:eastAsia="仿宋" w:cs="仿宋"/>
                <w:sz w:val="21"/>
                <w:szCs w:val="21"/>
                <w:highlight w:val="none"/>
              </w:rPr>
            </w:pPr>
          </w:p>
        </w:tc>
        <w:tc>
          <w:tcPr>
            <w:tcW w:w="363" w:type="pct"/>
            <w:tcBorders>
              <w:tl2br w:val="nil"/>
              <w:tr2bl w:val="nil"/>
            </w:tcBorders>
            <w:noWrap w:val="0"/>
            <w:vAlign w:val="center"/>
          </w:tcPr>
          <w:p w14:paraId="4E1BA232">
            <w:pPr>
              <w:spacing w:line="240" w:lineRule="auto"/>
              <w:ind w:firstLine="0" w:firstLineChars="0"/>
              <w:jc w:val="center"/>
              <w:rPr>
                <w:rFonts w:hint="eastAsia" w:ascii="仿宋" w:hAnsi="仿宋" w:eastAsia="仿宋" w:cs="仿宋"/>
                <w:sz w:val="21"/>
                <w:szCs w:val="21"/>
                <w:highlight w:val="none"/>
              </w:rPr>
            </w:pPr>
          </w:p>
        </w:tc>
        <w:tc>
          <w:tcPr>
            <w:tcW w:w="471" w:type="pct"/>
            <w:tcBorders>
              <w:tl2br w:val="nil"/>
              <w:tr2bl w:val="nil"/>
            </w:tcBorders>
            <w:noWrap w:val="0"/>
            <w:vAlign w:val="center"/>
          </w:tcPr>
          <w:p w14:paraId="458E8D3D">
            <w:pPr>
              <w:spacing w:line="240" w:lineRule="auto"/>
              <w:ind w:firstLine="0" w:firstLineChars="0"/>
              <w:jc w:val="center"/>
              <w:rPr>
                <w:rFonts w:hint="eastAsia" w:ascii="仿宋" w:hAnsi="仿宋" w:eastAsia="仿宋" w:cs="仿宋"/>
                <w:sz w:val="21"/>
                <w:szCs w:val="21"/>
                <w:highlight w:val="none"/>
              </w:rPr>
            </w:pPr>
          </w:p>
        </w:tc>
        <w:tc>
          <w:tcPr>
            <w:tcW w:w="476" w:type="pct"/>
            <w:tcBorders>
              <w:tl2br w:val="nil"/>
              <w:tr2bl w:val="nil"/>
            </w:tcBorders>
            <w:noWrap w:val="0"/>
            <w:vAlign w:val="center"/>
          </w:tcPr>
          <w:p w14:paraId="10011838">
            <w:pPr>
              <w:spacing w:line="240" w:lineRule="auto"/>
              <w:ind w:firstLine="0" w:firstLineChars="0"/>
              <w:jc w:val="center"/>
              <w:rPr>
                <w:rFonts w:hint="eastAsia" w:ascii="仿宋" w:hAnsi="仿宋" w:eastAsia="仿宋" w:cs="仿宋"/>
                <w:sz w:val="21"/>
                <w:szCs w:val="21"/>
                <w:highlight w:val="none"/>
              </w:rPr>
            </w:pPr>
          </w:p>
        </w:tc>
        <w:tc>
          <w:tcPr>
            <w:tcW w:w="313" w:type="pct"/>
            <w:tcBorders>
              <w:tl2br w:val="nil"/>
              <w:tr2bl w:val="nil"/>
            </w:tcBorders>
            <w:noWrap w:val="0"/>
            <w:vAlign w:val="center"/>
          </w:tcPr>
          <w:p w14:paraId="2E778F61">
            <w:pPr>
              <w:spacing w:line="240" w:lineRule="auto"/>
              <w:ind w:firstLine="0" w:firstLineChars="0"/>
              <w:jc w:val="center"/>
              <w:rPr>
                <w:rFonts w:hint="eastAsia" w:ascii="仿宋" w:hAnsi="仿宋" w:eastAsia="仿宋" w:cs="仿宋"/>
                <w:sz w:val="21"/>
                <w:szCs w:val="21"/>
                <w:highlight w:val="none"/>
              </w:rPr>
            </w:pPr>
          </w:p>
        </w:tc>
        <w:tc>
          <w:tcPr>
            <w:tcW w:w="384" w:type="pct"/>
            <w:tcBorders>
              <w:tl2br w:val="nil"/>
              <w:tr2bl w:val="nil"/>
            </w:tcBorders>
            <w:noWrap w:val="0"/>
            <w:vAlign w:val="center"/>
          </w:tcPr>
          <w:p w14:paraId="49D960BF">
            <w:pPr>
              <w:spacing w:line="240" w:lineRule="auto"/>
              <w:ind w:firstLine="0" w:firstLineChars="0"/>
              <w:jc w:val="center"/>
              <w:rPr>
                <w:rFonts w:hint="eastAsia" w:ascii="仿宋" w:hAnsi="仿宋" w:eastAsia="仿宋" w:cs="仿宋"/>
                <w:sz w:val="21"/>
                <w:szCs w:val="21"/>
                <w:highlight w:val="none"/>
              </w:rPr>
            </w:pPr>
          </w:p>
        </w:tc>
        <w:tc>
          <w:tcPr>
            <w:tcW w:w="406" w:type="pct"/>
            <w:tcBorders>
              <w:tl2br w:val="nil"/>
              <w:tr2bl w:val="nil"/>
            </w:tcBorders>
            <w:noWrap w:val="0"/>
            <w:vAlign w:val="center"/>
          </w:tcPr>
          <w:p w14:paraId="3ED01AFA">
            <w:pPr>
              <w:spacing w:line="240" w:lineRule="auto"/>
              <w:ind w:firstLine="0" w:firstLineChars="0"/>
              <w:jc w:val="center"/>
              <w:rPr>
                <w:rFonts w:hint="eastAsia" w:ascii="仿宋" w:hAnsi="仿宋" w:eastAsia="仿宋" w:cs="仿宋"/>
                <w:sz w:val="21"/>
                <w:szCs w:val="21"/>
                <w:highlight w:val="none"/>
              </w:rPr>
            </w:pPr>
          </w:p>
        </w:tc>
        <w:tc>
          <w:tcPr>
            <w:tcW w:w="314" w:type="pct"/>
            <w:tcBorders>
              <w:tl2br w:val="nil"/>
              <w:tr2bl w:val="nil"/>
            </w:tcBorders>
            <w:noWrap w:val="0"/>
            <w:vAlign w:val="center"/>
          </w:tcPr>
          <w:p w14:paraId="5464505B">
            <w:pPr>
              <w:spacing w:line="240" w:lineRule="auto"/>
              <w:ind w:firstLine="0" w:firstLineChars="0"/>
              <w:jc w:val="center"/>
              <w:rPr>
                <w:rFonts w:hint="eastAsia" w:ascii="仿宋" w:hAnsi="仿宋" w:eastAsia="仿宋" w:cs="仿宋"/>
                <w:sz w:val="21"/>
                <w:szCs w:val="21"/>
                <w:highlight w:val="none"/>
              </w:rPr>
            </w:pPr>
          </w:p>
        </w:tc>
        <w:tc>
          <w:tcPr>
            <w:tcW w:w="318" w:type="pct"/>
            <w:tcBorders>
              <w:tl2br w:val="nil"/>
              <w:tr2bl w:val="nil"/>
            </w:tcBorders>
            <w:noWrap w:val="0"/>
            <w:vAlign w:val="center"/>
          </w:tcPr>
          <w:p w14:paraId="3F66D4EC">
            <w:pPr>
              <w:spacing w:line="240" w:lineRule="auto"/>
              <w:ind w:firstLine="0" w:firstLineChars="0"/>
              <w:jc w:val="center"/>
              <w:rPr>
                <w:rFonts w:hint="eastAsia" w:ascii="仿宋" w:hAnsi="仿宋" w:eastAsia="仿宋" w:cs="仿宋"/>
                <w:sz w:val="21"/>
                <w:szCs w:val="21"/>
                <w:highlight w:val="none"/>
              </w:rPr>
            </w:pPr>
          </w:p>
        </w:tc>
        <w:tc>
          <w:tcPr>
            <w:tcW w:w="372" w:type="pct"/>
            <w:tcBorders>
              <w:tl2br w:val="nil"/>
              <w:tr2bl w:val="nil"/>
            </w:tcBorders>
            <w:noWrap w:val="0"/>
            <w:vAlign w:val="center"/>
          </w:tcPr>
          <w:p w14:paraId="0FAC0EB2">
            <w:pPr>
              <w:spacing w:line="240" w:lineRule="auto"/>
              <w:ind w:firstLine="0" w:firstLineChars="0"/>
              <w:jc w:val="center"/>
              <w:rPr>
                <w:rFonts w:hint="eastAsia" w:ascii="仿宋" w:hAnsi="仿宋" w:eastAsia="仿宋" w:cs="仿宋"/>
                <w:sz w:val="21"/>
                <w:szCs w:val="21"/>
                <w:highlight w:val="none"/>
              </w:rPr>
            </w:pPr>
          </w:p>
        </w:tc>
        <w:tc>
          <w:tcPr>
            <w:tcW w:w="393" w:type="pct"/>
            <w:tcBorders>
              <w:tl2br w:val="nil"/>
              <w:tr2bl w:val="nil"/>
            </w:tcBorders>
            <w:noWrap w:val="0"/>
            <w:vAlign w:val="center"/>
          </w:tcPr>
          <w:p w14:paraId="49A97F0B">
            <w:pPr>
              <w:spacing w:line="240" w:lineRule="auto"/>
              <w:ind w:firstLine="0" w:firstLineChars="0"/>
              <w:jc w:val="center"/>
              <w:rPr>
                <w:rFonts w:hint="eastAsia" w:ascii="仿宋" w:hAnsi="仿宋" w:eastAsia="仿宋" w:cs="仿宋"/>
                <w:sz w:val="21"/>
                <w:szCs w:val="21"/>
                <w:highlight w:val="none"/>
              </w:rPr>
            </w:pPr>
          </w:p>
        </w:tc>
        <w:tc>
          <w:tcPr>
            <w:tcW w:w="395" w:type="pct"/>
            <w:tcBorders>
              <w:tl2br w:val="nil"/>
              <w:tr2bl w:val="nil"/>
            </w:tcBorders>
            <w:noWrap w:val="0"/>
            <w:vAlign w:val="center"/>
          </w:tcPr>
          <w:p w14:paraId="244320C1">
            <w:pPr>
              <w:spacing w:line="240" w:lineRule="auto"/>
              <w:ind w:firstLine="0" w:firstLineChars="0"/>
              <w:jc w:val="center"/>
              <w:rPr>
                <w:rFonts w:hint="eastAsia" w:ascii="仿宋" w:hAnsi="仿宋" w:eastAsia="仿宋" w:cs="仿宋"/>
                <w:sz w:val="21"/>
                <w:szCs w:val="21"/>
                <w:highlight w:val="none"/>
              </w:rPr>
            </w:pPr>
          </w:p>
        </w:tc>
      </w:tr>
    </w:tbl>
    <w:p w14:paraId="4434CAA0">
      <w:pPr>
        <w:rPr>
          <w:rFonts w:hint="default"/>
          <w:highlight w:val="none"/>
          <w:lang w:val="en-US" w:eastAsia="zh-CN"/>
        </w:rPr>
      </w:pPr>
    </w:p>
    <w:p w14:paraId="7C3FC8D7">
      <w:pPr>
        <w:pStyle w:val="12"/>
        <w:jc w:val="both"/>
        <w:rPr>
          <w:highlight w:val="none"/>
        </w:rPr>
      </w:pPr>
    </w:p>
    <w:p w14:paraId="7240E4B1">
      <w:pPr>
        <w:rPr>
          <w:rFonts w:ascii="黑体" w:hAnsi="黑体" w:eastAsia="黑体" w:cs="黑体"/>
          <w:color w:val="808080" w:themeColor="background1" w:themeShade="80"/>
          <w:highlight w:val="none"/>
        </w:rPr>
      </w:pPr>
      <w:r>
        <w:rPr>
          <w:rFonts w:hint="eastAsia" w:ascii="黑体" w:hAnsi="黑体" w:eastAsia="黑体" w:cs="黑体"/>
          <w:color w:val="808080" w:themeColor="background1" w:themeShade="80"/>
          <w:highlight w:val="none"/>
        </w:rPr>
        <w:br w:type="page"/>
      </w:r>
    </w:p>
    <w:p w14:paraId="4CA4D711">
      <w:pPr>
        <w:pStyle w:val="2"/>
        <w:bidi w:val="0"/>
        <w:rPr>
          <w:highlight w:val="none"/>
        </w:rPr>
      </w:pPr>
      <w:bookmarkStart w:id="305" w:name="_Toc9163"/>
      <w:bookmarkStart w:id="306" w:name="_Toc26404"/>
      <w:bookmarkStart w:id="307" w:name="_Toc7034"/>
      <w:bookmarkStart w:id="308" w:name="_Toc25094"/>
      <w:bookmarkStart w:id="309" w:name="_Toc10409836"/>
      <w:r>
        <w:rPr>
          <w:rFonts w:hint="eastAsia"/>
          <w:highlight w:val="none"/>
          <w:lang w:val="en-US" w:eastAsia="zh-CN"/>
        </w:rPr>
        <w:t>7</w:t>
      </w:r>
      <w:r>
        <w:rPr>
          <w:highlight w:val="none"/>
        </w:rPr>
        <w:t>施工管理及作业人员配备和分工</w:t>
      </w:r>
      <w:bookmarkEnd w:id="305"/>
      <w:bookmarkEnd w:id="306"/>
      <w:bookmarkEnd w:id="307"/>
      <w:bookmarkEnd w:id="308"/>
    </w:p>
    <w:p w14:paraId="28827606">
      <w:pPr>
        <w:pStyle w:val="3"/>
        <w:numPr>
          <w:ilvl w:val="0"/>
          <w:numId w:val="0"/>
        </w:numPr>
        <w:ind w:left="420" w:leftChars="0"/>
        <w:rPr>
          <w:highlight w:val="none"/>
        </w:rPr>
      </w:pPr>
      <w:bookmarkStart w:id="310" w:name="_Toc24986"/>
      <w:bookmarkStart w:id="311" w:name="_Toc22050"/>
      <w:bookmarkStart w:id="312" w:name="_Toc31316"/>
      <w:bookmarkStart w:id="313" w:name="_Toc10409814"/>
      <w:bookmarkStart w:id="314" w:name="_Toc28100"/>
      <w:r>
        <w:rPr>
          <w:rFonts w:hint="eastAsia"/>
          <w:highlight w:val="none"/>
          <w:lang w:val="en-US" w:eastAsia="zh-CN"/>
        </w:rPr>
        <w:t>7.1</w:t>
      </w:r>
      <w:r>
        <w:rPr>
          <w:rFonts w:hint="eastAsia"/>
          <w:highlight w:val="none"/>
        </w:rPr>
        <w:t>施工组织机构</w:t>
      </w:r>
      <w:bookmarkEnd w:id="310"/>
      <w:bookmarkEnd w:id="311"/>
      <w:bookmarkEnd w:id="312"/>
      <w:bookmarkEnd w:id="313"/>
      <w:bookmarkEnd w:id="314"/>
    </w:p>
    <w:p w14:paraId="21BB1141">
      <w:pPr>
        <w:pStyle w:val="66"/>
        <w:spacing w:before="156"/>
        <w:ind w:left="0" w:leftChars="0" w:firstLine="0" w:firstLineChars="0"/>
        <w:jc w:val="both"/>
        <w:rPr>
          <w:highlight w:val="none"/>
        </w:rPr>
      </w:pPr>
      <w:r>
        <w:rPr>
          <w:highlight w:val="none"/>
        </w:rPr>
        <w:drawing>
          <wp:inline distT="0" distB="0" distL="0" distR="0">
            <wp:extent cx="5168900" cy="2413635"/>
            <wp:effectExtent l="0" t="0" r="0" b="12065"/>
            <wp:docPr id="22" name="图片 1124"/>
            <wp:cNvGraphicFramePr/>
            <a:graphic xmlns:a="http://schemas.openxmlformats.org/drawingml/2006/main">
              <a:graphicData uri="http://schemas.openxmlformats.org/drawingml/2006/picture">
                <pic:pic xmlns:pic="http://schemas.openxmlformats.org/drawingml/2006/picture">
                  <pic:nvPicPr>
                    <pic:cNvPr id="22" name="图片 1124"/>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168900" cy="2413635"/>
                    </a:xfrm>
                    <a:prstGeom prst="rect">
                      <a:avLst/>
                    </a:prstGeom>
                    <a:noFill/>
                    <a:ln>
                      <a:noFill/>
                    </a:ln>
                  </pic:spPr>
                </pic:pic>
              </a:graphicData>
            </a:graphic>
          </wp:inline>
        </w:drawing>
      </w:r>
    </w:p>
    <w:p w14:paraId="2C97CF18">
      <w:pPr>
        <w:pStyle w:val="15"/>
        <w:bidi w:val="0"/>
        <w:rPr>
          <w:rFonts w:hint="eastAsia" w:ascii="仿宋" w:hAnsi="仿宋" w:eastAsia="仿宋" w:cs="仿宋"/>
          <w:b/>
          <w:bCs/>
          <w:color w:val="C00000"/>
          <w:kern w:val="2"/>
          <w:szCs w:val="24"/>
          <w:highlight w:val="none"/>
          <w:lang w:val="en-US" w:eastAsia="zh-CN" w:bidi="ar-SA"/>
        </w:rPr>
      </w:pPr>
      <w:r>
        <w:rPr>
          <w:rFonts w:hint="eastAsia"/>
          <w:highlight w:val="none"/>
          <w:lang w:val="en-US" w:eastAsia="zh-CN"/>
        </w:rPr>
        <w:t>图7.1-1 施工组织机构图</w:t>
      </w:r>
    </w:p>
    <w:p w14:paraId="6BB81D77">
      <w:pPr>
        <w:pStyle w:val="3"/>
        <w:numPr>
          <w:ilvl w:val="0"/>
          <w:numId w:val="0"/>
        </w:numPr>
        <w:ind w:left="420" w:leftChars="0"/>
        <w:rPr>
          <w:highlight w:val="none"/>
        </w:rPr>
      </w:pPr>
      <w:bookmarkStart w:id="315" w:name="_Toc8550"/>
      <w:bookmarkStart w:id="316" w:name="_Toc21435"/>
      <w:bookmarkStart w:id="317" w:name="_Toc11450"/>
      <w:bookmarkStart w:id="318" w:name="_Toc521"/>
      <w:bookmarkStart w:id="319" w:name="_Toc10409815"/>
      <w:r>
        <w:rPr>
          <w:rFonts w:hint="eastAsia"/>
          <w:highlight w:val="none"/>
          <w:lang w:val="en-US" w:eastAsia="zh-CN"/>
        </w:rPr>
        <w:t>7.2</w:t>
      </w:r>
      <w:r>
        <w:rPr>
          <w:rFonts w:hint="eastAsia"/>
          <w:highlight w:val="none"/>
        </w:rPr>
        <w:t>人员配置</w:t>
      </w:r>
      <w:bookmarkEnd w:id="315"/>
      <w:bookmarkEnd w:id="316"/>
      <w:bookmarkEnd w:id="317"/>
    </w:p>
    <w:bookmarkEnd w:id="318"/>
    <w:bookmarkEnd w:id="319"/>
    <w:p w14:paraId="259AC385">
      <w:pPr>
        <w:bidi w:val="0"/>
        <w:ind w:firstLine="480" w:firstLineChars="200"/>
        <w:rPr>
          <w:rFonts w:hint="default"/>
          <w:highlight w:val="none"/>
          <w:lang w:val="en-US"/>
        </w:rPr>
      </w:pPr>
      <w:r>
        <w:rPr>
          <w:rFonts w:hint="eastAsia"/>
          <w:highlight w:val="none"/>
          <w:lang w:val="en-US" w:eastAsia="zh-CN"/>
        </w:rPr>
        <w:t>1、塔吊安拆现场施工管理人员配置如下表所示。</w:t>
      </w:r>
    </w:p>
    <w:p w14:paraId="260B51B8">
      <w:pPr>
        <w:pStyle w:val="15"/>
        <w:bidi w:val="0"/>
        <w:rPr>
          <w:rFonts w:hint="default" w:ascii="仿宋" w:hAnsi="仿宋" w:eastAsia="仿宋" w:cs="仿宋"/>
          <w:b/>
          <w:bCs/>
          <w:color w:val="C00000"/>
          <w:kern w:val="2"/>
          <w:szCs w:val="24"/>
          <w:highlight w:val="none"/>
          <w:lang w:val="en-US" w:eastAsia="zh-CN" w:bidi="ar-SA"/>
        </w:rPr>
      </w:pPr>
      <w:r>
        <w:rPr>
          <w:rFonts w:hint="eastAsia"/>
          <w:highlight w:val="none"/>
          <w:lang w:val="en-US" w:eastAsia="zh-CN"/>
        </w:rPr>
        <w:t>表7.2-</w:t>
      </w:r>
      <w:r>
        <w:rPr>
          <w:rFonts w:hint="eastAsia"/>
          <w:highlight w:val="none"/>
          <w:lang w:val="en-US" w:eastAsia="zh-CN"/>
        </w:rPr>
        <w:fldChar w:fldCharType="begin"/>
      </w:r>
      <w:r>
        <w:rPr>
          <w:rFonts w:hint="eastAsia"/>
          <w:highlight w:val="none"/>
          <w:lang w:val="en-US" w:eastAsia="zh-CN"/>
        </w:rPr>
        <w:instrText xml:space="preserve"> SEQ 表5-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塔吊安拆施工管理人员配置计划表</w:t>
      </w:r>
    </w:p>
    <w:tbl>
      <w:tblPr>
        <w:tblStyle w:val="30"/>
        <w:tblW w:w="8554"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1365"/>
        <w:gridCol w:w="2268"/>
        <w:gridCol w:w="3912"/>
      </w:tblGrid>
      <w:tr w14:paraId="361C805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tblHeader/>
          <w:jc w:val="center"/>
        </w:trPr>
        <w:tc>
          <w:tcPr>
            <w:tcW w:w="1009" w:type="dxa"/>
            <w:tcBorders>
              <w:tl2br w:val="nil"/>
              <w:tr2bl w:val="nil"/>
            </w:tcBorders>
            <w:shd w:val="clear" w:color="auto" w:fill="DAE3F3" w:themeFill="accent5" w:themeFillTint="32"/>
            <w:vAlign w:val="center"/>
          </w:tcPr>
          <w:p w14:paraId="151F9607">
            <w:pPr>
              <w:pStyle w:val="105"/>
              <w:bidi w:val="0"/>
              <w:rPr>
                <w:rFonts w:hint="eastAsia"/>
                <w:highlight w:val="none"/>
              </w:rPr>
            </w:pPr>
            <w:r>
              <w:rPr>
                <w:rFonts w:hint="eastAsia"/>
                <w:highlight w:val="none"/>
              </w:rPr>
              <w:t>序号</w:t>
            </w:r>
          </w:p>
        </w:tc>
        <w:tc>
          <w:tcPr>
            <w:tcW w:w="1365" w:type="dxa"/>
            <w:tcBorders>
              <w:tl2br w:val="nil"/>
              <w:tr2bl w:val="nil"/>
            </w:tcBorders>
            <w:shd w:val="clear" w:color="auto" w:fill="DAE3F3" w:themeFill="accent5" w:themeFillTint="32"/>
            <w:vAlign w:val="center"/>
          </w:tcPr>
          <w:p w14:paraId="768CAB0A">
            <w:pPr>
              <w:pStyle w:val="105"/>
              <w:bidi w:val="0"/>
              <w:rPr>
                <w:rFonts w:hint="eastAsia"/>
                <w:highlight w:val="none"/>
                <w:lang w:val="en-US" w:eastAsia="zh-CN"/>
              </w:rPr>
            </w:pPr>
            <w:r>
              <w:rPr>
                <w:rFonts w:hint="eastAsia"/>
                <w:highlight w:val="none"/>
                <w:lang w:val="en-US" w:eastAsia="zh-CN"/>
              </w:rPr>
              <w:t>岗位名称</w:t>
            </w:r>
          </w:p>
        </w:tc>
        <w:tc>
          <w:tcPr>
            <w:tcW w:w="2268" w:type="dxa"/>
            <w:tcBorders>
              <w:tl2br w:val="nil"/>
              <w:tr2bl w:val="nil"/>
            </w:tcBorders>
            <w:shd w:val="clear" w:color="auto" w:fill="DAE3F3" w:themeFill="accent5" w:themeFillTint="32"/>
            <w:vAlign w:val="center"/>
          </w:tcPr>
          <w:p w14:paraId="67256022">
            <w:pPr>
              <w:pStyle w:val="105"/>
              <w:bidi w:val="0"/>
              <w:rPr>
                <w:rFonts w:hint="eastAsia"/>
                <w:highlight w:val="none"/>
                <w:lang w:eastAsia="zh-CN"/>
              </w:rPr>
            </w:pPr>
            <w:r>
              <w:rPr>
                <w:rFonts w:hint="eastAsia"/>
                <w:highlight w:val="none"/>
              </w:rPr>
              <w:t>数量</w:t>
            </w:r>
          </w:p>
        </w:tc>
        <w:tc>
          <w:tcPr>
            <w:tcW w:w="3912" w:type="dxa"/>
            <w:tcBorders>
              <w:tl2br w:val="nil"/>
              <w:tr2bl w:val="nil"/>
            </w:tcBorders>
            <w:shd w:val="clear" w:color="auto" w:fill="DAE3F3" w:themeFill="accent5" w:themeFillTint="32"/>
            <w:vAlign w:val="center"/>
          </w:tcPr>
          <w:p w14:paraId="529EF4C4">
            <w:pPr>
              <w:pStyle w:val="105"/>
              <w:bidi w:val="0"/>
              <w:rPr>
                <w:rFonts w:hint="eastAsia"/>
                <w:highlight w:val="none"/>
              </w:rPr>
            </w:pPr>
            <w:r>
              <w:rPr>
                <w:rFonts w:hint="eastAsia"/>
                <w:highlight w:val="none"/>
              </w:rPr>
              <w:t>职责</w:t>
            </w:r>
          </w:p>
        </w:tc>
      </w:tr>
      <w:tr w14:paraId="28610DE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B5D4998">
            <w:pPr>
              <w:pStyle w:val="105"/>
              <w:bidi w:val="0"/>
              <w:rPr>
                <w:rFonts w:hint="eastAsia"/>
                <w:highlight w:val="none"/>
              </w:rPr>
            </w:pPr>
            <w:r>
              <w:rPr>
                <w:rFonts w:hint="eastAsia"/>
                <w:highlight w:val="none"/>
              </w:rPr>
              <w:t>1</w:t>
            </w:r>
          </w:p>
        </w:tc>
        <w:tc>
          <w:tcPr>
            <w:tcW w:w="1365" w:type="dxa"/>
            <w:tcBorders>
              <w:tl2br w:val="nil"/>
              <w:tr2bl w:val="nil"/>
            </w:tcBorders>
            <w:vAlign w:val="center"/>
          </w:tcPr>
          <w:p w14:paraId="684DBB7B">
            <w:pPr>
              <w:pStyle w:val="105"/>
              <w:bidi w:val="0"/>
              <w:rPr>
                <w:rFonts w:hint="default"/>
                <w:highlight w:val="none"/>
                <w:lang w:val="en-US"/>
              </w:rPr>
            </w:pPr>
            <w:r>
              <w:rPr>
                <w:rFonts w:hint="eastAsia"/>
                <w:highlight w:val="none"/>
                <w:lang w:val="en-US" w:eastAsia="zh-CN"/>
              </w:rPr>
              <w:t>项目经理</w:t>
            </w:r>
          </w:p>
        </w:tc>
        <w:tc>
          <w:tcPr>
            <w:tcW w:w="2268" w:type="dxa"/>
            <w:tcBorders>
              <w:tl2br w:val="nil"/>
              <w:tr2bl w:val="nil"/>
            </w:tcBorders>
            <w:vAlign w:val="center"/>
          </w:tcPr>
          <w:p w14:paraId="77F0C975">
            <w:pPr>
              <w:pStyle w:val="105"/>
              <w:bidi w:val="0"/>
              <w:rPr>
                <w:rFonts w:hint="eastAsia"/>
                <w:highlight w:val="none"/>
                <w:lang w:val="en-US" w:eastAsia="zh-CN"/>
              </w:rPr>
            </w:pPr>
            <w:r>
              <w:rPr>
                <w:rFonts w:hint="eastAsia"/>
                <w:highlight w:val="none"/>
              </w:rPr>
              <w:t>1</w:t>
            </w:r>
            <w:r>
              <w:rPr>
                <w:rFonts w:hint="eastAsia"/>
                <w:highlight w:val="none"/>
                <w:lang w:val="en-US" w:eastAsia="zh-CN"/>
              </w:rPr>
              <w:t>人</w:t>
            </w:r>
          </w:p>
        </w:tc>
        <w:tc>
          <w:tcPr>
            <w:tcW w:w="3912" w:type="dxa"/>
            <w:tcBorders>
              <w:tl2br w:val="nil"/>
              <w:tr2bl w:val="nil"/>
            </w:tcBorders>
            <w:vAlign w:val="center"/>
          </w:tcPr>
          <w:p w14:paraId="4FDC41BE">
            <w:pPr>
              <w:pStyle w:val="105"/>
              <w:bidi w:val="0"/>
              <w:rPr>
                <w:rFonts w:hint="eastAsia"/>
                <w:highlight w:val="none"/>
              </w:rPr>
            </w:pPr>
            <w:r>
              <w:rPr>
                <w:rFonts w:hint="eastAsia"/>
                <w:highlight w:val="none"/>
              </w:rPr>
              <w:t>负责现场全面管理</w:t>
            </w:r>
          </w:p>
        </w:tc>
      </w:tr>
      <w:tr w14:paraId="21D49F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4520621">
            <w:pPr>
              <w:pStyle w:val="105"/>
              <w:bidi w:val="0"/>
              <w:rPr>
                <w:rFonts w:hint="eastAsia"/>
                <w:highlight w:val="none"/>
              </w:rPr>
            </w:pPr>
            <w:r>
              <w:rPr>
                <w:rFonts w:hint="eastAsia"/>
                <w:highlight w:val="none"/>
              </w:rPr>
              <w:t>2</w:t>
            </w:r>
          </w:p>
        </w:tc>
        <w:tc>
          <w:tcPr>
            <w:tcW w:w="1365" w:type="dxa"/>
            <w:tcBorders>
              <w:tl2br w:val="nil"/>
              <w:tr2bl w:val="nil"/>
            </w:tcBorders>
            <w:vAlign w:val="center"/>
          </w:tcPr>
          <w:p w14:paraId="41B60EE3">
            <w:pPr>
              <w:pStyle w:val="105"/>
              <w:bidi w:val="0"/>
              <w:rPr>
                <w:rFonts w:hint="eastAsia"/>
                <w:highlight w:val="none"/>
                <w:lang w:eastAsia="zh-CN"/>
              </w:rPr>
            </w:pPr>
            <w:r>
              <w:rPr>
                <w:rFonts w:hint="eastAsia"/>
                <w:highlight w:val="none"/>
                <w:lang w:val="en-US" w:eastAsia="zh-CN"/>
              </w:rPr>
              <w:t>项目总工</w:t>
            </w:r>
          </w:p>
        </w:tc>
        <w:tc>
          <w:tcPr>
            <w:tcW w:w="2268" w:type="dxa"/>
            <w:tcBorders>
              <w:tl2br w:val="nil"/>
              <w:tr2bl w:val="nil"/>
            </w:tcBorders>
            <w:vAlign w:val="center"/>
          </w:tcPr>
          <w:p w14:paraId="5AB6A9C0">
            <w:pPr>
              <w:pStyle w:val="105"/>
              <w:bidi w:val="0"/>
              <w:rPr>
                <w:rFonts w:hint="eastAsia"/>
                <w:highlight w:val="none"/>
                <w:lang w:val="en-US" w:eastAsia="zh-CN"/>
              </w:rPr>
            </w:pPr>
            <w:r>
              <w:rPr>
                <w:rFonts w:hint="eastAsia"/>
                <w:highlight w:val="none"/>
              </w:rPr>
              <w:t>1</w:t>
            </w:r>
            <w:r>
              <w:rPr>
                <w:rFonts w:hint="eastAsia"/>
                <w:highlight w:val="none"/>
                <w:lang w:val="en-US" w:eastAsia="zh-CN"/>
              </w:rPr>
              <w:t>人</w:t>
            </w:r>
          </w:p>
        </w:tc>
        <w:tc>
          <w:tcPr>
            <w:tcW w:w="3912" w:type="dxa"/>
            <w:tcBorders>
              <w:tl2br w:val="nil"/>
              <w:tr2bl w:val="nil"/>
            </w:tcBorders>
            <w:vAlign w:val="center"/>
          </w:tcPr>
          <w:p w14:paraId="5AD851B8">
            <w:pPr>
              <w:pStyle w:val="105"/>
              <w:bidi w:val="0"/>
              <w:rPr>
                <w:rFonts w:hint="eastAsia"/>
                <w:highlight w:val="none"/>
              </w:rPr>
            </w:pPr>
            <w:r>
              <w:rPr>
                <w:rFonts w:hint="eastAsia"/>
                <w:highlight w:val="none"/>
              </w:rPr>
              <w:t>负责现场全面技术管理</w:t>
            </w:r>
          </w:p>
        </w:tc>
      </w:tr>
      <w:tr w14:paraId="5B8BC53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D4BDA99">
            <w:pPr>
              <w:pStyle w:val="105"/>
              <w:bidi w:val="0"/>
              <w:rPr>
                <w:rFonts w:hint="eastAsia"/>
                <w:highlight w:val="none"/>
              </w:rPr>
            </w:pPr>
            <w:r>
              <w:rPr>
                <w:rFonts w:hint="eastAsia"/>
                <w:highlight w:val="none"/>
              </w:rPr>
              <w:t>3</w:t>
            </w:r>
          </w:p>
        </w:tc>
        <w:tc>
          <w:tcPr>
            <w:tcW w:w="1365" w:type="dxa"/>
            <w:tcBorders>
              <w:tl2br w:val="nil"/>
              <w:tr2bl w:val="nil"/>
            </w:tcBorders>
            <w:vAlign w:val="center"/>
          </w:tcPr>
          <w:p w14:paraId="7E7F8FD5">
            <w:pPr>
              <w:pStyle w:val="105"/>
              <w:bidi w:val="0"/>
              <w:rPr>
                <w:rFonts w:hint="eastAsia"/>
                <w:highlight w:val="none"/>
                <w:lang w:val="en-US" w:eastAsia="zh-CN"/>
              </w:rPr>
            </w:pPr>
            <w:r>
              <w:rPr>
                <w:rFonts w:hint="eastAsia"/>
                <w:highlight w:val="none"/>
                <w:lang w:val="en-US" w:eastAsia="zh-CN"/>
              </w:rPr>
              <w:t>项目副经理</w:t>
            </w:r>
          </w:p>
        </w:tc>
        <w:tc>
          <w:tcPr>
            <w:tcW w:w="2268" w:type="dxa"/>
            <w:tcBorders>
              <w:tl2br w:val="nil"/>
              <w:tr2bl w:val="nil"/>
            </w:tcBorders>
            <w:vAlign w:val="center"/>
          </w:tcPr>
          <w:p w14:paraId="62BEA79B">
            <w:pPr>
              <w:pStyle w:val="105"/>
              <w:bidi w:val="0"/>
              <w:rPr>
                <w:rFonts w:hint="default"/>
                <w:highlight w:val="none"/>
                <w:lang w:val="en-US" w:eastAsia="zh-CN"/>
              </w:rPr>
            </w:pPr>
            <w:r>
              <w:rPr>
                <w:rFonts w:hint="eastAsia"/>
                <w:highlight w:val="none"/>
                <w:lang w:val="en-US" w:eastAsia="zh-CN"/>
              </w:rPr>
              <w:t>每分部1人</w:t>
            </w:r>
          </w:p>
        </w:tc>
        <w:tc>
          <w:tcPr>
            <w:tcW w:w="3912" w:type="dxa"/>
            <w:tcBorders>
              <w:tl2br w:val="nil"/>
              <w:tr2bl w:val="nil"/>
            </w:tcBorders>
            <w:vAlign w:val="center"/>
          </w:tcPr>
          <w:p w14:paraId="0609084B">
            <w:pPr>
              <w:pStyle w:val="105"/>
              <w:bidi w:val="0"/>
              <w:rPr>
                <w:rFonts w:hint="eastAsia"/>
                <w:highlight w:val="none"/>
                <w:lang w:val="en-US" w:eastAsia="zh-CN"/>
              </w:rPr>
            </w:pPr>
            <w:r>
              <w:rPr>
                <w:rFonts w:hint="eastAsia"/>
                <w:highlight w:val="none"/>
                <w:lang w:val="en-US" w:eastAsia="zh-CN"/>
              </w:rPr>
              <w:t>负责现场进度、质量、安全及资源组织</w:t>
            </w:r>
          </w:p>
        </w:tc>
      </w:tr>
      <w:tr w14:paraId="4CA8A4B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4F39A6B">
            <w:pPr>
              <w:pStyle w:val="105"/>
              <w:bidi w:val="0"/>
              <w:rPr>
                <w:rFonts w:hint="eastAsia"/>
                <w:highlight w:val="none"/>
                <w:lang w:val="en-US" w:eastAsia="zh-CN"/>
              </w:rPr>
            </w:pPr>
            <w:r>
              <w:rPr>
                <w:rFonts w:hint="eastAsia"/>
                <w:highlight w:val="none"/>
              </w:rPr>
              <w:t>4</w:t>
            </w:r>
          </w:p>
        </w:tc>
        <w:tc>
          <w:tcPr>
            <w:tcW w:w="1365" w:type="dxa"/>
            <w:tcBorders>
              <w:tl2br w:val="nil"/>
              <w:tr2bl w:val="nil"/>
            </w:tcBorders>
            <w:vAlign w:val="center"/>
          </w:tcPr>
          <w:p w14:paraId="09BCCE93">
            <w:pPr>
              <w:pStyle w:val="105"/>
              <w:bidi w:val="0"/>
              <w:rPr>
                <w:rFonts w:hint="eastAsia"/>
                <w:highlight w:val="none"/>
                <w:lang w:val="en-US" w:eastAsia="zh-CN"/>
              </w:rPr>
            </w:pPr>
            <w:r>
              <w:rPr>
                <w:rFonts w:hint="eastAsia"/>
                <w:highlight w:val="none"/>
                <w:lang w:val="en-US" w:eastAsia="zh-CN"/>
              </w:rPr>
              <w:t>技术主管</w:t>
            </w:r>
          </w:p>
        </w:tc>
        <w:tc>
          <w:tcPr>
            <w:tcW w:w="2268" w:type="dxa"/>
            <w:tcBorders>
              <w:tl2br w:val="nil"/>
              <w:tr2bl w:val="nil"/>
            </w:tcBorders>
            <w:vAlign w:val="center"/>
          </w:tcPr>
          <w:p w14:paraId="5690C992">
            <w:pPr>
              <w:pStyle w:val="105"/>
              <w:bidi w:val="0"/>
              <w:rPr>
                <w:rFonts w:hint="default"/>
                <w:highlight w:val="none"/>
                <w:lang w:val="en-US" w:eastAsia="zh-CN"/>
              </w:rPr>
            </w:pPr>
            <w:r>
              <w:rPr>
                <w:rFonts w:hint="eastAsia"/>
                <w:highlight w:val="none"/>
                <w:lang w:val="en-US" w:eastAsia="zh-CN"/>
              </w:rPr>
              <w:t>每分部1人</w:t>
            </w:r>
          </w:p>
        </w:tc>
        <w:tc>
          <w:tcPr>
            <w:tcW w:w="3912" w:type="dxa"/>
            <w:tcBorders>
              <w:tl2br w:val="nil"/>
              <w:tr2bl w:val="nil"/>
            </w:tcBorders>
            <w:vAlign w:val="center"/>
          </w:tcPr>
          <w:p w14:paraId="7356C318">
            <w:pPr>
              <w:pStyle w:val="105"/>
              <w:bidi w:val="0"/>
              <w:rPr>
                <w:rFonts w:hint="eastAsia"/>
                <w:highlight w:val="none"/>
                <w:lang w:val="en-US" w:eastAsia="zh-CN"/>
              </w:rPr>
            </w:pPr>
            <w:r>
              <w:rPr>
                <w:rFonts w:hint="eastAsia"/>
                <w:highlight w:val="none"/>
                <w:lang w:val="en-US" w:eastAsia="zh-CN"/>
              </w:rPr>
              <w:t>协助项目总工开展现场技术管理工作</w:t>
            </w:r>
          </w:p>
        </w:tc>
      </w:tr>
      <w:tr w14:paraId="7DB54E3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ED408BA">
            <w:pPr>
              <w:pStyle w:val="105"/>
              <w:bidi w:val="0"/>
              <w:rPr>
                <w:rFonts w:hint="eastAsia"/>
                <w:highlight w:val="none"/>
                <w:lang w:val="en-US" w:eastAsia="zh-CN"/>
              </w:rPr>
            </w:pPr>
            <w:r>
              <w:rPr>
                <w:rFonts w:hint="eastAsia"/>
                <w:highlight w:val="none"/>
              </w:rPr>
              <w:t>5</w:t>
            </w:r>
          </w:p>
        </w:tc>
        <w:tc>
          <w:tcPr>
            <w:tcW w:w="1365" w:type="dxa"/>
            <w:tcBorders>
              <w:tl2br w:val="nil"/>
              <w:tr2bl w:val="nil"/>
            </w:tcBorders>
            <w:vAlign w:val="center"/>
          </w:tcPr>
          <w:p w14:paraId="5744812F">
            <w:pPr>
              <w:pStyle w:val="105"/>
              <w:bidi w:val="0"/>
              <w:rPr>
                <w:rFonts w:hint="eastAsia"/>
                <w:highlight w:val="none"/>
              </w:rPr>
            </w:pPr>
            <w:r>
              <w:rPr>
                <w:rFonts w:hint="eastAsia"/>
                <w:highlight w:val="none"/>
              </w:rPr>
              <w:t>技术员</w:t>
            </w:r>
          </w:p>
        </w:tc>
        <w:tc>
          <w:tcPr>
            <w:tcW w:w="2268" w:type="dxa"/>
            <w:tcBorders>
              <w:tl2br w:val="nil"/>
              <w:tr2bl w:val="nil"/>
            </w:tcBorders>
            <w:vAlign w:val="center"/>
          </w:tcPr>
          <w:p w14:paraId="034DCE41">
            <w:pPr>
              <w:pStyle w:val="105"/>
              <w:bidi w:val="0"/>
              <w:rPr>
                <w:rFonts w:hint="default"/>
                <w:highlight w:val="none"/>
                <w:lang w:val="en-US" w:eastAsia="zh-CN"/>
              </w:rPr>
            </w:pPr>
            <w:r>
              <w:rPr>
                <w:rFonts w:hint="eastAsia"/>
                <w:highlight w:val="none"/>
                <w:lang w:val="en-US" w:eastAsia="zh-CN"/>
              </w:rPr>
              <w:t>每工点至少1人</w:t>
            </w:r>
          </w:p>
        </w:tc>
        <w:tc>
          <w:tcPr>
            <w:tcW w:w="3912" w:type="dxa"/>
            <w:tcBorders>
              <w:tl2br w:val="nil"/>
              <w:tr2bl w:val="nil"/>
            </w:tcBorders>
            <w:vAlign w:val="center"/>
          </w:tcPr>
          <w:p w14:paraId="6C783031">
            <w:pPr>
              <w:pStyle w:val="105"/>
              <w:bidi w:val="0"/>
              <w:rPr>
                <w:rFonts w:hint="eastAsia"/>
                <w:highlight w:val="none"/>
              </w:rPr>
            </w:pPr>
            <w:r>
              <w:rPr>
                <w:rFonts w:hint="eastAsia"/>
                <w:highlight w:val="none"/>
              </w:rPr>
              <w:t>负责各工点现场</w:t>
            </w:r>
            <w:r>
              <w:rPr>
                <w:rFonts w:hint="eastAsia"/>
                <w:highlight w:val="none"/>
                <w:lang w:val="en-US" w:eastAsia="zh-CN"/>
              </w:rPr>
              <w:t>进度、</w:t>
            </w:r>
            <w:r>
              <w:rPr>
                <w:rFonts w:hint="eastAsia"/>
                <w:highlight w:val="none"/>
              </w:rPr>
              <w:t>技术管理</w:t>
            </w:r>
          </w:p>
        </w:tc>
      </w:tr>
      <w:tr w14:paraId="7D78C8E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3BDF7B74">
            <w:pPr>
              <w:pStyle w:val="105"/>
              <w:bidi w:val="0"/>
              <w:rPr>
                <w:rFonts w:hint="eastAsia"/>
                <w:highlight w:val="none"/>
                <w:lang w:val="en-US" w:eastAsia="zh-CN"/>
              </w:rPr>
            </w:pPr>
            <w:r>
              <w:rPr>
                <w:rFonts w:hint="eastAsia"/>
                <w:highlight w:val="none"/>
                <w:lang w:val="en-US" w:eastAsia="zh-CN"/>
              </w:rPr>
              <w:t>6</w:t>
            </w:r>
          </w:p>
        </w:tc>
        <w:tc>
          <w:tcPr>
            <w:tcW w:w="1365" w:type="dxa"/>
            <w:tcBorders>
              <w:tl2br w:val="nil"/>
              <w:tr2bl w:val="nil"/>
            </w:tcBorders>
            <w:vAlign w:val="center"/>
          </w:tcPr>
          <w:p w14:paraId="126AF122">
            <w:pPr>
              <w:pStyle w:val="105"/>
              <w:bidi w:val="0"/>
              <w:rPr>
                <w:rFonts w:hint="default"/>
                <w:highlight w:val="none"/>
                <w:lang w:val="en-US" w:eastAsia="zh-CN"/>
              </w:rPr>
            </w:pPr>
            <w:r>
              <w:rPr>
                <w:rFonts w:hint="eastAsia"/>
                <w:highlight w:val="none"/>
                <w:lang w:val="en-US" w:eastAsia="zh-CN"/>
              </w:rPr>
              <w:t>质检员</w:t>
            </w:r>
          </w:p>
        </w:tc>
        <w:tc>
          <w:tcPr>
            <w:tcW w:w="2268" w:type="dxa"/>
            <w:tcBorders>
              <w:tl2br w:val="nil"/>
              <w:tr2bl w:val="nil"/>
            </w:tcBorders>
            <w:vAlign w:val="center"/>
          </w:tcPr>
          <w:p w14:paraId="22A25A99">
            <w:pPr>
              <w:pStyle w:val="105"/>
              <w:bidi w:val="0"/>
              <w:rPr>
                <w:rFonts w:hint="default"/>
                <w:highlight w:val="none"/>
                <w:lang w:val="en-US" w:eastAsia="zh-CN"/>
              </w:rPr>
            </w:pPr>
            <w:r>
              <w:rPr>
                <w:rFonts w:hint="eastAsia"/>
                <w:highlight w:val="none"/>
                <w:lang w:val="en-US" w:eastAsia="zh-CN"/>
              </w:rPr>
              <w:t>1人</w:t>
            </w:r>
          </w:p>
        </w:tc>
        <w:tc>
          <w:tcPr>
            <w:tcW w:w="3912" w:type="dxa"/>
            <w:tcBorders>
              <w:tl2br w:val="nil"/>
              <w:tr2bl w:val="nil"/>
            </w:tcBorders>
            <w:vAlign w:val="center"/>
          </w:tcPr>
          <w:p w14:paraId="61809738">
            <w:pPr>
              <w:pStyle w:val="105"/>
              <w:bidi w:val="0"/>
              <w:rPr>
                <w:rFonts w:hint="default"/>
                <w:highlight w:val="none"/>
                <w:lang w:val="en-US" w:eastAsia="zh-CN"/>
              </w:rPr>
            </w:pPr>
            <w:r>
              <w:rPr>
                <w:rFonts w:hint="eastAsia"/>
                <w:highlight w:val="none"/>
                <w:lang w:val="en-US" w:eastAsia="zh-CN"/>
              </w:rPr>
              <w:t>负责现场质量专检</w:t>
            </w:r>
          </w:p>
        </w:tc>
      </w:tr>
      <w:tr w14:paraId="54F93D3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4194B574">
            <w:pPr>
              <w:pStyle w:val="105"/>
              <w:bidi w:val="0"/>
              <w:rPr>
                <w:rFonts w:hint="eastAsia"/>
                <w:highlight w:val="none"/>
                <w:lang w:val="en-US" w:eastAsia="zh-CN"/>
              </w:rPr>
            </w:pPr>
            <w:r>
              <w:rPr>
                <w:rFonts w:hint="eastAsia"/>
                <w:highlight w:val="none"/>
                <w:lang w:val="en-US" w:eastAsia="zh-CN"/>
              </w:rPr>
              <w:t>7</w:t>
            </w:r>
          </w:p>
        </w:tc>
        <w:tc>
          <w:tcPr>
            <w:tcW w:w="1365" w:type="dxa"/>
            <w:tcBorders>
              <w:tl2br w:val="nil"/>
              <w:tr2bl w:val="nil"/>
            </w:tcBorders>
            <w:vAlign w:val="center"/>
          </w:tcPr>
          <w:p w14:paraId="5B12EFB1">
            <w:pPr>
              <w:pStyle w:val="105"/>
              <w:bidi w:val="0"/>
              <w:rPr>
                <w:rFonts w:hint="default"/>
                <w:highlight w:val="none"/>
                <w:lang w:val="en-US" w:eastAsia="zh-CN"/>
              </w:rPr>
            </w:pPr>
            <w:r>
              <w:rPr>
                <w:rFonts w:hint="eastAsia"/>
                <w:highlight w:val="none"/>
                <w:lang w:val="en-US" w:eastAsia="zh-CN"/>
              </w:rPr>
              <w:t>测量员</w:t>
            </w:r>
          </w:p>
        </w:tc>
        <w:tc>
          <w:tcPr>
            <w:tcW w:w="2268" w:type="dxa"/>
            <w:tcBorders>
              <w:tl2br w:val="nil"/>
              <w:tr2bl w:val="nil"/>
            </w:tcBorders>
            <w:vAlign w:val="center"/>
          </w:tcPr>
          <w:p w14:paraId="0D892B6A">
            <w:pPr>
              <w:pStyle w:val="105"/>
              <w:bidi w:val="0"/>
              <w:rPr>
                <w:rFonts w:hint="default"/>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329EB224">
            <w:pPr>
              <w:pStyle w:val="105"/>
              <w:bidi w:val="0"/>
              <w:rPr>
                <w:rFonts w:hint="eastAsia"/>
                <w:highlight w:val="none"/>
                <w:lang w:val="en-US" w:eastAsia="zh-CN"/>
              </w:rPr>
            </w:pPr>
            <w:r>
              <w:rPr>
                <w:rFonts w:hint="eastAsia"/>
                <w:highlight w:val="none"/>
                <w:lang w:val="en-US" w:eastAsia="zh-CN"/>
              </w:rPr>
              <w:t>负责现场测量复核</w:t>
            </w:r>
          </w:p>
        </w:tc>
      </w:tr>
      <w:tr w14:paraId="378B980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1D7C67E6">
            <w:pPr>
              <w:pStyle w:val="105"/>
              <w:bidi w:val="0"/>
              <w:rPr>
                <w:rFonts w:hint="eastAsia"/>
                <w:highlight w:val="none"/>
                <w:lang w:val="en-US" w:eastAsia="zh-CN"/>
              </w:rPr>
            </w:pPr>
            <w:r>
              <w:rPr>
                <w:rFonts w:hint="eastAsia"/>
                <w:highlight w:val="none"/>
                <w:lang w:val="en-US" w:eastAsia="zh-CN"/>
              </w:rPr>
              <w:t>8</w:t>
            </w:r>
          </w:p>
        </w:tc>
        <w:tc>
          <w:tcPr>
            <w:tcW w:w="1365" w:type="dxa"/>
            <w:tcBorders>
              <w:tl2br w:val="nil"/>
              <w:tr2bl w:val="nil"/>
            </w:tcBorders>
            <w:vAlign w:val="center"/>
          </w:tcPr>
          <w:p w14:paraId="65453AE3">
            <w:pPr>
              <w:pStyle w:val="105"/>
              <w:bidi w:val="0"/>
              <w:rPr>
                <w:rFonts w:hint="eastAsia"/>
                <w:highlight w:val="none"/>
                <w:lang w:val="en-US" w:eastAsia="zh-CN"/>
              </w:rPr>
            </w:pPr>
            <w:r>
              <w:rPr>
                <w:rFonts w:hint="eastAsia"/>
                <w:highlight w:val="none"/>
                <w:lang w:val="en-US" w:eastAsia="zh-CN"/>
              </w:rPr>
              <w:t>试验员</w:t>
            </w:r>
          </w:p>
        </w:tc>
        <w:tc>
          <w:tcPr>
            <w:tcW w:w="2268" w:type="dxa"/>
            <w:tcBorders>
              <w:tl2br w:val="nil"/>
              <w:tr2bl w:val="nil"/>
            </w:tcBorders>
            <w:vAlign w:val="center"/>
          </w:tcPr>
          <w:p w14:paraId="4D74DBB0">
            <w:pPr>
              <w:pStyle w:val="105"/>
              <w:bidi w:val="0"/>
              <w:rPr>
                <w:rFonts w:hint="default"/>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0655F0C3">
            <w:pPr>
              <w:pStyle w:val="105"/>
              <w:bidi w:val="0"/>
              <w:rPr>
                <w:rFonts w:hint="eastAsia"/>
                <w:highlight w:val="none"/>
                <w:lang w:val="en-US" w:eastAsia="zh-CN"/>
              </w:rPr>
            </w:pPr>
            <w:r>
              <w:rPr>
                <w:rFonts w:hint="eastAsia"/>
                <w:highlight w:val="none"/>
                <w:lang w:val="en-US" w:eastAsia="zh-CN"/>
              </w:rPr>
              <w:t>负责现场试验检测工作</w:t>
            </w:r>
          </w:p>
        </w:tc>
      </w:tr>
      <w:tr w14:paraId="2D5E7E2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29DCF65">
            <w:pPr>
              <w:pStyle w:val="105"/>
              <w:bidi w:val="0"/>
              <w:rPr>
                <w:rFonts w:hint="eastAsia"/>
                <w:highlight w:val="none"/>
                <w:lang w:val="en-US" w:eastAsia="zh-CN"/>
              </w:rPr>
            </w:pPr>
            <w:r>
              <w:rPr>
                <w:rFonts w:hint="eastAsia"/>
                <w:highlight w:val="none"/>
                <w:lang w:val="en-US" w:eastAsia="zh-CN"/>
              </w:rPr>
              <w:t>9</w:t>
            </w:r>
          </w:p>
        </w:tc>
        <w:tc>
          <w:tcPr>
            <w:tcW w:w="1365" w:type="dxa"/>
            <w:tcBorders>
              <w:tl2br w:val="nil"/>
              <w:tr2bl w:val="nil"/>
            </w:tcBorders>
            <w:vAlign w:val="center"/>
          </w:tcPr>
          <w:p w14:paraId="778B77EA">
            <w:pPr>
              <w:pStyle w:val="105"/>
              <w:bidi w:val="0"/>
              <w:rPr>
                <w:rFonts w:hint="eastAsia"/>
                <w:highlight w:val="none"/>
                <w:lang w:val="en-US" w:eastAsia="zh-CN"/>
              </w:rPr>
            </w:pPr>
            <w:r>
              <w:rPr>
                <w:rFonts w:hint="eastAsia"/>
                <w:highlight w:val="none"/>
                <w:lang w:val="en-US" w:eastAsia="zh-CN"/>
              </w:rPr>
              <w:t>安全员</w:t>
            </w:r>
          </w:p>
        </w:tc>
        <w:tc>
          <w:tcPr>
            <w:tcW w:w="2268" w:type="dxa"/>
            <w:tcBorders>
              <w:tl2br w:val="nil"/>
              <w:tr2bl w:val="nil"/>
            </w:tcBorders>
            <w:vAlign w:val="center"/>
          </w:tcPr>
          <w:p w14:paraId="2E3ECA09">
            <w:pPr>
              <w:pStyle w:val="105"/>
              <w:bidi w:val="0"/>
              <w:rPr>
                <w:rFonts w:hint="default"/>
                <w:highlight w:val="none"/>
                <w:lang w:val="en-US" w:eastAsia="zh-CN"/>
              </w:rPr>
            </w:pPr>
            <w:r>
              <w:rPr>
                <w:rFonts w:hint="eastAsia"/>
                <w:highlight w:val="none"/>
                <w:lang w:val="en-US" w:eastAsia="zh-CN"/>
              </w:rPr>
              <w:t>1人</w:t>
            </w:r>
          </w:p>
        </w:tc>
        <w:tc>
          <w:tcPr>
            <w:tcW w:w="3912" w:type="dxa"/>
            <w:tcBorders>
              <w:tl2br w:val="nil"/>
              <w:tr2bl w:val="nil"/>
            </w:tcBorders>
            <w:vAlign w:val="center"/>
          </w:tcPr>
          <w:p w14:paraId="7CA47759">
            <w:pPr>
              <w:pStyle w:val="105"/>
              <w:bidi w:val="0"/>
              <w:rPr>
                <w:rFonts w:hint="eastAsia"/>
                <w:highlight w:val="none"/>
                <w:lang w:val="en-US" w:eastAsia="zh-CN"/>
              </w:rPr>
            </w:pPr>
            <w:r>
              <w:rPr>
                <w:rFonts w:hint="eastAsia"/>
                <w:highlight w:val="none"/>
                <w:lang w:val="en-US" w:eastAsia="zh-CN"/>
              </w:rPr>
              <w:t>负责现场安全管理</w:t>
            </w:r>
          </w:p>
        </w:tc>
      </w:tr>
      <w:tr w14:paraId="663826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67" w:hRule="atLeast"/>
          <w:jc w:val="center"/>
        </w:trPr>
        <w:tc>
          <w:tcPr>
            <w:tcW w:w="1009" w:type="dxa"/>
            <w:tcBorders>
              <w:tl2br w:val="nil"/>
              <w:tr2bl w:val="nil"/>
            </w:tcBorders>
            <w:vAlign w:val="center"/>
          </w:tcPr>
          <w:p w14:paraId="525FF774">
            <w:pPr>
              <w:pStyle w:val="105"/>
              <w:bidi w:val="0"/>
              <w:rPr>
                <w:rFonts w:hint="default"/>
                <w:highlight w:val="none"/>
                <w:lang w:val="en-US" w:eastAsia="zh-CN"/>
              </w:rPr>
            </w:pPr>
            <w:r>
              <w:rPr>
                <w:rFonts w:hint="eastAsia"/>
                <w:highlight w:val="none"/>
                <w:lang w:val="en-US" w:eastAsia="zh-CN"/>
              </w:rPr>
              <w:t>10</w:t>
            </w:r>
          </w:p>
        </w:tc>
        <w:tc>
          <w:tcPr>
            <w:tcW w:w="1365" w:type="dxa"/>
            <w:tcBorders>
              <w:tl2br w:val="nil"/>
              <w:tr2bl w:val="nil"/>
            </w:tcBorders>
            <w:vAlign w:val="center"/>
          </w:tcPr>
          <w:p w14:paraId="650BD53B">
            <w:pPr>
              <w:pStyle w:val="105"/>
              <w:bidi w:val="0"/>
              <w:rPr>
                <w:rFonts w:hint="eastAsia"/>
                <w:highlight w:val="none"/>
                <w:lang w:val="en-US" w:eastAsia="zh-CN"/>
              </w:rPr>
            </w:pPr>
            <w:r>
              <w:rPr>
                <w:rFonts w:hint="eastAsia"/>
                <w:highlight w:val="none"/>
                <w:lang w:val="en-US" w:eastAsia="zh-CN"/>
              </w:rPr>
              <w:t>分包单位现场负责人</w:t>
            </w:r>
          </w:p>
        </w:tc>
        <w:tc>
          <w:tcPr>
            <w:tcW w:w="2268" w:type="dxa"/>
            <w:tcBorders>
              <w:tl2br w:val="nil"/>
              <w:tr2bl w:val="nil"/>
            </w:tcBorders>
            <w:vAlign w:val="center"/>
          </w:tcPr>
          <w:p w14:paraId="589D8F53">
            <w:pPr>
              <w:pStyle w:val="105"/>
              <w:bidi w:val="0"/>
              <w:rPr>
                <w:rFonts w:hint="eastAsia"/>
                <w:highlight w:val="none"/>
                <w:lang w:val="en-US" w:eastAsia="zh-CN"/>
              </w:rPr>
            </w:pPr>
            <w:r>
              <w:rPr>
                <w:rFonts w:hint="eastAsia"/>
                <w:highlight w:val="none"/>
                <w:lang w:val="en-US" w:eastAsia="zh-CN"/>
              </w:rPr>
              <w:t>2人</w:t>
            </w:r>
          </w:p>
        </w:tc>
        <w:tc>
          <w:tcPr>
            <w:tcW w:w="3912" w:type="dxa"/>
            <w:tcBorders>
              <w:tl2br w:val="nil"/>
              <w:tr2bl w:val="nil"/>
            </w:tcBorders>
            <w:vAlign w:val="center"/>
          </w:tcPr>
          <w:p w14:paraId="2B067AA4">
            <w:pPr>
              <w:pStyle w:val="105"/>
              <w:bidi w:val="0"/>
              <w:rPr>
                <w:rFonts w:hint="eastAsia"/>
                <w:highlight w:val="none"/>
                <w:lang w:val="en-US" w:eastAsia="zh-CN"/>
              </w:rPr>
            </w:pPr>
            <w:r>
              <w:rPr>
                <w:rFonts w:hint="eastAsia"/>
                <w:highlight w:val="none"/>
                <w:lang w:val="en-US" w:eastAsia="zh-CN"/>
              </w:rPr>
              <w:t>负责现场施工调配管理</w:t>
            </w:r>
          </w:p>
        </w:tc>
      </w:tr>
    </w:tbl>
    <w:p w14:paraId="3C2E5F35">
      <w:pPr>
        <w:keepNext w:val="0"/>
        <w:keepLines w:val="0"/>
        <w:widowControl w:val="0"/>
        <w:suppressLineNumbers w:val="0"/>
        <w:spacing w:before="0" w:beforeAutospacing="0" w:after="0" w:afterAutospacing="0" w:line="360" w:lineRule="auto"/>
        <w:ind w:left="0" w:right="0" w:firstLine="482" w:firstLineChars="200"/>
        <w:jc w:val="both"/>
        <w:rPr>
          <w:rFonts w:hint="default" w:ascii="Times New Roman" w:hAnsi="Times New Roman" w:eastAsia="宋体" w:cs="Times New Roman"/>
          <w:b/>
          <w:bCs/>
          <w:kern w:val="2"/>
          <w:sz w:val="24"/>
          <w:szCs w:val="24"/>
          <w:highlight w:val="none"/>
        </w:rPr>
      </w:pPr>
      <w:r>
        <w:rPr>
          <w:rFonts w:hint="eastAsia" w:ascii="宋体" w:hAnsi="宋体" w:cs="宋体"/>
          <w:b/>
          <w:bCs/>
          <w:kern w:val="2"/>
          <w:sz w:val="24"/>
          <w:szCs w:val="24"/>
          <w:highlight w:val="none"/>
          <w:lang w:val="en-US" w:eastAsia="zh-CN" w:bidi="ar"/>
        </w:rPr>
        <w:t>2</w:t>
      </w:r>
      <w:r>
        <w:rPr>
          <w:rFonts w:hint="eastAsia"/>
          <w:highlight w:val="none"/>
          <w:lang w:val="en-US" w:eastAsia="zh-CN"/>
        </w:rPr>
        <w:t>、</w:t>
      </w:r>
      <w:r>
        <w:rPr>
          <w:rFonts w:hint="eastAsia" w:ascii="宋体" w:hAnsi="宋体" w:cs="宋体"/>
          <w:b/>
          <w:bCs/>
          <w:kern w:val="2"/>
          <w:sz w:val="24"/>
          <w:szCs w:val="24"/>
          <w:highlight w:val="none"/>
          <w:lang w:val="en-US" w:eastAsia="zh-CN" w:bidi="ar"/>
        </w:rPr>
        <w:t>塔吊安拆</w:t>
      </w:r>
      <w:r>
        <w:rPr>
          <w:rFonts w:hint="eastAsia" w:ascii="宋体" w:hAnsi="宋体" w:eastAsia="宋体" w:cs="宋体"/>
          <w:b/>
          <w:bCs/>
          <w:kern w:val="2"/>
          <w:sz w:val="24"/>
          <w:szCs w:val="24"/>
          <w:highlight w:val="none"/>
          <w:lang w:val="en-US" w:eastAsia="zh-CN" w:bidi="ar"/>
        </w:rPr>
        <w:t>施工专职安全生产管理人员配置</w:t>
      </w:r>
    </w:p>
    <w:p w14:paraId="145DD02C">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）安全总监</w:t>
      </w:r>
      <w:r>
        <w:rPr>
          <w:rFonts w:hint="default"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名。建立健全安全生产保障提体系，组织成立安全生产组织机构，保证安全生产管理体系的有效运转，监督现场各岗位人员安全主体责任的落实。</w:t>
      </w:r>
    </w:p>
    <w:p w14:paraId="36002FE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2</w:t>
      </w:r>
      <w:r>
        <w:rPr>
          <w:rFonts w:hint="eastAsia" w:ascii="宋体" w:hAnsi="宋体" w:eastAsia="宋体" w:cs="宋体"/>
          <w:kern w:val="2"/>
          <w:sz w:val="24"/>
          <w:szCs w:val="24"/>
          <w:highlight w:val="none"/>
          <w:lang w:val="en-US" w:eastAsia="zh-CN" w:bidi="ar"/>
        </w:rPr>
        <w:t>）专职安全员</w:t>
      </w:r>
      <w:r>
        <w:rPr>
          <w:rFonts w:hint="eastAsia" w:ascii="Times New Roman" w:hAnsi="Times New Roman" w:eastAsia="宋体" w:cs="Times New Roman"/>
          <w:kern w:val="2"/>
          <w:sz w:val="24"/>
          <w:szCs w:val="24"/>
          <w:highlight w:val="none"/>
          <w:lang w:val="en-US" w:eastAsia="zh-CN" w:bidi="ar"/>
        </w:rPr>
        <w:t>1</w:t>
      </w:r>
      <w:r>
        <w:rPr>
          <w:rFonts w:hint="eastAsia" w:ascii="宋体" w:hAnsi="宋体" w:eastAsia="宋体" w:cs="宋体"/>
          <w:kern w:val="2"/>
          <w:sz w:val="24"/>
          <w:szCs w:val="24"/>
          <w:highlight w:val="none"/>
          <w:lang w:val="en-US" w:eastAsia="zh-CN" w:bidi="ar"/>
        </w:rPr>
        <w:t>名。负责现场日常各项安全检查工作，排查各项安全隐患，监督现场技术员及班组落实整改要求，有权制止各种不安全行为。</w:t>
      </w:r>
    </w:p>
    <w:p w14:paraId="080C3C7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bidi="ar"/>
        </w:rPr>
        <w:t>（</w:t>
      </w:r>
      <w:r>
        <w:rPr>
          <w:rFonts w:hint="default" w:ascii="Times New Roman" w:hAnsi="Times New Roman" w:eastAsia="宋体" w:cs="Times New Roman"/>
          <w:kern w:val="2"/>
          <w:sz w:val="24"/>
          <w:szCs w:val="24"/>
          <w:highlight w:val="none"/>
          <w:lang w:val="en-US" w:eastAsia="zh-CN" w:bidi="ar"/>
        </w:rPr>
        <w:t>3</w:t>
      </w:r>
      <w:r>
        <w:rPr>
          <w:rFonts w:hint="eastAsia" w:ascii="宋体" w:hAnsi="宋体" w:eastAsia="宋体" w:cs="宋体"/>
          <w:kern w:val="2"/>
          <w:sz w:val="24"/>
          <w:szCs w:val="24"/>
          <w:highlight w:val="none"/>
          <w:lang w:val="en-US" w:eastAsia="zh-CN" w:bidi="ar"/>
        </w:rPr>
        <w:t>）此外，</w:t>
      </w:r>
      <w:r>
        <w:rPr>
          <w:rFonts w:hint="eastAsia" w:ascii="宋体" w:hAnsi="宋体" w:cs="宋体"/>
          <w:kern w:val="2"/>
          <w:sz w:val="24"/>
          <w:szCs w:val="24"/>
          <w:highlight w:val="none"/>
          <w:lang w:val="en-US" w:eastAsia="zh-CN" w:bidi="ar"/>
        </w:rPr>
        <w:t>塔吊安拆专业承包单位专职安全员1名，</w:t>
      </w:r>
      <w:r>
        <w:rPr>
          <w:rFonts w:hint="eastAsia" w:ascii="宋体" w:hAnsi="宋体" w:eastAsia="宋体" w:cs="宋体"/>
          <w:kern w:val="2"/>
          <w:sz w:val="24"/>
          <w:szCs w:val="24"/>
          <w:highlight w:val="none"/>
          <w:lang w:val="en-US" w:eastAsia="zh-CN" w:bidi="ar"/>
        </w:rPr>
        <w:t>负责现场日常各项安全检查工作，排查各项安全隐患。</w:t>
      </w:r>
    </w:p>
    <w:p w14:paraId="6DCDD61F">
      <w:pPr>
        <w:bidi w:val="0"/>
        <w:rPr>
          <w:highlight w:val="none"/>
        </w:rPr>
      </w:pPr>
      <w:r>
        <w:rPr>
          <w:rFonts w:hint="eastAsia" w:ascii="宋体" w:hAnsi="宋体" w:cs="宋体"/>
          <w:b/>
          <w:bCs/>
          <w:kern w:val="2"/>
          <w:sz w:val="24"/>
          <w:szCs w:val="24"/>
          <w:highlight w:val="none"/>
          <w:lang w:val="en-US" w:eastAsia="zh-CN" w:bidi="ar"/>
        </w:rPr>
        <w:t>3</w:t>
      </w:r>
      <w:r>
        <w:rPr>
          <w:rFonts w:hint="eastAsia"/>
          <w:highlight w:val="none"/>
          <w:lang w:val="en-US" w:eastAsia="zh-CN"/>
        </w:rPr>
        <w:t>、</w:t>
      </w:r>
      <w:bookmarkStart w:id="320" w:name="_Toc29362"/>
      <w:bookmarkStart w:id="321" w:name="_Toc12625"/>
      <w:bookmarkStart w:id="322" w:name="_Toc31491"/>
      <w:r>
        <w:rPr>
          <w:rFonts w:hint="eastAsia" w:ascii="宋体" w:hAnsi="宋体" w:cs="宋体"/>
          <w:b w:val="0"/>
          <w:bCs w:val="0"/>
          <w:kern w:val="2"/>
          <w:sz w:val="24"/>
          <w:szCs w:val="24"/>
          <w:highlight w:val="none"/>
          <w:lang w:val="en-US" w:eastAsia="zh-CN" w:bidi="ar"/>
        </w:rPr>
        <w:t>塔吊安拆</w:t>
      </w:r>
      <w:r>
        <w:rPr>
          <w:rFonts w:hint="eastAsia" w:ascii="宋体" w:hAnsi="宋体" w:eastAsia="宋体" w:cs="宋体"/>
          <w:b w:val="0"/>
          <w:bCs w:val="0"/>
          <w:kern w:val="2"/>
          <w:sz w:val="24"/>
          <w:szCs w:val="24"/>
          <w:highlight w:val="none"/>
          <w:lang w:val="en-US" w:eastAsia="zh-CN" w:bidi="ar"/>
        </w:rPr>
        <w:t>施工</w:t>
      </w:r>
      <w:r>
        <w:rPr>
          <w:rFonts w:hint="eastAsia"/>
          <w:b w:val="0"/>
          <w:bCs w:val="0"/>
          <w:highlight w:val="none"/>
          <w:lang w:val="en-US" w:eastAsia="zh-CN"/>
        </w:rPr>
        <w:t>特种作业人员</w:t>
      </w:r>
      <w:bookmarkEnd w:id="320"/>
      <w:bookmarkEnd w:id="321"/>
      <w:bookmarkEnd w:id="322"/>
      <w:r>
        <w:rPr>
          <w:rFonts w:hint="eastAsia" w:ascii="宋体" w:hAnsi="宋体" w:eastAsia="宋体" w:cs="宋体"/>
          <w:b w:val="0"/>
          <w:bCs w:val="0"/>
          <w:kern w:val="2"/>
          <w:sz w:val="24"/>
          <w:szCs w:val="24"/>
          <w:highlight w:val="none"/>
          <w:lang w:val="en-US" w:eastAsia="zh-CN" w:bidi="ar"/>
        </w:rPr>
        <w:t>配置</w:t>
      </w:r>
    </w:p>
    <w:p w14:paraId="78F83F76">
      <w:pPr>
        <w:pStyle w:val="15"/>
        <w:bidi w:val="0"/>
        <w:rPr>
          <w:rFonts w:hint="eastAsia"/>
          <w:highlight w:val="none"/>
          <w:lang w:val="en-US" w:eastAsia="zh-CN"/>
        </w:rPr>
      </w:pPr>
      <w:r>
        <w:rPr>
          <w:rFonts w:hint="eastAsia"/>
          <w:highlight w:val="none"/>
          <w:lang w:val="en-US" w:eastAsia="zh-CN"/>
        </w:rPr>
        <w:t>表7.2-2每班组特种作业人员配置计划表</w:t>
      </w:r>
    </w:p>
    <w:tbl>
      <w:tblPr>
        <w:tblStyle w:val="30"/>
        <w:tblW w:w="8209" w:type="dxa"/>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1009"/>
        <w:gridCol w:w="2115"/>
        <w:gridCol w:w="1221"/>
        <w:gridCol w:w="3864"/>
      </w:tblGrid>
      <w:tr w14:paraId="7902FE7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tblHeader/>
          <w:jc w:val="center"/>
        </w:trPr>
        <w:tc>
          <w:tcPr>
            <w:tcW w:w="1009" w:type="dxa"/>
            <w:tcBorders>
              <w:tl2br w:val="nil"/>
              <w:tr2bl w:val="nil"/>
            </w:tcBorders>
            <w:shd w:val="clear" w:color="auto" w:fill="DAE3F3" w:themeFill="accent5" w:themeFillTint="32"/>
            <w:vAlign w:val="center"/>
          </w:tcPr>
          <w:p w14:paraId="4E095D8E">
            <w:pPr>
              <w:pStyle w:val="105"/>
              <w:bidi w:val="0"/>
              <w:rPr>
                <w:rFonts w:hint="eastAsia"/>
                <w:highlight w:val="none"/>
              </w:rPr>
            </w:pPr>
            <w:r>
              <w:rPr>
                <w:rFonts w:hint="eastAsia"/>
                <w:highlight w:val="none"/>
              </w:rPr>
              <w:t>序号</w:t>
            </w:r>
          </w:p>
        </w:tc>
        <w:tc>
          <w:tcPr>
            <w:tcW w:w="2115" w:type="dxa"/>
            <w:tcBorders>
              <w:tl2br w:val="nil"/>
              <w:tr2bl w:val="nil"/>
            </w:tcBorders>
            <w:shd w:val="clear" w:color="auto" w:fill="DAE3F3" w:themeFill="accent5" w:themeFillTint="32"/>
            <w:vAlign w:val="center"/>
          </w:tcPr>
          <w:p w14:paraId="7FDB7854">
            <w:pPr>
              <w:pStyle w:val="105"/>
              <w:bidi w:val="0"/>
              <w:rPr>
                <w:rFonts w:hint="default"/>
                <w:highlight w:val="none"/>
                <w:lang w:val="en-US" w:eastAsia="zh-CN"/>
              </w:rPr>
            </w:pPr>
            <w:r>
              <w:rPr>
                <w:rFonts w:hint="eastAsia"/>
                <w:highlight w:val="none"/>
                <w:lang w:val="en-US" w:eastAsia="zh-CN"/>
              </w:rPr>
              <w:t>特种作业工名称</w:t>
            </w:r>
          </w:p>
        </w:tc>
        <w:tc>
          <w:tcPr>
            <w:tcW w:w="1221" w:type="dxa"/>
            <w:tcBorders>
              <w:tl2br w:val="nil"/>
              <w:tr2bl w:val="nil"/>
            </w:tcBorders>
            <w:shd w:val="clear" w:color="auto" w:fill="DAE3F3" w:themeFill="accent5" w:themeFillTint="32"/>
            <w:vAlign w:val="center"/>
          </w:tcPr>
          <w:p w14:paraId="1F4A05D6">
            <w:pPr>
              <w:pStyle w:val="105"/>
              <w:bidi w:val="0"/>
              <w:rPr>
                <w:rFonts w:hint="eastAsia"/>
                <w:highlight w:val="none"/>
                <w:lang w:eastAsia="zh-CN"/>
              </w:rPr>
            </w:pPr>
            <w:r>
              <w:rPr>
                <w:rFonts w:hint="eastAsia"/>
                <w:highlight w:val="none"/>
              </w:rPr>
              <w:t>数量</w:t>
            </w:r>
            <w:r>
              <w:rPr>
                <w:rFonts w:hint="eastAsia"/>
                <w:highlight w:val="none"/>
                <w:lang w:eastAsia="zh-CN"/>
              </w:rPr>
              <w:t>（</w:t>
            </w:r>
            <w:r>
              <w:rPr>
                <w:rFonts w:hint="eastAsia"/>
                <w:highlight w:val="none"/>
              </w:rPr>
              <w:t>人</w:t>
            </w:r>
            <w:r>
              <w:rPr>
                <w:rFonts w:hint="eastAsia"/>
                <w:highlight w:val="none"/>
                <w:lang w:eastAsia="zh-CN"/>
              </w:rPr>
              <w:t>）</w:t>
            </w:r>
          </w:p>
        </w:tc>
        <w:tc>
          <w:tcPr>
            <w:tcW w:w="3864" w:type="dxa"/>
            <w:tcBorders>
              <w:tl2br w:val="nil"/>
              <w:tr2bl w:val="nil"/>
            </w:tcBorders>
            <w:shd w:val="clear" w:color="auto" w:fill="DAE3F3" w:themeFill="accent5" w:themeFillTint="32"/>
            <w:vAlign w:val="center"/>
          </w:tcPr>
          <w:p w14:paraId="25B16DCA">
            <w:pPr>
              <w:pStyle w:val="105"/>
              <w:bidi w:val="0"/>
              <w:rPr>
                <w:rFonts w:hint="eastAsia"/>
                <w:highlight w:val="none"/>
              </w:rPr>
            </w:pPr>
            <w:r>
              <w:rPr>
                <w:rFonts w:hint="eastAsia"/>
                <w:highlight w:val="none"/>
              </w:rPr>
              <w:t>职责</w:t>
            </w:r>
          </w:p>
        </w:tc>
      </w:tr>
      <w:tr w14:paraId="6631F26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77FCE8C2">
            <w:pPr>
              <w:pStyle w:val="105"/>
              <w:bidi w:val="0"/>
              <w:rPr>
                <w:rFonts w:hint="eastAsia"/>
                <w:highlight w:val="none"/>
              </w:rPr>
            </w:pPr>
            <w:r>
              <w:rPr>
                <w:rFonts w:hint="eastAsia"/>
                <w:highlight w:val="none"/>
              </w:rPr>
              <w:t>1</w:t>
            </w:r>
          </w:p>
        </w:tc>
        <w:tc>
          <w:tcPr>
            <w:tcW w:w="2115" w:type="dxa"/>
            <w:tcBorders>
              <w:tl2br w:val="nil"/>
              <w:tr2bl w:val="nil"/>
            </w:tcBorders>
            <w:vAlign w:val="center"/>
          </w:tcPr>
          <w:p w14:paraId="357268D3">
            <w:pPr>
              <w:pStyle w:val="105"/>
              <w:bidi w:val="0"/>
              <w:rPr>
                <w:rFonts w:hint="eastAsia"/>
                <w:highlight w:val="none"/>
                <w:lang w:val="en-US" w:eastAsia="zh-CN"/>
              </w:rPr>
            </w:pPr>
            <w:r>
              <w:rPr>
                <w:rFonts w:hint="eastAsia"/>
                <w:highlight w:val="none"/>
                <w:lang w:val="en-US" w:eastAsia="zh-CN"/>
              </w:rPr>
              <w:t>电工</w:t>
            </w:r>
          </w:p>
        </w:tc>
        <w:tc>
          <w:tcPr>
            <w:tcW w:w="1221" w:type="dxa"/>
            <w:tcBorders>
              <w:tl2br w:val="nil"/>
              <w:tr2bl w:val="nil"/>
            </w:tcBorders>
            <w:vAlign w:val="center"/>
          </w:tcPr>
          <w:p w14:paraId="142BFEE1">
            <w:pPr>
              <w:pStyle w:val="105"/>
              <w:bidi w:val="0"/>
              <w:rPr>
                <w:rFonts w:hint="eastAsia"/>
                <w:highlight w:val="none"/>
              </w:rPr>
            </w:pPr>
            <w:r>
              <w:rPr>
                <w:rFonts w:hint="eastAsia"/>
                <w:highlight w:val="none"/>
              </w:rPr>
              <w:t>1</w:t>
            </w:r>
          </w:p>
        </w:tc>
        <w:tc>
          <w:tcPr>
            <w:tcW w:w="3864" w:type="dxa"/>
            <w:tcBorders>
              <w:tl2br w:val="nil"/>
              <w:tr2bl w:val="nil"/>
            </w:tcBorders>
            <w:vAlign w:val="center"/>
          </w:tcPr>
          <w:p w14:paraId="39660865">
            <w:pPr>
              <w:pStyle w:val="105"/>
              <w:bidi w:val="0"/>
              <w:rPr>
                <w:rFonts w:hint="default"/>
                <w:highlight w:val="none"/>
                <w:lang w:val="en-US" w:eastAsia="zh-CN"/>
              </w:rPr>
            </w:pPr>
            <w:r>
              <w:rPr>
                <w:rFonts w:hint="eastAsia"/>
                <w:highlight w:val="none"/>
              </w:rPr>
              <w:t>负责现场</w:t>
            </w:r>
            <w:r>
              <w:rPr>
                <w:rFonts w:hint="eastAsia"/>
                <w:highlight w:val="none"/>
                <w:lang w:val="en-US" w:eastAsia="zh-CN"/>
              </w:rPr>
              <w:t>临时用电安装、检查、维修</w:t>
            </w:r>
          </w:p>
        </w:tc>
      </w:tr>
      <w:tr w14:paraId="44E3B01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38B50B0B">
            <w:pPr>
              <w:pStyle w:val="105"/>
              <w:bidi w:val="0"/>
              <w:rPr>
                <w:rFonts w:hint="eastAsia"/>
                <w:highlight w:val="none"/>
              </w:rPr>
            </w:pPr>
            <w:r>
              <w:rPr>
                <w:rFonts w:hint="eastAsia"/>
                <w:highlight w:val="none"/>
              </w:rPr>
              <w:t>2</w:t>
            </w:r>
          </w:p>
        </w:tc>
        <w:tc>
          <w:tcPr>
            <w:tcW w:w="2115" w:type="dxa"/>
            <w:tcBorders>
              <w:tl2br w:val="nil"/>
              <w:tr2bl w:val="nil"/>
            </w:tcBorders>
            <w:vAlign w:val="center"/>
          </w:tcPr>
          <w:p w14:paraId="13380E7E">
            <w:pPr>
              <w:pStyle w:val="105"/>
              <w:bidi w:val="0"/>
              <w:rPr>
                <w:rFonts w:hint="eastAsia"/>
                <w:highlight w:val="none"/>
                <w:lang w:val="en-US" w:eastAsia="zh-CN"/>
              </w:rPr>
            </w:pPr>
            <w:r>
              <w:rPr>
                <w:rFonts w:hint="eastAsia"/>
                <w:highlight w:val="none"/>
                <w:lang w:val="en-US" w:eastAsia="zh-CN"/>
              </w:rPr>
              <w:t>电焊工</w:t>
            </w:r>
          </w:p>
        </w:tc>
        <w:tc>
          <w:tcPr>
            <w:tcW w:w="1221" w:type="dxa"/>
            <w:tcBorders>
              <w:tl2br w:val="nil"/>
              <w:tr2bl w:val="nil"/>
            </w:tcBorders>
            <w:vAlign w:val="center"/>
          </w:tcPr>
          <w:p w14:paraId="5F181196">
            <w:pPr>
              <w:pStyle w:val="105"/>
              <w:bidi w:val="0"/>
              <w:rPr>
                <w:rFonts w:hint="eastAsia"/>
                <w:highlight w:val="none"/>
                <w:lang w:eastAsia="zh-CN"/>
              </w:rPr>
            </w:pPr>
            <w:r>
              <w:rPr>
                <w:rFonts w:hint="eastAsia"/>
                <w:highlight w:val="none"/>
                <w:lang w:val="en-US" w:eastAsia="zh-CN"/>
              </w:rPr>
              <w:t>2</w:t>
            </w:r>
          </w:p>
        </w:tc>
        <w:tc>
          <w:tcPr>
            <w:tcW w:w="3864" w:type="dxa"/>
            <w:tcBorders>
              <w:tl2br w:val="nil"/>
              <w:tr2bl w:val="nil"/>
            </w:tcBorders>
            <w:vAlign w:val="center"/>
          </w:tcPr>
          <w:p w14:paraId="41F8DCA6">
            <w:pPr>
              <w:pStyle w:val="105"/>
              <w:bidi w:val="0"/>
              <w:rPr>
                <w:rFonts w:hint="default"/>
                <w:highlight w:val="none"/>
                <w:lang w:val="en-US" w:eastAsia="zh-CN"/>
              </w:rPr>
            </w:pPr>
            <w:r>
              <w:rPr>
                <w:rFonts w:hint="eastAsia"/>
                <w:highlight w:val="none"/>
                <w:lang w:val="en-US" w:eastAsia="zh-CN"/>
              </w:rPr>
              <w:t>现场专门焊接作业</w:t>
            </w:r>
          </w:p>
        </w:tc>
      </w:tr>
      <w:tr w14:paraId="3DDB5BD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1BE50826">
            <w:pPr>
              <w:pStyle w:val="105"/>
              <w:bidi w:val="0"/>
              <w:rPr>
                <w:rFonts w:hint="eastAsia"/>
                <w:highlight w:val="none"/>
                <w:lang w:val="en-US" w:eastAsia="zh-CN"/>
              </w:rPr>
            </w:pPr>
            <w:r>
              <w:rPr>
                <w:rFonts w:hint="eastAsia"/>
                <w:highlight w:val="none"/>
              </w:rPr>
              <w:t>3</w:t>
            </w:r>
          </w:p>
        </w:tc>
        <w:tc>
          <w:tcPr>
            <w:tcW w:w="2115" w:type="dxa"/>
            <w:tcBorders>
              <w:tl2br w:val="nil"/>
              <w:tr2bl w:val="nil"/>
            </w:tcBorders>
            <w:vAlign w:val="center"/>
          </w:tcPr>
          <w:p w14:paraId="2091EB26">
            <w:pPr>
              <w:pStyle w:val="105"/>
              <w:bidi w:val="0"/>
              <w:rPr>
                <w:rFonts w:hint="eastAsia"/>
                <w:highlight w:val="none"/>
                <w:lang w:val="en-US" w:eastAsia="zh-CN"/>
              </w:rPr>
            </w:pPr>
            <w:r>
              <w:rPr>
                <w:rFonts w:hint="eastAsia"/>
                <w:highlight w:val="none"/>
                <w:lang w:val="en-US" w:eastAsia="zh-CN"/>
              </w:rPr>
              <w:t>安拆维保人员</w:t>
            </w:r>
          </w:p>
        </w:tc>
        <w:tc>
          <w:tcPr>
            <w:tcW w:w="1221" w:type="dxa"/>
            <w:tcBorders>
              <w:tl2br w:val="nil"/>
              <w:tr2bl w:val="nil"/>
            </w:tcBorders>
            <w:vAlign w:val="center"/>
          </w:tcPr>
          <w:p w14:paraId="6190185A">
            <w:pPr>
              <w:pStyle w:val="105"/>
              <w:bidi w:val="0"/>
              <w:rPr>
                <w:rFonts w:hint="eastAsia"/>
                <w:highlight w:val="none"/>
                <w:lang w:val="en-US" w:eastAsia="zh-CN"/>
              </w:rPr>
            </w:pPr>
            <w:r>
              <w:rPr>
                <w:rFonts w:hint="eastAsia"/>
                <w:highlight w:val="none"/>
                <w:lang w:val="en-US" w:eastAsia="zh-CN"/>
              </w:rPr>
              <w:t>6</w:t>
            </w:r>
          </w:p>
        </w:tc>
        <w:tc>
          <w:tcPr>
            <w:tcW w:w="3864" w:type="dxa"/>
            <w:tcBorders>
              <w:tl2br w:val="nil"/>
              <w:tr2bl w:val="nil"/>
            </w:tcBorders>
            <w:vAlign w:val="center"/>
          </w:tcPr>
          <w:p w14:paraId="1D10A0C7">
            <w:pPr>
              <w:pStyle w:val="105"/>
              <w:bidi w:val="0"/>
              <w:rPr>
                <w:rFonts w:hint="eastAsia"/>
                <w:highlight w:val="none"/>
                <w:lang w:val="en-US" w:eastAsia="zh-CN"/>
              </w:rPr>
            </w:pPr>
            <w:r>
              <w:rPr>
                <w:rFonts w:hint="eastAsia"/>
                <w:highlight w:val="none"/>
                <w:lang w:val="en-US" w:eastAsia="zh-CN"/>
              </w:rPr>
              <w:t>按规章安拆维保起重机械</w:t>
            </w:r>
          </w:p>
        </w:tc>
      </w:tr>
      <w:tr w14:paraId="14EB082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01B676B1">
            <w:pPr>
              <w:pStyle w:val="105"/>
              <w:bidi w:val="0"/>
              <w:rPr>
                <w:rFonts w:hint="eastAsia"/>
                <w:highlight w:val="none"/>
                <w:lang w:val="en-US" w:eastAsia="zh-CN"/>
              </w:rPr>
            </w:pPr>
            <w:r>
              <w:rPr>
                <w:rFonts w:hint="eastAsia"/>
                <w:highlight w:val="none"/>
              </w:rPr>
              <w:t>4</w:t>
            </w:r>
          </w:p>
        </w:tc>
        <w:tc>
          <w:tcPr>
            <w:tcW w:w="2115" w:type="dxa"/>
            <w:tcBorders>
              <w:tl2br w:val="nil"/>
              <w:tr2bl w:val="nil"/>
            </w:tcBorders>
            <w:vAlign w:val="center"/>
          </w:tcPr>
          <w:p w14:paraId="677FC220">
            <w:pPr>
              <w:pStyle w:val="105"/>
              <w:bidi w:val="0"/>
              <w:rPr>
                <w:rFonts w:hint="default"/>
                <w:highlight w:val="none"/>
                <w:lang w:val="en-US" w:eastAsia="zh-CN"/>
              </w:rPr>
            </w:pPr>
            <w:r>
              <w:rPr>
                <w:rFonts w:hint="eastAsia"/>
                <w:highlight w:val="none"/>
                <w:lang w:val="en-US" w:eastAsia="zh-CN"/>
              </w:rPr>
              <w:t>起重机械司机</w:t>
            </w:r>
          </w:p>
        </w:tc>
        <w:tc>
          <w:tcPr>
            <w:tcW w:w="1221" w:type="dxa"/>
            <w:tcBorders>
              <w:tl2br w:val="nil"/>
              <w:tr2bl w:val="nil"/>
            </w:tcBorders>
            <w:vAlign w:val="center"/>
          </w:tcPr>
          <w:p w14:paraId="66AE5981">
            <w:pPr>
              <w:pStyle w:val="105"/>
              <w:bidi w:val="0"/>
              <w:rPr>
                <w:rFonts w:hint="default"/>
                <w:highlight w:val="none"/>
                <w:lang w:val="en-US" w:eastAsia="zh-CN"/>
              </w:rPr>
            </w:pPr>
            <w:r>
              <w:rPr>
                <w:rFonts w:hint="eastAsia"/>
                <w:highlight w:val="none"/>
                <w:lang w:val="en-US" w:eastAsia="zh-CN"/>
              </w:rPr>
              <w:t>2</w:t>
            </w:r>
          </w:p>
        </w:tc>
        <w:tc>
          <w:tcPr>
            <w:tcW w:w="3864" w:type="dxa"/>
            <w:tcBorders>
              <w:tl2br w:val="nil"/>
              <w:tr2bl w:val="nil"/>
            </w:tcBorders>
            <w:vAlign w:val="center"/>
          </w:tcPr>
          <w:p w14:paraId="376A555D">
            <w:pPr>
              <w:pStyle w:val="105"/>
              <w:bidi w:val="0"/>
              <w:rPr>
                <w:rFonts w:hint="default"/>
                <w:highlight w:val="none"/>
                <w:lang w:val="en-US" w:eastAsia="zh-CN"/>
              </w:rPr>
            </w:pPr>
            <w:r>
              <w:rPr>
                <w:rFonts w:hint="eastAsia"/>
                <w:highlight w:val="none"/>
                <w:lang w:val="en-US" w:eastAsia="zh-CN"/>
              </w:rPr>
              <w:t>按规章、规程要求进行起重吊装作业，检查、维护起重机械（租赁）</w:t>
            </w:r>
          </w:p>
        </w:tc>
      </w:tr>
      <w:tr w14:paraId="042CF3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2FC4C9FF">
            <w:pPr>
              <w:pStyle w:val="105"/>
              <w:bidi w:val="0"/>
              <w:rPr>
                <w:rFonts w:hint="default"/>
                <w:highlight w:val="none"/>
                <w:lang w:val="en-US" w:eastAsia="zh-CN"/>
              </w:rPr>
            </w:pPr>
            <w:r>
              <w:rPr>
                <w:rFonts w:hint="eastAsia"/>
                <w:highlight w:val="none"/>
                <w:lang w:val="en-US" w:eastAsia="zh-CN"/>
              </w:rPr>
              <w:t>5</w:t>
            </w:r>
          </w:p>
        </w:tc>
        <w:tc>
          <w:tcPr>
            <w:tcW w:w="2115" w:type="dxa"/>
            <w:tcBorders>
              <w:tl2br w:val="nil"/>
              <w:tr2bl w:val="nil"/>
            </w:tcBorders>
            <w:vAlign w:val="center"/>
          </w:tcPr>
          <w:p w14:paraId="0171A2C7">
            <w:pPr>
              <w:pStyle w:val="105"/>
              <w:bidi w:val="0"/>
              <w:rPr>
                <w:rFonts w:hint="default"/>
                <w:highlight w:val="none"/>
                <w:lang w:val="en-US" w:eastAsia="zh-CN"/>
              </w:rPr>
            </w:pPr>
            <w:r>
              <w:rPr>
                <w:rFonts w:hint="eastAsia"/>
                <w:highlight w:val="none"/>
                <w:lang w:val="en-US" w:eastAsia="zh-CN"/>
              </w:rPr>
              <w:t>司索工</w:t>
            </w:r>
          </w:p>
        </w:tc>
        <w:tc>
          <w:tcPr>
            <w:tcW w:w="1221" w:type="dxa"/>
            <w:tcBorders>
              <w:tl2br w:val="nil"/>
              <w:tr2bl w:val="nil"/>
            </w:tcBorders>
            <w:vAlign w:val="center"/>
          </w:tcPr>
          <w:p w14:paraId="6BB865F0">
            <w:pPr>
              <w:pStyle w:val="105"/>
              <w:bidi w:val="0"/>
              <w:rPr>
                <w:rFonts w:hint="default"/>
                <w:highlight w:val="none"/>
                <w:lang w:val="en-US" w:eastAsia="zh-CN"/>
              </w:rPr>
            </w:pPr>
            <w:r>
              <w:rPr>
                <w:rFonts w:hint="eastAsia"/>
                <w:highlight w:val="none"/>
                <w:lang w:val="en-US" w:eastAsia="zh-CN"/>
              </w:rPr>
              <w:t>2</w:t>
            </w:r>
          </w:p>
        </w:tc>
        <w:tc>
          <w:tcPr>
            <w:tcW w:w="3864" w:type="dxa"/>
            <w:tcBorders>
              <w:tl2br w:val="nil"/>
              <w:tr2bl w:val="nil"/>
            </w:tcBorders>
            <w:vAlign w:val="center"/>
          </w:tcPr>
          <w:p w14:paraId="7B83973B">
            <w:pPr>
              <w:pStyle w:val="105"/>
              <w:bidi w:val="0"/>
              <w:rPr>
                <w:rFonts w:hint="default"/>
                <w:highlight w:val="none"/>
                <w:lang w:val="en-US" w:eastAsia="zh-CN"/>
              </w:rPr>
            </w:pPr>
            <w:r>
              <w:rPr>
                <w:rFonts w:hint="eastAsia"/>
                <w:highlight w:val="none"/>
                <w:lang w:val="en-US" w:eastAsia="zh-CN"/>
              </w:rPr>
              <w:t>规范指挥起重吊装作业（租赁）</w:t>
            </w:r>
          </w:p>
        </w:tc>
      </w:tr>
      <w:tr w14:paraId="71C29C5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510" w:hRule="atLeast"/>
          <w:jc w:val="center"/>
        </w:trPr>
        <w:tc>
          <w:tcPr>
            <w:tcW w:w="1009" w:type="dxa"/>
            <w:tcBorders>
              <w:tl2br w:val="nil"/>
              <w:tr2bl w:val="nil"/>
            </w:tcBorders>
            <w:vAlign w:val="center"/>
          </w:tcPr>
          <w:p w14:paraId="01B2B05A">
            <w:pPr>
              <w:pStyle w:val="105"/>
              <w:bidi w:val="0"/>
              <w:rPr>
                <w:rFonts w:hint="default"/>
                <w:highlight w:val="none"/>
                <w:lang w:val="en-US" w:eastAsia="zh-CN"/>
              </w:rPr>
            </w:pPr>
            <w:r>
              <w:rPr>
                <w:rFonts w:hint="eastAsia"/>
                <w:highlight w:val="none"/>
                <w:lang w:val="en-US" w:eastAsia="zh-CN"/>
              </w:rPr>
              <w:t>6</w:t>
            </w:r>
          </w:p>
        </w:tc>
        <w:tc>
          <w:tcPr>
            <w:tcW w:w="2115" w:type="dxa"/>
            <w:tcBorders>
              <w:tl2br w:val="nil"/>
              <w:tr2bl w:val="nil"/>
            </w:tcBorders>
            <w:vAlign w:val="center"/>
          </w:tcPr>
          <w:p w14:paraId="2FBC2CD8">
            <w:pPr>
              <w:pStyle w:val="105"/>
              <w:bidi w:val="0"/>
              <w:rPr>
                <w:rFonts w:hint="default"/>
                <w:highlight w:val="none"/>
                <w:lang w:val="en-US" w:eastAsia="zh-CN"/>
              </w:rPr>
            </w:pPr>
            <w:r>
              <w:rPr>
                <w:rFonts w:hint="eastAsia"/>
                <w:highlight w:val="none"/>
                <w:lang w:val="en-US" w:eastAsia="zh-CN"/>
              </w:rPr>
              <w:t>合计</w:t>
            </w:r>
          </w:p>
        </w:tc>
        <w:tc>
          <w:tcPr>
            <w:tcW w:w="1221" w:type="dxa"/>
            <w:tcBorders>
              <w:tl2br w:val="nil"/>
              <w:tr2bl w:val="nil"/>
            </w:tcBorders>
            <w:vAlign w:val="center"/>
          </w:tcPr>
          <w:p w14:paraId="580D63A1">
            <w:pPr>
              <w:pStyle w:val="105"/>
              <w:bidi w:val="0"/>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 sum(C2:C6) \* MERGEFORMAT </w:instrText>
            </w:r>
            <w:r>
              <w:rPr>
                <w:rFonts w:hint="eastAsia"/>
                <w:highlight w:val="none"/>
                <w:lang w:val="en-US" w:eastAsia="zh-CN"/>
              </w:rPr>
              <w:fldChar w:fldCharType="separate"/>
            </w:r>
            <w:r>
              <w:rPr>
                <w:rFonts w:hint="eastAsia"/>
                <w:highlight w:val="none"/>
                <w:lang w:val="en-US" w:eastAsia="zh-CN"/>
              </w:rPr>
              <w:t>13</w:t>
            </w:r>
            <w:r>
              <w:rPr>
                <w:rFonts w:hint="eastAsia"/>
                <w:highlight w:val="none"/>
                <w:lang w:val="en-US" w:eastAsia="zh-CN"/>
              </w:rPr>
              <w:fldChar w:fldCharType="end"/>
            </w:r>
          </w:p>
        </w:tc>
        <w:tc>
          <w:tcPr>
            <w:tcW w:w="3864" w:type="dxa"/>
            <w:tcBorders>
              <w:tl2br w:val="nil"/>
              <w:tr2bl w:val="nil"/>
            </w:tcBorders>
            <w:vAlign w:val="center"/>
          </w:tcPr>
          <w:p w14:paraId="5341ADB4">
            <w:pPr>
              <w:pStyle w:val="105"/>
              <w:bidi w:val="0"/>
              <w:rPr>
                <w:rFonts w:hint="default"/>
                <w:highlight w:val="none"/>
                <w:lang w:val="en-US" w:eastAsia="zh-CN"/>
              </w:rPr>
            </w:pPr>
          </w:p>
        </w:tc>
      </w:tr>
    </w:tbl>
    <w:p w14:paraId="74A5D7DA">
      <w:pPr>
        <w:bidi w:val="0"/>
        <w:ind w:firstLine="480" w:firstLineChars="200"/>
        <w:rPr>
          <w:rFonts w:hint="eastAsia"/>
          <w:highlight w:val="none"/>
          <w:lang w:val="en-US" w:eastAsia="zh-CN"/>
        </w:rPr>
      </w:pPr>
      <w:r>
        <w:rPr>
          <w:rFonts w:hint="eastAsia"/>
          <w:highlight w:val="none"/>
          <w:lang w:val="en-US" w:eastAsia="zh-CN"/>
        </w:rPr>
        <w:t>特种作业人员必须接受与本工种相适应的、专门的安全技术培训、经安全技术理论考核和实际操作技能考核合格，取得特种作业操作证后，方可上岗作业；未经培训或培训考核不合格者，不得上岗作业。特种作业人员必须持证上岗。</w:t>
      </w:r>
    </w:p>
    <w:p w14:paraId="61FDDBA3">
      <w:pPr>
        <w:bidi w:val="0"/>
        <w:rPr>
          <w:rFonts w:hint="eastAsia"/>
          <w:highlight w:val="none"/>
          <w:lang w:val="en-US" w:eastAsia="zh-CN"/>
        </w:rPr>
      </w:pPr>
      <w:r>
        <w:rPr>
          <w:rFonts w:hint="eastAsia"/>
          <w:highlight w:val="none"/>
          <w:lang w:val="en-US" w:eastAsia="zh-CN"/>
        </w:rPr>
        <w:t>4、</w:t>
      </w:r>
      <w:bookmarkStart w:id="323" w:name="_Toc6570"/>
      <w:bookmarkStart w:id="324" w:name="_Toc26620"/>
      <w:r>
        <w:rPr>
          <w:rFonts w:hint="default"/>
          <w:highlight w:val="none"/>
          <w:lang w:val="en-US" w:eastAsia="zh-CN"/>
        </w:rPr>
        <w:t>安拆专业分包单位管理人员及安拆人员名单</w:t>
      </w:r>
      <w:bookmarkEnd w:id="323"/>
      <w:bookmarkEnd w:id="324"/>
    </w:p>
    <w:p w14:paraId="51EFBE97">
      <w:pPr>
        <w:jc w:val="center"/>
        <w:rPr>
          <w:rFonts w:hint="eastAsia"/>
          <w:highlight w:val="none"/>
          <w:lang w:val="en-US" w:eastAsia="zh-CN"/>
        </w:rPr>
      </w:pPr>
      <w:r>
        <w:rPr>
          <w:rFonts w:hint="eastAsia"/>
          <w:highlight w:val="none"/>
          <w:lang w:val="en-US" w:eastAsia="zh-CN"/>
        </w:rPr>
        <w:t>表7.2-3安拆专业分包单位管理人员及安拆人员名单汇总表</w:t>
      </w:r>
      <w:bookmarkStart w:id="325" w:name="_Toc2662"/>
    </w:p>
    <w:tbl>
      <w:tblPr>
        <w:tblStyle w:val="30"/>
        <w:tblW w:w="5000"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Layout w:type="autofit"/>
        <w:tblCellMar>
          <w:top w:w="0" w:type="dxa"/>
          <w:left w:w="108" w:type="dxa"/>
          <w:bottom w:w="0" w:type="dxa"/>
          <w:right w:w="108" w:type="dxa"/>
        </w:tblCellMar>
      </w:tblPr>
      <w:tblGrid>
        <w:gridCol w:w="1115"/>
        <w:gridCol w:w="1631"/>
        <w:gridCol w:w="2106"/>
        <w:gridCol w:w="2107"/>
        <w:gridCol w:w="1563"/>
      </w:tblGrid>
      <w:tr w14:paraId="793A27B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tblHeader/>
          <w:jc w:val="center"/>
        </w:trPr>
        <w:tc>
          <w:tcPr>
            <w:tcW w:w="5000" w:type="pct"/>
            <w:gridSpan w:val="5"/>
            <w:tcBorders>
              <w:tl2br w:val="nil"/>
              <w:tr2bl w:val="nil"/>
            </w:tcBorders>
            <w:shd w:val="clear" w:color="auto" w:fill="DAE3F3"/>
            <w:vAlign w:val="center"/>
          </w:tcPr>
          <w:p w14:paraId="22EB20E3">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拟投入安全管理人员及技术人员名单</w:t>
            </w:r>
          </w:p>
        </w:tc>
      </w:tr>
      <w:tr w14:paraId="02CDA33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655" w:type="pct"/>
            <w:tcBorders>
              <w:tl2br w:val="nil"/>
              <w:tr2bl w:val="nil"/>
            </w:tcBorders>
            <w:shd w:val="clear" w:color="auto" w:fill="DAE3F3"/>
            <w:vAlign w:val="center"/>
          </w:tcPr>
          <w:p w14:paraId="1F4257F9">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姓名</w:t>
            </w:r>
          </w:p>
        </w:tc>
        <w:tc>
          <w:tcPr>
            <w:tcW w:w="957" w:type="pct"/>
            <w:tcBorders>
              <w:tl2br w:val="nil"/>
              <w:tr2bl w:val="nil"/>
            </w:tcBorders>
            <w:shd w:val="clear" w:color="auto" w:fill="DAE3F3"/>
            <w:vAlign w:val="center"/>
          </w:tcPr>
          <w:p w14:paraId="7E39B86C">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职务/工种</w:t>
            </w:r>
          </w:p>
        </w:tc>
        <w:tc>
          <w:tcPr>
            <w:tcW w:w="1235" w:type="pct"/>
            <w:tcBorders>
              <w:tl2br w:val="nil"/>
              <w:tr2bl w:val="nil"/>
            </w:tcBorders>
            <w:shd w:val="clear" w:color="auto" w:fill="DAE3F3"/>
            <w:vAlign w:val="center"/>
          </w:tcPr>
          <w:p w14:paraId="5BF0883B">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身份证号码</w:t>
            </w:r>
          </w:p>
        </w:tc>
        <w:tc>
          <w:tcPr>
            <w:tcW w:w="1236" w:type="pct"/>
            <w:tcBorders>
              <w:tl2br w:val="nil"/>
              <w:tr2bl w:val="nil"/>
            </w:tcBorders>
            <w:shd w:val="clear" w:color="auto" w:fill="DAE3F3"/>
            <w:vAlign w:val="center"/>
          </w:tcPr>
          <w:p w14:paraId="69675A3D">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作业证号</w:t>
            </w:r>
          </w:p>
        </w:tc>
        <w:tc>
          <w:tcPr>
            <w:tcW w:w="915" w:type="pct"/>
            <w:tcBorders>
              <w:tl2br w:val="nil"/>
              <w:tr2bl w:val="nil"/>
            </w:tcBorders>
            <w:shd w:val="clear" w:color="auto" w:fill="DAE3F3"/>
            <w:vAlign w:val="center"/>
          </w:tcPr>
          <w:p w14:paraId="7F584855">
            <w:pPr>
              <w:spacing w:line="240" w:lineRule="auto"/>
              <w:ind w:firstLine="0" w:firstLineChars="0"/>
              <w:jc w:val="center"/>
              <w:rPr>
                <w:rFonts w:hint="eastAsia" w:ascii="仿宋" w:hAnsi="仿宋" w:eastAsia="仿宋" w:cs="仿宋"/>
                <w:b/>
                <w:sz w:val="21"/>
                <w:szCs w:val="21"/>
                <w:highlight w:val="none"/>
              </w:rPr>
            </w:pPr>
            <w:r>
              <w:rPr>
                <w:rFonts w:hint="eastAsia" w:ascii="仿宋" w:hAnsi="仿宋" w:eastAsia="仿宋" w:cs="仿宋"/>
                <w:b/>
                <w:sz w:val="21"/>
                <w:szCs w:val="21"/>
                <w:highlight w:val="none"/>
                <w:lang w:val="en-US" w:eastAsia="zh-CN"/>
              </w:rPr>
              <w:t>工作内容</w:t>
            </w:r>
          </w:p>
        </w:tc>
      </w:tr>
      <w:tr w14:paraId="01A028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07826AB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明兴富</w:t>
            </w:r>
          </w:p>
        </w:tc>
        <w:tc>
          <w:tcPr>
            <w:tcW w:w="957" w:type="pct"/>
            <w:tcBorders>
              <w:tl2br w:val="nil"/>
              <w:tr2bl w:val="nil"/>
            </w:tcBorders>
            <w:shd w:val="clear" w:color="auto" w:fill="auto"/>
            <w:vAlign w:val="center"/>
          </w:tcPr>
          <w:p w14:paraId="09C7B0E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项目负责人</w:t>
            </w:r>
          </w:p>
        </w:tc>
        <w:tc>
          <w:tcPr>
            <w:tcW w:w="1235" w:type="pct"/>
            <w:tcBorders>
              <w:tl2br w:val="nil"/>
              <w:tr2bl w:val="nil"/>
            </w:tcBorders>
            <w:shd w:val="clear" w:color="auto" w:fill="auto"/>
            <w:vAlign w:val="center"/>
          </w:tcPr>
          <w:p w14:paraId="3A205C2E">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510322197807274712</w:t>
            </w:r>
          </w:p>
        </w:tc>
        <w:tc>
          <w:tcPr>
            <w:tcW w:w="1236" w:type="pct"/>
            <w:tcBorders>
              <w:tl2br w:val="nil"/>
              <w:tr2bl w:val="nil"/>
            </w:tcBorders>
            <w:shd w:val="clear" w:color="auto" w:fill="auto"/>
            <w:vAlign w:val="center"/>
          </w:tcPr>
          <w:p w14:paraId="7329BDB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川建安C3(2022)1005225</w:t>
            </w:r>
          </w:p>
        </w:tc>
        <w:tc>
          <w:tcPr>
            <w:tcW w:w="915" w:type="pct"/>
            <w:tcBorders>
              <w:tl2br w:val="nil"/>
              <w:tr2bl w:val="nil"/>
            </w:tcBorders>
            <w:shd w:val="clear" w:color="auto" w:fill="auto"/>
            <w:vAlign w:val="center"/>
          </w:tcPr>
          <w:p w14:paraId="028076A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主持现场工作</w:t>
            </w:r>
          </w:p>
        </w:tc>
      </w:tr>
      <w:tr w14:paraId="4783C23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1266EF0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温涛</w:t>
            </w:r>
          </w:p>
        </w:tc>
        <w:tc>
          <w:tcPr>
            <w:tcW w:w="957" w:type="pct"/>
            <w:tcBorders>
              <w:tl2br w:val="nil"/>
              <w:tr2bl w:val="nil"/>
            </w:tcBorders>
            <w:shd w:val="clear" w:color="auto" w:fill="auto"/>
            <w:vAlign w:val="center"/>
          </w:tcPr>
          <w:p w14:paraId="064071C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技术负责人</w:t>
            </w:r>
          </w:p>
        </w:tc>
        <w:tc>
          <w:tcPr>
            <w:tcW w:w="1235" w:type="pct"/>
            <w:tcBorders>
              <w:tl2br w:val="nil"/>
              <w:tr2bl w:val="nil"/>
            </w:tcBorders>
            <w:shd w:val="clear" w:color="auto" w:fill="auto"/>
            <w:vAlign w:val="center"/>
          </w:tcPr>
          <w:p w14:paraId="552C69F6">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412801198705060316</w:t>
            </w:r>
          </w:p>
        </w:tc>
        <w:tc>
          <w:tcPr>
            <w:tcW w:w="1236" w:type="pct"/>
            <w:tcBorders>
              <w:tl2br w:val="nil"/>
              <w:tr2bl w:val="nil"/>
            </w:tcBorders>
            <w:shd w:val="clear" w:color="auto" w:fill="auto"/>
            <w:vAlign w:val="center"/>
          </w:tcPr>
          <w:p w14:paraId="51E2EA57">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鲁200100033201097</w:t>
            </w:r>
          </w:p>
        </w:tc>
        <w:tc>
          <w:tcPr>
            <w:tcW w:w="915" w:type="pct"/>
            <w:tcBorders>
              <w:tl2br w:val="nil"/>
              <w:tr2bl w:val="nil"/>
            </w:tcBorders>
            <w:shd w:val="clear" w:color="auto" w:fill="auto"/>
            <w:vAlign w:val="center"/>
          </w:tcPr>
          <w:p w14:paraId="60C4904F">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公司技术负责人</w:t>
            </w:r>
          </w:p>
        </w:tc>
      </w:tr>
      <w:tr w14:paraId="125AE15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61F187E9">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白美富</w:t>
            </w:r>
          </w:p>
        </w:tc>
        <w:tc>
          <w:tcPr>
            <w:tcW w:w="957" w:type="pct"/>
            <w:tcBorders>
              <w:tl2br w:val="nil"/>
              <w:tr2bl w:val="nil"/>
            </w:tcBorders>
            <w:shd w:val="clear" w:color="auto" w:fill="auto"/>
            <w:vAlign w:val="center"/>
          </w:tcPr>
          <w:p w14:paraId="7343CD6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专职安全管理人员</w:t>
            </w:r>
          </w:p>
        </w:tc>
        <w:tc>
          <w:tcPr>
            <w:tcW w:w="2106" w:type="dxa"/>
            <w:tcBorders>
              <w:tl2br w:val="nil"/>
              <w:tr2bl w:val="nil"/>
            </w:tcBorders>
            <w:shd w:val="clear" w:color="auto" w:fill="auto"/>
            <w:vAlign w:val="center"/>
          </w:tcPr>
          <w:p w14:paraId="1F1A6748">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510113198801248019</w:t>
            </w:r>
          </w:p>
        </w:tc>
        <w:tc>
          <w:tcPr>
            <w:tcW w:w="2107" w:type="dxa"/>
            <w:tcBorders>
              <w:tl2br w:val="nil"/>
              <w:tr2bl w:val="nil"/>
            </w:tcBorders>
            <w:shd w:val="clear" w:color="auto" w:fill="auto"/>
            <w:vAlign w:val="center"/>
          </w:tcPr>
          <w:p w14:paraId="65E9C7A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川建安C3(2023)0080797</w:t>
            </w:r>
          </w:p>
        </w:tc>
        <w:tc>
          <w:tcPr>
            <w:tcW w:w="915" w:type="pct"/>
            <w:tcBorders>
              <w:tl2br w:val="nil"/>
              <w:tr2bl w:val="nil"/>
            </w:tcBorders>
            <w:shd w:val="clear" w:color="auto" w:fill="auto"/>
            <w:vAlign w:val="center"/>
          </w:tcPr>
          <w:p w14:paraId="65E79861">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负责现场安拆指导及安全管理</w:t>
            </w:r>
          </w:p>
        </w:tc>
      </w:tr>
      <w:tr w14:paraId="2E2EC01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shd w:val="clear" w:color="auto" w:fill="DAE3F3"/>
            <w:vAlign w:val="center"/>
          </w:tcPr>
          <w:p w14:paraId="0123C2C0">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安拆施工特种设备作业人员</w:t>
            </w:r>
          </w:p>
        </w:tc>
      </w:tr>
      <w:tr w14:paraId="30FFBB0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72C1573B">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黄科</w:t>
            </w:r>
          </w:p>
        </w:tc>
        <w:tc>
          <w:tcPr>
            <w:tcW w:w="957" w:type="pct"/>
            <w:tcBorders>
              <w:tl2br w:val="nil"/>
              <w:tr2bl w:val="nil"/>
            </w:tcBorders>
            <w:shd w:val="clear" w:color="auto" w:fill="auto"/>
            <w:vAlign w:val="center"/>
          </w:tcPr>
          <w:p w14:paraId="2F2B2096">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00BB5093">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510113198609247470</w:t>
            </w:r>
          </w:p>
        </w:tc>
        <w:tc>
          <w:tcPr>
            <w:tcW w:w="2107" w:type="dxa"/>
            <w:tcBorders>
              <w:tl2br w:val="nil"/>
              <w:tr2bl w:val="nil"/>
            </w:tcBorders>
            <w:shd w:val="clear" w:color="auto" w:fill="auto"/>
            <w:vAlign w:val="center"/>
          </w:tcPr>
          <w:p w14:paraId="42861C44">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A082023006932</w:t>
            </w:r>
          </w:p>
        </w:tc>
        <w:tc>
          <w:tcPr>
            <w:tcW w:w="915" w:type="pct"/>
            <w:tcBorders>
              <w:tl2br w:val="nil"/>
              <w:tr2bl w:val="nil"/>
            </w:tcBorders>
            <w:shd w:val="clear" w:color="auto" w:fill="auto"/>
            <w:vAlign w:val="center"/>
          </w:tcPr>
          <w:p w14:paraId="16F1DFB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3969B62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0CC62D3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徐刚</w:t>
            </w:r>
          </w:p>
        </w:tc>
        <w:tc>
          <w:tcPr>
            <w:tcW w:w="957" w:type="pct"/>
            <w:tcBorders>
              <w:tl2br w:val="nil"/>
              <w:tr2bl w:val="nil"/>
            </w:tcBorders>
            <w:shd w:val="clear" w:color="auto" w:fill="auto"/>
            <w:vAlign w:val="center"/>
          </w:tcPr>
          <w:p w14:paraId="7D1591D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54483EF">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500226198809275711</w:t>
            </w:r>
          </w:p>
        </w:tc>
        <w:tc>
          <w:tcPr>
            <w:tcW w:w="2107" w:type="dxa"/>
            <w:tcBorders>
              <w:tl2br w:val="nil"/>
              <w:tr2bl w:val="nil"/>
            </w:tcBorders>
            <w:shd w:val="clear" w:color="auto" w:fill="auto"/>
            <w:vAlign w:val="center"/>
          </w:tcPr>
          <w:p w14:paraId="2B45CCCE">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 082023007219</w:t>
            </w:r>
          </w:p>
        </w:tc>
        <w:tc>
          <w:tcPr>
            <w:tcW w:w="915" w:type="pct"/>
            <w:tcBorders>
              <w:tl2br w:val="nil"/>
              <w:tr2bl w:val="nil"/>
            </w:tcBorders>
            <w:shd w:val="clear" w:color="auto" w:fill="auto"/>
            <w:vAlign w:val="center"/>
          </w:tcPr>
          <w:p w14:paraId="7E8D8B7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58AC3B7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shd w:val="clear" w:color="auto" w:fill="auto"/>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3DAB0133">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王祯权</w:t>
            </w:r>
          </w:p>
        </w:tc>
        <w:tc>
          <w:tcPr>
            <w:tcW w:w="957" w:type="pct"/>
            <w:tcBorders>
              <w:tl2br w:val="nil"/>
              <w:tr2bl w:val="nil"/>
            </w:tcBorders>
            <w:shd w:val="clear" w:color="auto" w:fill="auto"/>
            <w:vAlign w:val="center"/>
          </w:tcPr>
          <w:p w14:paraId="4675A80A">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DC906FD">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51012119840518667X</w:t>
            </w:r>
          </w:p>
        </w:tc>
        <w:tc>
          <w:tcPr>
            <w:tcW w:w="2107" w:type="dxa"/>
            <w:tcBorders>
              <w:tl2br w:val="nil"/>
              <w:tr2bl w:val="nil"/>
            </w:tcBorders>
            <w:shd w:val="clear" w:color="auto" w:fill="auto"/>
            <w:vAlign w:val="center"/>
          </w:tcPr>
          <w:p w14:paraId="7F8D227B">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 082023006934</w:t>
            </w:r>
          </w:p>
        </w:tc>
        <w:tc>
          <w:tcPr>
            <w:tcW w:w="915" w:type="pct"/>
            <w:tcBorders>
              <w:tl2br w:val="nil"/>
              <w:tr2bl w:val="nil"/>
            </w:tcBorders>
            <w:shd w:val="clear" w:color="auto" w:fill="auto"/>
            <w:vAlign w:val="center"/>
          </w:tcPr>
          <w:p w14:paraId="7B758875">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430120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1117" w:type="dxa"/>
            <w:tcBorders>
              <w:tl2br w:val="nil"/>
              <w:tr2bl w:val="nil"/>
            </w:tcBorders>
            <w:shd w:val="clear" w:color="auto" w:fill="auto"/>
            <w:vAlign w:val="center"/>
          </w:tcPr>
          <w:p w14:paraId="394C148C">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黄仁训</w:t>
            </w:r>
          </w:p>
        </w:tc>
        <w:tc>
          <w:tcPr>
            <w:tcW w:w="957" w:type="pct"/>
            <w:tcBorders>
              <w:tl2br w:val="nil"/>
              <w:tr2bl w:val="nil"/>
            </w:tcBorders>
            <w:shd w:val="clear" w:color="auto" w:fill="auto"/>
            <w:vAlign w:val="center"/>
          </w:tcPr>
          <w:p w14:paraId="178F32E6">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建筑起重机械安装拆卸工（塔式起重机）</w:t>
            </w:r>
          </w:p>
        </w:tc>
        <w:tc>
          <w:tcPr>
            <w:tcW w:w="2106" w:type="dxa"/>
            <w:tcBorders>
              <w:tl2br w:val="nil"/>
              <w:tr2bl w:val="nil"/>
            </w:tcBorders>
            <w:shd w:val="clear" w:color="auto" w:fill="auto"/>
            <w:vAlign w:val="center"/>
          </w:tcPr>
          <w:p w14:paraId="65033807">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510113198608137413</w:t>
            </w:r>
          </w:p>
        </w:tc>
        <w:tc>
          <w:tcPr>
            <w:tcW w:w="2107" w:type="dxa"/>
            <w:tcBorders>
              <w:tl2br w:val="nil"/>
              <w:tr2bl w:val="nil"/>
            </w:tcBorders>
            <w:shd w:val="clear" w:color="auto" w:fill="auto"/>
            <w:vAlign w:val="center"/>
          </w:tcPr>
          <w:p w14:paraId="55651E2D">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K 082019700001</w:t>
            </w:r>
          </w:p>
        </w:tc>
        <w:tc>
          <w:tcPr>
            <w:tcW w:w="915" w:type="pct"/>
            <w:tcBorders>
              <w:tl2br w:val="nil"/>
              <w:tr2bl w:val="nil"/>
            </w:tcBorders>
            <w:shd w:val="clear" w:color="auto" w:fill="auto"/>
            <w:vAlign w:val="center"/>
          </w:tcPr>
          <w:p w14:paraId="2AD5400B">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负责设备安拆调试及维保</w:t>
            </w:r>
          </w:p>
        </w:tc>
      </w:tr>
      <w:tr w14:paraId="0751C91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55" w:type="pct"/>
            <w:tcBorders>
              <w:tl2br w:val="nil"/>
              <w:tr2bl w:val="nil"/>
            </w:tcBorders>
            <w:shd w:val="clear" w:color="auto" w:fill="auto"/>
            <w:vAlign w:val="center"/>
          </w:tcPr>
          <w:p w14:paraId="25F00822">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蒲贵良</w:t>
            </w:r>
          </w:p>
        </w:tc>
        <w:tc>
          <w:tcPr>
            <w:tcW w:w="957" w:type="pct"/>
            <w:tcBorders>
              <w:tl2br w:val="nil"/>
              <w:tr2bl w:val="nil"/>
            </w:tcBorders>
            <w:shd w:val="clear" w:color="auto" w:fill="auto"/>
            <w:vAlign w:val="center"/>
          </w:tcPr>
          <w:p w14:paraId="0B78BCEC">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建筑电工（维保人员）</w:t>
            </w:r>
          </w:p>
        </w:tc>
        <w:tc>
          <w:tcPr>
            <w:tcW w:w="2106" w:type="dxa"/>
            <w:tcBorders>
              <w:tl2br w:val="nil"/>
              <w:tr2bl w:val="nil"/>
            </w:tcBorders>
            <w:shd w:val="clear" w:color="auto" w:fill="auto"/>
            <w:vAlign w:val="center"/>
          </w:tcPr>
          <w:p w14:paraId="35FF2316">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510122196709181015</w:t>
            </w:r>
          </w:p>
        </w:tc>
        <w:tc>
          <w:tcPr>
            <w:tcW w:w="2107" w:type="dxa"/>
            <w:tcBorders>
              <w:tl2br w:val="nil"/>
              <w:tr2bl w:val="nil"/>
            </w:tcBorders>
            <w:shd w:val="clear" w:color="auto" w:fill="auto"/>
            <w:vAlign w:val="center"/>
          </w:tcPr>
          <w:p w14:paraId="50AD7D95">
            <w:pPr>
              <w:spacing w:line="240" w:lineRule="auto"/>
              <w:ind w:firstLine="0" w:firstLineChars="0"/>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川 A012023006940</w:t>
            </w:r>
          </w:p>
        </w:tc>
        <w:tc>
          <w:tcPr>
            <w:tcW w:w="915" w:type="pct"/>
            <w:tcBorders>
              <w:tl2br w:val="nil"/>
              <w:tr2bl w:val="nil"/>
            </w:tcBorders>
            <w:shd w:val="clear" w:color="auto" w:fill="auto"/>
            <w:vAlign w:val="center"/>
          </w:tcPr>
          <w:p w14:paraId="4B7E6A48">
            <w:pPr>
              <w:spacing w:line="240" w:lineRule="auto"/>
              <w:ind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负责设备安拆电气调试及维保</w:t>
            </w:r>
          </w:p>
        </w:tc>
      </w:tr>
    </w:tbl>
    <w:p w14:paraId="4EAC002B">
      <w:pPr>
        <w:rPr>
          <w:highlight w:val="none"/>
        </w:rPr>
      </w:pPr>
      <w:r>
        <w:rPr>
          <w:rFonts w:hint="eastAsia"/>
          <w:highlight w:val="none"/>
          <w:lang w:val="en-US" w:eastAsia="zh-CN"/>
        </w:rPr>
        <w:br w:type="page"/>
      </w:r>
    </w:p>
    <w:p w14:paraId="77E8928B">
      <w:pPr>
        <w:pStyle w:val="2"/>
        <w:bidi w:val="0"/>
        <w:rPr>
          <w:highlight w:val="none"/>
        </w:rPr>
      </w:pPr>
      <w:bookmarkStart w:id="326" w:name="_Toc18200"/>
      <w:bookmarkStart w:id="327" w:name="_Toc19837"/>
      <w:r>
        <w:rPr>
          <w:rFonts w:hint="eastAsia"/>
          <w:highlight w:val="none"/>
          <w:lang w:val="en-US" w:eastAsia="zh-CN"/>
        </w:rPr>
        <w:t>8验收要求</w:t>
      </w:r>
      <w:bookmarkEnd w:id="325"/>
      <w:bookmarkEnd w:id="326"/>
      <w:bookmarkEnd w:id="327"/>
    </w:p>
    <w:p w14:paraId="4977938E">
      <w:pPr>
        <w:pStyle w:val="3"/>
        <w:numPr>
          <w:ilvl w:val="0"/>
          <w:numId w:val="0"/>
        </w:numPr>
        <w:outlineLvl w:val="1"/>
        <w:rPr>
          <w:rFonts w:hint="eastAsia"/>
          <w:highlight w:val="none"/>
          <w:lang w:val="en-US" w:eastAsia="zh-CN"/>
        </w:rPr>
      </w:pPr>
      <w:bookmarkStart w:id="328" w:name="_Toc42641097"/>
      <w:bookmarkEnd w:id="328"/>
      <w:bookmarkStart w:id="329" w:name="_Toc42641787"/>
      <w:bookmarkEnd w:id="329"/>
      <w:bookmarkStart w:id="330" w:name="_Toc31446"/>
      <w:bookmarkEnd w:id="330"/>
      <w:bookmarkStart w:id="331" w:name="_Toc4699"/>
      <w:bookmarkEnd w:id="331"/>
      <w:bookmarkStart w:id="332" w:name="_Toc42642040"/>
      <w:bookmarkEnd w:id="332"/>
      <w:bookmarkStart w:id="333" w:name="_Toc16436"/>
      <w:bookmarkEnd w:id="333"/>
      <w:bookmarkStart w:id="334" w:name="_Toc42642327"/>
      <w:bookmarkEnd w:id="334"/>
      <w:bookmarkStart w:id="335" w:name="_Toc5971"/>
      <w:bookmarkEnd w:id="335"/>
      <w:bookmarkStart w:id="336" w:name="_Toc42641868"/>
      <w:bookmarkEnd w:id="336"/>
      <w:bookmarkStart w:id="337" w:name="_Toc20862"/>
      <w:bookmarkStart w:id="338" w:name="_Toc18426"/>
      <w:bookmarkStart w:id="339" w:name="_Toc19045"/>
      <w:bookmarkStart w:id="340" w:name="_Toc3752"/>
      <w:bookmarkStart w:id="341" w:name="_Toc1659"/>
      <w:bookmarkStart w:id="342" w:name="_Toc10409829"/>
      <w:bookmarkStart w:id="343" w:name="_Toc533345518"/>
      <w:bookmarkStart w:id="344" w:name="_Toc42642337"/>
      <w:bookmarkStart w:id="345" w:name="_Toc27701"/>
      <w:bookmarkStart w:id="346" w:name="_Toc13670"/>
      <w:r>
        <w:rPr>
          <w:rFonts w:hint="eastAsia"/>
          <w:highlight w:val="none"/>
          <w:lang w:val="en-US" w:eastAsia="zh-CN"/>
        </w:rPr>
        <w:t>8.1 验收标准</w:t>
      </w:r>
      <w:bookmarkEnd w:id="337"/>
      <w:bookmarkEnd w:id="338"/>
      <w:bookmarkEnd w:id="339"/>
    </w:p>
    <w:p w14:paraId="577D33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《特种设备安全监察条例》（国务院令第549号）</w:t>
      </w:r>
    </w:p>
    <w:p w14:paraId="1D57DD8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《起重机械安全监察规定》（质监总局令第92号）</w:t>
      </w:r>
    </w:p>
    <w:p w14:paraId="3903CA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《特种设备作业人员监督管理办法》（质监总局令第140号）</w:t>
      </w:r>
    </w:p>
    <w:p w14:paraId="449604F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《塔式起重机安全规程》（GB 5144-2012）</w:t>
      </w:r>
    </w:p>
    <w:p w14:paraId="38053E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《起重设备安装工程施工及验收规范》（GB 50278-2010）</w:t>
      </w:r>
    </w:p>
    <w:p w14:paraId="113ECA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《起重机 安全使用 第3部分：塔式起重机》（GB/T 23723.3-2010）</w:t>
      </w:r>
    </w:p>
    <w:p w14:paraId="1EDFD96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《塔式起重机》（GB/T 5031-2008）</w:t>
      </w:r>
    </w:p>
    <w:p w14:paraId="296FE9F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《塔式起重机安装与拆卸规则》（GB/T 26471-2011）</w:t>
      </w:r>
    </w:p>
    <w:p w14:paraId="6F6137A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rPr>
      </w:pPr>
      <w:r>
        <w:rPr>
          <w:rFonts w:hint="eastAsia"/>
          <w:highlight w:val="none"/>
        </w:rPr>
        <w:t>《危险性较大的分部分项工程安全管理规定》住房城乡建设部令第37号</w:t>
      </w:r>
    </w:p>
    <w:p w14:paraId="72A2E334">
      <w:pPr>
        <w:pStyle w:val="4"/>
        <w:bidi w:val="0"/>
        <w:rPr>
          <w:rFonts w:hint="eastAsia"/>
          <w:highlight w:val="none"/>
          <w:lang w:val="en-US" w:eastAsia="zh-CN"/>
        </w:rPr>
      </w:pPr>
      <w:r>
        <w:rPr>
          <w:rFonts w:hint="eastAsia"/>
          <w:highlight w:val="none"/>
          <w:lang w:val="en-US" w:eastAsia="zh-CN"/>
        </w:rPr>
        <w:t>8.1.1 塔</w:t>
      </w:r>
      <w:r>
        <w:rPr>
          <w:rFonts w:hint="eastAsia"/>
          <w:highlight w:val="none"/>
        </w:rPr>
        <w:t>式起重机结构</w:t>
      </w:r>
      <w:r>
        <w:rPr>
          <w:rFonts w:hint="eastAsia"/>
          <w:highlight w:val="none"/>
          <w:lang w:eastAsia="zh-CN"/>
        </w:rPr>
        <w:t>安全</w:t>
      </w:r>
      <w:bookmarkEnd w:id="340"/>
      <w:bookmarkEnd w:id="341"/>
      <w:bookmarkEnd w:id="342"/>
    </w:p>
    <w:p w14:paraId="584E84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塔吊垂直度允许偏差范围</w:t>
      </w:r>
    </w:p>
    <w:p w14:paraId="4C94A3D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JGJ196-2010《建筑施工塔式起重机安装、使用、拆卸安全技术规程》第 30 页对塔吊垂直度要求规定如下：独立状态或</w:t>
      </w:r>
      <w:r>
        <w:rPr>
          <w:rFonts w:hint="eastAsia" w:ascii="宋体" w:hAnsi="宋体" w:eastAsia="宋体"/>
          <w:highlight w:val="none"/>
          <w:lang w:eastAsia="zh-CN"/>
        </w:rPr>
        <w:t>附墙</w:t>
      </w:r>
      <w:r>
        <w:rPr>
          <w:rFonts w:hint="eastAsia" w:ascii="宋体" w:hAnsi="宋体" w:eastAsia="宋体"/>
          <w:highlight w:val="none"/>
        </w:rPr>
        <w:t>状态下最高</w:t>
      </w:r>
      <w:r>
        <w:rPr>
          <w:rFonts w:hint="eastAsia" w:ascii="宋体" w:hAnsi="宋体" w:eastAsia="宋体"/>
          <w:highlight w:val="none"/>
          <w:lang w:eastAsia="zh-CN"/>
        </w:rPr>
        <w:t>附墙</w:t>
      </w:r>
      <w:r>
        <w:rPr>
          <w:rFonts w:hint="eastAsia" w:ascii="宋体" w:hAnsi="宋体" w:eastAsia="宋体"/>
          <w:highlight w:val="none"/>
        </w:rPr>
        <w:t>点以上塔身轴线对支承面垂直度不得大于4/1000，最高</w:t>
      </w:r>
      <w:r>
        <w:rPr>
          <w:rFonts w:hint="eastAsia" w:ascii="宋体" w:hAnsi="宋体" w:eastAsia="宋体"/>
          <w:highlight w:val="none"/>
          <w:lang w:eastAsia="zh-CN"/>
        </w:rPr>
        <w:t>附墙</w:t>
      </w:r>
      <w:r>
        <w:rPr>
          <w:rFonts w:hint="eastAsia" w:ascii="宋体" w:hAnsi="宋体" w:eastAsia="宋体"/>
          <w:highlight w:val="none"/>
        </w:rPr>
        <w:t>点下塔身轴线对支承面垂直度不得大于相应高度的2/1000。</w:t>
      </w:r>
    </w:p>
    <w:p w14:paraId="3F26F53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塔吊垂直度计算</w:t>
      </w:r>
    </w:p>
    <w:p w14:paraId="7A6D91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塔吊垂直度&lt;4/1000，安装</w:t>
      </w:r>
      <w:r>
        <w:rPr>
          <w:rFonts w:hint="eastAsia" w:ascii="宋体" w:hAnsi="宋体" w:eastAsia="宋体"/>
          <w:highlight w:val="none"/>
          <w:lang w:eastAsia="zh-CN"/>
        </w:rPr>
        <w:t>附墙</w:t>
      </w:r>
      <w:r>
        <w:rPr>
          <w:rFonts w:hint="eastAsia" w:ascii="宋体" w:hAnsi="宋体" w:eastAsia="宋体"/>
          <w:highlight w:val="none"/>
        </w:rPr>
        <w:t>装置后，</w:t>
      </w:r>
      <w:r>
        <w:rPr>
          <w:rFonts w:hint="eastAsia" w:ascii="宋体" w:hAnsi="宋体" w:eastAsia="宋体"/>
          <w:highlight w:val="none"/>
          <w:lang w:eastAsia="zh-CN"/>
        </w:rPr>
        <w:t>附墙</w:t>
      </w:r>
      <w:r>
        <w:rPr>
          <w:rFonts w:hint="eastAsia" w:ascii="宋体" w:hAnsi="宋体" w:eastAsia="宋体"/>
          <w:highlight w:val="none"/>
        </w:rPr>
        <w:t>以下&lt;2/1000，</w:t>
      </w:r>
      <w:r>
        <w:rPr>
          <w:rFonts w:hint="eastAsia" w:ascii="宋体" w:hAnsi="宋体" w:eastAsia="宋体"/>
          <w:highlight w:val="none"/>
          <w:lang w:eastAsia="zh-CN"/>
        </w:rPr>
        <w:t>附墙</w:t>
      </w:r>
      <w:r>
        <w:rPr>
          <w:rFonts w:hint="eastAsia" w:ascii="宋体" w:hAnsi="宋体" w:eastAsia="宋体"/>
          <w:highlight w:val="none"/>
        </w:rPr>
        <w:t>以上&lt;4/1000。</w:t>
      </w:r>
    </w:p>
    <w:p w14:paraId="1C792B2C">
      <w:pPr>
        <w:pStyle w:val="4"/>
        <w:bidi w:val="0"/>
        <w:rPr>
          <w:rFonts w:hint="eastAsia"/>
          <w:highlight w:val="none"/>
        </w:rPr>
      </w:pPr>
      <w:bookmarkStart w:id="347" w:name="_Toc18388"/>
      <w:bookmarkStart w:id="348" w:name="_Toc3430"/>
      <w:bookmarkStart w:id="349" w:name="_Toc10409830"/>
      <w:r>
        <w:rPr>
          <w:rFonts w:hint="eastAsia"/>
          <w:highlight w:val="none"/>
          <w:lang w:val="en-US" w:eastAsia="zh-CN"/>
        </w:rPr>
        <w:t xml:space="preserve">8.1.2 </w:t>
      </w:r>
      <w:r>
        <w:rPr>
          <w:rFonts w:hint="eastAsia"/>
          <w:highlight w:val="none"/>
        </w:rPr>
        <w:t>电气要求</w:t>
      </w:r>
      <w:bookmarkEnd w:id="347"/>
      <w:bookmarkEnd w:id="348"/>
      <w:bookmarkEnd w:id="349"/>
    </w:p>
    <w:p w14:paraId="4FC937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电气部分</w:t>
      </w:r>
    </w:p>
    <w:p w14:paraId="506DC1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77332BD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供电</w:t>
      </w:r>
    </w:p>
    <w:p w14:paraId="235AA45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起重机供电电源为三相交流电源,电压380V±10%,频率50HZ。</w:t>
      </w:r>
    </w:p>
    <w:p w14:paraId="19C609E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）电气保护</w:t>
      </w:r>
    </w:p>
    <w:p w14:paraId="3F4F48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短路及过载保护:</w:t>
      </w:r>
    </w:p>
    <w:p w14:paraId="378081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起重机总受电屏、控制屏进出电源设置断路器、控制回路设置小容量断路器，使各机构在短路，过载等事故状态下，迅速与电源脱离,以达到保护设备及人机安全的目的。</w:t>
      </w:r>
    </w:p>
    <w:p w14:paraId="0128369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失压保护:</w:t>
      </w:r>
    </w:p>
    <w:p w14:paraId="36EDF0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在总受电屏及机构控制屏中，用线路接触器作为失压保护装置，当供电电源中断时,能够自动断开电源。</w:t>
      </w:r>
    </w:p>
    <w:p w14:paraId="4178BB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零位保护:</w:t>
      </w:r>
    </w:p>
    <w:p w14:paraId="6BAD086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司机室的联动台凸轮控制器手柄上设有零位连锁，达到零位的目的。即当起重机开始运转前和失压恢复供电时，必须将控制器的手柄置于零位，各机构的电动机才能启动工作。</w:t>
      </w:r>
    </w:p>
    <w:p w14:paraId="4628A0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紧急断电保护:</w:t>
      </w:r>
    </w:p>
    <w:p w14:paraId="6E63AF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司机室内设有紧急断电按钮，当起重机发生紧急情况时，随时方便地切</w:t>
      </w:r>
    </w:p>
    <w:p w14:paraId="7217D9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断控制回路电源，从而使主回路断电，确保起重机的安全运行。</w:t>
      </w:r>
    </w:p>
    <w:p w14:paraId="0845A63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5</w:t>
      </w:r>
      <w:r>
        <w:rPr>
          <w:rFonts w:hint="eastAsia" w:ascii="宋体" w:hAnsi="宋体" w:eastAsia="宋体"/>
          <w:highlight w:val="none"/>
          <w:lang w:eastAsia="zh-CN"/>
        </w:rPr>
        <w:t>）</w:t>
      </w:r>
      <w:r>
        <w:rPr>
          <w:rFonts w:hint="eastAsia" w:ascii="宋体" w:hAnsi="宋体" w:eastAsia="宋体"/>
          <w:highlight w:val="none"/>
        </w:rPr>
        <w:t>上升高度</w:t>
      </w:r>
      <w:r>
        <w:rPr>
          <w:rFonts w:hint="eastAsia" w:ascii="宋体" w:hAnsi="宋体" w:eastAsia="宋体"/>
          <w:highlight w:val="none"/>
          <w:lang w:val="en-US" w:eastAsia="zh-CN"/>
        </w:rPr>
        <w:t>及下降深度</w:t>
      </w:r>
      <w:r>
        <w:rPr>
          <w:rFonts w:hint="eastAsia" w:ascii="宋体" w:hAnsi="宋体" w:eastAsia="宋体"/>
          <w:highlight w:val="none"/>
        </w:rPr>
        <w:t>限位</w:t>
      </w:r>
      <w:r>
        <w:rPr>
          <w:rFonts w:hint="eastAsia" w:ascii="宋体" w:hAnsi="宋体" w:eastAsia="宋体"/>
          <w:highlight w:val="none"/>
          <w:lang w:val="en-US" w:eastAsia="zh-CN"/>
        </w:rPr>
        <w:t>保护</w:t>
      </w:r>
      <w:r>
        <w:rPr>
          <w:rFonts w:hint="eastAsia" w:ascii="宋体" w:hAnsi="宋体" w:eastAsia="宋体"/>
          <w:highlight w:val="none"/>
        </w:rPr>
        <w:t>:</w:t>
      </w:r>
    </w:p>
    <w:p w14:paraId="1B1233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起升启动加软启动，起升机构设有双限位开关，可保证吊钩上升到极限位置时切断电源，从而达到减速和停车的目的，确保起重机的安全运行。</w:t>
      </w:r>
    </w:p>
    <w:p w14:paraId="6E5DC0E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6</w:t>
      </w:r>
      <w:r>
        <w:rPr>
          <w:rFonts w:hint="eastAsia" w:ascii="宋体" w:hAnsi="宋体" w:eastAsia="宋体"/>
          <w:highlight w:val="none"/>
          <w:lang w:eastAsia="zh-CN"/>
        </w:rPr>
        <w:t>）</w:t>
      </w:r>
      <w:r>
        <w:rPr>
          <w:rFonts w:hint="eastAsia" w:ascii="宋体" w:hAnsi="宋体" w:eastAsia="宋体"/>
          <w:highlight w:val="none"/>
          <w:lang w:val="en-US" w:eastAsia="zh-CN"/>
        </w:rPr>
        <w:t>运行形成限位保护</w:t>
      </w:r>
    </w:p>
    <w:p w14:paraId="30F3A8C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起重臂</w:t>
      </w:r>
      <w:r>
        <w:rPr>
          <w:rFonts w:hint="eastAsia" w:ascii="宋体" w:hAnsi="宋体" w:eastAsia="宋体"/>
          <w:highlight w:val="none"/>
        </w:rPr>
        <w:t>设有</w:t>
      </w:r>
      <w:r>
        <w:rPr>
          <w:rFonts w:hint="eastAsia" w:ascii="宋体" w:hAnsi="宋体" w:eastAsia="宋体"/>
          <w:highlight w:val="none"/>
          <w:lang w:val="en-US" w:eastAsia="zh-CN"/>
        </w:rPr>
        <w:t>小车形成限位器</w:t>
      </w:r>
      <w:r>
        <w:rPr>
          <w:rFonts w:hint="eastAsia" w:ascii="宋体" w:hAnsi="宋体" w:eastAsia="宋体"/>
          <w:highlight w:val="none"/>
        </w:rPr>
        <w:t>，可保证</w:t>
      </w:r>
      <w:r>
        <w:rPr>
          <w:rFonts w:hint="eastAsia" w:ascii="宋体" w:hAnsi="宋体" w:eastAsia="宋体"/>
          <w:highlight w:val="none"/>
          <w:lang w:val="en-US" w:eastAsia="zh-CN"/>
        </w:rPr>
        <w:t>小车行走到</w:t>
      </w:r>
      <w:r>
        <w:rPr>
          <w:rFonts w:hint="eastAsia" w:ascii="宋体" w:hAnsi="宋体" w:eastAsia="宋体"/>
          <w:highlight w:val="none"/>
        </w:rPr>
        <w:t>到极限位置时切断电源，使主回路断电，从而达到减速和停车的目的，确保起重机的安全运行。</w:t>
      </w:r>
    </w:p>
    <w:p w14:paraId="136A4E0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val="en-US" w:eastAsia="zh-CN"/>
        </w:rPr>
      </w:pPr>
      <w:r>
        <w:rPr>
          <w:rFonts w:hint="eastAsia" w:ascii="宋体" w:hAnsi="宋体" w:eastAsia="宋体"/>
          <w:highlight w:val="none"/>
          <w:lang w:val="en-US" w:eastAsia="zh-CN"/>
        </w:rPr>
        <w:t>7</w:t>
      </w:r>
      <w:r>
        <w:rPr>
          <w:rFonts w:hint="eastAsia" w:ascii="宋体" w:hAnsi="宋体" w:eastAsia="宋体"/>
          <w:highlight w:val="none"/>
          <w:lang w:eastAsia="zh-CN"/>
        </w:rPr>
        <w:t>）</w:t>
      </w:r>
      <w:r>
        <w:rPr>
          <w:rFonts w:hint="eastAsia" w:ascii="宋体" w:hAnsi="宋体" w:eastAsia="宋体"/>
          <w:highlight w:val="none"/>
          <w:lang w:val="en-US" w:eastAsia="zh-CN"/>
        </w:rPr>
        <w:t>起重力矩限制保护</w:t>
      </w:r>
    </w:p>
    <w:p w14:paraId="391EA5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起升机构配置起重力矩限制器，具有报警功能，当载荷达到额定起重</w:t>
      </w:r>
      <w:r>
        <w:rPr>
          <w:rFonts w:hint="eastAsia" w:ascii="宋体" w:hAnsi="宋体" w:eastAsia="宋体"/>
          <w:highlight w:val="none"/>
          <w:lang w:val="en-US" w:eastAsia="zh-CN"/>
        </w:rPr>
        <w:t>力矩</w:t>
      </w:r>
      <w:r>
        <w:rPr>
          <w:rFonts w:hint="eastAsia" w:ascii="宋体" w:hAnsi="宋体" w:eastAsia="宋体"/>
          <w:highlight w:val="none"/>
        </w:rPr>
        <w:t>的90％时，能发出提示性报警信号，当起重量超过额定起重</w:t>
      </w:r>
      <w:r>
        <w:rPr>
          <w:rFonts w:hint="eastAsia" w:ascii="宋体" w:hAnsi="宋体" w:eastAsia="宋体"/>
          <w:highlight w:val="none"/>
          <w:lang w:val="en-US" w:eastAsia="zh-CN"/>
        </w:rPr>
        <w:t>力矩</w:t>
      </w:r>
      <w:r>
        <w:rPr>
          <w:rFonts w:hint="eastAsia" w:ascii="宋体" w:hAnsi="宋体" w:eastAsia="宋体"/>
          <w:highlight w:val="none"/>
        </w:rPr>
        <w:t>时，能自动切断起升动力源，并发出禁止性报警信号。</w:t>
      </w:r>
    </w:p>
    <w:p w14:paraId="46827F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8</w:t>
      </w:r>
      <w:r>
        <w:rPr>
          <w:rFonts w:hint="eastAsia" w:ascii="宋体" w:hAnsi="宋体" w:eastAsia="宋体"/>
          <w:highlight w:val="none"/>
          <w:lang w:eastAsia="zh-CN"/>
        </w:rPr>
        <w:t>）</w:t>
      </w:r>
      <w:r>
        <w:rPr>
          <w:rFonts w:hint="eastAsia" w:ascii="宋体" w:hAnsi="宋体" w:eastAsia="宋体"/>
          <w:highlight w:val="none"/>
          <w:lang w:val="en-US" w:eastAsia="zh-CN"/>
        </w:rPr>
        <w:t>回转限位保护</w:t>
      </w:r>
    </w:p>
    <w:p w14:paraId="2134CB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highlight w:val="none"/>
          <w:lang w:val="en-US" w:eastAsia="zh-CN"/>
        </w:rPr>
      </w:pPr>
      <w:r>
        <w:rPr>
          <w:rFonts w:hint="eastAsia" w:ascii="宋体" w:hAnsi="宋体" w:eastAsia="宋体"/>
          <w:highlight w:val="none"/>
          <w:lang w:val="en-US" w:eastAsia="zh-CN"/>
        </w:rPr>
        <w:t>回转齿轮处设有回转限位保护器，当回转机构旋转到极限角度时</w:t>
      </w:r>
      <w:r>
        <w:rPr>
          <w:rFonts w:hint="eastAsia" w:ascii="宋体" w:hAnsi="宋体" w:eastAsia="宋体"/>
          <w:highlight w:val="none"/>
        </w:rPr>
        <w:t>切断电源，使主回路断电，从而达到减速和停车的目的，确保起重机的安全运行。</w:t>
      </w:r>
    </w:p>
    <w:p w14:paraId="1250793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9</w:t>
      </w:r>
      <w:r>
        <w:rPr>
          <w:rFonts w:hint="eastAsia" w:ascii="宋体" w:hAnsi="宋体" w:eastAsia="宋体"/>
          <w:highlight w:val="none"/>
          <w:lang w:eastAsia="zh-CN"/>
        </w:rPr>
        <w:t>）</w:t>
      </w:r>
      <w:r>
        <w:rPr>
          <w:rFonts w:hint="eastAsia" w:ascii="宋体" w:hAnsi="宋体" w:eastAsia="宋体"/>
          <w:highlight w:val="none"/>
        </w:rPr>
        <w:t>门开关保护:</w:t>
      </w:r>
    </w:p>
    <w:p w14:paraId="40031F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进入起重机的门和桥架斜梯门上均设有安全开关。当其中任意一个安全开关断开时，总接触器即自动断开，可避免误入大车走台造成事故。大车上车门设联系按钮。</w:t>
      </w:r>
    </w:p>
    <w:p w14:paraId="652937B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10</w:t>
      </w:r>
      <w:r>
        <w:rPr>
          <w:rFonts w:hint="eastAsia" w:ascii="宋体" w:hAnsi="宋体" w:eastAsia="宋体"/>
          <w:highlight w:val="none"/>
          <w:lang w:eastAsia="zh-CN"/>
        </w:rPr>
        <w:t>）</w:t>
      </w:r>
      <w:r>
        <w:rPr>
          <w:rFonts w:hint="eastAsia" w:ascii="宋体" w:hAnsi="宋体" w:eastAsia="宋体"/>
          <w:highlight w:val="none"/>
        </w:rPr>
        <w:t>控制柜,端子箱防护等级IP55，端子箱采用下部或侧部进线上部做防雨，</w:t>
      </w:r>
    </w:p>
    <w:p w14:paraId="534867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槽盖加防脱落装置。</w:t>
      </w:r>
    </w:p>
    <w:p w14:paraId="75B9CC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）操纵方式:</w:t>
      </w:r>
    </w:p>
    <w:p w14:paraId="2D862BF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司机室设有总电源和控制电源开关状态信号指示灯。</w:t>
      </w:r>
    </w:p>
    <w:p w14:paraId="5B868EA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司机室设置交流220V电源插座及三相380V电源，备接其它电气设备。</w:t>
      </w:r>
    </w:p>
    <w:p w14:paraId="34B919D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司机室设有36V插座，以便于检修作业。</w:t>
      </w:r>
    </w:p>
    <w:p w14:paraId="71FDD0E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司机室用交流220V/40W荧光灯具照明，以满足照度不低于200LX的要求。</w:t>
      </w:r>
    </w:p>
    <w:p w14:paraId="2565DC5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4</w:t>
      </w:r>
      <w:r>
        <w:rPr>
          <w:rFonts w:hint="eastAsia" w:ascii="宋体" w:hAnsi="宋体" w:eastAsia="宋体"/>
          <w:highlight w:val="none"/>
          <w:lang w:eastAsia="zh-CN"/>
        </w:rPr>
        <w:t>）照明信号:</w:t>
      </w:r>
    </w:p>
    <w:p w14:paraId="5462CBB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照明及信号部分设有专用的隔离变压器。原边进线电压为交流380V，副</w:t>
      </w:r>
    </w:p>
    <w:p w14:paraId="5B1229A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边出线电压为交流220V，交流36V。交流220V为起重机照明电源；交流36V为起重机安全信号和检修电源。照明变压器从主接触器上端引线，以保证主接触器断电时，照明回路不断电。</w:t>
      </w:r>
    </w:p>
    <w:p w14:paraId="7E3729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设有报警装置,开车时起提示作用，在司机室通过脚踏开关控制。</w:t>
      </w:r>
    </w:p>
    <w:p w14:paraId="6308422E">
      <w:pPr>
        <w:pStyle w:val="4"/>
        <w:bidi w:val="0"/>
        <w:rPr>
          <w:rFonts w:hint="eastAsia"/>
          <w:highlight w:val="none"/>
          <w:lang w:val="en-US" w:eastAsia="zh-CN"/>
        </w:rPr>
      </w:pPr>
      <w:bookmarkStart w:id="350" w:name="_Toc14483"/>
      <w:bookmarkStart w:id="351" w:name="_Toc18301"/>
      <w:bookmarkStart w:id="352" w:name="_Toc10409831"/>
      <w:r>
        <w:rPr>
          <w:rFonts w:hint="eastAsia"/>
          <w:highlight w:val="none"/>
          <w:lang w:val="en-US" w:eastAsia="zh-CN"/>
        </w:rPr>
        <w:t>8.1.3 焊接要求</w:t>
      </w:r>
      <w:bookmarkEnd w:id="350"/>
      <w:bookmarkEnd w:id="351"/>
      <w:bookmarkEnd w:id="352"/>
    </w:p>
    <w:p w14:paraId="51DE11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焊缝外部检查不得有目测可见的裂纹、气孔、固体夹杂、未熔合、未焊透等明显缺陷。</w:t>
      </w:r>
    </w:p>
    <w:p w14:paraId="5CF4DBB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制造过程中焊接质量要求：焊缝表面质量应达到《钢的弧焊接头 缺陷质量分析指南》（GB/T19418-2003）中的“B”级，焊缝内部质量应进行无损探伤，射线探伤时应不低于《金属融化焊接接头射线照相》（GB3323-2005）中规定的Ⅱ级，超声波探伤时应不低于《钢结构超声波探伤及质量分级法》（JG/T203-2007）中规定的I级。</w:t>
      </w:r>
    </w:p>
    <w:p w14:paraId="69033E5D">
      <w:pPr>
        <w:pStyle w:val="4"/>
        <w:bidi w:val="0"/>
        <w:rPr>
          <w:rFonts w:hint="eastAsia"/>
          <w:highlight w:val="none"/>
          <w:lang w:val="en-US" w:eastAsia="zh-CN"/>
        </w:rPr>
      </w:pPr>
      <w:bookmarkStart w:id="353" w:name="_Toc2556"/>
      <w:bookmarkStart w:id="354" w:name="_Toc2591"/>
      <w:bookmarkStart w:id="355" w:name="_Toc10409832"/>
      <w:r>
        <w:rPr>
          <w:rFonts w:hint="eastAsia"/>
          <w:highlight w:val="none"/>
          <w:lang w:val="en-US" w:eastAsia="zh-CN"/>
        </w:rPr>
        <w:t>8.1.4 螺栓连接要求</w:t>
      </w:r>
      <w:bookmarkEnd w:id="353"/>
      <w:bookmarkEnd w:id="354"/>
      <w:bookmarkEnd w:id="355"/>
    </w:p>
    <w:p w14:paraId="3C77A7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钢结构采用高强度螺栓完成构件的连接时，其连接接头应符合JGJ82的规定。</w:t>
      </w:r>
    </w:p>
    <w:p w14:paraId="32DB6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大六角头高强度螺栓接头所用螺栓、螺母、垫圈及其技术要求应分别符合GB/T1228-2006、GB/T1229-2006、GB/T1230-2006、GB/T1231-2006的规定。</w:t>
      </w:r>
    </w:p>
    <w:p w14:paraId="4BB87C60">
      <w:pPr>
        <w:pStyle w:val="4"/>
        <w:bidi w:val="0"/>
        <w:rPr>
          <w:rFonts w:hint="eastAsia"/>
          <w:highlight w:val="none"/>
          <w:lang w:val="en-US" w:eastAsia="zh-CN"/>
        </w:rPr>
      </w:pPr>
      <w:bookmarkStart w:id="356" w:name="_Toc5943"/>
      <w:bookmarkStart w:id="357" w:name="_Toc384"/>
      <w:bookmarkStart w:id="358" w:name="_Toc10409833"/>
      <w:r>
        <w:rPr>
          <w:rFonts w:hint="eastAsia"/>
          <w:highlight w:val="none"/>
          <w:lang w:val="en-US" w:eastAsia="zh-CN"/>
        </w:rPr>
        <w:t>8.1.5 防雷接地要求</w:t>
      </w:r>
      <w:bookmarkEnd w:id="356"/>
      <w:bookmarkEnd w:id="357"/>
      <w:bookmarkEnd w:id="358"/>
    </w:p>
    <w:p w14:paraId="327C73C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1</w:t>
      </w:r>
      <w:r>
        <w:rPr>
          <w:rFonts w:hint="eastAsia" w:ascii="宋体" w:hAnsi="宋体" w:eastAsia="宋体"/>
          <w:highlight w:val="none"/>
          <w:lang w:eastAsia="zh-CN"/>
        </w:rPr>
        <w:t>）起重机的接地：</w:t>
      </w:r>
    </w:p>
    <w:p w14:paraId="45EBAD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起重机的金属结构及所有电气设备的金属外壳，电缆金属外皮和变压器</w:t>
      </w:r>
    </w:p>
    <w:p w14:paraId="6D4AFF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的低压侧均有可靠的接地。</w:t>
      </w:r>
    </w:p>
    <w:p w14:paraId="1BC5862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接地线连接用不小于150mm2扁钢或10 mm2的铜线，用焊接法连接。</w:t>
      </w:r>
    </w:p>
    <w:p w14:paraId="705F08F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2</w:t>
      </w:r>
      <w:r>
        <w:rPr>
          <w:rFonts w:hint="eastAsia" w:ascii="宋体" w:hAnsi="宋体" w:eastAsia="宋体"/>
          <w:highlight w:val="none"/>
          <w:lang w:eastAsia="zh-CN"/>
        </w:rPr>
        <w:t>）接地方式</w:t>
      </w:r>
    </w:p>
    <w:p w14:paraId="1A5988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采用长2.3米截面积为150mm2的钢管埋入地下2.5米处，再用50×5mm2镀锌扁钢充分焊接引出地表作接地母线，最后采用10mm2多股铜导线连接</w:t>
      </w:r>
      <w:r>
        <w:rPr>
          <w:rFonts w:hint="eastAsia" w:ascii="宋体" w:hAnsi="宋体" w:eastAsia="宋体"/>
          <w:highlight w:val="none"/>
          <w:lang w:val="en-US" w:eastAsia="zh-CN"/>
        </w:rPr>
        <w:t>加强标准节底部</w:t>
      </w:r>
      <w:r>
        <w:rPr>
          <w:rFonts w:hint="eastAsia" w:ascii="宋体" w:hAnsi="宋体" w:eastAsia="宋体"/>
          <w:highlight w:val="none"/>
        </w:rPr>
        <w:t>与接地母线。</w:t>
      </w:r>
    </w:p>
    <w:p w14:paraId="3BA4BEA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lang w:eastAsia="zh-CN"/>
        </w:rPr>
      </w:pPr>
      <w:r>
        <w:rPr>
          <w:rFonts w:hint="eastAsia" w:ascii="宋体" w:hAnsi="宋体" w:eastAsia="宋体"/>
          <w:highlight w:val="none"/>
          <w:lang w:eastAsia="zh-CN"/>
        </w:rPr>
        <w:t>（</w:t>
      </w:r>
      <w:r>
        <w:rPr>
          <w:rFonts w:hint="eastAsia" w:ascii="宋体" w:hAnsi="宋体" w:eastAsia="宋体"/>
          <w:highlight w:val="none"/>
          <w:lang w:val="en-US" w:eastAsia="zh-CN"/>
        </w:rPr>
        <w:t>3</w:t>
      </w:r>
      <w:r>
        <w:rPr>
          <w:rFonts w:hint="eastAsia" w:ascii="宋体" w:hAnsi="宋体" w:eastAsia="宋体"/>
          <w:highlight w:val="none"/>
          <w:lang w:eastAsia="zh-CN"/>
        </w:rPr>
        <w:t>）防雷接地具体内容：</w:t>
      </w:r>
    </w:p>
    <w:p w14:paraId="61C2E09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1</w:t>
      </w:r>
      <w:r>
        <w:rPr>
          <w:rFonts w:hint="eastAsia" w:ascii="宋体" w:hAnsi="宋体" w:eastAsia="宋体"/>
          <w:highlight w:val="none"/>
          <w:lang w:eastAsia="zh-CN"/>
        </w:rPr>
        <w:t>）</w:t>
      </w:r>
      <w:r>
        <w:rPr>
          <w:rFonts w:hint="eastAsia" w:ascii="宋体" w:hAnsi="宋体" w:eastAsia="宋体"/>
          <w:highlight w:val="none"/>
        </w:rPr>
        <w:t>防雷接地装置由接闪器、引下线、接地装置组成。</w:t>
      </w:r>
    </w:p>
    <w:p w14:paraId="01BA65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2</w:t>
      </w:r>
      <w:r>
        <w:rPr>
          <w:rFonts w:hint="eastAsia" w:ascii="宋体" w:hAnsi="宋体" w:eastAsia="宋体"/>
          <w:highlight w:val="none"/>
          <w:lang w:eastAsia="zh-CN"/>
        </w:rPr>
        <w:t>）</w:t>
      </w:r>
      <w:r>
        <w:rPr>
          <w:rFonts w:hint="eastAsia" w:ascii="宋体" w:hAnsi="宋体" w:eastAsia="宋体"/>
          <w:highlight w:val="none"/>
        </w:rPr>
        <w:t>建筑物内的设备、管道构架等主要金属物和防侧击雷的门窗、栏杆以及</w:t>
      </w:r>
    </w:p>
    <w:p w14:paraId="0A6F1A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屋面的金属物体必须接地焊接。</w:t>
      </w:r>
    </w:p>
    <w:p w14:paraId="43F60E5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3</w:t>
      </w:r>
      <w:r>
        <w:rPr>
          <w:rFonts w:hint="eastAsia" w:ascii="宋体" w:hAnsi="宋体" w:eastAsia="宋体"/>
          <w:highlight w:val="none"/>
          <w:lang w:eastAsia="zh-CN"/>
        </w:rPr>
        <w:t>）</w:t>
      </w:r>
      <w:r>
        <w:rPr>
          <w:rFonts w:hint="eastAsia" w:ascii="宋体" w:hAnsi="宋体" w:eastAsia="宋体"/>
          <w:highlight w:val="none"/>
        </w:rPr>
        <w:t>防雷接地体应采取焊接方法：</w:t>
      </w:r>
    </w:p>
    <w:p w14:paraId="4BD8FD4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4</w:t>
      </w:r>
      <w:r>
        <w:rPr>
          <w:rFonts w:hint="eastAsia" w:ascii="宋体" w:hAnsi="宋体" w:eastAsia="宋体"/>
          <w:highlight w:val="none"/>
          <w:lang w:eastAsia="zh-CN"/>
        </w:rPr>
        <w:t>）</w:t>
      </w:r>
      <w:r>
        <w:rPr>
          <w:rFonts w:hint="eastAsia" w:ascii="宋体" w:hAnsi="宋体" w:eastAsia="宋体"/>
          <w:highlight w:val="none"/>
        </w:rPr>
        <w:t>使用金属管作接地体时应在其串接部位焊接角形金属跨接线；</w:t>
      </w:r>
    </w:p>
    <w:p w14:paraId="4B2724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5</w:t>
      </w:r>
      <w:r>
        <w:rPr>
          <w:rFonts w:hint="eastAsia" w:ascii="宋体" w:hAnsi="宋体" w:eastAsia="宋体"/>
          <w:highlight w:val="none"/>
          <w:lang w:eastAsia="zh-CN"/>
        </w:rPr>
        <w:t>）</w:t>
      </w:r>
      <w:r>
        <w:rPr>
          <w:rFonts w:hint="eastAsia" w:ascii="宋体" w:hAnsi="宋体" w:eastAsia="宋体"/>
          <w:highlight w:val="none"/>
        </w:rPr>
        <w:t>钢筋与钢筋交叉要用一条短圆钢进行跨接焊接，焊接长度不小于圆钢直</w:t>
      </w:r>
    </w:p>
    <w:p w14:paraId="63FD43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径的6倍，圆钢同扁钢的焊接必须进行三面焊接；</w:t>
      </w:r>
    </w:p>
    <w:p w14:paraId="48FB12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6</w:t>
      </w:r>
      <w:r>
        <w:rPr>
          <w:rFonts w:hint="eastAsia" w:ascii="宋体" w:hAnsi="宋体" w:eastAsia="宋体"/>
          <w:highlight w:val="none"/>
          <w:lang w:eastAsia="zh-CN"/>
        </w:rPr>
        <w:t>）</w:t>
      </w:r>
      <w:r>
        <w:rPr>
          <w:rFonts w:hint="eastAsia" w:ascii="宋体" w:hAnsi="宋体" w:eastAsia="宋体"/>
          <w:highlight w:val="none"/>
        </w:rPr>
        <w:t>焊接处焊缝应饱满，要有足够的机械强度，不得有灰渣，咬肉裂纹虚焊</w:t>
      </w:r>
    </w:p>
    <w:p w14:paraId="31AFFD2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气孔等缺陷，焊接处的药皮应敲净。 接地体采取搭焊接时。其搭接长度必须符合以下要求：①扁钢为其宽的2倍以上；（三个棱边焊接）②圆钢为其直径的6倍以上；（双面焊接）③圆钢和扁钢连接，其长度为圆钢直径的6倍。（三面焊接）。</w:t>
      </w:r>
    </w:p>
    <w:p w14:paraId="626E6C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lang w:val="en-US" w:eastAsia="zh-CN"/>
        </w:rPr>
        <w:t>7</w:t>
      </w:r>
      <w:r>
        <w:rPr>
          <w:rFonts w:hint="eastAsia" w:ascii="宋体" w:hAnsi="宋体" w:eastAsia="宋体"/>
          <w:highlight w:val="none"/>
          <w:lang w:eastAsia="zh-CN"/>
        </w:rPr>
        <w:t>）</w:t>
      </w:r>
      <w:r>
        <w:rPr>
          <w:rFonts w:hint="eastAsia" w:ascii="宋体" w:hAnsi="宋体" w:eastAsia="宋体"/>
          <w:highlight w:val="none"/>
        </w:rPr>
        <w:t>人工接地体应采用圆钢、扁钢、角钢、钢管等金属材料，必须符合以下</w:t>
      </w:r>
    </w:p>
    <w:p w14:paraId="0EDB80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highlight w:val="none"/>
        </w:rPr>
      </w:pPr>
      <w:r>
        <w:rPr>
          <w:rFonts w:hint="eastAsia" w:ascii="宋体" w:hAnsi="宋体" w:eastAsia="宋体"/>
          <w:highlight w:val="none"/>
        </w:rPr>
        <w:t>要求：①圆钢直径不小于10mm；②扁钢截面不小于100平方毫米，厚度不小于4毫米；③角钢厚度不小于4毫米；④钢管壁厚不小于3.5毫米。</w:t>
      </w:r>
    </w:p>
    <w:p w14:paraId="3EDD91C0">
      <w:pPr>
        <w:pStyle w:val="3"/>
        <w:bidi w:val="0"/>
        <w:rPr>
          <w:rFonts w:hint="default"/>
          <w:highlight w:val="none"/>
          <w:lang w:val="en-US" w:eastAsia="zh-CN"/>
        </w:rPr>
      </w:pPr>
      <w:bookmarkStart w:id="359" w:name="_Toc22238"/>
      <w:bookmarkStart w:id="360" w:name="_Toc26449"/>
      <w:bookmarkStart w:id="361" w:name="_Toc10753"/>
      <w:r>
        <w:rPr>
          <w:rFonts w:hint="eastAsia"/>
          <w:highlight w:val="none"/>
          <w:lang w:val="en-US" w:eastAsia="zh-CN"/>
        </w:rPr>
        <w:t xml:space="preserve">8.2 </w:t>
      </w:r>
      <w:bookmarkEnd w:id="343"/>
      <w:bookmarkEnd w:id="344"/>
      <w:bookmarkEnd w:id="345"/>
      <w:bookmarkEnd w:id="346"/>
      <w:r>
        <w:rPr>
          <w:rFonts w:hint="eastAsia"/>
          <w:highlight w:val="none"/>
          <w:lang w:val="en-US" w:eastAsia="zh-CN"/>
        </w:rPr>
        <w:t>验收程序和验收人员</w:t>
      </w:r>
      <w:bookmarkEnd w:id="359"/>
      <w:bookmarkEnd w:id="360"/>
      <w:bookmarkEnd w:id="361"/>
    </w:p>
    <w:p w14:paraId="37F5B003">
      <w:pPr>
        <w:pStyle w:val="4"/>
        <w:tabs>
          <w:tab w:val="left" w:pos="0"/>
          <w:tab w:val="left" w:pos="630"/>
        </w:tabs>
        <w:bidi w:val="0"/>
        <w:rPr>
          <w:rFonts w:hint="eastAsia"/>
          <w:highlight w:val="none"/>
          <w:lang w:val="en-US" w:eastAsia="zh-CN"/>
        </w:rPr>
      </w:pPr>
      <w:bookmarkStart w:id="362" w:name="_Toc1331"/>
      <w:bookmarkStart w:id="363" w:name="_Toc7558"/>
      <w:r>
        <w:rPr>
          <w:rFonts w:hint="eastAsia"/>
          <w:highlight w:val="none"/>
          <w:lang w:val="en-US" w:eastAsia="zh-CN"/>
        </w:rPr>
        <w:t>8.2.1材料、机械设备进场验收</w:t>
      </w:r>
      <w:bookmarkEnd w:id="362"/>
      <w:bookmarkEnd w:id="363"/>
    </w:p>
    <w:p w14:paraId="39A93149">
      <w:pPr>
        <w:ind w:firstLine="480" w:firstLineChars="200"/>
        <w:rPr>
          <w:rFonts w:hint="default"/>
          <w:highlight w:val="none"/>
          <w:lang w:val="en-US" w:eastAsia="zh-CN"/>
        </w:rPr>
      </w:pPr>
      <w:r>
        <w:rPr>
          <w:rFonts w:hint="eastAsia"/>
          <w:highlight w:val="none"/>
          <w:lang w:val="en-US" w:eastAsia="zh-CN"/>
        </w:rPr>
        <w:t>（1）</w:t>
      </w:r>
      <w:r>
        <w:rPr>
          <w:rFonts w:hint="default"/>
          <w:highlight w:val="none"/>
          <w:lang w:val="en-US" w:eastAsia="zh-CN"/>
        </w:rPr>
        <w:t>材料进场后，由</w:t>
      </w:r>
      <w:r>
        <w:rPr>
          <w:rFonts w:hint="eastAsia"/>
          <w:highlight w:val="none"/>
          <w:lang w:val="en-US" w:eastAsia="zh-CN"/>
        </w:rPr>
        <w:t>项目经理部试验室</w:t>
      </w:r>
      <w:r>
        <w:rPr>
          <w:rFonts w:hint="default"/>
          <w:highlight w:val="none"/>
          <w:lang w:val="en-US" w:eastAsia="zh-CN"/>
        </w:rPr>
        <w:t>通知</w:t>
      </w:r>
      <w:r>
        <w:rPr>
          <w:rFonts w:hint="eastAsia"/>
          <w:highlight w:val="none"/>
          <w:lang w:val="en-US" w:eastAsia="zh-CN"/>
        </w:rPr>
        <w:t>总监办</w:t>
      </w:r>
      <w:r>
        <w:rPr>
          <w:rFonts w:hint="default"/>
          <w:highlight w:val="none"/>
          <w:lang w:val="en-US" w:eastAsia="zh-CN"/>
        </w:rPr>
        <w:t>现场见证取样，联合送检至有资质的检测单位，检测合格后方可使用。</w:t>
      </w:r>
    </w:p>
    <w:p w14:paraId="7279CE9B">
      <w:pPr>
        <w:ind w:firstLine="480" w:firstLineChars="200"/>
        <w:rPr>
          <w:rFonts w:hint="eastAsia"/>
          <w:highlight w:val="none"/>
          <w:lang w:val="en-US" w:eastAsia="zh-CN"/>
        </w:rPr>
      </w:pPr>
      <w:r>
        <w:rPr>
          <w:rFonts w:hint="eastAsia"/>
          <w:highlight w:val="none"/>
          <w:lang w:val="en-US" w:eastAsia="zh-CN"/>
        </w:rPr>
        <w:t>（2）机械设备进场后，由项目经理部物设部通知总监办进行现场验收，根据施工合同及方案要求，结合以往施工经验与现场实际情况，对设备型号、产品合格证、新旧程度、出厂合格证等进行查验，验收合格后方可使用。</w:t>
      </w:r>
    </w:p>
    <w:p w14:paraId="19FA3CA9">
      <w:pPr>
        <w:pStyle w:val="4"/>
        <w:tabs>
          <w:tab w:val="left" w:pos="0"/>
          <w:tab w:val="left" w:pos="630"/>
        </w:tabs>
        <w:bidi w:val="0"/>
        <w:rPr>
          <w:rFonts w:hint="eastAsia"/>
          <w:highlight w:val="none"/>
          <w:lang w:val="en-US" w:eastAsia="zh-CN"/>
        </w:rPr>
      </w:pPr>
      <w:bookmarkStart w:id="364" w:name="_Toc13463"/>
      <w:bookmarkStart w:id="365" w:name="_Toc27574"/>
      <w:r>
        <w:rPr>
          <w:rFonts w:hint="eastAsia"/>
          <w:highlight w:val="none"/>
          <w:lang w:val="en-US" w:eastAsia="zh-CN"/>
        </w:rPr>
        <w:t>8.2.2施工过程验收程序</w:t>
      </w:r>
      <w:bookmarkEnd w:id="364"/>
      <w:bookmarkEnd w:id="365"/>
    </w:p>
    <w:p w14:paraId="1458D760">
      <w:pPr>
        <w:ind w:left="0" w:leftChars="0" w:firstLine="0" w:firstLineChars="0"/>
        <w:jc w:val="center"/>
        <w:rPr>
          <w:highlight w:val="none"/>
        </w:rPr>
      </w:pPr>
      <w:r>
        <w:rPr>
          <w:highlight w:val="none"/>
        </w:rPr>
        <w:drawing>
          <wp:inline distT="0" distB="0" distL="114300" distR="114300">
            <wp:extent cx="3460115" cy="2945765"/>
            <wp:effectExtent l="0" t="0" r="6985" b="635"/>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66"/>
                    <a:stretch>
                      <a:fillRect/>
                    </a:stretch>
                  </pic:blipFill>
                  <pic:spPr>
                    <a:xfrm>
                      <a:off x="0" y="0"/>
                      <a:ext cx="3460115" cy="2945765"/>
                    </a:xfrm>
                    <a:prstGeom prst="rect">
                      <a:avLst/>
                    </a:prstGeom>
                    <a:noFill/>
                    <a:ln>
                      <a:noFill/>
                    </a:ln>
                  </pic:spPr>
                </pic:pic>
              </a:graphicData>
            </a:graphic>
          </wp:inline>
        </w:drawing>
      </w:r>
    </w:p>
    <w:p w14:paraId="58F3B5E8">
      <w:pPr>
        <w:pStyle w:val="15"/>
        <w:bidi w:val="0"/>
        <w:rPr>
          <w:rFonts w:hint="default"/>
          <w:highlight w:val="none"/>
          <w:lang w:val="en-US" w:eastAsia="zh-CN"/>
        </w:rPr>
      </w:pPr>
      <w:r>
        <w:rPr>
          <w:rFonts w:hint="eastAsia"/>
          <w:highlight w:val="none"/>
          <w:lang w:val="en-US" w:eastAsia="zh-CN"/>
        </w:rPr>
        <w:t>图8.2.2-</w:t>
      </w:r>
      <w:r>
        <w:rPr>
          <w:rFonts w:hint="eastAsia"/>
          <w:highlight w:val="none"/>
          <w:lang w:val="en-US" w:eastAsia="zh-CN"/>
        </w:rPr>
        <w:fldChar w:fldCharType="begin"/>
      </w:r>
      <w:r>
        <w:rPr>
          <w:rFonts w:hint="eastAsia"/>
          <w:highlight w:val="none"/>
          <w:lang w:val="en-US" w:eastAsia="zh-CN"/>
        </w:rPr>
        <w:instrText xml:space="preserve"> SEQ 图10- \* ARABIC </w:instrText>
      </w:r>
      <w:r>
        <w:rPr>
          <w:rFonts w:hint="eastAsia"/>
          <w:highlight w:val="none"/>
          <w:lang w:val="en-US" w:eastAsia="zh-CN"/>
        </w:rPr>
        <w:fldChar w:fldCharType="separate"/>
      </w:r>
      <w:r>
        <w:rPr>
          <w:rFonts w:hint="eastAsia"/>
          <w:highlight w:val="none"/>
          <w:lang w:val="en-US" w:eastAsia="zh-CN"/>
        </w:rPr>
        <w:t>1</w:t>
      </w:r>
      <w:r>
        <w:rPr>
          <w:rFonts w:hint="eastAsia"/>
          <w:highlight w:val="none"/>
          <w:lang w:val="en-US" w:eastAsia="zh-CN"/>
        </w:rPr>
        <w:fldChar w:fldCharType="end"/>
      </w:r>
      <w:r>
        <w:rPr>
          <w:rFonts w:hint="eastAsia"/>
          <w:highlight w:val="none"/>
          <w:lang w:val="en-US" w:eastAsia="zh-CN"/>
        </w:rPr>
        <w:t>施工过程验收程序</w:t>
      </w:r>
    </w:p>
    <w:p w14:paraId="42BEA5BC">
      <w:pPr>
        <w:pStyle w:val="4"/>
        <w:tabs>
          <w:tab w:val="left" w:pos="0"/>
          <w:tab w:val="left" w:pos="630"/>
        </w:tabs>
        <w:bidi w:val="0"/>
        <w:rPr>
          <w:rFonts w:hint="default"/>
          <w:highlight w:val="none"/>
          <w:lang w:val="en-US" w:eastAsia="zh-CN"/>
        </w:rPr>
      </w:pPr>
      <w:bookmarkStart w:id="366" w:name="_Toc20006"/>
      <w:bookmarkStart w:id="367" w:name="_Toc8373"/>
      <w:r>
        <w:rPr>
          <w:rFonts w:hint="eastAsia"/>
          <w:highlight w:val="none"/>
          <w:lang w:val="en-US" w:eastAsia="zh-CN"/>
        </w:rPr>
        <w:t>8.2.3</w:t>
      </w:r>
      <w:r>
        <w:rPr>
          <w:rFonts w:hint="default"/>
          <w:highlight w:val="none"/>
          <w:lang w:val="en-US" w:eastAsia="zh-CN"/>
        </w:rPr>
        <w:t>作业中起吊、运行、安装的设备与被吊物前期验收</w:t>
      </w:r>
      <w:bookmarkEnd w:id="366"/>
      <w:bookmarkEnd w:id="367"/>
    </w:p>
    <w:p w14:paraId="1DFEE12C">
      <w:pPr>
        <w:pStyle w:val="41"/>
        <w:bidi w:val="0"/>
        <w:rPr>
          <w:rFonts w:hint="default"/>
          <w:highlight w:val="none"/>
          <w:lang w:val="en-US" w:eastAsia="zh-CN"/>
        </w:rPr>
      </w:pPr>
      <w:r>
        <w:rPr>
          <w:highlight w:val="none"/>
        </w:rPr>
        <w:t>表</w:t>
      </w:r>
      <w:r>
        <w:rPr>
          <w:rFonts w:hint="eastAsia"/>
          <w:highlight w:val="none"/>
          <w:lang w:val="en-US" w:eastAsia="zh-CN"/>
        </w:rPr>
        <w:t>8.2.3-1</w:t>
      </w:r>
      <w:r>
        <w:rPr>
          <w:rFonts w:hint="eastAsia"/>
          <w:highlight w:val="none"/>
        </w:rPr>
        <w:t>作业中起吊、运行、安装的设备与被吊物前期验收</w:t>
      </w:r>
    </w:p>
    <w:tbl>
      <w:tblPr>
        <w:tblStyle w:val="30"/>
        <w:tblW w:w="5067"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79"/>
        <w:gridCol w:w="1792"/>
        <w:gridCol w:w="6165"/>
      </w:tblGrid>
      <w:tr w14:paraId="2FBA466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393" w:type="pct"/>
            <w:tcBorders>
              <w:tl2br w:val="nil"/>
              <w:tr2bl w:val="nil"/>
            </w:tcBorders>
            <w:shd w:val="clear" w:color="auto" w:fill="DAE3F3" w:themeFill="accent5" w:themeFillTint="32"/>
            <w:noWrap w:val="0"/>
            <w:vAlign w:val="center"/>
          </w:tcPr>
          <w:p w14:paraId="6419488B">
            <w:pPr>
              <w:pStyle w:val="107"/>
              <w:bidi w:val="0"/>
              <w:spacing w:line="240" w:lineRule="auto"/>
              <w:jc w:val="center"/>
              <w:rPr>
                <w:rFonts w:hint="eastAsia"/>
                <w:highlight w:val="none"/>
                <w:lang w:val="en-US" w:eastAsia="zh-CN"/>
              </w:rPr>
            </w:pPr>
            <w:r>
              <w:rPr>
                <w:rFonts w:hint="eastAsia"/>
                <w:highlight w:val="none"/>
                <w:lang w:val="en-US" w:eastAsia="zh-CN"/>
              </w:rPr>
              <w:t>序号</w:t>
            </w:r>
          </w:p>
        </w:tc>
        <w:tc>
          <w:tcPr>
            <w:tcW w:w="1037" w:type="pct"/>
            <w:tcBorders>
              <w:tl2br w:val="nil"/>
              <w:tr2bl w:val="nil"/>
            </w:tcBorders>
            <w:shd w:val="clear" w:color="auto" w:fill="DAE3F3" w:themeFill="accent5" w:themeFillTint="32"/>
            <w:noWrap w:val="0"/>
            <w:vAlign w:val="center"/>
          </w:tcPr>
          <w:p w14:paraId="3FC48D53">
            <w:pPr>
              <w:pStyle w:val="107"/>
              <w:bidi w:val="0"/>
              <w:spacing w:line="240" w:lineRule="auto"/>
              <w:jc w:val="center"/>
              <w:rPr>
                <w:rFonts w:hint="eastAsia"/>
                <w:highlight w:val="none"/>
                <w:lang w:val="en-US" w:eastAsia="zh-CN"/>
              </w:rPr>
            </w:pPr>
            <w:r>
              <w:rPr>
                <w:rFonts w:hint="eastAsia"/>
                <w:highlight w:val="none"/>
                <w:lang w:val="en-US" w:eastAsia="zh-CN"/>
              </w:rPr>
              <w:t>验收项目</w:t>
            </w:r>
          </w:p>
        </w:tc>
        <w:tc>
          <w:tcPr>
            <w:tcW w:w="3568" w:type="pct"/>
            <w:tcBorders>
              <w:tl2br w:val="nil"/>
              <w:tr2bl w:val="nil"/>
            </w:tcBorders>
            <w:shd w:val="clear" w:color="auto" w:fill="DAE3F3" w:themeFill="accent5" w:themeFillTint="32"/>
            <w:noWrap w:val="0"/>
            <w:vAlign w:val="center"/>
          </w:tcPr>
          <w:p w14:paraId="3E60FC26">
            <w:pPr>
              <w:pStyle w:val="107"/>
              <w:bidi w:val="0"/>
              <w:spacing w:line="240" w:lineRule="auto"/>
              <w:jc w:val="center"/>
              <w:rPr>
                <w:rFonts w:hint="eastAsia"/>
                <w:highlight w:val="none"/>
                <w:lang w:val="en-US" w:eastAsia="zh-CN"/>
              </w:rPr>
            </w:pPr>
            <w:r>
              <w:rPr>
                <w:rFonts w:hint="eastAsia"/>
                <w:highlight w:val="none"/>
                <w:lang w:val="en-US" w:eastAsia="zh-CN"/>
              </w:rPr>
              <w:t>技   术   要   求</w:t>
            </w:r>
          </w:p>
        </w:tc>
      </w:tr>
      <w:tr w14:paraId="5C7C8AF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8E3329A">
            <w:pPr>
              <w:pStyle w:val="107"/>
              <w:bidi w:val="0"/>
              <w:spacing w:line="240" w:lineRule="auto"/>
              <w:jc w:val="center"/>
              <w:rPr>
                <w:rFonts w:hint="eastAsia"/>
                <w:highlight w:val="none"/>
                <w:lang w:val="en-US" w:eastAsia="zh-CN"/>
              </w:rPr>
            </w:pPr>
            <w:r>
              <w:rPr>
                <w:rFonts w:hint="eastAsia"/>
                <w:highlight w:val="none"/>
                <w:lang w:val="en-US" w:eastAsia="zh-CN"/>
              </w:rPr>
              <w:t>1</w:t>
            </w:r>
          </w:p>
        </w:tc>
        <w:tc>
          <w:tcPr>
            <w:tcW w:w="1037" w:type="pct"/>
            <w:tcBorders>
              <w:tl2br w:val="nil"/>
              <w:tr2bl w:val="nil"/>
            </w:tcBorders>
            <w:noWrap w:val="0"/>
            <w:vAlign w:val="center"/>
          </w:tcPr>
          <w:p w14:paraId="2408EEFC">
            <w:pPr>
              <w:pStyle w:val="107"/>
              <w:bidi w:val="0"/>
              <w:spacing w:line="240" w:lineRule="auto"/>
              <w:jc w:val="center"/>
              <w:rPr>
                <w:rFonts w:hint="default"/>
                <w:highlight w:val="none"/>
                <w:lang w:val="en-US" w:eastAsia="zh-CN"/>
              </w:rPr>
            </w:pPr>
            <w:r>
              <w:rPr>
                <w:rFonts w:hint="eastAsia"/>
                <w:highlight w:val="none"/>
                <w:lang w:val="en-US" w:eastAsia="zh-CN"/>
              </w:rPr>
              <w:t>基础验收</w:t>
            </w:r>
          </w:p>
        </w:tc>
        <w:tc>
          <w:tcPr>
            <w:tcW w:w="3568" w:type="pct"/>
            <w:tcBorders>
              <w:tl2br w:val="nil"/>
              <w:tr2bl w:val="nil"/>
            </w:tcBorders>
            <w:noWrap w:val="0"/>
            <w:vAlign w:val="center"/>
          </w:tcPr>
          <w:p w14:paraId="123A6EF3">
            <w:pPr>
              <w:pStyle w:val="107"/>
              <w:bidi w:val="0"/>
              <w:spacing w:line="240" w:lineRule="auto"/>
              <w:jc w:val="center"/>
              <w:rPr>
                <w:rFonts w:hint="default"/>
                <w:highlight w:val="none"/>
                <w:lang w:val="en-US" w:eastAsia="zh-CN"/>
              </w:rPr>
            </w:pPr>
            <w:r>
              <w:rPr>
                <w:rFonts w:hint="eastAsia"/>
                <w:highlight w:val="none"/>
                <w:lang w:val="en-US" w:eastAsia="zh-CN"/>
              </w:rPr>
              <w:t>基础验收根据基础验收表执行</w:t>
            </w:r>
          </w:p>
        </w:tc>
      </w:tr>
      <w:tr w14:paraId="199AD1C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2800209C">
            <w:pPr>
              <w:pStyle w:val="107"/>
              <w:bidi w:val="0"/>
              <w:spacing w:line="240" w:lineRule="auto"/>
              <w:jc w:val="center"/>
              <w:rPr>
                <w:rFonts w:hint="eastAsia"/>
                <w:highlight w:val="none"/>
                <w:lang w:val="en-US" w:eastAsia="zh-CN"/>
              </w:rPr>
            </w:pPr>
            <w:r>
              <w:rPr>
                <w:rFonts w:hint="eastAsia"/>
                <w:highlight w:val="none"/>
                <w:lang w:val="en-US" w:eastAsia="zh-CN"/>
              </w:rPr>
              <w:t>2</w:t>
            </w:r>
          </w:p>
        </w:tc>
        <w:tc>
          <w:tcPr>
            <w:tcW w:w="1037" w:type="pct"/>
            <w:tcBorders>
              <w:tl2br w:val="nil"/>
              <w:tr2bl w:val="nil"/>
            </w:tcBorders>
            <w:noWrap w:val="0"/>
            <w:vAlign w:val="center"/>
          </w:tcPr>
          <w:p w14:paraId="4955E367">
            <w:pPr>
              <w:pStyle w:val="107"/>
              <w:bidi w:val="0"/>
              <w:spacing w:line="240" w:lineRule="auto"/>
              <w:jc w:val="center"/>
              <w:rPr>
                <w:rFonts w:hint="eastAsia"/>
                <w:highlight w:val="none"/>
                <w:lang w:val="en-US" w:eastAsia="zh-CN"/>
              </w:rPr>
            </w:pPr>
            <w:r>
              <w:rPr>
                <w:rFonts w:hint="eastAsia"/>
                <w:highlight w:val="none"/>
                <w:lang w:val="en-US" w:eastAsia="zh-CN"/>
              </w:rPr>
              <w:t>起重机械</w:t>
            </w:r>
          </w:p>
        </w:tc>
        <w:tc>
          <w:tcPr>
            <w:tcW w:w="3568" w:type="pct"/>
            <w:tcBorders>
              <w:tl2br w:val="nil"/>
              <w:tr2bl w:val="nil"/>
            </w:tcBorders>
            <w:noWrap w:val="0"/>
            <w:vAlign w:val="center"/>
          </w:tcPr>
          <w:p w14:paraId="216FCB5B">
            <w:pPr>
              <w:pStyle w:val="107"/>
              <w:bidi w:val="0"/>
              <w:spacing w:line="240" w:lineRule="auto"/>
              <w:jc w:val="center"/>
              <w:rPr>
                <w:rFonts w:hint="eastAsia"/>
                <w:highlight w:val="none"/>
                <w:lang w:val="en-US" w:eastAsia="zh-CN"/>
              </w:rPr>
            </w:pPr>
            <w:r>
              <w:rPr>
                <w:rFonts w:hint="eastAsia"/>
                <w:highlight w:val="none"/>
                <w:lang w:val="en-US" w:eastAsia="zh-CN"/>
              </w:rPr>
              <w:t>起重机有可靠有效的超高限位器和力矩限制器，吊钩有保险装置，起重机和起重扒杆作业前应进行试吊。</w:t>
            </w:r>
          </w:p>
        </w:tc>
      </w:tr>
      <w:tr w14:paraId="6FF583F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3F12080">
            <w:pPr>
              <w:pStyle w:val="107"/>
              <w:bidi w:val="0"/>
              <w:spacing w:line="240" w:lineRule="auto"/>
              <w:jc w:val="center"/>
              <w:rPr>
                <w:rFonts w:hint="eastAsia"/>
                <w:highlight w:val="none"/>
                <w:lang w:val="en-US" w:eastAsia="zh-CN"/>
              </w:rPr>
            </w:pPr>
            <w:r>
              <w:rPr>
                <w:rFonts w:hint="eastAsia"/>
                <w:highlight w:val="none"/>
                <w:lang w:val="en-US" w:eastAsia="zh-CN"/>
              </w:rPr>
              <w:t>3</w:t>
            </w:r>
          </w:p>
        </w:tc>
        <w:tc>
          <w:tcPr>
            <w:tcW w:w="1037" w:type="pct"/>
            <w:tcBorders>
              <w:tl2br w:val="nil"/>
              <w:tr2bl w:val="nil"/>
            </w:tcBorders>
            <w:noWrap w:val="0"/>
            <w:vAlign w:val="center"/>
          </w:tcPr>
          <w:p w14:paraId="00A201D3">
            <w:pPr>
              <w:pStyle w:val="107"/>
              <w:bidi w:val="0"/>
              <w:spacing w:line="240" w:lineRule="auto"/>
              <w:jc w:val="center"/>
              <w:rPr>
                <w:rFonts w:hint="eastAsia"/>
                <w:highlight w:val="none"/>
                <w:lang w:val="en-US" w:eastAsia="zh-CN"/>
              </w:rPr>
            </w:pPr>
            <w:r>
              <w:rPr>
                <w:rFonts w:hint="eastAsia"/>
                <w:highlight w:val="none"/>
                <w:lang w:val="en-US" w:eastAsia="zh-CN"/>
              </w:rPr>
              <w:t>钢丝器与地锚</w:t>
            </w:r>
          </w:p>
        </w:tc>
        <w:tc>
          <w:tcPr>
            <w:tcW w:w="3568" w:type="pct"/>
            <w:tcBorders>
              <w:tl2br w:val="nil"/>
              <w:tr2bl w:val="nil"/>
            </w:tcBorders>
            <w:noWrap w:val="0"/>
            <w:vAlign w:val="center"/>
          </w:tcPr>
          <w:p w14:paraId="2D8CEB9A">
            <w:pPr>
              <w:pStyle w:val="107"/>
              <w:bidi w:val="0"/>
              <w:spacing w:line="240" w:lineRule="auto"/>
              <w:jc w:val="center"/>
              <w:rPr>
                <w:rFonts w:hint="eastAsia"/>
                <w:highlight w:val="none"/>
                <w:lang w:val="en-US" w:eastAsia="zh-CN"/>
              </w:rPr>
            </w:pPr>
            <w:r>
              <w:rPr>
                <w:rFonts w:hint="eastAsia"/>
                <w:highlight w:val="none"/>
                <w:lang w:val="en-US" w:eastAsia="zh-CN"/>
              </w:rPr>
              <w:t>钢丝绳必须符合有关要求，磨损、断线不得超标。缆风绳安全系数必须大于3.5，滑轮、地锚的设置符合方案要求。</w:t>
            </w:r>
          </w:p>
        </w:tc>
      </w:tr>
      <w:tr w14:paraId="5BAA25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98934B9">
            <w:pPr>
              <w:pStyle w:val="107"/>
              <w:bidi w:val="0"/>
              <w:spacing w:line="240" w:lineRule="auto"/>
              <w:jc w:val="center"/>
              <w:rPr>
                <w:rFonts w:hint="eastAsia"/>
                <w:highlight w:val="none"/>
                <w:lang w:val="en-US" w:eastAsia="zh-CN"/>
              </w:rPr>
            </w:pPr>
            <w:r>
              <w:rPr>
                <w:rFonts w:hint="eastAsia"/>
                <w:highlight w:val="none"/>
                <w:lang w:val="en-US" w:eastAsia="zh-CN"/>
              </w:rPr>
              <w:t>4</w:t>
            </w:r>
          </w:p>
        </w:tc>
        <w:tc>
          <w:tcPr>
            <w:tcW w:w="1037" w:type="pct"/>
            <w:tcBorders>
              <w:tl2br w:val="nil"/>
              <w:tr2bl w:val="nil"/>
            </w:tcBorders>
            <w:noWrap w:val="0"/>
            <w:vAlign w:val="center"/>
          </w:tcPr>
          <w:p w14:paraId="1F57FF8A">
            <w:pPr>
              <w:pStyle w:val="107"/>
              <w:bidi w:val="0"/>
              <w:spacing w:line="240" w:lineRule="auto"/>
              <w:jc w:val="center"/>
              <w:rPr>
                <w:rFonts w:hint="eastAsia"/>
                <w:highlight w:val="none"/>
                <w:lang w:val="en-US" w:eastAsia="zh-CN"/>
              </w:rPr>
            </w:pPr>
            <w:r>
              <w:rPr>
                <w:rFonts w:hint="eastAsia"/>
                <w:highlight w:val="none"/>
                <w:lang w:val="en-US" w:eastAsia="zh-CN"/>
              </w:rPr>
              <w:t>吊   装</w:t>
            </w:r>
          </w:p>
        </w:tc>
        <w:tc>
          <w:tcPr>
            <w:tcW w:w="3568" w:type="pct"/>
            <w:tcBorders>
              <w:tl2br w:val="nil"/>
              <w:tr2bl w:val="nil"/>
            </w:tcBorders>
            <w:noWrap w:val="0"/>
            <w:vAlign w:val="center"/>
          </w:tcPr>
          <w:p w14:paraId="34E46870">
            <w:pPr>
              <w:pStyle w:val="107"/>
              <w:bidi w:val="0"/>
              <w:spacing w:line="240" w:lineRule="auto"/>
              <w:jc w:val="center"/>
              <w:rPr>
                <w:rFonts w:hint="eastAsia"/>
                <w:highlight w:val="none"/>
                <w:lang w:val="en-US" w:eastAsia="zh-CN"/>
              </w:rPr>
            </w:pPr>
            <w:r>
              <w:rPr>
                <w:rFonts w:hint="eastAsia"/>
                <w:highlight w:val="none"/>
                <w:lang w:val="en-US" w:eastAsia="zh-CN"/>
              </w:rPr>
              <w:t>起重吊点符合设计规定，所用的索具、钢丝绳规格、型号、绳径倍数须符合规范要求。</w:t>
            </w:r>
          </w:p>
        </w:tc>
      </w:tr>
      <w:tr w14:paraId="6164675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36AE53D4">
            <w:pPr>
              <w:pStyle w:val="107"/>
              <w:bidi w:val="0"/>
              <w:spacing w:line="240" w:lineRule="auto"/>
              <w:jc w:val="center"/>
              <w:rPr>
                <w:rFonts w:hint="eastAsia"/>
                <w:highlight w:val="none"/>
                <w:lang w:val="en-US" w:eastAsia="zh-CN"/>
              </w:rPr>
            </w:pPr>
            <w:r>
              <w:rPr>
                <w:rFonts w:hint="eastAsia"/>
                <w:highlight w:val="none"/>
                <w:lang w:val="en-US" w:eastAsia="zh-CN"/>
              </w:rPr>
              <w:t>5</w:t>
            </w:r>
          </w:p>
        </w:tc>
        <w:tc>
          <w:tcPr>
            <w:tcW w:w="1037" w:type="pct"/>
            <w:tcBorders>
              <w:tl2br w:val="nil"/>
              <w:tr2bl w:val="nil"/>
            </w:tcBorders>
            <w:noWrap w:val="0"/>
            <w:vAlign w:val="center"/>
          </w:tcPr>
          <w:p w14:paraId="46015AF0">
            <w:pPr>
              <w:pStyle w:val="107"/>
              <w:bidi w:val="0"/>
              <w:spacing w:line="240" w:lineRule="auto"/>
              <w:jc w:val="center"/>
              <w:rPr>
                <w:rFonts w:hint="eastAsia"/>
                <w:highlight w:val="none"/>
                <w:lang w:val="en-US" w:eastAsia="zh-CN"/>
              </w:rPr>
            </w:pPr>
            <w:r>
              <w:rPr>
                <w:rFonts w:hint="eastAsia"/>
                <w:highlight w:val="none"/>
                <w:lang w:val="en-US" w:eastAsia="zh-CN"/>
              </w:rPr>
              <w:t>吊装指挥</w:t>
            </w:r>
          </w:p>
        </w:tc>
        <w:tc>
          <w:tcPr>
            <w:tcW w:w="3568" w:type="pct"/>
            <w:tcBorders>
              <w:tl2br w:val="nil"/>
              <w:tr2bl w:val="nil"/>
            </w:tcBorders>
            <w:noWrap w:val="0"/>
            <w:vAlign w:val="center"/>
          </w:tcPr>
          <w:p w14:paraId="330D1F05">
            <w:pPr>
              <w:pStyle w:val="107"/>
              <w:bidi w:val="0"/>
              <w:spacing w:line="240" w:lineRule="auto"/>
              <w:jc w:val="center"/>
              <w:rPr>
                <w:rFonts w:hint="eastAsia"/>
                <w:highlight w:val="none"/>
                <w:lang w:val="en-US" w:eastAsia="zh-CN"/>
              </w:rPr>
            </w:pPr>
            <w:r>
              <w:rPr>
                <w:rFonts w:hint="eastAsia"/>
                <w:highlight w:val="none"/>
                <w:lang w:val="en-US" w:eastAsia="zh-CN"/>
              </w:rPr>
              <w:t>高处作业应有可靠的信号传递。</w:t>
            </w:r>
          </w:p>
        </w:tc>
      </w:tr>
      <w:tr w14:paraId="420D768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DBCAC87">
            <w:pPr>
              <w:pStyle w:val="107"/>
              <w:bidi w:val="0"/>
              <w:spacing w:line="240" w:lineRule="auto"/>
              <w:jc w:val="center"/>
              <w:rPr>
                <w:rFonts w:hint="eastAsia"/>
                <w:highlight w:val="none"/>
                <w:lang w:val="en-US" w:eastAsia="zh-CN"/>
              </w:rPr>
            </w:pPr>
            <w:r>
              <w:rPr>
                <w:rFonts w:hint="eastAsia"/>
                <w:highlight w:val="none"/>
                <w:lang w:val="en-US" w:eastAsia="zh-CN"/>
              </w:rPr>
              <w:t>6</w:t>
            </w:r>
          </w:p>
        </w:tc>
        <w:tc>
          <w:tcPr>
            <w:tcW w:w="1037" w:type="pct"/>
            <w:tcBorders>
              <w:tl2br w:val="nil"/>
              <w:tr2bl w:val="nil"/>
            </w:tcBorders>
            <w:noWrap w:val="0"/>
            <w:vAlign w:val="center"/>
          </w:tcPr>
          <w:p w14:paraId="1866F552">
            <w:pPr>
              <w:pStyle w:val="107"/>
              <w:bidi w:val="0"/>
              <w:spacing w:line="240" w:lineRule="auto"/>
              <w:jc w:val="center"/>
              <w:rPr>
                <w:rFonts w:hint="eastAsia"/>
                <w:highlight w:val="none"/>
                <w:lang w:val="en-US" w:eastAsia="zh-CN"/>
              </w:rPr>
            </w:pPr>
            <w:r>
              <w:rPr>
                <w:rFonts w:hint="eastAsia"/>
                <w:highlight w:val="none"/>
                <w:lang w:val="en-US" w:eastAsia="zh-CN"/>
              </w:rPr>
              <w:t>地耐力</w:t>
            </w:r>
          </w:p>
        </w:tc>
        <w:tc>
          <w:tcPr>
            <w:tcW w:w="3568" w:type="pct"/>
            <w:tcBorders>
              <w:tl2br w:val="nil"/>
              <w:tr2bl w:val="nil"/>
            </w:tcBorders>
            <w:noWrap w:val="0"/>
            <w:vAlign w:val="center"/>
          </w:tcPr>
          <w:p w14:paraId="5266EE26">
            <w:pPr>
              <w:pStyle w:val="107"/>
              <w:bidi w:val="0"/>
              <w:spacing w:line="240" w:lineRule="auto"/>
              <w:jc w:val="center"/>
              <w:rPr>
                <w:rFonts w:hint="eastAsia"/>
                <w:highlight w:val="none"/>
                <w:lang w:val="en-US" w:eastAsia="zh-CN"/>
              </w:rPr>
            </w:pPr>
            <w:r>
              <w:rPr>
                <w:rFonts w:hint="eastAsia"/>
                <w:highlight w:val="none"/>
                <w:lang w:val="en-US" w:eastAsia="zh-CN"/>
              </w:rPr>
              <w:t>起重机作业路面的地耐力必须符合说明书要求，如达不到要求应采取相应的铺垫加强措施。</w:t>
            </w:r>
          </w:p>
        </w:tc>
      </w:tr>
      <w:tr w14:paraId="1539979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6866AF58">
            <w:pPr>
              <w:pStyle w:val="107"/>
              <w:bidi w:val="0"/>
              <w:spacing w:line="240" w:lineRule="auto"/>
              <w:jc w:val="center"/>
              <w:rPr>
                <w:rFonts w:hint="eastAsia"/>
                <w:highlight w:val="none"/>
                <w:lang w:val="en-US" w:eastAsia="zh-CN"/>
              </w:rPr>
            </w:pPr>
            <w:r>
              <w:rPr>
                <w:rFonts w:hint="eastAsia"/>
                <w:highlight w:val="none"/>
                <w:lang w:val="en-US" w:eastAsia="zh-CN"/>
              </w:rPr>
              <w:t>7</w:t>
            </w:r>
          </w:p>
        </w:tc>
        <w:tc>
          <w:tcPr>
            <w:tcW w:w="1037" w:type="pct"/>
            <w:tcBorders>
              <w:tl2br w:val="nil"/>
              <w:tr2bl w:val="nil"/>
            </w:tcBorders>
            <w:noWrap w:val="0"/>
            <w:vAlign w:val="center"/>
          </w:tcPr>
          <w:p w14:paraId="63D8F144">
            <w:pPr>
              <w:pStyle w:val="107"/>
              <w:bidi w:val="0"/>
              <w:spacing w:line="240" w:lineRule="auto"/>
              <w:jc w:val="center"/>
              <w:rPr>
                <w:rFonts w:hint="eastAsia"/>
                <w:highlight w:val="none"/>
                <w:lang w:val="en-US" w:eastAsia="zh-CN"/>
              </w:rPr>
            </w:pPr>
            <w:r>
              <w:rPr>
                <w:rFonts w:hint="eastAsia"/>
                <w:highlight w:val="none"/>
                <w:lang w:val="en-US" w:eastAsia="zh-CN"/>
              </w:rPr>
              <w:t>起重作业</w:t>
            </w:r>
          </w:p>
        </w:tc>
        <w:tc>
          <w:tcPr>
            <w:tcW w:w="3568" w:type="pct"/>
            <w:tcBorders>
              <w:tl2br w:val="nil"/>
              <w:tr2bl w:val="nil"/>
            </w:tcBorders>
            <w:noWrap w:val="0"/>
            <w:vAlign w:val="center"/>
          </w:tcPr>
          <w:p w14:paraId="53A2EB7E">
            <w:pPr>
              <w:pStyle w:val="107"/>
              <w:bidi w:val="0"/>
              <w:spacing w:line="240" w:lineRule="auto"/>
              <w:jc w:val="center"/>
              <w:rPr>
                <w:rFonts w:hint="eastAsia"/>
                <w:highlight w:val="none"/>
                <w:lang w:val="en-US" w:eastAsia="zh-CN"/>
              </w:rPr>
            </w:pPr>
            <w:r>
              <w:rPr>
                <w:rFonts w:hint="eastAsia"/>
                <w:highlight w:val="none"/>
                <w:lang w:val="en-US" w:eastAsia="zh-CN"/>
              </w:rPr>
              <w:t>被吊物件应明确重量，不得不明吊重或超载作业。</w:t>
            </w:r>
          </w:p>
        </w:tc>
      </w:tr>
      <w:tr w14:paraId="1F03611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27F13E7E">
            <w:pPr>
              <w:pStyle w:val="107"/>
              <w:bidi w:val="0"/>
              <w:spacing w:line="240" w:lineRule="auto"/>
              <w:jc w:val="center"/>
              <w:rPr>
                <w:rFonts w:hint="eastAsia"/>
                <w:highlight w:val="none"/>
                <w:lang w:val="en-US" w:eastAsia="zh-CN"/>
              </w:rPr>
            </w:pPr>
            <w:r>
              <w:rPr>
                <w:rFonts w:hint="eastAsia"/>
                <w:highlight w:val="none"/>
                <w:lang w:val="en-US" w:eastAsia="zh-CN"/>
              </w:rPr>
              <w:t>8</w:t>
            </w:r>
          </w:p>
        </w:tc>
        <w:tc>
          <w:tcPr>
            <w:tcW w:w="1037" w:type="pct"/>
            <w:tcBorders>
              <w:tl2br w:val="nil"/>
              <w:tr2bl w:val="nil"/>
            </w:tcBorders>
            <w:noWrap w:val="0"/>
            <w:vAlign w:val="center"/>
          </w:tcPr>
          <w:p w14:paraId="75F8C9ED">
            <w:pPr>
              <w:pStyle w:val="107"/>
              <w:bidi w:val="0"/>
              <w:spacing w:line="240" w:lineRule="auto"/>
              <w:jc w:val="center"/>
              <w:rPr>
                <w:rFonts w:hint="eastAsia"/>
                <w:highlight w:val="none"/>
                <w:lang w:val="en-US" w:eastAsia="zh-CN"/>
              </w:rPr>
            </w:pPr>
            <w:r>
              <w:rPr>
                <w:rFonts w:hint="eastAsia"/>
                <w:highlight w:val="none"/>
                <w:lang w:val="en-US" w:eastAsia="zh-CN"/>
              </w:rPr>
              <w:t>高处作业</w:t>
            </w:r>
          </w:p>
        </w:tc>
        <w:tc>
          <w:tcPr>
            <w:tcW w:w="3568" w:type="pct"/>
            <w:tcBorders>
              <w:tl2br w:val="nil"/>
              <w:tr2bl w:val="nil"/>
            </w:tcBorders>
            <w:noWrap w:val="0"/>
            <w:vAlign w:val="center"/>
          </w:tcPr>
          <w:p w14:paraId="74372FB4">
            <w:pPr>
              <w:pStyle w:val="107"/>
              <w:bidi w:val="0"/>
              <w:spacing w:line="240" w:lineRule="auto"/>
              <w:jc w:val="center"/>
              <w:rPr>
                <w:rFonts w:hint="eastAsia"/>
                <w:highlight w:val="none"/>
                <w:lang w:val="en-US" w:eastAsia="zh-CN"/>
              </w:rPr>
            </w:pPr>
            <w:r>
              <w:rPr>
                <w:rFonts w:hint="eastAsia"/>
                <w:highlight w:val="none"/>
                <w:lang w:val="en-US" w:eastAsia="zh-CN"/>
              </w:rPr>
              <w:t>吊装作业必须设置防坠落措施，作业人员应系安全事实工悬挂牢固、可靠，人员上下应设置人员专用爬梯、斜道。</w:t>
            </w:r>
          </w:p>
        </w:tc>
      </w:tr>
      <w:tr w14:paraId="41105C4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58698020">
            <w:pPr>
              <w:pStyle w:val="107"/>
              <w:bidi w:val="0"/>
              <w:spacing w:line="240" w:lineRule="auto"/>
              <w:jc w:val="center"/>
              <w:rPr>
                <w:rFonts w:hint="eastAsia"/>
                <w:highlight w:val="none"/>
                <w:lang w:val="en-US" w:eastAsia="zh-CN"/>
              </w:rPr>
            </w:pPr>
            <w:r>
              <w:rPr>
                <w:rFonts w:hint="eastAsia"/>
                <w:highlight w:val="none"/>
                <w:lang w:val="en-US" w:eastAsia="zh-CN"/>
              </w:rPr>
              <w:t>9</w:t>
            </w:r>
          </w:p>
        </w:tc>
        <w:tc>
          <w:tcPr>
            <w:tcW w:w="1037" w:type="pct"/>
            <w:tcBorders>
              <w:tl2br w:val="nil"/>
              <w:tr2bl w:val="nil"/>
            </w:tcBorders>
            <w:noWrap w:val="0"/>
            <w:vAlign w:val="center"/>
          </w:tcPr>
          <w:p w14:paraId="19B0F54D">
            <w:pPr>
              <w:pStyle w:val="107"/>
              <w:bidi w:val="0"/>
              <w:spacing w:line="240" w:lineRule="auto"/>
              <w:jc w:val="center"/>
              <w:rPr>
                <w:rFonts w:hint="eastAsia"/>
                <w:highlight w:val="none"/>
                <w:lang w:val="en-US" w:eastAsia="zh-CN"/>
              </w:rPr>
            </w:pPr>
            <w:r>
              <w:rPr>
                <w:rFonts w:hint="eastAsia"/>
                <w:highlight w:val="none"/>
                <w:lang w:val="en-US" w:eastAsia="zh-CN"/>
              </w:rPr>
              <w:t>作业平台</w:t>
            </w:r>
          </w:p>
        </w:tc>
        <w:tc>
          <w:tcPr>
            <w:tcW w:w="3568" w:type="pct"/>
            <w:tcBorders>
              <w:tl2br w:val="nil"/>
              <w:tr2bl w:val="nil"/>
            </w:tcBorders>
            <w:noWrap w:val="0"/>
            <w:vAlign w:val="center"/>
          </w:tcPr>
          <w:p w14:paraId="05D488D4">
            <w:pPr>
              <w:pStyle w:val="107"/>
              <w:bidi w:val="0"/>
              <w:spacing w:line="240" w:lineRule="auto"/>
              <w:jc w:val="center"/>
              <w:rPr>
                <w:rFonts w:hint="eastAsia"/>
                <w:highlight w:val="none"/>
                <w:lang w:val="en-US" w:eastAsia="zh-CN"/>
              </w:rPr>
            </w:pPr>
            <w:r>
              <w:rPr>
                <w:rFonts w:hint="eastAsia"/>
                <w:highlight w:val="none"/>
                <w:lang w:val="en-US" w:eastAsia="zh-CN"/>
              </w:rPr>
              <w:t>起重吊装作业人员须有可行的立足点，作业平台应坚实，牢固、单独支撑，底板应用4厘米厚以上木板或防滑钢板铺设，临边防护应符合要求。</w:t>
            </w:r>
          </w:p>
        </w:tc>
      </w:tr>
      <w:tr w14:paraId="2EA9288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13BE6513">
            <w:pPr>
              <w:pStyle w:val="107"/>
              <w:bidi w:val="0"/>
              <w:spacing w:line="240" w:lineRule="auto"/>
              <w:jc w:val="center"/>
              <w:rPr>
                <w:rFonts w:hint="eastAsia"/>
                <w:highlight w:val="none"/>
                <w:lang w:val="en-US" w:eastAsia="zh-CN"/>
              </w:rPr>
            </w:pPr>
            <w:r>
              <w:rPr>
                <w:rFonts w:hint="eastAsia"/>
                <w:highlight w:val="none"/>
                <w:lang w:val="en-US" w:eastAsia="zh-CN"/>
              </w:rPr>
              <w:t>10</w:t>
            </w:r>
          </w:p>
        </w:tc>
        <w:tc>
          <w:tcPr>
            <w:tcW w:w="1037" w:type="pct"/>
            <w:tcBorders>
              <w:tl2br w:val="nil"/>
              <w:tr2bl w:val="nil"/>
            </w:tcBorders>
            <w:noWrap w:val="0"/>
            <w:vAlign w:val="center"/>
          </w:tcPr>
          <w:p w14:paraId="2A5D0418">
            <w:pPr>
              <w:pStyle w:val="107"/>
              <w:bidi w:val="0"/>
              <w:spacing w:line="240" w:lineRule="auto"/>
              <w:jc w:val="center"/>
              <w:rPr>
                <w:rFonts w:hint="eastAsia"/>
                <w:highlight w:val="none"/>
                <w:lang w:val="en-US" w:eastAsia="zh-CN"/>
              </w:rPr>
            </w:pPr>
            <w:r>
              <w:rPr>
                <w:rFonts w:hint="eastAsia"/>
                <w:highlight w:val="none"/>
                <w:lang w:val="en-US" w:eastAsia="zh-CN"/>
              </w:rPr>
              <w:t>构件堆放</w:t>
            </w:r>
          </w:p>
        </w:tc>
        <w:tc>
          <w:tcPr>
            <w:tcW w:w="3568" w:type="pct"/>
            <w:tcBorders>
              <w:tl2br w:val="nil"/>
              <w:tr2bl w:val="nil"/>
            </w:tcBorders>
            <w:noWrap w:val="0"/>
            <w:vAlign w:val="center"/>
          </w:tcPr>
          <w:p w14:paraId="3F5E5F71">
            <w:pPr>
              <w:pStyle w:val="107"/>
              <w:bidi w:val="0"/>
              <w:spacing w:line="240" w:lineRule="auto"/>
              <w:jc w:val="center"/>
              <w:rPr>
                <w:rFonts w:hint="eastAsia"/>
                <w:highlight w:val="none"/>
                <w:lang w:val="en-US" w:eastAsia="zh-CN"/>
              </w:rPr>
            </w:pPr>
            <w:r>
              <w:rPr>
                <w:rFonts w:hint="eastAsia"/>
                <w:highlight w:val="none"/>
                <w:lang w:val="en-US" w:eastAsia="zh-CN"/>
              </w:rPr>
              <w:t>构件堆放应整齐，楼板堆放不得超过1.6米，其它构件堆放不得超过有关规定，大型构件堆放应有稳固措施。</w:t>
            </w:r>
          </w:p>
        </w:tc>
      </w:tr>
      <w:tr w14:paraId="0032E35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393" w:type="pct"/>
            <w:tcBorders>
              <w:tl2br w:val="nil"/>
              <w:tr2bl w:val="nil"/>
            </w:tcBorders>
            <w:noWrap w:val="0"/>
            <w:vAlign w:val="center"/>
          </w:tcPr>
          <w:p w14:paraId="0EA13F65">
            <w:pPr>
              <w:pStyle w:val="107"/>
              <w:bidi w:val="0"/>
              <w:spacing w:line="240" w:lineRule="auto"/>
              <w:jc w:val="center"/>
              <w:rPr>
                <w:rFonts w:hint="eastAsia"/>
                <w:highlight w:val="none"/>
                <w:lang w:val="en-US" w:eastAsia="zh-CN"/>
              </w:rPr>
            </w:pPr>
            <w:r>
              <w:rPr>
                <w:rFonts w:hint="eastAsia"/>
                <w:highlight w:val="none"/>
                <w:lang w:val="en-US" w:eastAsia="zh-CN"/>
              </w:rPr>
              <w:t>11</w:t>
            </w:r>
          </w:p>
        </w:tc>
        <w:tc>
          <w:tcPr>
            <w:tcW w:w="1037" w:type="pct"/>
            <w:tcBorders>
              <w:tl2br w:val="nil"/>
              <w:tr2bl w:val="nil"/>
            </w:tcBorders>
            <w:noWrap w:val="0"/>
            <w:vAlign w:val="center"/>
          </w:tcPr>
          <w:p w14:paraId="08587E13">
            <w:pPr>
              <w:pStyle w:val="107"/>
              <w:bidi w:val="0"/>
              <w:spacing w:line="240" w:lineRule="auto"/>
              <w:jc w:val="center"/>
              <w:rPr>
                <w:rFonts w:hint="eastAsia"/>
                <w:highlight w:val="none"/>
                <w:lang w:val="en-US" w:eastAsia="zh-CN"/>
              </w:rPr>
            </w:pPr>
            <w:r>
              <w:rPr>
                <w:rFonts w:hint="eastAsia"/>
                <w:highlight w:val="none"/>
                <w:lang w:val="en-US" w:eastAsia="zh-CN"/>
              </w:rPr>
              <w:t>警   戒</w:t>
            </w:r>
          </w:p>
        </w:tc>
        <w:tc>
          <w:tcPr>
            <w:tcW w:w="3568" w:type="pct"/>
            <w:tcBorders>
              <w:tl2br w:val="nil"/>
              <w:tr2bl w:val="nil"/>
            </w:tcBorders>
            <w:noWrap w:val="0"/>
            <w:vAlign w:val="center"/>
          </w:tcPr>
          <w:p w14:paraId="4443EFF5">
            <w:pPr>
              <w:pStyle w:val="107"/>
              <w:bidi w:val="0"/>
              <w:spacing w:line="240" w:lineRule="auto"/>
              <w:jc w:val="center"/>
              <w:rPr>
                <w:rFonts w:hint="eastAsia"/>
                <w:highlight w:val="none"/>
                <w:lang w:val="en-US" w:eastAsia="zh-CN"/>
              </w:rPr>
            </w:pPr>
            <w:r>
              <w:rPr>
                <w:rFonts w:hint="eastAsia"/>
                <w:highlight w:val="none"/>
                <w:lang w:val="en-US" w:eastAsia="zh-CN"/>
              </w:rPr>
              <w:t>吊装作业场所。</w:t>
            </w:r>
          </w:p>
        </w:tc>
      </w:tr>
    </w:tbl>
    <w:p w14:paraId="298F35C4">
      <w:pPr>
        <w:pStyle w:val="4"/>
        <w:tabs>
          <w:tab w:val="left" w:pos="0"/>
          <w:tab w:val="left" w:pos="630"/>
        </w:tabs>
        <w:bidi w:val="0"/>
        <w:rPr>
          <w:rFonts w:hint="eastAsia"/>
          <w:highlight w:val="none"/>
          <w:lang w:val="en-US" w:eastAsia="zh-CN"/>
        </w:rPr>
      </w:pPr>
      <w:bookmarkStart w:id="368" w:name="_Toc11656"/>
      <w:bookmarkStart w:id="369" w:name="_Toc10160"/>
      <w:r>
        <w:rPr>
          <w:rFonts w:hint="eastAsia"/>
          <w:highlight w:val="none"/>
          <w:lang w:val="en-US" w:eastAsia="zh-CN"/>
        </w:rPr>
        <w:t>8.2.4塔机安装完毕验收</w:t>
      </w:r>
      <w:bookmarkEnd w:id="368"/>
      <w:bookmarkEnd w:id="369"/>
    </w:p>
    <w:p w14:paraId="6D4DA1BF">
      <w:pPr>
        <w:ind w:firstLine="480" w:firstLineChars="200"/>
        <w:rPr>
          <w:rFonts w:hint="eastAsia"/>
          <w:highlight w:val="none"/>
          <w:lang w:val="en-US" w:eastAsia="zh-CN"/>
        </w:rPr>
      </w:pPr>
      <w:r>
        <w:rPr>
          <w:rFonts w:hint="eastAsia"/>
          <w:highlight w:val="none"/>
          <w:lang w:val="en-US" w:eastAsia="zh-CN"/>
        </w:rPr>
        <w:t>塔机安装完成后应先由安装单位自检，自检合格后，报请有资质的检测单位检测，检测合格后再由使用单位组织租赁单位、安装单位和监理单位共同对塔机进行最后验收。</w:t>
      </w:r>
    </w:p>
    <w:p w14:paraId="3D5799B9">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1、安装单位自检。塔吊安装完成之后，安装单位应及时组织单位技术人员、安全人员、安装人员对塔吊进行验收。</w:t>
      </w:r>
    </w:p>
    <w:p w14:paraId="72331B23">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2、委托第三方检验机构进行检验。检测单位检测完成之后，出具的检测报告是整机合格，可能存在部分一般项目不合格；设备供应方应对不合格项目进行整改，并出具整改报告。</w:t>
      </w:r>
    </w:p>
    <w:p w14:paraId="246510D4">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3、资料审核。</w:t>
      </w:r>
      <w:r>
        <w:rPr>
          <w:rFonts w:hint="eastAsia" w:ascii="宋体" w:hAnsi="宋体" w:eastAsia="宋体"/>
          <w:highlight w:val="none"/>
          <w:lang w:val="en-US" w:eastAsia="zh-CN"/>
        </w:rPr>
        <w:t>项目部</w:t>
      </w:r>
      <w:r>
        <w:rPr>
          <w:rFonts w:hint="default" w:ascii="宋体" w:hAnsi="宋体" w:eastAsia="宋体"/>
          <w:highlight w:val="none"/>
          <w:lang w:val="en-US" w:eastAsia="zh-CN"/>
        </w:rPr>
        <w:t>对塔吊安装相关资料原件进行审核，审核通过后，留存加盖单位公章的复印件，并报监理单位审核。监理单位审核完成后，</w:t>
      </w:r>
      <w:r>
        <w:rPr>
          <w:rFonts w:hint="eastAsia" w:ascii="宋体" w:hAnsi="宋体" w:eastAsia="宋体"/>
          <w:highlight w:val="none"/>
          <w:lang w:val="en-US" w:eastAsia="zh-CN"/>
        </w:rPr>
        <w:t>项目部</w:t>
      </w:r>
      <w:r>
        <w:rPr>
          <w:rFonts w:hint="default" w:ascii="宋体" w:hAnsi="宋体" w:eastAsia="宋体"/>
          <w:highlight w:val="none"/>
          <w:lang w:val="en-US" w:eastAsia="zh-CN"/>
        </w:rPr>
        <w:t>组织</w:t>
      </w:r>
      <w:r>
        <w:rPr>
          <w:rFonts w:hint="eastAsia" w:ascii="宋体" w:hAnsi="宋体" w:eastAsia="宋体"/>
          <w:highlight w:val="none"/>
          <w:lang w:val="en-US" w:eastAsia="zh-CN"/>
        </w:rPr>
        <w:t>联合</w:t>
      </w:r>
      <w:r>
        <w:rPr>
          <w:rFonts w:hint="default" w:ascii="宋体" w:hAnsi="宋体" w:eastAsia="宋体"/>
          <w:highlight w:val="none"/>
          <w:lang w:val="en-US" w:eastAsia="zh-CN"/>
        </w:rPr>
        <w:t>验收。</w:t>
      </w:r>
    </w:p>
    <w:p w14:paraId="3850B958">
      <w:pPr>
        <w:ind w:firstLine="480" w:firstLineChars="200"/>
        <w:rPr>
          <w:rFonts w:hint="default" w:ascii="宋体" w:hAnsi="宋体" w:eastAsia="宋体"/>
          <w:highlight w:val="none"/>
          <w:lang w:val="en-US" w:eastAsia="zh-CN"/>
        </w:rPr>
      </w:pPr>
      <w:r>
        <w:rPr>
          <w:rFonts w:hint="default" w:ascii="宋体" w:hAnsi="宋体" w:eastAsia="宋体"/>
          <w:highlight w:val="none"/>
          <w:lang w:val="en-US" w:eastAsia="zh-CN"/>
        </w:rPr>
        <w:t>4、</w:t>
      </w:r>
      <w:r>
        <w:rPr>
          <w:rFonts w:hint="eastAsia" w:ascii="宋体" w:hAnsi="宋体" w:eastAsia="宋体"/>
          <w:highlight w:val="none"/>
          <w:lang w:val="en-US" w:eastAsia="zh-CN"/>
        </w:rPr>
        <w:t>联合</w:t>
      </w:r>
      <w:r>
        <w:rPr>
          <w:rFonts w:hint="default" w:ascii="宋体" w:hAnsi="宋体" w:eastAsia="宋体"/>
          <w:highlight w:val="none"/>
          <w:lang w:val="en-US" w:eastAsia="zh-CN"/>
        </w:rPr>
        <w:t>验收。</w:t>
      </w:r>
      <w:r>
        <w:rPr>
          <w:rFonts w:hint="eastAsia" w:ascii="宋体" w:hAnsi="宋体" w:eastAsia="宋体"/>
          <w:highlight w:val="none"/>
          <w:lang w:val="en-US" w:eastAsia="zh-CN"/>
        </w:rPr>
        <w:t>项目部</w:t>
      </w:r>
      <w:r>
        <w:rPr>
          <w:rFonts w:hint="default" w:ascii="宋体" w:hAnsi="宋体" w:eastAsia="宋体"/>
          <w:highlight w:val="none"/>
          <w:lang w:val="en-US" w:eastAsia="zh-CN"/>
        </w:rPr>
        <w:t>组织设备供应方、安装单位、使用单位、监理单位对塔吊安装进行联合验收。</w:t>
      </w:r>
    </w:p>
    <w:p w14:paraId="17457514">
      <w:pPr>
        <w:pStyle w:val="4"/>
        <w:bidi w:val="0"/>
        <w:rPr>
          <w:rFonts w:hint="eastAsia"/>
          <w:highlight w:val="none"/>
          <w:lang w:val="en-US" w:eastAsia="zh-CN"/>
        </w:rPr>
      </w:pPr>
      <w:r>
        <w:rPr>
          <w:rFonts w:hint="eastAsia"/>
          <w:highlight w:val="none"/>
          <w:lang w:val="en-US" w:eastAsia="zh-CN"/>
        </w:rPr>
        <w:t>8.2.5验收人员</w:t>
      </w:r>
    </w:p>
    <w:p w14:paraId="3663CB50">
      <w:pPr>
        <w:ind w:firstLine="480" w:firstLineChars="200"/>
        <w:rPr>
          <w:rFonts w:hint="default"/>
          <w:highlight w:val="none"/>
          <w:lang w:val="en-US" w:eastAsia="zh-CN"/>
        </w:rPr>
      </w:pPr>
      <w:r>
        <w:rPr>
          <w:rFonts w:hint="eastAsia"/>
          <w:highlight w:val="none"/>
          <w:lang w:val="en-US" w:eastAsia="zh-CN"/>
        </w:rPr>
        <w:t>检验部位（</w:t>
      </w:r>
      <w:r>
        <w:rPr>
          <w:rFonts w:hint="default"/>
          <w:highlight w:val="none"/>
          <w:lang w:val="en-US" w:eastAsia="zh-CN"/>
        </w:rPr>
        <w:t>检验批</w:t>
      </w:r>
      <w:r>
        <w:rPr>
          <w:rFonts w:hint="eastAsia"/>
          <w:highlight w:val="none"/>
          <w:lang w:val="en-US" w:eastAsia="zh-CN"/>
        </w:rPr>
        <w:t>）</w:t>
      </w:r>
      <w:r>
        <w:rPr>
          <w:rFonts w:hint="default"/>
          <w:highlight w:val="none"/>
          <w:lang w:val="en-US" w:eastAsia="zh-CN"/>
        </w:rPr>
        <w:t>由施工单位自检合格后，报监理单位（建设单位项目技术负责人</w:t>
      </w:r>
      <w:r>
        <w:rPr>
          <w:rFonts w:hint="eastAsia"/>
          <w:highlight w:val="none"/>
          <w:lang w:val="en-US" w:eastAsia="zh-CN"/>
        </w:rPr>
        <w:t>）</w:t>
      </w:r>
      <w:r>
        <w:rPr>
          <w:rFonts w:hint="default"/>
          <w:highlight w:val="none"/>
          <w:lang w:val="en-US" w:eastAsia="zh-CN"/>
        </w:rPr>
        <w:t>，由监理工程师组织施工单位专职质量检查员等进行验收。监理单位应对全部主控项目进行检查，对一般项目的检查内容和数量可根据具体情况确定。</w:t>
      </w:r>
    </w:p>
    <w:p w14:paraId="196D4F7C">
      <w:pPr>
        <w:ind w:firstLine="480" w:firstLineChars="200"/>
        <w:rPr>
          <w:rFonts w:hint="default"/>
          <w:highlight w:val="none"/>
          <w:lang w:val="en-US" w:eastAsia="zh-CN"/>
        </w:rPr>
      </w:pPr>
      <w:r>
        <w:rPr>
          <w:rFonts w:hint="default"/>
          <w:highlight w:val="none"/>
          <w:lang w:val="en-US" w:eastAsia="zh-CN"/>
        </w:rPr>
        <w:t>分项工程由监理工程师（建设单位项目技术负责人）组织施工单位项目专业技术负责人等进行验收。</w:t>
      </w:r>
    </w:p>
    <w:p w14:paraId="346DB45E">
      <w:pPr>
        <w:ind w:firstLine="480" w:firstLineChars="200"/>
        <w:rPr>
          <w:rFonts w:hint="default"/>
          <w:highlight w:val="none"/>
          <w:lang w:val="en-US" w:eastAsia="zh-CN"/>
        </w:rPr>
      </w:pPr>
      <w:r>
        <w:rPr>
          <w:rFonts w:hint="default"/>
          <w:highlight w:val="none"/>
          <w:lang w:val="en-US" w:eastAsia="zh-CN"/>
        </w:rPr>
        <w:t>分部工程由总监理工程师（建设单位项目负责人）组织施工单位项目负责人和技术、质量负责人等进行验收</w:t>
      </w:r>
      <w:r>
        <w:rPr>
          <w:rFonts w:hint="eastAsia"/>
          <w:highlight w:val="none"/>
          <w:lang w:val="en-US" w:eastAsia="zh-CN"/>
        </w:rPr>
        <w:t>；</w:t>
      </w:r>
      <w:r>
        <w:rPr>
          <w:rFonts w:hint="default"/>
          <w:highlight w:val="none"/>
          <w:lang w:val="en-US" w:eastAsia="zh-CN"/>
        </w:rPr>
        <w:t>地基与基础、主体结构分部工程进行验收时，勘察、设计单位项目负责人也应参加。</w:t>
      </w:r>
    </w:p>
    <w:p w14:paraId="763FE683">
      <w:pPr>
        <w:pStyle w:val="3"/>
        <w:numPr>
          <w:ilvl w:val="0"/>
          <w:numId w:val="0"/>
        </w:numPr>
        <w:outlineLvl w:val="1"/>
        <w:rPr>
          <w:rFonts w:hint="eastAsia" w:cs="Times New Roman"/>
          <w:highlight w:val="none"/>
          <w:lang w:val="en-US" w:eastAsia="zh-CN"/>
        </w:rPr>
      </w:pPr>
      <w:bookmarkStart w:id="370" w:name="_Toc11653"/>
      <w:bookmarkStart w:id="371" w:name="_Toc21699"/>
      <w:bookmarkStart w:id="372" w:name="_Toc21512"/>
      <w:r>
        <w:rPr>
          <w:rFonts w:hint="eastAsia" w:cs="Times New Roman"/>
          <w:highlight w:val="none"/>
          <w:lang w:val="en-US" w:eastAsia="zh-CN"/>
        </w:rPr>
        <w:t>8</w:t>
      </w:r>
      <w:r>
        <w:rPr>
          <w:rFonts w:hint="eastAsia" w:ascii="Arial" w:hAnsi="Arial" w:cs="Times New Roman"/>
          <w:highlight w:val="none"/>
          <w:lang w:val="en-US" w:eastAsia="zh-CN"/>
        </w:rPr>
        <w:t>.</w:t>
      </w:r>
      <w:r>
        <w:rPr>
          <w:rFonts w:hint="eastAsia" w:cs="Times New Roman"/>
          <w:highlight w:val="none"/>
          <w:lang w:val="en-US" w:eastAsia="zh-CN"/>
        </w:rPr>
        <w:t>3</w:t>
      </w:r>
      <w:r>
        <w:rPr>
          <w:rFonts w:hint="eastAsia" w:ascii="Arial" w:hAnsi="Arial" w:cs="Times New Roman"/>
          <w:highlight w:val="none"/>
          <w:lang w:val="en-US" w:eastAsia="zh-CN"/>
        </w:rPr>
        <w:t>验收</w:t>
      </w:r>
      <w:r>
        <w:rPr>
          <w:rFonts w:hint="eastAsia" w:cs="Times New Roman"/>
          <w:highlight w:val="none"/>
          <w:lang w:val="en-US" w:eastAsia="zh-CN"/>
        </w:rPr>
        <w:t>内容</w:t>
      </w:r>
      <w:bookmarkEnd w:id="370"/>
      <w:bookmarkEnd w:id="371"/>
      <w:bookmarkEnd w:id="372"/>
    </w:p>
    <w:p w14:paraId="2A610C4B">
      <w:pPr>
        <w:pStyle w:val="15"/>
        <w:bidi w:val="0"/>
        <w:rPr>
          <w:rFonts w:hint="default"/>
          <w:highlight w:val="none"/>
          <w:lang w:val="en-US" w:eastAsia="zh-CN"/>
        </w:rPr>
      </w:pPr>
      <w:r>
        <w:rPr>
          <w:rFonts w:hint="eastAsia"/>
          <w:highlight w:val="none"/>
          <w:lang w:val="en-US" w:eastAsia="zh-CN"/>
        </w:rPr>
        <w:t>表8.3-1塔吊安拆验收内容</w:t>
      </w:r>
    </w:p>
    <w:tbl>
      <w:tblPr>
        <w:tblStyle w:val="31"/>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83"/>
        <w:gridCol w:w="7821"/>
      </w:tblGrid>
      <w:tr w14:paraId="08E0E34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683" w:type="dxa"/>
            <w:tcBorders>
              <w:tl2br w:val="nil"/>
              <w:tr2bl w:val="nil"/>
            </w:tcBorders>
            <w:shd w:val="clear" w:color="auto" w:fill="DAE3F3" w:themeFill="accent5" w:themeFillTint="32"/>
            <w:noWrap w:val="0"/>
            <w:vAlign w:val="center"/>
          </w:tcPr>
          <w:p w14:paraId="0719A6C2">
            <w:pPr>
              <w:pStyle w:val="105"/>
              <w:bidi w:val="0"/>
              <w:rPr>
                <w:rFonts w:hint="default"/>
                <w:highlight w:val="none"/>
                <w:lang w:val="en-US" w:eastAsia="zh-CN"/>
              </w:rPr>
            </w:pPr>
            <w:r>
              <w:rPr>
                <w:rFonts w:hint="eastAsia"/>
                <w:highlight w:val="none"/>
                <w:lang w:val="en-US" w:eastAsia="zh-CN"/>
              </w:rPr>
              <w:t>序号</w:t>
            </w:r>
          </w:p>
        </w:tc>
        <w:tc>
          <w:tcPr>
            <w:tcW w:w="7821" w:type="dxa"/>
            <w:tcBorders>
              <w:tl2br w:val="nil"/>
              <w:tr2bl w:val="nil"/>
            </w:tcBorders>
            <w:shd w:val="clear" w:color="auto" w:fill="DAE3F3" w:themeFill="accent5" w:themeFillTint="32"/>
            <w:noWrap w:val="0"/>
            <w:vAlign w:val="center"/>
          </w:tcPr>
          <w:p w14:paraId="435D78FD">
            <w:pPr>
              <w:pStyle w:val="105"/>
              <w:bidi w:val="0"/>
              <w:rPr>
                <w:rFonts w:hint="default"/>
                <w:highlight w:val="none"/>
                <w:lang w:val="en-US" w:eastAsia="zh-CN"/>
              </w:rPr>
            </w:pPr>
            <w:r>
              <w:rPr>
                <w:rFonts w:hint="eastAsia"/>
                <w:highlight w:val="none"/>
                <w:lang w:val="en-US" w:eastAsia="zh-CN"/>
              </w:rPr>
              <w:t>内 容</w:t>
            </w:r>
          </w:p>
        </w:tc>
      </w:tr>
      <w:tr w14:paraId="4C00DD5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784BE103">
            <w:pPr>
              <w:pStyle w:val="105"/>
              <w:bidi w:val="0"/>
              <w:rPr>
                <w:rFonts w:hint="default"/>
                <w:highlight w:val="none"/>
                <w:lang w:val="en-US" w:eastAsia="zh-CN"/>
              </w:rPr>
            </w:pPr>
            <w:r>
              <w:rPr>
                <w:rFonts w:hint="eastAsia"/>
                <w:highlight w:val="none"/>
                <w:lang w:val="en-US" w:eastAsia="zh-CN"/>
              </w:rPr>
              <w:t>1</w:t>
            </w:r>
          </w:p>
        </w:tc>
        <w:tc>
          <w:tcPr>
            <w:tcW w:w="7821" w:type="dxa"/>
            <w:tcBorders>
              <w:tl2br w:val="nil"/>
              <w:tr2bl w:val="nil"/>
            </w:tcBorders>
            <w:noWrap w:val="0"/>
            <w:vAlign w:val="center"/>
          </w:tcPr>
          <w:p w14:paraId="75B04B2F">
            <w:pPr>
              <w:pStyle w:val="105"/>
              <w:bidi w:val="0"/>
              <w:rPr>
                <w:rFonts w:hint="default"/>
                <w:highlight w:val="none"/>
                <w:lang w:val="en-US" w:eastAsia="zh-CN"/>
              </w:rPr>
            </w:pPr>
            <w:r>
              <w:rPr>
                <w:rFonts w:hint="eastAsia"/>
                <w:highlight w:val="none"/>
                <w:lang w:val="en-US" w:eastAsia="zh-CN"/>
              </w:rPr>
              <w:t>施工现场塔吊的技术资料和安全资料必须齐全。</w:t>
            </w:r>
          </w:p>
        </w:tc>
      </w:tr>
      <w:tr w14:paraId="7F06044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058EC579">
            <w:pPr>
              <w:pStyle w:val="105"/>
              <w:bidi w:val="0"/>
              <w:rPr>
                <w:rFonts w:hint="default"/>
                <w:highlight w:val="none"/>
                <w:lang w:val="en-US" w:eastAsia="zh-CN"/>
              </w:rPr>
            </w:pPr>
            <w:r>
              <w:rPr>
                <w:rFonts w:hint="eastAsia"/>
                <w:highlight w:val="none"/>
                <w:lang w:val="en-US" w:eastAsia="zh-CN"/>
              </w:rPr>
              <w:t>2</w:t>
            </w:r>
          </w:p>
        </w:tc>
        <w:tc>
          <w:tcPr>
            <w:tcW w:w="7821" w:type="dxa"/>
            <w:tcBorders>
              <w:tl2br w:val="nil"/>
              <w:tr2bl w:val="nil"/>
            </w:tcBorders>
            <w:noWrap w:val="0"/>
            <w:vAlign w:val="center"/>
          </w:tcPr>
          <w:p w14:paraId="63FB3894">
            <w:pPr>
              <w:pStyle w:val="105"/>
              <w:bidi w:val="0"/>
              <w:rPr>
                <w:rFonts w:hint="default"/>
                <w:highlight w:val="none"/>
                <w:lang w:val="en-US" w:eastAsia="zh-CN"/>
              </w:rPr>
            </w:pPr>
            <w:r>
              <w:rPr>
                <w:rFonts w:hint="eastAsia"/>
                <w:highlight w:val="none"/>
                <w:lang w:val="en-US" w:eastAsia="zh-CN"/>
              </w:rPr>
              <w:t>塔吊生产许可证、出厂合格证、使用说明书、设备 档案、运转及维修保养记录、安装方案、验收证书、检测检验报告。</w:t>
            </w:r>
          </w:p>
        </w:tc>
      </w:tr>
      <w:tr w14:paraId="0FFBB6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48175CB0">
            <w:pPr>
              <w:pStyle w:val="105"/>
              <w:bidi w:val="0"/>
              <w:rPr>
                <w:rFonts w:hint="default"/>
                <w:highlight w:val="none"/>
                <w:lang w:val="en-US" w:eastAsia="zh-CN"/>
              </w:rPr>
            </w:pPr>
            <w:r>
              <w:rPr>
                <w:rFonts w:hint="eastAsia"/>
                <w:highlight w:val="none"/>
                <w:lang w:val="en-US" w:eastAsia="zh-CN"/>
              </w:rPr>
              <w:t>3</w:t>
            </w:r>
          </w:p>
        </w:tc>
        <w:tc>
          <w:tcPr>
            <w:tcW w:w="7821" w:type="dxa"/>
            <w:tcBorders>
              <w:tl2br w:val="nil"/>
              <w:tr2bl w:val="nil"/>
            </w:tcBorders>
            <w:noWrap w:val="0"/>
            <w:vAlign w:val="center"/>
          </w:tcPr>
          <w:p w14:paraId="2AD4858C">
            <w:pPr>
              <w:pStyle w:val="105"/>
              <w:bidi w:val="0"/>
              <w:rPr>
                <w:rFonts w:hint="default"/>
                <w:highlight w:val="none"/>
                <w:lang w:val="en-US" w:eastAsia="zh-CN"/>
              </w:rPr>
            </w:pPr>
            <w:r>
              <w:rPr>
                <w:rFonts w:hint="eastAsia"/>
                <w:highlight w:val="none"/>
                <w:lang w:val="en-US" w:eastAsia="zh-CN"/>
              </w:rPr>
              <w:t>安装队伍资质证书、设备安拆人员、指挥人员、操作人员及其他特种作业人员的操作证和安全上岗证。</w:t>
            </w:r>
          </w:p>
        </w:tc>
      </w:tr>
      <w:tr w14:paraId="6B75BE4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6E072DFC">
            <w:pPr>
              <w:pStyle w:val="105"/>
              <w:bidi w:val="0"/>
              <w:rPr>
                <w:rFonts w:hint="default"/>
                <w:highlight w:val="none"/>
                <w:lang w:val="en-US" w:eastAsia="zh-CN"/>
              </w:rPr>
            </w:pPr>
            <w:r>
              <w:rPr>
                <w:rFonts w:hint="eastAsia"/>
                <w:highlight w:val="none"/>
                <w:lang w:val="en-US" w:eastAsia="zh-CN"/>
              </w:rPr>
              <w:t>4</w:t>
            </w:r>
          </w:p>
        </w:tc>
        <w:tc>
          <w:tcPr>
            <w:tcW w:w="7821" w:type="dxa"/>
            <w:tcBorders>
              <w:tl2br w:val="nil"/>
              <w:tr2bl w:val="nil"/>
            </w:tcBorders>
            <w:noWrap w:val="0"/>
            <w:vAlign w:val="center"/>
          </w:tcPr>
          <w:p w14:paraId="1E456B82">
            <w:pPr>
              <w:pStyle w:val="105"/>
              <w:bidi w:val="0"/>
              <w:rPr>
                <w:rFonts w:hint="default"/>
                <w:highlight w:val="none"/>
                <w:lang w:val="en-US" w:eastAsia="zh-CN"/>
              </w:rPr>
            </w:pPr>
            <w:r>
              <w:rPr>
                <w:rFonts w:hint="eastAsia"/>
                <w:highlight w:val="none"/>
                <w:lang w:val="en-US" w:eastAsia="zh-CN"/>
              </w:rPr>
              <w:t>塔吊处悬挂限载标志牌、安全警示牌、操作规程牌、验收合格牌、定人定机牌。</w:t>
            </w:r>
          </w:p>
        </w:tc>
      </w:tr>
      <w:tr w14:paraId="10332A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095D2F60">
            <w:pPr>
              <w:pStyle w:val="105"/>
              <w:bidi w:val="0"/>
              <w:rPr>
                <w:rFonts w:hint="eastAsia"/>
                <w:highlight w:val="none"/>
                <w:lang w:val="en-US" w:eastAsia="zh-CN"/>
              </w:rPr>
            </w:pPr>
            <w:r>
              <w:rPr>
                <w:rFonts w:hint="eastAsia"/>
                <w:highlight w:val="none"/>
                <w:lang w:val="en-US" w:eastAsia="zh-CN"/>
              </w:rPr>
              <w:t>5</w:t>
            </w:r>
          </w:p>
        </w:tc>
        <w:tc>
          <w:tcPr>
            <w:tcW w:w="7821" w:type="dxa"/>
            <w:tcBorders>
              <w:tl2br w:val="nil"/>
              <w:tr2bl w:val="nil"/>
            </w:tcBorders>
            <w:noWrap w:val="0"/>
            <w:vAlign w:val="center"/>
          </w:tcPr>
          <w:p w14:paraId="1593D1B0">
            <w:pPr>
              <w:pStyle w:val="105"/>
              <w:bidi w:val="0"/>
              <w:rPr>
                <w:rFonts w:hint="eastAsia"/>
                <w:highlight w:val="none"/>
                <w:lang w:val="en-US" w:eastAsia="zh-CN"/>
              </w:rPr>
            </w:pPr>
            <w:r>
              <w:rPr>
                <w:rFonts w:hint="eastAsia"/>
                <w:highlight w:val="none"/>
                <w:lang w:val="en-US" w:eastAsia="zh-CN"/>
              </w:rPr>
              <w:t>起重吊装及起重机械设备、设施安装，过程中各工序、节点的验收标准和验收条件</w:t>
            </w:r>
          </w:p>
        </w:tc>
      </w:tr>
      <w:tr w14:paraId="392B512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2256405B">
            <w:pPr>
              <w:pStyle w:val="105"/>
              <w:bidi w:val="0"/>
              <w:rPr>
                <w:rFonts w:hint="default"/>
                <w:highlight w:val="none"/>
                <w:lang w:val="en-US" w:eastAsia="zh-CN"/>
              </w:rPr>
            </w:pPr>
            <w:r>
              <w:rPr>
                <w:rFonts w:hint="eastAsia"/>
                <w:highlight w:val="none"/>
                <w:lang w:val="en-US" w:eastAsia="zh-CN"/>
              </w:rPr>
              <w:t>6</w:t>
            </w:r>
          </w:p>
        </w:tc>
        <w:tc>
          <w:tcPr>
            <w:tcW w:w="7821" w:type="dxa"/>
            <w:tcBorders>
              <w:tl2br w:val="nil"/>
              <w:tr2bl w:val="nil"/>
            </w:tcBorders>
            <w:noWrap w:val="0"/>
            <w:vAlign w:val="center"/>
          </w:tcPr>
          <w:p w14:paraId="3E77B42C">
            <w:pPr>
              <w:pStyle w:val="105"/>
              <w:bidi w:val="0"/>
              <w:rPr>
                <w:rFonts w:hint="eastAsia"/>
                <w:highlight w:val="none"/>
                <w:lang w:val="en-US" w:eastAsia="zh-CN"/>
              </w:rPr>
            </w:pPr>
            <w:r>
              <w:rPr>
                <w:rFonts w:hint="eastAsia"/>
                <w:highlight w:val="none"/>
                <w:lang w:val="en-US" w:eastAsia="zh-CN"/>
              </w:rPr>
              <w:t>进场材料、机械设备、设施验收标准及验收表</w:t>
            </w:r>
          </w:p>
        </w:tc>
      </w:tr>
      <w:tr w14:paraId="0E7DE83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3C025A0E">
            <w:pPr>
              <w:pStyle w:val="105"/>
              <w:bidi w:val="0"/>
              <w:rPr>
                <w:rFonts w:hint="default"/>
                <w:highlight w:val="none"/>
                <w:lang w:val="en-US" w:eastAsia="zh-CN"/>
              </w:rPr>
            </w:pPr>
            <w:r>
              <w:rPr>
                <w:rFonts w:hint="eastAsia"/>
                <w:highlight w:val="none"/>
                <w:lang w:val="en-US" w:eastAsia="zh-CN"/>
              </w:rPr>
              <w:t>7</w:t>
            </w:r>
          </w:p>
        </w:tc>
        <w:tc>
          <w:tcPr>
            <w:tcW w:w="7821" w:type="dxa"/>
            <w:tcBorders>
              <w:tl2br w:val="nil"/>
              <w:tr2bl w:val="nil"/>
            </w:tcBorders>
            <w:noWrap w:val="0"/>
            <w:vAlign w:val="center"/>
          </w:tcPr>
          <w:p w14:paraId="2BF185DC">
            <w:pPr>
              <w:pStyle w:val="105"/>
              <w:bidi w:val="0"/>
              <w:rPr>
                <w:rFonts w:hint="default"/>
                <w:highlight w:val="none"/>
                <w:lang w:val="en-US" w:eastAsia="zh-CN"/>
              </w:rPr>
            </w:pPr>
            <w:r>
              <w:rPr>
                <w:rFonts w:hint="eastAsia"/>
                <w:highlight w:val="none"/>
                <w:lang w:val="en-US" w:eastAsia="zh-CN"/>
              </w:rPr>
              <w:t>吊装与拆卸作业全过程安全技术控制的关键环节验收</w:t>
            </w:r>
          </w:p>
        </w:tc>
      </w:tr>
      <w:tr w14:paraId="6A61068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5620E6ED">
            <w:pPr>
              <w:pStyle w:val="105"/>
              <w:bidi w:val="0"/>
              <w:rPr>
                <w:rFonts w:hint="default"/>
                <w:highlight w:val="none"/>
                <w:lang w:val="en-US" w:eastAsia="zh-CN"/>
              </w:rPr>
            </w:pPr>
            <w:r>
              <w:rPr>
                <w:rFonts w:hint="eastAsia"/>
                <w:highlight w:val="none"/>
                <w:lang w:val="en-US" w:eastAsia="zh-CN"/>
              </w:rPr>
              <w:t>8</w:t>
            </w:r>
          </w:p>
        </w:tc>
        <w:tc>
          <w:tcPr>
            <w:tcW w:w="7821" w:type="dxa"/>
            <w:tcBorders>
              <w:tl2br w:val="nil"/>
              <w:tr2bl w:val="nil"/>
            </w:tcBorders>
            <w:noWrap w:val="0"/>
            <w:vAlign w:val="center"/>
          </w:tcPr>
          <w:p w14:paraId="7B1B5CEC">
            <w:pPr>
              <w:pStyle w:val="105"/>
              <w:bidi w:val="0"/>
              <w:rPr>
                <w:rFonts w:hint="default"/>
                <w:highlight w:val="none"/>
                <w:lang w:val="en-US" w:eastAsia="zh-CN"/>
              </w:rPr>
            </w:pPr>
            <w:r>
              <w:rPr>
                <w:rFonts w:hint="eastAsia"/>
                <w:highlight w:val="none"/>
                <w:lang w:val="en-US" w:eastAsia="zh-CN"/>
              </w:rPr>
              <w:t>汽车吊摆放位置基础承载力满足要求</w:t>
            </w:r>
          </w:p>
        </w:tc>
      </w:tr>
      <w:tr w14:paraId="55C49CB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1F80A89D">
            <w:pPr>
              <w:pStyle w:val="105"/>
              <w:bidi w:val="0"/>
              <w:rPr>
                <w:rFonts w:hint="default"/>
                <w:highlight w:val="none"/>
                <w:lang w:val="en-US" w:eastAsia="zh-CN"/>
              </w:rPr>
            </w:pPr>
            <w:r>
              <w:rPr>
                <w:rFonts w:hint="eastAsia"/>
                <w:highlight w:val="none"/>
                <w:lang w:val="en-US" w:eastAsia="zh-CN"/>
              </w:rPr>
              <w:t>9</w:t>
            </w:r>
          </w:p>
        </w:tc>
        <w:tc>
          <w:tcPr>
            <w:tcW w:w="7821" w:type="dxa"/>
            <w:tcBorders>
              <w:tl2br w:val="nil"/>
              <w:tr2bl w:val="nil"/>
            </w:tcBorders>
            <w:noWrap w:val="0"/>
            <w:vAlign w:val="center"/>
          </w:tcPr>
          <w:p w14:paraId="2D660F46">
            <w:pPr>
              <w:pStyle w:val="105"/>
              <w:bidi w:val="0"/>
              <w:rPr>
                <w:rFonts w:hint="default"/>
                <w:highlight w:val="none"/>
                <w:lang w:val="en-US" w:eastAsia="zh-CN"/>
              </w:rPr>
            </w:pPr>
            <w:r>
              <w:rPr>
                <w:rFonts w:hint="eastAsia"/>
                <w:highlight w:val="none"/>
                <w:lang w:val="en-US" w:eastAsia="zh-CN"/>
              </w:rPr>
              <w:t>汽车吊起重性能满足要求</w:t>
            </w:r>
          </w:p>
        </w:tc>
      </w:tr>
      <w:tr w14:paraId="341DA39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2659F308">
            <w:pPr>
              <w:pStyle w:val="105"/>
              <w:bidi w:val="0"/>
              <w:rPr>
                <w:rFonts w:hint="default"/>
                <w:highlight w:val="none"/>
                <w:lang w:val="en-US" w:eastAsia="zh-CN"/>
              </w:rPr>
            </w:pPr>
            <w:r>
              <w:rPr>
                <w:rFonts w:hint="eastAsia"/>
                <w:highlight w:val="none"/>
                <w:lang w:val="en-US" w:eastAsia="zh-CN"/>
              </w:rPr>
              <w:t>10</w:t>
            </w:r>
          </w:p>
        </w:tc>
        <w:tc>
          <w:tcPr>
            <w:tcW w:w="7821" w:type="dxa"/>
            <w:tcBorders>
              <w:tl2br w:val="nil"/>
              <w:tr2bl w:val="nil"/>
            </w:tcBorders>
            <w:noWrap w:val="0"/>
            <w:vAlign w:val="center"/>
          </w:tcPr>
          <w:p w14:paraId="7E19B736">
            <w:pPr>
              <w:pStyle w:val="105"/>
              <w:bidi w:val="0"/>
              <w:rPr>
                <w:rFonts w:hint="default"/>
                <w:highlight w:val="none"/>
                <w:lang w:val="en-US" w:eastAsia="zh-CN"/>
              </w:rPr>
            </w:pPr>
            <w:r>
              <w:rPr>
                <w:rFonts w:hint="eastAsia"/>
                <w:highlight w:val="none"/>
                <w:lang w:val="en-US" w:eastAsia="zh-CN"/>
              </w:rPr>
              <w:t>吊、索、卡、具完好，被吊物重心已确认</w:t>
            </w:r>
          </w:p>
        </w:tc>
      </w:tr>
      <w:tr w14:paraId="7D8DE6A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56F2F29E">
            <w:pPr>
              <w:pStyle w:val="105"/>
              <w:bidi w:val="0"/>
              <w:rPr>
                <w:rFonts w:hint="default"/>
                <w:highlight w:val="none"/>
                <w:lang w:val="en-US" w:eastAsia="zh-CN"/>
              </w:rPr>
            </w:pPr>
            <w:r>
              <w:rPr>
                <w:rFonts w:hint="eastAsia"/>
                <w:highlight w:val="none"/>
                <w:lang w:val="en-US" w:eastAsia="zh-CN"/>
              </w:rPr>
              <w:t>11</w:t>
            </w:r>
          </w:p>
        </w:tc>
        <w:tc>
          <w:tcPr>
            <w:tcW w:w="7821" w:type="dxa"/>
            <w:tcBorders>
              <w:tl2br w:val="nil"/>
              <w:tr2bl w:val="nil"/>
            </w:tcBorders>
            <w:noWrap w:val="0"/>
            <w:vAlign w:val="center"/>
          </w:tcPr>
          <w:p w14:paraId="356304BD">
            <w:pPr>
              <w:pStyle w:val="105"/>
              <w:bidi w:val="0"/>
              <w:rPr>
                <w:rFonts w:hint="eastAsia"/>
                <w:highlight w:val="none"/>
                <w:lang w:val="en-US" w:eastAsia="zh-CN"/>
              </w:rPr>
            </w:pPr>
            <w:r>
              <w:rPr>
                <w:rFonts w:hint="eastAsia"/>
                <w:highlight w:val="none"/>
                <w:lang w:val="en-US" w:eastAsia="zh-CN"/>
              </w:rPr>
              <w:t>各结构件焊缝强度满足设计要求</w:t>
            </w:r>
          </w:p>
        </w:tc>
      </w:tr>
      <w:tr w14:paraId="00333CF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83" w:type="dxa"/>
            <w:tcBorders>
              <w:tl2br w:val="nil"/>
              <w:tr2bl w:val="nil"/>
            </w:tcBorders>
            <w:noWrap w:val="0"/>
            <w:vAlign w:val="center"/>
          </w:tcPr>
          <w:p w14:paraId="36D083E7">
            <w:pPr>
              <w:pStyle w:val="105"/>
              <w:bidi w:val="0"/>
              <w:rPr>
                <w:rFonts w:hint="default"/>
                <w:highlight w:val="none"/>
                <w:lang w:val="en-US" w:eastAsia="zh-CN"/>
              </w:rPr>
            </w:pPr>
            <w:r>
              <w:rPr>
                <w:rFonts w:hint="eastAsia"/>
                <w:highlight w:val="none"/>
                <w:lang w:val="en-US" w:eastAsia="zh-CN"/>
              </w:rPr>
              <w:t>12</w:t>
            </w:r>
          </w:p>
        </w:tc>
        <w:tc>
          <w:tcPr>
            <w:tcW w:w="7821" w:type="dxa"/>
            <w:tcBorders>
              <w:tl2br w:val="nil"/>
              <w:tr2bl w:val="nil"/>
            </w:tcBorders>
            <w:noWrap w:val="0"/>
            <w:vAlign w:val="center"/>
          </w:tcPr>
          <w:p w14:paraId="6C2FFA0E">
            <w:pPr>
              <w:pStyle w:val="105"/>
              <w:bidi w:val="0"/>
              <w:rPr>
                <w:rFonts w:hint="eastAsia"/>
                <w:highlight w:val="none"/>
                <w:lang w:val="en-US" w:eastAsia="zh-CN"/>
              </w:rPr>
            </w:pPr>
            <w:r>
              <w:rPr>
                <w:rFonts w:hint="eastAsia"/>
                <w:highlight w:val="none"/>
                <w:lang w:val="en-US" w:eastAsia="zh-CN"/>
              </w:rPr>
              <w:t>吊运轨迹正确，信号指挥方式确定</w:t>
            </w:r>
          </w:p>
        </w:tc>
      </w:tr>
    </w:tbl>
    <w:p w14:paraId="220C6F80">
      <w:pPr>
        <w:pStyle w:val="15"/>
        <w:bidi w:val="0"/>
        <w:rPr>
          <w:rFonts w:hint="default"/>
          <w:highlight w:val="none"/>
          <w:lang w:val="en-US" w:eastAsia="zh-CN"/>
        </w:rPr>
      </w:pPr>
      <w:r>
        <w:rPr>
          <w:rFonts w:hint="eastAsia"/>
          <w:highlight w:val="none"/>
          <w:lang w:val="en-US" w:eastAsia="zh-CN"/>
        </w:rPr>
        <w:t>表8.3-2</w:t>
      </w:r>
      <w:r>
        <w:rPr>
          <w:rFonts w:hint="default"/>
          <w:highlight w:val="none"/>
          <w:lang w:val="en-US" w:eastAsia="zh-CN"/>
        </w:rPr>
        <w:t>塔式起重机基础整体验收表</w:t>
      </w:r>
    </w:p>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697"/>
        <w:gridCol w:w="6160"/>
        <w:gridCol w:w="1647"/>
      </w:tblGrid>
      <w:tr w14:paraId="1AFCF88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shd w:val="clear" w:color="auto" w:fill="DAE3F3" w:themeFill="accent5" w:themeFillTint="32"/>
            <w:noWrap w:val="0"/>
            <w:vAlign w:val="center"/>
          </w:tcPr>
          <w:p w14:paraId="6B954C1A">
            <w:pPr>
              <w:pStyle w:val="105"/>
              <w:bidi w:val="0"/>
              <w:rPr>
                <w:rFonts w:hint="default"/>
                <w:highlight w:val="none"/>
                <w:lang w:val="en-US" w:eastAsia="zh-CN"/>
              </w:rPr>
            </w:pPr>
            <w:r>
              <w:rPr>
                <w:rFonts w:hint="default"/>
                <w:highlight w:val="none"/>
                <w:lang w:val="en-US" w:eastAsia="zh-CN"/>
              </w:rPr>
              <w:t>序号</w:t>
            </w:r>
          </w:p>
        </w:tc>
        <w:tc>
          <w:tcPr>
            <w:tcW w:w="6160" w:type="dxa"/>
            <w:tcBorders>
              <w:tl2br w:val="nil"/>
              <w:tr2bl w:val="nil"/>
            </w:tcBorders>
            <w:shd w:val="clear" w:color="auto" w:fill="DAE3F3" w:themeFill="accent5" w:themeFillTint="32"/>
            <w:noWrap w:val="0"/>
            <w:vAlign w:val="center"/>
          </w:tcPr>
          <w:p w14:paraId="202DB14C">
            <w:pPr>
              <w:pStyle w:val="105"/>
              <w:bidi w:val="0"/>
              <w:rPr>
                <w:rFonts w:hint="default"/>
                <w:highlight w:val="none"/>
                <w:lang w:val="en-US" w:eastAsia="zh-CN"/>
              </w:rPr>
            </w:pPr>
            <w:r>
              <w:rPr>
                <w:rFonts w:hint="default"/>
                <w:highlight w:val="none"/>
                <w:lang w:val="en-US" w:eastAsia="zh-CN"/>
              </w:rPr>
              <w:t>安全技术要求</w:t>
            </w:r>
          </w:p>
        </w:tc>
        <w:tc>
          <w:tcPr>
            <w:tcW w:w="1647" w:type="dxa"/>
            <w:tcBorders>
              <w:tl2br w:val="nil"/>
              <w:tr2bl w:val="nil"/>
            </w:tcBorders>
            <w:shd w:val="clear" w:color="auto" w:fill="DAE3F3" w:themeFill="accent5" w:themeFillTint="32"/>
            <w:noWrap w:val="0"/>
            <w:vAlign w:val="center"/>
          </w:tcPr>
          <w:p w14:paraId="247CC425">
            <w:pPr>
              <w:pStyle w:val="105"/>
              <w:bidi w:val="0"/>
              <w:rPr>
                <w:rFonts w:hint="default"/>
                <w:highlight w:val="none"/>
                <w:lang w:val="en-US" w:eastAsia="zh-CN"/>
              </w:rPr>
            </w:pPr>
            <w:r>
              <w:rPr>
                <w:rFonts w:hint="default"/>
                <w:highlight w:val="none"/>
                <w:lang w:val="en-US" w:eastAsia="zh-CN"/>
              </w:rPr>
              <w:t>验收结果</w:t>
            </w:r>
          </w:p>
        </w:tc>
      </w:tr>
      <w:tr w14:paraId="458B593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607E5043">
            <w:pPr>
              <w:pStyle w:val="105"/>
              <w:bidi w:val="0"/>
              <w:rPr>
                <w:rFonts w:hint="default"/>
                <w:highlight w:val="none"/>
                <w:lang w:val="en-US" w:eastAsia="zh-CN"/>
              </w:rPr>
            </w:pPr>
            <w:r>
              <w:rPr>
                <w:rFonts w:hint="default"/>
                <w:highlight w:val="none"/>
                <w:lang w:val="en-US" w:eastAsia="zh-CN"/>
              </w:rPr>
              <w:t>1</w:t>
            </w:r>
          </w:p>
        </w:tc>
        <w:tc>
          <w:tcPr>
            <w:tcW w:w="6160" w:type="dxa"/>
            <w:tcBorders>
              <w:tl2br w:val="nil"/>
              <w:tr2bl w:val="nil"/>
            </w:tcBorders>
            <w:noWrap w:val="0"/>
            <w:vAlign w:val="center"/>
          </w:tcPr>
          <w:p w14:paraId="7D5713DA">
            <w:pPr>
              <w:pStyle w:val="105"/>
              <w:bidi w:val="0"/>
              <w:rPr>
                <w:rFonts w:hint="default"/>
                <w:highlight w:val="none"/>
                <w:lang w:val="en-US" w:eastAsia="zh-CN"/>
              </w:rPr>
            </w:pPr>
            <w:r>
              <w:rPr>
                <w:rFonts w:hint="default"/>
                <w:highlight w:val="none"/>
                <w:lang w:val="en-US" w:eastAsia="zh-CN"/>
              </w:rPr>
              <w:t>地基承载力应满足说明书要求，基础原材料符合相关标准要求，并做材料性能检验及隐蔽工程验收。</w:t>
            </w:r>
          </w:p>
        </w:tc>
        <w:tc>
          <w:tcPr>
            <w:tcW w:w="1647" w:type="dxa"/>
            <w:tcBorders>
              <w:tl2br w:val="nil"/>
              <w:tr2bl w:val="nil"/>
            </w:tcBorders>
            <w:noWrap w:val="0"/>
            <w:vAlign w:val="center"/>
          </w:tcPr>
          <w:p w14:paraId="1DDA75C0">
            <w:pPr>
              <w:pStyle w:val="105"/>
              <w:bidi w:val="0"/>
              <w:rPr>
                <w:rFonts w:hint="default"/>
                <w:highlight w:val="none"/>
                <w:lang w:val="en-US" w:eastAsia="zh-CN"/>
              </w:rPr>
            </w:pPr>
          </w:p>
        </w:tc>
      </w:tr>
      <w:tr w14:paraId="5AAC008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28EB1F61">
            <w:pPr>
              <w:pStyle w:val="105"/>
              <w:bidi w:val="0"/>
              <w:rPr>
                <w:rFonts w:hint="default"/>
                <w:highlight w:val="none"/>
                <w:lang w:val="en-US" w:eastAsia="zh-CN"/>
              </w:rPr>
            </w:pPr>
            <w:r>
              <w:rPr>
                <w:rFonts w:hint="default"/>
                <w:highlight w:val="none"/>
                <w:lang w:val="en-US" w:eastAsia="zh-CN"/>
              </w:rPr>
              <w:t>2</w:t>
            </w:r>
          </w:p>
        </w:tc>
        <w:tc>
          <w:tcPr>
            <w:tcW w:w="6160" w:type="dxa"/>
            <w:tcBorders>
              <w:tl2br w:val="nil"/>
              <w:tr2bl w:val="nil"/>
            </w:tcBorders>
            <w:noWrap w:val="0"/>
            <w:vAlign w:val="center"/>
          </w:tcPr>
          <w:p w14:paraId="6257C024">
            <w:pPr>
              <w:pStyle w:val="105"/>
              <w:bidi w:val="0"/>
              <w:rPr>
                <w:rFonts w:hint="default"/>
                <w:highlight w:val="none"/>
                <w:lang w:val="en-US" w:eastAsia="zh-CN"/>
              </w:rPr>
            </w:pPr>
            <w:r>
              <w:rPr>
                <w:rFonts w:hint="default"/>
                <w:highlight w:val="none"/>
                <w:lang w:val="en-US" w:eastAsia="zh-CN"/>
              </w:rPr>
              <w:t>基础尺寸偏差（长度、宽度、高度）≤±20mm。</w:t>
            </w:r>
          </w:p>
        </w:tc>
        <w:tc>
          <w:tcPr>
            <w:tcW w:w="1647" w:type="dxa"/>
            <w:tcBorders>
              <w:tl2br w:val="nil"/>
              <w:tr2bl w:val="nil"/>
            </w:tcBorders>
            <w:noWrap w:val="0"/>
            <w:vAlign w:val="center"/>
          </w:tcPr>
          <w:p w14:paraId="33C30881">
            <w:pPr>
              <w:pStyle w:val="105"/>
              <w:bidi w:val="0"/>
              <w:rPr>
                <w:rFonts w:hint="default"/>
                <w:highlight w:val="none"/>
                <w:lang w:val="en-US" w:eastAsia="zh-CN"/>
              </w:rPr>
            </w:pPr>
          </w:p>
        </w:tc>
      </w:tr>
      <w:tr w14:paraId="2F1A40E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12172440">
            <w:pPr>
              <w:pStyle w:val="105"/>
              <w:bidi w:val="0"/>
              <w:rPr>
                <w:rFonts w:hint="default"/>
                <w:highlight w:val="none"/>
                <w:lang w:val="en-US" w:eastAsia="zh-CN"/>
              </w:rPr>
            </w:pPr>
            <w:r>
              <w:rPr>
                <w:rFonts w:hint="default"/>
                <w:highlight w:val="none"/>
                <w:lang w:val="en-US" w:eastAsia="zh-CN"/>
              </w:rPr>
              <w:t>3</w:t>
            </w:r>
          </w:p>
        </w:tc>
        <w:tc>
          <w:tcPr>
            <w:tcW w:w="6160" w:type="dxa"/>
            <w:tcBorders>
              <w:tl2br w:val="nil"/>
              <w:tr2bl w:val="nil"/>
            </w:tcBorders>
            <w:noWrap w:val="0"/>
            <w:vAlign w:val="center"/>
          </w:tcPr>
          <w:p w14:paraId="338F2AFA">
            <w:pPr>
              <w:pStyle w:val="105"/>
              <w:bidi w:val="0"/>
              <w:rPr>
                <w:rFonts w:hint="default"/>
                <w:highlight w:val="none"/>
                <w:lang w:val="en-US" w:eastAsia="zh-CN"/>
              </w:rPr>
            </w:pPr>
            <w:r>
              <w:rPr>
                <w:rFonts w:hint="default"/>
                <w:highlight w:val="none"/>
                <w:lang w:val="en-US" w:eastAsia="zh-CN"/>
              </w:rPr>
              <w:t>混凝土强度达到设计强度80%以上时方可安装、达到设计强度100%以上时方可使用塔式起重机（查验基础混凝土同期强度报告确定）</w:t>
            </w:r>
          </w:p>
        </w:tc>
        <w:tc>
          <w:tcPr>
            <w:tcW w:w="1647" w:type="dxa"/>
            <w:tcBorders>
              <w:tl2br w:val="nil"/>
              <w:tr2bl w:val="nil"/>
            </w:tcBorders>
            <w:noWrap w:val="0"/>
            <w:vAlign w:val="center"/>
          </w:tcPr>
          <w:p w14:paraId="2AAA70F1">
            <w:pPr>
              <w:pStyle w:val="105"/>
              <w:bidi w:val="0"/>
              <w:rPr>
                <w:rFonts w:hint="default"/>
                <w:highlight w:val="none"/>
                <w:lang w:val="en-US" w:eastAsia="zh-CN"/>
              </w:rPr>
            </w:pPr>
          </w:p>
        </w:tc>
      </w:tr>
      <w:tr w14:paraId="154CCBF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76A3E127">
            <w:pPr>
              <w:pStyle w:val="105"/>
              <w:bidi w:val="0"/>
              <w:rPr>
                <w:rFonts w:hint="default"/>
                <w:highlight w:val="none"/>
                <w:lang w:val="en-US" w:eastAsia="zh-CN"/>
              </w:rPr>
            </w:pPr>
            <w:r>
              <w:rPr>
                <w:rFonts w:hint="default"/>
                <w:highlight w:val="none"/>
                <w:lang w:val="en-US" w:eastAsia="zh-CN"/>
              </w:rPr>
              <w:t>4</w:t>
            </w:r>
          </w:p>
        </w:tc>
        <w:tc>
          <w:tcPr>
            <w:tcW w:w="6160" w:type="dxa"/>
            <w:tcBorders>
              <w:tl2br w:val="nil"/>
              <w:tr2bl w:val="nil"/>
            </w:tcBorders>
            <w:noWrap w:val="0"/>
            <w:vAlign w:val="center"/>
          </w:tcPr>
          <w:p w14:paraId="69548AE6">
            <w:pPr>
              <w:pStyle w:val="105"/>
              <w:bidi w:val="0"/>
              <w:rPr>
                <w:rFonts w:hint="default"/>
                <w:highlight w:val="none"/>
                <w:lang w:val="en-US" w:eastAsia="zh-CN"/>
              </w:rPr>
            </w:pPr>
            <w:r>
              <w:rPr>
                <w:rFonts w:hint="default"/>
                <w:highlight w:val="none"/>
                <w:lang w:val="en-US" w:eastAsia="zh-CN"/>
              </w:rPr>
              <w:t>基础表面平整度允许偏差≤L/1000mm，且≤10mm（L为矩形或十字形基础的长边）。</w:t>
            </w:r>
          </w:p>
        </w:tc>
        <w:tc>
          <w:tcPr>
            <w:tcW w:w="1647" w:type="dxa"/>
            <w:tcBorders>
              <w:tl2br w:val="nil"/>
              <w:tr2bl w:val="nil"/>
            </w:tcBorders>
            <w:noWrap w:val="0"/>
            <w:vAlign w:val="center"/>
          </w:tcPr>
          <w:p w14:paraId="30450DB5">
            <w:pPr>
              <w:pStyle w:val="105"/>
              <w:bidi w:val="0"/>
              <w:rPr>
                <w:rFonts w:hint="default"/>
                <w:highlight w:val="none"/>
                <w:lang w:val="en-US" w:eastAsia="zh-CN"/>
              </w:rPr>
            </w:pPr>
          </w:p>
        </w:tc>
      </w:tr>
      <w:tr w14:paraId="24F3805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245A554B">
            <w:pPr>
              <w:pStyle w:val="105"/>
              <w:bidi w:val="0"/>
              <w:rPr>
                <w:rFonts w:hint="default"/>
                <w:highlight w:val="none"/>
                <w:lang w:val="en-US" w:eastAsia="zh-CN"/>
              </w:rPr>
            </w:pPr>
            <w:r>
              <w:rPr>
                <w:rFonts w:hint="default"/>
                <w:highlight w:val="none"/>
                <w:lang w:val="en-US" w:eastAsia="zh-CN"/>
              </w:rPr>
              <w:t>5</w:t>
            </w:r>
          </w:p>
        </w:tc>
        <w:tc>
          <w:tcPr>
            <w:tcW w:w="6160" w:type="dxa"/>
            <w:tcBorders>
              <w:tl2br w:val="nil"/>
              <w:tr2bl w:val="nil"/>
            </w:tcBorders>
            <w:noWrap w:val="0"/>
            <w:vAlign w:val="center"/>
          </w:tcPr>
          <w:p w14:paraId="3111C412">
            <w:pPr>
              <w:pStyle w:val="105"/>
              <w:bidi w:val="0"/>
              <w:rPr>
                <w:rFonts w:hint="default"/>
                <w:highlight w:val="none"/>
                <w:lang w:val="en-US" w:eastAsia="zh-CN"/>
              </w:rPr>
            </w:pPr>
            <w:r>
              <w:rPr>
                <w:rFonts w:hint="default"/>
                <w:highlight w:val="none"/>
                <w:lang w:val="en-US" w:eastAsia="zh-CN"/>
              </w:rPr>
              <w:t>基础顶面标高偏差≤±20mm。</w:t>
            </w:r>
          </w:p>
        </w:tc>
        <w:tc>
          <w:tcPr>
            <w:tcW w:w="1647" w:type="dxa"/>
            <w:tcBorders>
              <w:tl2br w:val="nil"/>
              <w:tr2bl w:val="nil"/>
            </w:tcBorders>
            <w:noWrap w:val="0"/>
            <w:vAlign w:val="center"/>
          </w:tcPr>
          <w:p w14:paraId="10E264DA">
            <w:pPr>
              <w:pStyle w:val="105"/>
              <w:bidi w:val="0"/>
              <w:rPr>
                <w:rFonts w:hint="default"/>
                <w:highlight w:val="none"/>
                <w:lang w:val="en-US" w:eastAsia="zh-CN"/>
              </w:rPr>
            </w:pPr>
          </w:p>
        </w:tc>
      </w:tr>
      <w:tr w14:paraId="78C186E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0E2D525E">
            <w:pPr>
              <w:pStyle w:val="105"/>
              <w:bidi w:val="0"/>
              <w:rPr>
                <w:rFonts w:hint="default"/>
                <w:highlight w:val="none"/>
                <w:lang w:val="en-US" w:eastAsia="zh-CN"/>
              </w:rPr>
            </w:pPr>
            <w:r>
              <w:rPr>
                <w:rFonts w:hint="default"/>
                <w:highlight w:val="none"/>
                <w:lang w:val="en-US" w:eastAsia="zh-CN"/>
              </w:rPr>
              <w:t>6</w:t>
            </w:r>
          </w:p>
        </w:tc>
        <w:tc>
          <w:tcPr>
            <w:tcW w:w="6160" w:type="dxa"/>
            <w:tcBorders>
              <w:tl2br w:val="nil"/>
              <w:tr2bl w:val="nil"/>
            </w:tcBorders>
            <w:noWrap w:val="0"/>
            <w:vAlign w:val="center"/>
          </w:tcPr>
          <w:p w14:paraId="2A5EA75B">
            <w:pPr>
              <w:pStyle w:val="105"/>
              <w:bidi w:val="0"/>
              <w:rPr>
                <w:rFonts w:hint="default"/>
                <w:highlight w:val="none"/>
                <w:lang w:val="en-US" w:eastAsia="zh-CN"/>
              </w:rPr>
            </w:pPr>
            <w:r>
              <w:rPr>
                <w:rFonts w:hint="default"/>
                <w:highlight w:val="none"/>
                <w:lang w:val="en-US" w:eastAsia="zh-CN"/>
              </w:rPr>
              <w:t>预埋螺栓、预埋件顶部标高偏差≤±20mm。</w:t>
            </w:r>
          </w:p>
        </w:tc>
        <w:tc>
          <w:tcPr>
            <w:tcW w:w="1647" w:type="dxa"/>
            <w:tcBorders>
              <w:tl2br w:val="nil"/>
              <w:tr2bl w:val="nil"/>
            </w:tcBorders>
            <w:noWrap w:val="0"/>
            <w:vAlign w:val="center"/>
          </w:tcPr>
          <w:p w14:paraId="091B3B1E">
            <w:pPr>
              <w:pStyle w:val="105"/>
              <w:bidi w:val="0"/>
              <w:rPr>
                <w:rFonts w:hint="default"/>
                <w:highlight w:val="none"/>
                <w:lang w:val="en-US" w:eastAsia="zh-CN"/>
              </w:rPr>
            </w:pPr>
          </w:p>
        </w:tc>
      </w:tr>
      <w:tr w14:paraId="2F7332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07C4BC33">
            <w:pPr>
              <w:pStyle w:val="105"/>
              <w:bidi w:val="0"/>
              <w:rPr>
                <w:rFonts w:hint="default"/>
                <w:highlight w:val="none"/>
                <w:lang w:val="en-US" w:eastAsia="zh-CN"/>
              </w:rPr>
            </w:pPr>
            <w:r>
              <w:rPr>
                <w:rFonts w:hint="default"/>
                <w:highlight w:val="none"/>
                <w:lang w:val="en-US" w:eastAsia="zh-CN"/>
              </w:rPr>
              <w:t>7</w:t>
            </w:r>
          </w:p>
        </w:tc>
        <w:tc>
          <w:tcPr>
            <w:tcW w:w="6160" w:type="dxa"/>
            <w:tcBorders>
              <w:tl2br w:val="nil"/>
              <w:tr2bl w:val="nil"/>
            </w:tcBorders>
            <w:noWrap w:val="0"/>
            <w:vAlign w:val="center"/>
          </w:tcPr>
          <w:p w14:paraId="6E8C71D7">
            <w:pPr>
              <w:pStyle w:val="105"/>
              <w:bidi w:val="0"/>
              <w:rPr>
                <w:rFonts w:hint="default"/>
                <w:highlight w:val="none"/>
                <w:lang w:val="en-US" w:eastAsia="zh-CN"/>
              </w:rPr>
            </w:pPr>
            <w:r>
              <w:rPr>
                <w:rFonts w:hint="default"/>
                <w:highlight w:val="none"/>
                <w:lang w:val="en-US" w:eastAsia="zh-CN"/>
              </w:rPr>
              <w:t>预埋螺栓、预埋件中心距偏差≤±2mm。</w:t>
            </w:r>
          </w:p>
        </w:tc>
        <w:tc>
          <w:tcPr>
            <w:tcW w:w="1647" w:type="dxa"/>
            <w:tcBorders>
              <w:tl2br w:val="nil"/>
              <w:tr2bl w:val="nil"/>
            </w:tcBorders>
            <w:noWrap w:val="0"/>
            <w:vAlign w:val="center"/>
          </w:tcPr>
          <w:p w14:paraId="73FB11A6">
            <w:pPr>
              <w:pStyle w:val="105"/>
              <w:bidi w:val="0"/>
              <w:rPr>
                <w:rFonts w:hint="default"/>
                <w:highlight w:val="none"/>
                <w:lang w:val="en-US" w:eastAsia="zh-CN"/>
              </w:rPr>
            </w:pPr>
          </w:p>
        </w:tc>
      </w:tr>
      <w:tr w14:paraId="0F5331A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7D07DA31">
            <w:pPr>
              <w:pStyle w:val="105"/>
              <w:bidi w:val="0"/>
              <w:rPr>
                <w:rFonts w:hint="default"/>
                <w:highlight w:val="none"/>
                <w:lang w:val="en-US" w:eastAsia="zh-CN"/>
              </w:rPr>
            </w:pPr>
            <w:r>
              <w:rPr>
                <w:rFonts w:hint="default"/>
                <w:highlight w:val="none"/>
                <w:lang w:val="en-US" w:eastAsia="zh-CN"/>
              </w:rPr>
              <w:t>8</w:t>
            </w:r>
          </w:p>
        </w:tc>
        <w:tc>
          <w:tcPr>
            <w:tcW w:w="6160" w:type="dxa"/>
            <w:tcBorders>
              <w:tl2br w:val="nil"/>
              <w:tr2bl w:val="nil"/>
            </w:tcBorders>
            <w:noWrap w:val="0"/>
            <w:vAlign w:val="center"/>
          </w:tcPr>
          <w:p w14:paraId="2AADA52A">
            <w:pPr>
              <w:pStyle w:val="105"/>
              <w:bidi w:val="0"/>
              <w:rPr>
                <w:rFonts w:hint="default"/>
                <w:highlight w:val="none"/>
                <w:lang w:val="en-US" w:eastAsia="zh-CN"/>
              </w:rPr>
            </w:pPr>
            <w:r>
              <w:rPr>
                <w:rFonts w:hint="default"/>
                <w:highlight w:val="none"/>
                <w:lang w:val="en-US" w:eastAsia="zh-CN"/>
              </w:rPr>
              <w:t>基础周边有排水措施。</w:t>
            </w:r>
          </w:p>
        </w:tc>
        <w:tc>
          <w:tcPr>
            <w:tcW w:w="1647" w:type="dxa"/>
            <w:tcBorders>
              <w:tl2br w:val="nil"/>
              <w:tr2bl w:val="nil"/>
            </w:tcBorders>
            <w:noWrap w:val="0"/>
            <w:vAlign w:val="center"/>
          </w:tcPr>
          <w:p w14:paraId="039994BD">
            <w:pPr>
              <w:pStyle w:val="105"/>
              <w:bidi w:val="0"/>
              <w:rPr>
                <w:rFonts w:hint="default"/>
                <w:highlight w:val="none"/>
                <w:lang w:val="en-US" w:eastAsia="zh-CN"/>
              </w:rPr>
            </w:pPr>
          </w:p>
        </w:tc>
      </w:tr>
      <w:tr w14:paraId="7B1DBAA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697" w:type="dxa"/>
            <w:tcBorders>
              <w:tl2br w:val="nil"/>
              <w:tr2bl w:val="nil"/>
            </w:tcBorders>
            <w:noWrap w:val="0"/>
            <w:vAlign w:val="center"/>
          </w:tcPr>
          <w:p w14:paraId="6870C35C">
            <w:pPr>
              <w:pStyle w:val="105"/>
              <w:bidi w:val="0"/>
              <w:rPr>
                <w:rFonts w:hint="default"/>
                <w:highlight w:val="none"/>
                <w:lang w:val="en-US" w:eastAsia="zh-CN"/>
              </w:rPr>
            </w:pPr>
            <w:r>
              <w:rPr>
                <w:rFonts w:hint="default"/>
                <w:highlight w:val="none"/>
                <w:lang w:val="en-US" w:eastAsia="zh-CN"/>
              </w:rPr>
              <w:t>9</w:t>
            </w:r>
          </w:p>
        </w:tc>
        <w:tc>
          <w:tcPr>
            <w:tcW w:w="6160" w:type="dxa"/>
            <w:tcBorders>
              <w:tl2br w:val="nil"/>
              <w:tr2bl w:val="nil"/>
            </w:tcBorders>
            <w:noWrap w:val="0"/>
            <w:vAlign w:val="center"/>
          </w:tcPr>
          <w:p w14:paraId="380EA78C">
            <w:pPr>
              <w:pStyle w:val="105"/>
              <w:bidi w:val="0"/>
              <w:rPr>
                <w:rFonts w:hint="default"/>
                <w:highlight w:val="none"/>
                <w:lang w:val="en-US" w:eastAsia="zh-CN"/>
              </w:rPr>
            </w:pPr>
            <w:r>
              <w:rPr>
                <w:rFonts w:hint="default"/>
                <w:highlight w:val="none"/>
                <w:lang w:val="en-US" w:eastAsia="zh-CN"/>
              </w:rPr>
              <w:t>基础周边与外电线路安全距离符合JGJ46—2005规定。</w:t>
            </w:r>
          </w:p>
        </w:tc>
        <w:tc>
          <w:tcPr>
            <w:tcW w:w="1647" w:type="dxa"/>
            <w:tcBorders>
              <w:tl2br w:val="nil"/>
              <w:tr2bl w:val="nil"/>
            </w:tcBorders>
            <w:noWrap w:val="0"/>
            <w:vAlign w:val="center"/>
          </w:tcPr>
          <w:p w14:paraId="18DE7705">
            <w:pPr>
              <w:pStyle w:val="105"/>
              <w:bidi w:val="0"/>
              <w:rPr>
                <w:rFonts w:hint="default"/>
                <w:highlight w:val="none"/>
                <w:lang w:val="en-US" w:eastAsia="zh-CN"/>
              </w:rPr>
            </w:pPr>
          </w:p>
        </w:tc>
      </w:tr>
    </w:tbl>
    <w:p w14:paraId="17A14562">
      <w:pPr>
        <w:pStyle w:val="41"/>
        <w:bidi w:val="0"/>
        <w:rPr>
          <w:rFonts w:hint="default"/>
          <w:highlight w:val="none"/>
          <w:lang w:val="en-US" w:eastAsia="zh-CN"/>
        </w:rPr>
      </w:pPr>
      <w:bookmarkStart w:id="373" w:name="_Toc360722866"/>
      <w:r>
        <w:rPr>
          <w:highlight w:val="none"/>
        </w:rPr>
        <w:t>表</w:t>
      </w:r>
      <w:r>
        <w:rPr>
          <w:rFonts w:hint="eastAsia"/>
          <w:highlight w:val="none"/>
          <w:lang w:val="en-US" w:eastAsia="zh-CN"/>
        </w:rPr>
        <w:t>8.3-3</w:t>
      </w:r>
      <w:r>
        <w:rPr>
          <w:rFonts w:hint="default"/>
          <w:highlight w:val="none"/>
          <w:lang w:val="en-US" w:eastAsia="zh-CN"/>
        </w:rPr>
        <w:t>塔式起重机安装整体验收表</w:t>
      </w:r>
    </w:p>
    <w:bookmarkEnd w:id="373"/>
    <w:tbl>
      <w:tblPr>
        <w:tblStyle w:val="30"/>
        <w:tblW w:w="0" w:type="auto"/>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fixed"/>
        <w:tblCellMar>
          <w:top w:w="0" w:type="dxa"/>
          <w:left w:w="108" w:type="dxa"/>
          <w:bottom w:w="0" w:type="dxa"/>
          <w:right w:w="108" w:type="dxa"/>
        </w:tblCellMar>
      </w:tblPr>
      <w:tblGrid>
        <w:gridCol w:w="721"/>
        <w:gridCol w:w="513"/>
        <w:gridCol w:w="6041"/>
        <w:gridCol w:w="1229"/>
      </w:tblGrid>
      <w:tr w14:paraId="1B91D51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721" w:type="dxa"/>
            <w:tcBorders>
              <w:tl2br w:val="nil"/>
              <w:tr2bl w:val="nil"/>
            </w:tcBorders>
            <w:shd w:val="clear" w:color="auto" w:fill="DAE3F3" w:themeFill="accent5" w:themeFillTint="32"/>
            <w:noWrap w:val="0"/>
            <w:vAlign w:val="center"/>
          </w:tcPr>
          <w:p w14:paraId="002F6276">
            <w:pPr>
              <w:pStyle w:val="105"/>
              <w:bidi w:val="0"/>
              <w:rPr>
                <w:rFonts w:hint="default"/>
                <w:highlight w:val="none"/>
                <w:lang w:val="en-US" w:eastAsia="zh-CN"/>
              </w:rPr>
            </w:pPr>
            <w:r>
              <w:rPr>
                <w:rFonts w:hint="default"/>
                <w:highlight w:val="none"/>
                <w:lang w:val="en-US" w:eastAsia="zh-CN"/>
              </w:rPr>
              <w:t>验收项目</w:t>
            </w:r>
          </w:p>
        </w:tc>
        <w:tc>
          <w:tcPr>
            <w:tcW w:w="513" w:type="dxa"/>
            <w:tcBorders>
              <w:tl2br w:val="nil"/>
              <w:tr2bl w:val="nil"/>
            </w:tcBorders>
            <w:shd w:val="clear" w:color="auto" w:fill="DAE3F3" w:themeFill="accent5" w:themeFillTint="32"/>
            <w:noWrap w:val="0"/>
            <w:vAlign w:val="center"/>
          </w:tcPr>
          <w:p w14:paraId="63E3650F">
            <w:pPr>
              <w:pStyle w:val="105"/>
              <w:bidi w:val="0"/>
              <w:rPr>
                <w:rFonts w:hint="default"/>
                <w:highlight w:val="none"/>
                <w:lang w:val="en-US" w:eastAsia="zh-CN"/>
              </w:rPr>
            </w:pPr>
            <w:r>
              <w:rPr>
                <w:rFonts w:hint="default"/>
                <w:highlight w:val="none"/>
                <w:lang w:val="en-US" w:eastAsia="zh-CN"/>
              </w:rPr>
              <w:t>序号</w:t>
            </w:r>
          </w:p>
        </w:tc>
        <w:tc>
          <w:tcPr>
            <w:tcW w:w="6041" w:type="dxa"/>
            <w:tcBorders>
              <w:tl2br w:val="nil"/>
              <w:tr2bl w:val="nil"/>
            </w:tcBorders>
            <w:shd w:val="clear" w:color="auto" w:fill="DAE3F3" w:themeFill="accent5" w:themeFillTint="32"/>
            <w:noWrap w:val="0"/>
            <w:vAlign w:val="center"/>
          </w:tcPr>
          <w:p w14:paraId="11A66EB1">
            <w:pPr>
              <w:pStyle w:val="105"/>
              <w:bidi w:val="0"/>
              <w:rPr>
                <w:rFonts w:hint="default"/>
                <w:highlight w:val="none"/>
                <w:lang w:val="en-US" w:eastAsia="zh-CN"/>
              </w:rPr>
            </w:pPr>
            <w:r>
              <w:rPr>
                <w:rFonts w:hint="default"/>
                <w:highlight w:val="none"/>
                <w:lang w:val="en-US" w:eastAsia="zh-CN"/>
              </w:rPr>
              <w:t>安全技术要求</w:t>
            </w:r>
          </w:p>
        </w:tc>
        <w:tc>
          <w:tcPr>
            <w:tcW w:w="1229" w:type="dxa"/>
            <w:tcBorders>
              <w:tl2br w:val="nil"/>
              <w:tr2bl w:val="nil"/>
            </w:tcBorders>
            <w:shd w:val="clear" w:color="auto" w:fill="DAE3F3" w:themeFill="accent5" w:themeFillTint="32"/>
            <w:noWrap w:val="0"/>
            <w:vAlign w:val="center"/>
          </w:tcPr>
          <w:p w14:paraId="29F6822B">
            <w:pPr>
              <w:pStyle w:val="105"/>
              <w:bidi w:val="0"/>
              <w:rPr>
                <w:rFonts w:hint="default"/>
                <w:highlight w:val="none"/>
                <w:lang w:val="en-US" w:eastAsia="zh-CN"/>
              </w:rPr>
            </w:pPr>
            <w:r>
              <w:rPr>
                <w:rFonts w:hint="default"/>
                <w:highlight w:val="none"/>
                <w:lang w:val="en-US" w:eastAsia="zh-CN"/>
              </w:rPr>
              <w:t>验收结果</w:t>
            </w:r>
          </w:p>
        </w:tc>
      </w:tr>
      <w:tr w14:paraId="4A25BA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279AD772">
            <w:pPr>
              <w:pStyle w:val="105"/>
              <w:bidi w:val="0"/>
              <w:rPr>
                <w:rFonts w:hint="default"/>
                <w:highlight w:val="none"/>
                <w:lang w:val="en-US" w:eastAsia="zh-CN"/>
              </w:rPr>
            </w:pPr>
            <w:r>
              <w:rPr>
                <w:rFonts w:hint="default"/>
                <w:highlight w:val="none"/>
                <w:lang w:val="en-US" w:eastAsia="zh-CN"/>
              </w:rPr>
              <w:t>资料检查</w:t>
            </w:r>
          </w:p>
        </w:tc>
        <w:tc>
          <w:tcPr>
            <w:tcW w:w="513" w:type="dxa"/>
            <w:tcBorders>
              <w:tl2br w:val="nil"/>
              <w:tr2bl w:val="nil"/>
            </w:tcBorders>
            <w:noWrap w:val="0"/>
            <w:vAlign w:val="center"/>
          </w:tcPr>
          <w:p w14:paraId="5EB9A2A2">
            <w:pPr>
              <w:pStyle w:val="105"/>
              <w:bidi w:val="0"/>
              <w:rPr>
                <w:rFonts w:hint="default"/>
                <w:highlight w:val="none"/>
                <w:lang w:val="en-US" w:eastAsia="zh-CN"/>
              </w:rPr>
            </w:pPr>
            <w:r>
              <w:rPr>
                <w:rFonts w:hint="default"/>
                <w:highlight w:val="none"/>
                <w:lang w:val="en-US" w:eastAsia="zh-CN"/>
              </w:rPr>
              <w:t>1</w:t>
            </w:r>
          </w:p>
        </w:tc>
        <w:tc>
          <w:tcPr>
            <w:tcW w:w="6041" w:type="dxa"/>
            <w:tcBorders>
              <w:tl2br w:val="nil"/>
              <w:tr2bl w:val="nil"/>
            </w:tcBorders>
            <w:noWrap w:val="0"/>
            <w:vAlign w:val="center"/>
          </w:tcPr>
          <w:p w14:paraId="01CF1171">
            <w:pPr>
              <w:pStyle w:val="105"/>
              <w:bidi w:val="0"/>
              <w:rPr>
                <w:rFonts w:hint="default"/>
                <w:highlight w:val="none"/>
                <w:lang w:val="en-US" w:eastAsia="zh-CN"/>
              </w:rPr>
            </w:pPr>
            <w:r>
              <w:rPr>
                <w:rFonts w:hint="default"/>
                <w:highlight w:val="none"/>
                <w:lang w:val="en-US" w:eastAsia="zh-CN"/>
              </w:rPr>
              <w:t>基础验收表和隐蔽工程验收单应齐全</w:t>
            </w:r>
          </w:p>
        </w:tc>
        <w:tc>
          <w:tcPr>
            <w:tcW w:w="1229" w:type="dxa"/>
            <w:tcBorders>
              <w:tl2br w:val="nil"/>
              <w:tr2bl w:val="nil"/>
            </w:tcBorders>
            <w:noWrap w:val="0"/>
            <w:vAlign w:val="center"/>
          </w:tcPr>
          <w:p w14:paraId="286916CA">
            <w:pPr>
              <w:pStyle w:val="105"/>
              <w:bidi w:val="0"/>
              <w:rPr>
                <w:rFonts w:hint="default"/>
                <w:highlight w:val="none"/>
                <w:lang w:val="en-US" w:eastAsia="zh-CN"/>
              </w:rPr>
            </w:pPr>
          </w:p>
        </w:tc>
      </w:tr>
      <w:tr w14:paraId="4639A98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84F3D2E">
            <w:pPr>
              <w:pStyle w:val="105"/>
              <w:bidi w:val="0"/>
              <w:rPr>
                <w:rFonts w:hint="default"/>
                <w:highlight w:val="none"/>
                <w:lang w:val="en-US" w:eastAsia="zh-CN"/>
              </w:rPr>
            </w:pPr>
          </w:p>
        </w:tc>
        <w:tc>
          <w:tcPr>
            <w:tcW w:w="513" w:type="dxa"/>
            <w:tcBorders>
              <w:tl2br w:val="nil"/>
              <w:tr2bl w:val="nil"/>
            </w:tcBorders>
            <w:noWrap w:val="0"/>
            <w:vAlign w:val="center"/>
          </w:tcPr>
          <w:p w14:paraId="0FEE8742">
            <w:pPr>
              <w:pStyle w:val="105"/>
              <w:bidi w:val="0"/>
              <w:rPr>
                <w:rFonts w:hint="default"/>
                <w:highlight w:val="none"/>
                <w:lang w:val="en-US" w:eastAsia="zh-CN"/>
              </w:rPr>
            </w:pPr>
            <w:r>
              <w:rPr>
                <w:rFonts w:hint="default"/>
                <w:highlight w:val="none"/>
                <w:lang w:val="en-US" w:eastAsia="zh-CN"/>
              </w:rPr>
              <w:t>2</w:t>
            </w:r>
          </w:p>
        </w:tc>
        <w:tc>
          <w:tcPr>
            <w:tcW w:w="6041" w:type="dxa"/>
            <w:tcBorders>
              <w:tl2br w:val="nil"/>
              <w:tr2bl w:val="nil"/>
            </w:tcBorders>
            <w:noWrap w:val="0"/>
            <w:vAlign w:val="center"/>
          </w:tcPr>
          <w:p w14:paraId="37E8E7BC">
            <w:pPr>
              <w:pStyle w:val="105"/>
              <w:bidi w:val="0"/>
              <w:rPr>
                <w:rFonts w:hint="default"/>
                <w:highlight w:val="none"/>
                <w:lang w:val="en-US" w:eastAsia="zh-CN"/>
              </w:rPr>
            </w:pPr>
            <w:r>
              <w:rPr>
                <w:rFonts w:hint="default"/>
                <w:highlight w:val="none"/>
                <w:lang w:val="en-US" w:eastAsia="zh-CN"/>
              </w:rPr>
              <w:t xml:space="preserve">安装方案、安全交底记录应齐全 </w:t>
            </w:r>
          </w:p>
        </w:tc>
        <w:tc>
          <w:tcPr>
            <w:tcW w:w="1229" w:type="dxa"/>
            <w:tcBorders>
              <w:tl2br w:val="nil"/>
              <w:tr2bl w:val="nil"/>
            </w:tcBorders>
            <w:noWrap w:val="0"/>
            <w:vAlign w:val="center"/>
          </w:tcPr>
          <w:p w14:paraId="0C838808">
            <w:pPr>
              <w:pStyle w:val="105"/>
              <w:bidi w:val="0"/>
              <w:rPr>
                <w:rFonts w:hint="default"/>
                <w:highlight w:val="none"/>
                <w:lang w:val="en-US" w:eastAsia="zh-CN"/>
              </w:rPr>
            </w:pPr>
          </w:p>
        </w:tc>
      </w:tr>
      <w:tr w14:paraId="7101CCC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05041A0">
            <w:pPr>
              <w:pStyle w:val="105"/>
              <w:bidi w:val="0"/>
              <w:rPr>
                <w:rFonts w:hint="default"/>
                <w:highlight w:val="none"/>
                <w:lang w:val="en-US" w:eastAsia="zh-CN"/>
              </w:rPr>
            </w:pPr>
          </w:p>
        </w:tc>
        <w:tc>
          <w:tcPr>
            <w:tcW w:w="513" w:type="dxa"/>
            <w:tcBorders>
              <w:tl2br w:val="nil"/>
              <w:tr2bl w:val="nil"/>
            </w:tcBorders>
            <w:noWrap w:val="0"/>
            <w:vAlign w:val="center"/>
          </w:tcPr>
          <w:p w14:paraId="63A87DF0">
            <w:pPr>
              <w:pStyle w:val="105"/>
              <w:bidi w:val="0"/>
              <w:rPr>
                <w:rFonts w:hint="default"/>
                <w:highlight w:val="none"/>
                <w:lang w:val="en-US" w:eastAsia="zh-CN"/>
              </w:rPr>
            </w:pPr>
            <w:r>
              <w:rPr>
                <w:rFonts w:hint="default"/>
                <w:highlight w:val="none"/>
                <w:lang w:val="en-US" w:eastAsia="zh-CN"/>
              </w:rPr>
              <w:t>3</w:t>
            </w:r>
          </w:p>
        </w:tc>
        <w:tc>
          <w:tcPr>
            <w:tcW w:w="6041" w:type="dxa"/>
            <w:tcBorders>
              <w:tl2br w:val="nil"/>
              <w:tr2bl w:val="nil"/>
            </w:tcBorders>
            <w:noWrap w:val="0"/>
            <w:vAlign w:val="center"/>
          </w:tcPr>
          <w:p w14:paraId="11A27281">
            <w:pPr>
              <w:pStyle w:val="105"/>
              <w:bidi w:val="0"/>
              <w:rPr>
                <w:rFonts w:hint="default"/>
                <w:highlight w:val="none"/>
                <w:lang w:val="en-US" w:eastAsia="zh-CN"/>
              </w:rPr>
            </w:pPr>
            <w:r>
              <w:rPr>
                <w:rFonts w:hint="default"/>
                <w:highlight w:val="none"/>
                <w:lang w:val="en-US" w:eastAsia="zh-CN"/>
              </w:rPr>
              <w:t>转场保养作业单及进场验收记录应齐全</w:t>
            </w:r>
          </w:p>
        </w:tc>
        <w:tc>
          <w:tcPr>
            <w:tcW w:w="1229" w:type="dxa"/>
            <w:tcBorders>
              <w:tl2br w:val="nil"/>
              <w:tr2bl w:val="nil"/>
            </w:tcBorders>
            <w:noWrap w:val="0"/>
            <w:vAlign w:val="center"/>
          </w:tcPr>
          <w:p w14:paraId="4E3A69B9">
            <w:pPr>
              <w:pStyle w:val="105"/>
              <w:bidi w:val="0"/>
              <w:rPr>
                <w:rFonts w:hint="default"/>
                <w:highlight w:val="none"/>
                <w:lang w:val="en-US" w:eastAsia="zh-CN"/>
              </w:rPr>
            </w:pPr>
          </w:p>
        </w:tc>
      </w:tr>
      <w:tr w14:paraId="7AE5456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CCC5C5F">
            <w:pPr>
              <w:pStyle w:val="105"/>
              <w:bidi w:val="0"/>
              <w:rPr>
                <w:rFonts w:hint="default"/>
                <w:highlight w:val="none"/>
                <w:lang w:val="en-US" w:eastAsia="zh-CN"/>
              </w:rPr>
            </w:pPr>
          </w:p>
        </w:tc>
        <w:tc>
          <w:tcPr>
            <w:tcW w:w="513" w:type="dxa"/>
            <w:tcBorders>
              <w:tl2br w:val="nil"/>
              <w:tr2bl w:val="nil"/>
            </w:tcBorders>
            <w:noWrap w:val="0"/>
            <w:vAlign w:val="center"/>
          </w:tcPr>
          <w:p w14:paraId="2C907115">
            <w:pPr>
              <w:pStyle w:val="105"/>
              <w:bidi w:val="0"/>
              <w:rPr>
                <w:rFonts w:hint="default"/>
                <w:highlight w:val="none"/>
                <w:lang w:val="en-US" w:eastAsia="zh-CN"/>
              </w:rPr>
            </w:pPr>
            <w:r>
              <w:rPr>
                <w:rFonts w:hint="default"/>
                <w:highlight w:val="none"/>
                <w:lang w:val="en-US" w:eastAsia="zh-CN"/>
              </w:rPr>
              <w:t>4</w:t>
            </w:r>
          </w:p>
        </w:tc>
        <w:tc>
          <w:tcPr>
            <w:tcW w:w="6041" w:type="dxa"/>
            <w:tcBorders>
              <w:tl2br w:val="nil"/>
              <w:tr2bl w:val="nil"/>
            </w:tcBorders>
            <w:noWrap w:val="0"/>
            <w:vAlign w:val="center"/>
          </w:tcPr>
          <w:p w14:paraId="131761AD">
            <w:pPr>
              <w:pStyle w:val="105"/>
              <w:bidi w:val="0"/>
              <w:rPr>
                <w:rFonts w:hint="default"/>
                <w:highlight w:val="none"/>
                <w:lang w:val="en-US" w:eastAsia="zh-CN"/>
              </w:rPr>
            </w:pPr>
            <w:r>
              <w:rPr>
                <w:rFonts w:hint="default"/>
                <w:highlight w:val="none"/>
                <w:lang w:val="en-US" w:eastAsia="zh-CN"/>
              </w:rPr>
              <w:t>群塔作业应编制专项防碰撞措施方案</w:t>
            </w:r>
          </w:p>
        </w:tc>
        <w:tc>
          <w:tcPr>
            <w:tcW w:w="1229" w:type="dxa"/>
            <w:tcBorders>
              <w:tl2br w:val="nil"/>
              <w:tr2bl w:val="nil"/>
            </w:tcBorders>
            <w:noWrap w:val="0"/>
            <w:vAlign w:val="center"/>
          </w:tcPr>
          <w:p w14:paraId="5B070B1B">
            <w:pPr>
              <w:pStyle w:val="105"/>
              <w:bidi w:val="0"/>
              <w:rPr>
                <w:rFonts w:hint="default"/>
                <w:highlight w:val="none"/>
                <w:lang w:val="en-US" w:eastAsia="zh-CN"/>
              </w:rPr>
            </w:pPr>
          </w:p>
        </w:tc>
      </w:tr>
      <w:tr w14:paraId="589A3AD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2E47FD9">
            <w:pPr>
              <w:pStyle w:val="105"/>
              <w:bidi w:val="0"/>
              <w:rPr>
                <w:rFonts w:hint="default"/>
                <w:highlight w:val="none"/>
                <w:lang w:val="en-US" w:eastAsia="zh-CN"/>
              </w:rPr>
            </w:pPr>
            <w:r>
              <w:rPr>
                <w:rFonts w:hint="default"/>
                <w:highlight w:val="none"/>
                <w:lang w:val="en-US" w:eastAsia="zh-CN"/>
              </w:rPr>
              <w:t>标识</w:t>
            </w:r>
          </w:p>
          <w:p w14:paraId="6862B8DA">
            <w:pPr>
              <w:pStyle w:val="105"/>
              <w:bidi w:val="0"/>
              <w:rPr>
                <w:rFonts w:hint="default"/>
                <w:highlight w:val="none"/>
                <w:lang w:val="en-US" w:eastAsia="zh-CN"/>
              </w:rPr>
            </w:pPr>
            <w:r>
              <w:rPr>
                <w:rFonts w:hint="default"/>
                <w:highlight w:val="none"/>
                <w:lang w:val="en-US" w:eastAsia="zh-CN"/>
              </w:rPr>
              <w:t>与环境</w:t>
            </w:r>
          </w:p>
        </w:tc>
        <w:tc>
          <w:tcPr>
            <w:tcW w:w="513" w:type="dxa"/>
            <w:tcBorders>
              <w:tl2br w:val="nil"/>
              <w:tr2bl w:val="nil"/>
            </w:tcBorders>
            <w:noWrap w:val="0"/>
            <w:vAlign w:val="center"/>
          </w:tcPr>
          <w:p w14:paraId="4DF9995B">
            <w:pPr>
              <w:pStyle w:val="105"/>
              <w:bidi w:val="0"/>
              <w:rPr>
                <w:rFonts w:hint="default"/>
                <w:highlight w:val="none"/>
                <w:lang w:val="en-US" w:eastAsia="zh-CN"/>
              </w:rPr>
            </w:pPr>
            <w:r>
              <w:rPr>
                <w:rFonts w:hint="default"/>
                <w:highlight w:val="none"/>
                <w:lang w:val="en-US" w:eastAsia="zh-CN"/>
              </w:rPr>
              <w:t>5</w:t>
            </w:r>
          </w:p>
        </w:tc>
        <w:tc>
          <w:tcPr>
            <w:tcW w:w="6041" w:type="dxa"/>
            <w:tcBorders>
              <w:tl2br w:val="nil"/>
              <w:tr2bl w:val="nil"/>
            </w:tcBorders>
            <w:noWrap w:val="0"/>
            <w:vAlign w:val="center"/>
          </w:tcPr>
          <w:p w14:paraId="68A134BC">
            <w:pPr>
              <w:pStyle w:val="105"/>
              <w:bidi w:val="0"/>
              <w:rPr>
                <w:rFonts w:hint="default"/>
                <w:highlight w:val="none"/>
                <w:lang w:val="en-US" w:eastAsia="zh-CN"/>
              </w:rPr>
            </w:pPr>
            <w:r>
              <w:rPr>
                <w:rFonts w:hint="default"/>
                <w:highlight w:val="none"/>
                <w:lang w:val="en-US" w:eastAsia="zh-CN"/>
              </w:rPr>
              <w:t>使用登记牌、安全操作规程牌和产品标牌齐全，悬挂醒目</w:t>
            </w:r>
          </w:p>
        </w:tc>
        <w:tc>
          <w:tcPr>
            <w:tcW w:w="1229" w:type="dxa"/>
            <w:tcBorders>
              <w:tl2br w:val="nil"/>
              <w:tr2bl w:val="nil"/>
            </w:tcBorders>
            <w:noWrap w:val="0"/>
            <w:vAlign w:val="center"/>
          </w:tcPr>
          <w:p w14:paraId="1672B425">
            <w:pPr>
              <w:pStyle w:val="105"/>
              <w:bidi w:val="0"/>
              <w:rPr>
                <w:rFonts w:hint="default"/>
                <w:highlight w:val="none"/>
                <w:lang w:val="en-US" w:eastAsia="zh-CN"/>
              </w:rPr>
            </w:pPr>
          </w:p>
        </w:tc>
      </w:tr>
      <w:tr w14:paraId="3745EF12">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1D6F1BC6">
            <w:pPr>
              <w:pStyle w:val="105"/>
              <w:bidi w:val="0"/>
              <w:rPr>
                <w:rFonts w:hint="default"/>
                <w:highlight w:val="none"/>
                <w:lang w:val="en-US" w:eastAsia="zh-CN"/>
              </w:rPr>
            </w:pPr>
          </w:p>
        </w:tc>
        <w:tc>
          <w:tcPr>
            <w:tcW w:w="513" w:type="dxa"/>
            <w:tcBorders>
              <w:tl2br w:val="nil"/>
              <w:tr2bl w:val="nil"/>
            </w:tcBorders>
            <w:noWrap w:val="0"/>
            <w:vAlign w:val="center"/>
          </w:tcPr>
          <w:p w14:paraId="6CEE9E99">
            <w:pPr>
              <w:pStyle w:val="105"/>
              <w:bidi w:val="0"/>
              <w:rPr>
                <w:rFonts w:hint="default"/>
                <w:highlight w:val="none"/>
                <w:lang w:val="en-US" w:eastAsia="zh-CN"/>
              </w:rPr>
            </w:pPr>
            <w:r>
              <w:rPr>
                <w:rFonts w:hint="default"/>
                <w:highlight w:val="none"/>
                <w:lang w:val="en-US" w:eastAsia="zh-CN"/>
              </w:rPr>
              <w:t>6</w:t>
            </w:r>
          </w:p>
        </w:tc>
        <w:tc>
          <w:tcPr>
            <w:tcW w:w="6041" w:type="dxa"/>
            <w:tcBorders>
              <w:tl2br w:val="nil"/>
              <w:tr2bl w:val="nil"/>
            </w:tcBorders>
            <w:noWrap w:val="0"/>
            <w:vAlign w:val="center"/>
          </w:tcPr>
          <w:p w14:paraId="55839299">
            <w:pPr>
              <w:pStyle w:val="105"/>
              <w:bidi w:val="0"/>
              <w:rPr>
                <w:rFonts w:hint="default"/>
                <w:highlight w:val="none"/>
                <w:lang w:val="en-US" w:eastAsia="zh-CN"/>
              </w:rPr>
            </w:pPr>
            <w:r>
              <w:rPr>
                <w:rFonts w:hint="default"/>
                <w:highlight w:val="none"/>
                <w:lang w:val="en-US" w:eastAsia="zh-CN"/>
              </w:rPr>
              <w:t>塔式起重机尾部与建（构）筑物及施工设施之间的距离≥0.6m</w:t>
            </w:r>
          </w:p>
        </w:tc>
        <w:tc>
          <w:tcPr>
            <w:tcW w:w="1229" w:type="dxa"/>
            <w:tcBorders>
              <w:tl2br w:val="nil"/>
              <w:tr2bl w:val="nil"/>
            </w:tcBorders>
            <w:noWrap w:val="0"/>
            <w:vAlign w:val="center"/>
          </w:tcPr>
          <w:p w14:paraId="67061EDA">
            <w:pPr>
              <w:pStyle w:val="105"/>
              <w:bidi w:val="0"/>
              <w:rPr>
                <w:rFonts w:hint="default"/>
                <w:highlight w:val="none"/>
                <w:lang w:val="en-US" w:eastAsia="zh-CN"/>
              </w:rPr>
            </w:pPr>
          </w:p>
        </w:tc>
      </w:tr>
      <w:tr w14:paraId="7FFA706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41BE9867">
            <w:pPr>
              <w:pStyle w:val="105"/>
              <w:bidi w:val="0"/>
              <w:rPr>
                <w:rFonts w:hint="default"/>
                <w:highlight w:val="none"/>
                <w:lang w:val="en-US" w:eastAsia="zh-CN"/>
              </w:rPr>
            </w:pPr>
          </w:p>
        </w:tc>
        <w:tc>
          <w:tcPr>
            <w:tcW w:w="513" w:type="dxa"/>
            <w:tcBorders>
              <w:tl2br w:val="nil"/>
              <w:tr2bl w:val="nil"/>
            </w:tcBorders>
            <w:noWrap w:val="0"/>
            <w:vAlign w:val="center"/>
          </w:tcPr>
          <w:p w14:paraId="1C414DB0">
            <w:pPr>
              <w:pStyle w:val="105"/>
              <w:bidi w:val="0"/>
              <w:rPr>
                <w:rFonts w:hint="default"/>
                <w:highlight w:val="none"/>
                <w:lang w:val="en-US" w:eastAsia="zh-CN"/>
              </w:rPr>
            </w:pPr>
            <w:r>
              <w:rPr>
                <w:rFonts w:hint="default"/>
                <w:highlight w:val="none"/>
                <w:lang w:val="en-US" w:eastAsia="zh-CN"/>
              </w:rPr>
              <w:t>7</w:t>
            </w:r>
          </w:p>
        </w:tc>
        <w:tc>
          <w:tcPr>
            <w:tcW w:w="6041" w:type="dxa"/>
            <w:tcBorders>
              <w:tl2br w:val="nil"/>
              <w:tr2bl w:val="nil"/>
            </w:tcBorders>
            <w:noWrap w:val="0"/>
            <w:vAlign w:val="center"/>
          </w:tcPr>
          <w:p w14:paraId="24A8EA71">
            <w:pPr>
              <w:pStyle w:val="105"/>
              <w:bidi w:val="0"/>
              <w:rPr>
                <w:rFonts w:hint="default"/>
                <w:highlight w:val="none"/>
                <w:lang w:val="en-US" w:eastAsia="zh-CN"/>
              </w:rPr>
            </w:pPr>
            <w:r>
              <w:rPr>
                <w:rFonts w:hint="default"/>
                <w:highlight w:val="none"/>
                <w:lang w:val="en-US" w:eastAsia="zh-CN"/>
              </w:rPr>
              <w:t>多塔作业时，低位塔起重臂端部与高位塔塔身之间的水平距离≥2m；高位塔的最低位置部件与低位塔最高位置部件之间的垂直距离≥2m</w:t>
            </w:r>
          </w:p>
        </w:tc>
        <w:tc>
          <w:tcPr>
            <w:tcW w:w="1229" w:type="dxa"/>
            <w:tcBorders>
              <w:tl2br w:val="nil"/>
              <w:tr2bl w:val="nil"/>
            </w:tcBorders>
            <w:noWrap w:val="0"/>
            <w:vAlign w:val="center"/>
          </w:tcPr>
          <w:p w14:paraId="5977EC8B">
            <w:pPr>
              <w:pStyle w:val="105"/>
              <w:bidi w:val="0"/>
              <w:rPr>
                <w:rFonts w:hint="default"/>
                <w:highlight w:val="none"/>
                <w:lang w:val="en-US" w:eastAsia="zh-CN"/>
              </w:rPr>
            </w:pPr>
          </w:p>
        </w:tc>
      </w:tr>
      <w:tr w14:paraId="07E4B46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A9E2C68">
            <w:pPr>
              <w:pStyle w:val="105"/>
              <w:bidi w:val="0"/>
              <w:rPr>
                <w:rFonts w:hint="default"/>
                <w:highlight w:val="none"/>
                <w:lang w:val="en-US" w:eastAsia="zh-CN"/>
              </w:rPr>
            </w:pPr>
          </w:p>
        </w:tc>
        <w:tc>
          <w:tcPr>
            <w:tcW w:w="513" w:type="dxa"/>
            <w:tcBorders>
              <w:tl2br w:val="nil"/>
              <w:tr2bl w:val="nil"/>
            </w:tcBorders>
            <w:noWrap w:val="0"/>
            <w:vAlign w:val="center"/>
          </w:tcPr>
          <w:p w14:paraId="632A050B">
            <w:pPr>
              <w:pStyle w:val="105"/>
              <w:bidi w:val="0"/>
              <w:rPr>
                <w:rFonts w:hint="default"/>
                <w:highlight w:val="none"/>
                <w:lang w:val="en-US" w:eastAsia="zh-CN"/>
              </w:rPr>
            </w:pPr>
            <w:r>
              <w:rPr>
                <w:rFonts w:hint="default"/>
                <w:highlight w:val="none"/>
                <w:lang w:val="en-US" w:eastAsia="zh-CN"/>
              </w:rPr>
              <w:t>8</w:t>
            </w:r>
          </w:p>
        </w:tc>
        <w:tc>
          <w:tcPr>
            <w:tcW w:w="6041" w:type="dxa"/>
            <w:tcBorders>
              <w:tl2br w:val="nil"/>
              <w:tr2bl w:val="nil"/>
            </w:tcBorders>
            <w:noWrap w:val="0"/>
            <w:vAlign w:val="center"/>
          </w:tcPr>
          <w:p w14:paraId="3D51F5C4">
            <w:pPr>
              <w:pStyle w:val="105"/>
              <w:bidi w:val="0"/>
              <w:rPr>
                <w:rFonts w:hint="default"/>
                <w:highlight w:val="none"/>
                <w:lang w:val="en-US" w:eastAsia="zh-CN"/>
              </w:rPr>
            </w:pPr>
            <w:r>
              <w:rPr>
                <w:rFonts w:hint="default"/>
                <w:highlight w:val="none"/>
                <w:lang w:val="en-US" w:eastAsia="zh-CN"/>
              </w:rPr>
              <w:t>塔式起重机与外电线路的距离应符合JGJ46—2005的规定</w:t>
            </w:r>
          </w:p>
        </w:tc>
        <w:tc>
          <w:tcPr>
            <w:tcW w:w="1229" w:type="dxa"/>
            <w:tcBorders>
              <w:tl2br w:val="nil"/>
              <w:tr2bl w:val="nil"/>
            </w:tcBorders>
            <w:noWrap w:val="0"/>
            <w:vAlign w:val="center"/>
          </w:tcPr>
          <w:p w14:paraId="6D5EEB75">
            <w:pPr>
              <w:pStyle w:val="105"/>
              <w:bidi w:val="0"/>
              <w:rPr>
                <w:rFonts w:hint="default"/>
                <w:highlight w:val="none"/>
                <w:lang w:val="en-US" w:eastAsia="zh-CN"/>
              </w:rPr>
            </w:pPr>
          </w:p>
        </w:tc>
      </w:tr>
      <w:tr w14:paraId="593E60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30DCB7A6">
            <w:pPr>
              <w:pStyle w:val="105"/>
              <w:bidi w:val="0"/>
              <w:rPr>
                <w:rFonts w:hint="default"/>
                <w:highlight w:val="none"/>
                <w:lang w:val="en-US" w:eastAsia="zh-CN"/>
              </w:rPr>
            </w:pPr>
            <w:r>
              <w:rPr>
                <w:rFonts w:hint="default"/>
                <w:highlight w:val="none"/>
                <w:lang w:val="en-US" w:eastAsia="zh-CN"/>
              </w:rPr>
              <w:t>塔式起重机结构</w:t>
            </w:r>
          </w:p>
        </w:tc>
        <w:tc>
          <w:tcPr>
            <w:tcW w:w="513" w:type="dxa"/>
            <w:tcBorders>
              <w:tl2br w:val="nil"/>
              <w:tr2bl w:val="nil"/>
            </w:tcBorders>
            <w:noWrap w:val="0"/>
            <w:vAlign w:val="center"/>
          </w:tcPr>
          <w:p w14:paraId="6E3FAD16">
            <w:pPr>
              <w:pStyle w:val="105"/>
              <w:bidi w:val="0"/>
              <w:rPr>
                <w:rFonts w:hint="default"/>
                <w:highlight w:val="none"/>
                <w:lang w:val="en-US" w:eastAsia="zh-CN"/>
              </w:rPr>
            </w:pPr>
            <w:r>
              <w:rPr>
                <w:rFonts w:hint="default"/>
                <w:highlight w:val="none"/>
                <w:lang w:val="en-US" w:eastAsia="zh-CN"/>
              </w:rPr>
              <w:t>9</w:t>
            </w:r>
          </w:p>
        </w:tc>
        <w:tc>
          <w:tcPr>
            <w:tcW w:w="6041" w:type="dxa"/>
            <w:tcBorders>
              <w:tl2br w:val="nil"/>
              <w:tr2bl w:val="nil"/>
            </w:tcBorders>
            <w:noWrap w:val="0"/>
            <w:vAlign w:val="center"/>
          </w:tcPr>
          <w:p w14:paraId="4DC98110">
            <w:pPr>
              <w:pStyle w:val="105"/>
              <w:bidi w:val="0"/>
              <w:rPr>
                <w:rFonts w:hint="default"/>
                <w:highlight w:val="none"/>
                <w:lang w:val="en-US" w:eastAsia="zh-CN"/>
              </w:rPr>
            </w:pPr>
            <w:r>
              <w:rPr>
                <w:rFonts w:hint="default"/>
                <w:highlight w:val="none"/>
                <w:lang w:val="en-US" w:eastAsia="zh-CN"/>
              </w:rPr>
              <w:t>金属结构无可见裂纹和明显变形</w:t>
            </w:r>
          </w:p>
        </w:tc>
        <w:tc>
          <w:tcPr>
            <w:tcW w:w="1229" w:type="dxa"/>
            <w:tcBorders>
              <w:tl2br w:val="nil"/>
              <w:tr2bl w:val="nil"/>
            </w:tcBorders>
            <w:noWrap w:val="0"/>
            <w:vAlign w:val="center"/>
          </w:tcPr>
          <w:p w14:paraId="6CFA8459">
            <w:pPr>
              <w:pStyle w:val="105"/>
              <w:bidi w:val="0"/>
              <w:rPr>
                <w:rFonts w:hint="default"/>
                <w:highlight w:val="none"/>
                <w:lang w:val="en-US" w:eastAsia="zh-CN"/>
              </w:rPr>
            </w:pPr>
          </w:p>
        </w:tc>
      </w:tr>
      <w:tr w14:paraId="633C8843">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0919881">
            <w:pPr>
              <w:pStyle w:val="105"/>
              <w:bidi w:val="0"/>
              <w:rPr>
                <w:rFonts w:hint="default"/>
                <w:highlight w:val="none"/>
                <w:lang w:val="en-US" w:eastAsia="zh-CN"/>
              </w:rPr>
            </w:pPr>
          </w:p>
        </w:tc>
        <w:tc>
          <w:tcPr>
            <w:tcW w:w="513" w:type="dxa"/>
            <w:tcBorders>
              <w:tl2br w:val="nil"/>
              <w:tr2bl w:val="nil"/>
            </w:tcBorders>
            <w:noWrap w:val="0"/>
            <w:vAlign w:val="center"/>
          </w:tcPr>
          <w:p w14:paraId="637BF7B6">
            <w:pPr>
              <w:pStyle w:val="105"/>
              <w:bidi w:val="0"/>
              <w:rPr>
                <w:rFonts w:hint="default"/>
                <w:highlight w:val="none"/>
                <w:lang w:val="en-US" w:eastAsia="zh-CN"/>
              </w:rPr>
            </w:pPr>
            <w:r>
              <w:rPr>
                <w:rFonts w:hint="default"/>
                <w:highlight w:val="none"/>
                <w:lang w:val="en-US" w:eastAsia="zh-CN"/>
              </w:rPr>
              <w:t>10</w:t>
            </w:r>
          </w:p>
        </w:tc>
        <w:tc>
          <w:tcPr>
            <w:tcW w:w="6041" w:type="dxa"/>
            <w:tcBorders>
              <w:tl2br w:val="nil"/>
              <w:tr2bl w:val="nil"/>
            </w:tcBorders>
            <w:noWrap w:val="0"/>
            <w:vAlign w:val="center"/>
          </w:tcPr>
          <w:p w14:paraId="40D5A2A8">
            <w:pPr>
              <w:pStyle w:val="105"/>
              <w:bidi w:val="0"/>
              <w:rPr>
                <w:rFonts w:hint="default"/>
                <w:highlight w:val="none"/>
                <w:lang w:val="en-US" w:eastAsia="zh-CN"/>
              </w:rPr>
            </w:pPr>
            <w:r>
              <w:rPr>
                <w:rFonts w:hint="default"/>
                <w:highlight w:val="none"/>
                <w:lang w:val="en-US" w:eastAsia="zh-CN"/>
              </w:rPr>
              <w:t>连接螺栓齐全，规格和预紧力达到使用说明书要求</w:t>
            </w:r>
          </w:p>
        </w:tc>
        <w:tc>
          <w:tcPr>
            <w:tcW w:w="1229" w:type="dxa"/>
            <w:tcBorders>
              <w:tl2br w:val="nil"/>
              <w:tr2bl w:val="nil"/>
            </w:tcBorders>
            <w:noWrap w:val="0"/>
            <w:vAlign w:val="center"/>
          </w:tcPr>
          <w:p w14:paraId="434013BF">
            <w:pPr>
              <w:pStyle w:val="105"/>
              <w:bidi w:val="0"/>
              <w:rPr>
                <w:rFonts w:hint="default"/>
                <w:highlight w:val="none"/>
                <w:lang w:val="en-US" w:eastAsia="zh-CN"/>
              </w:rPr>
            </w:pPr>
          </w:p>
        </w:tc>
      </w:tr>
      <w:tr w14:paraId="5A1BAF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D453E75">
            <w:pPr>
              <w:pStyle w:val="105"/>
              <w:bidi w:val="0"/>
              <w:rPr>
                <w:rFonts w:hint="default"/>
                <w:highlight w:val="none"/>
                <w:lang w:val="en-US" w:eastAsia="zh-CN"/>
              </w:rPr>
            </w:pPr>
          </w:p>
        </w:tc>
        <w:tc>
          <w:tcPr>
            <w:tcW w:w="513" w:type="dxa"/>
            <w:tcBorders>
              <w:tl2br w:val="nil"/>
              <w:tr2bl w:val="nil"/>
            </w:tcBorders>
            <w:noWrap w:val="0"/>
            <w:vAlign w:val="center"/>
          </w:tcPr>
          <w:p w14:paraId="53268A53">
            <w:pPr>
              <w:pStyle w:val="105"/>
              <w:bidi w:val="0"/>
              <w:rPr>
                <w:rFonts w:hint="default"/>
                <w:highlight w:val="none"/>
                <w:lang w:val="en-US" w:eastAsia="zh-CN"/>
              </w:rPr>
            </w:pPr>
            <w:r>
              <w:rPr>
                <w:rFonts w:hint="default"/>
                <w:highlight w:val="none"/>
                <w:lang w:val="en-US" w:eastAsia="zh-CN"/>
              </w:rPr>
              <w:t>11</w:t>
            </w:r>
          </w:p>
        </w:tc>
        <w:tc>
          <w:tcPr>
            <w:tcW w:w="6041" w:type="dxa"/>
            <w:tcBorders>
              <w:tl2br w:val="nil"/>
              <w:tr2bl w:val="nil"/>
            </w:tcBorders>
            <w:noWrap w:val="0"/>
            <w:vAlign w:val="center"/>
          </w:tcPr>
          <w:p w14:paraId="0CE43711">
            <w:pPr>
              <w:pStyle w:val="105"/>
              <w:bidi w:val="0"/>
              <w:rPr>
                <w:rFonts w:hint="default"/>
                <w:highlight w:val="none"/>
                <w:lang w:val="en-US" w:eastAsia="zh-CN"/>
              </w:rPr>
            </w:pPr>
            <w:r>
              <w:rPr>
                <w:rFonts w:hint="default"/>
                <w:highlight w:val="none"/>
                <w:lang w:val="en-US" w:eastAsia="zh-CN"/>
              </w:rPr>
              <w:t xml:space="preserve">销轴连接可靠，符合出厂要求 </w:t>
            </w:r>
          </w:p>
        </w:tc>
        <w:tc>
          <w:tcPr>
            <w:tcW w:w="1229" w:type="dxa"/>
            <w:tcBorders>
              <w:tl2br w:val="nil"/>
              <w:tr2bl w:val="nil"/>
            </w:tcBorders>
            <w:noWrap w:val="0"/>
            <w:vAlign w:val="center"/>
          </w:tcPr>
          <w:p w14:paraId="58989B8D">
            <w:pPr>
              <w:pStyle w:val="105"/>
              <w:bidi w:val="0"/>
              <w:rPr>
                <w:rFonts w:hint="default"/>
                <w:highlight w:val="none"/>
                <w:lang w:val="en-US" w:eastAsia="zh-CN"/>
              </w:rPr>
            </w:pPr>
          </w:p>
        </w:tc>
      </w:tr>
      <w:tr w14:paraId="65958FD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23E19C5E">
            <w:pPr>
              <w:pStyle w:val="105"/>
              <w:bidi w:val="0"/>
              <w:rPr>
                <w:rFonts w:hint="default"/>
                <w:highlight w:val="none"/>
                <w:lang w:val="en-US" w:eastAsia="zh-CN"/>
              </w:rPr>
            </w:pPr>
          </w:p>
        </w:tc>
        <w:tc>
          <w:tcPr>
            <w:tcW w:w="513" w:type="dxa"/>
            <w:tcBorders>
              <w:tl2br w:val="nil"/>
              <w:tr2bl w:val="nil"/>
            </w:tcBorders>
            <w:noWrap w:val="0"/>
            <w:vAlign w:val="center"/>
          </w:tcPr>
          <w:p w14:paraId="43B0882B">
            <w:pPr>
              <w:pStyle w:val="105"/>
              <w:bidi w:val="0"/>
              <w:rPr>
                <w:rFonts w:hint="default"/>
                <w:highlight w:val="none"/>
                <w:lang w:val="en-US" w:eastAsia="zh-CN"/>
              </w:rPr>
            </w:pPr>
            <w:r>
              <w:rPr>
                <w:rFonts w:hint="default"/>
                <w:highlight w:val="none"/>
                <w:lang w:val="en-US" w:eastAsia="zh-CN"/>
              </w:rPr>
              <w:t>12</w:t>
            </w:r>
          </w:p>
        </w:tc>
        <w:tc>
          <w:tcPr>
            <w:tcW w:w="6041" w:type="dxa"/>
            <w:tcBorders>
              <w:tl2br w:val="nil"/>
              <w:tr2bl w:val="nil"/>
            </w:tcBorders>
            <w:noWrap w:val="0"/>
            <w:vAlign w:val="center"/>
          </w:tcPr>
          <w:p w14:paraId="22B90383">
            <w:pPr>
              <w:pStyle w:val="105"/>
              <w:bidi w:val="0"/>
              <w:rPr>
                <w:rFonts w:hint="default"/>
                <w:highlight w:val="none"/>
                <w:lang w:val="en-US" w:eastAsia="zh-CN"/>
              </w:rPr>
            </w:pPr>
            <w:r>
              <w:rPr>
                <w:rFonts w:hint="default"/>
                <w:highlight w:val="none"/>
                <w:lang w:val="en-US" w:eastAsia="zh-CN"/>
              </w:rPr>
              <w:t>过道、平台、栏杆、踏板符合GB5144—2006规定，连接牢靠</w:t>
            </w:r>
          </w:p>
        </w:tc>
        <w:tc>
          <w:tcPr>
            <w:tcW w:w="1229" w:type="dxa"/>
            <w:tcBorders>
              <w:tl2br w:val="nil"/>
              <w:tr2bl w:val="nil"/>
            </w:tcBorders>
            <w:noWrap w:val="0"/>
            <w:vAlign w:val="center"/>
          </w:tcPr>
          <w:p w14:paraId="2F887603">
            <w:pPr>
              <w:pStyle w:val="105"/>
              <w:bidi w:val="0"/>
              <w:rPr>
                <w:rFonts w:hint="default"/>
                <w:highlight w:val="none"/>
                <w:lang w:val="en-US" w:eastAsia="zh-CN"/>
              </w:rPr>
            </w:pPr>
          </w:p>
        </w:tc>
      </w:tr>
      <w:tr w14:paraId="60C292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A5464DD">
            <w:pPr>
              <w:pStyle w:val="105"/>
              <w:bidi w:val="0"/>
              <w:rPr>
                <w:rFonts w:hint="default"/>
                <w:highlight w:val="none"/>
                <w:lang w:val="en-US" w:eastAsia="zh-CN"/>
              </w:rPr>
            </w:pPr>
          </w:p>
        </w:tc>
        <w:tc>
          <w:tcPr>
            <w:tcW w:w="513" w:type="dxa"/>
            <w:tcBorders>
              <w:tl2br w:val="nil"/>
              <w:tr2bl w:val="nil"/>
            </w:tcBorders>
            <w:noWrap w:val="0"/>
            <w:vAlign w:val="center"/>
          </w:tcPr>
          <w:p w14:paraId="251DCE2D">
            <w:pPr>
              <w:pStyle w:val="105"/>
              <w:bidi w:val="0"/>
              <w:rPr>
                <w:rFonts w:hint="default"/>
                <w:highlight w:val="none"/>
                <w:lang w:val="en-US" w:eastAsia="zh-CN"/>
              </w:rPr>
            </w:pPr>
            <w:r>
              <w:rPr>
                <w:rFonts w:hint="default"/>
                <w:highlight w:val="none"/>
                <w:lang w:val="en-US" w:eastAsia="zh-CN"/>
              </w:rPr>
              <w:t>13</w:t>
            </w:r>
          </w:p>
        </w:tc>
        <w:tc>
          <w:tcPr>
            <w:tcW w:w="6041" w:type="dxa"/>
            <w:tcBorders>
              <w:tl2br w:val="nil"/>
              <w:tr2bl w:val="nil"/>
            </w:tcBorders>
            <w:noWrap w:val="0"/>
            <w:vAlign w:val="center"/>
          </w:tcPr>
          <w:p w14:paraId="01F903FF">
            <w:pPr>
              <w:pStyle w:val="105"/>
              <w:bidi w:val="0"/>
              <w:rPr>
                <w:rFonts w:hint="default"/>
                <w:highlight w:val="none"/>
                <w:lang w:val="en-US" w:eastAsia="zh-CN"/>
              </w:rPr>
            </w:pPr>
            <w:r>
              <w:rPr>
                <w:rFonts w:hint="default"/>
                <w:highlight w:val="none"/>
                <w:lang w:val="en-US" w:eastAsia="zh-CN"/>
              </w:rPr>
              <w:t>梯子、护圈、休息平台符合GB5144—2006规定，连接牢靠</w:t>
            </w:r>
          </w:p>
        </w:tc>
        <w:tc>
          <w:tcPr>
            <w:tcW w:w="1229" w:type="dxa"/>
            <w:tcBorders>
              <w:tl2br w:val="nil"/>
              <w:tr2bl w:val="nil"/>
            </w:tcBorders>
            <w:noWrap w:val="0"/>
            <w:vAlign w:val="center"/>
          </w:tcPr>
          <w:p w14:paraId="632BE8CD">
            <w:pPr>
              <w:pStyle w:val="105"/>
              <w:bidi w:val="0"/>
              <w:rPr>
                <w:rFonts w:hint="default"/>
                <w:highlight w:val="none"/>
                <w:lang w:val="en-US" w:eastAsia="zh-CN"/>
              </w:rPr>
            </w:pPr>
          </w:p>
        </w:tc>
      </w:tr>
      <w:tr w14:paraId="2068D7F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5C1E27AF">
            <w:pPr>
              <w:pStyle w:val="105"/>
              <w:bidi w:val="0"/>
              <w:rPr>
                <w:rFonts w:hint="default"/>
                <w:highlight w:val="none"/>
                <w:lang w:val="en-US" w:eastAsia="zh-CN"/>
              </w:rPr>
            </w:pPr>
          </w:p>
        </w:tc>
        <w:tc>
          <w:tcPr>
            <w:tcW w:w="513" w:type="dxa"/>
            <w:tcBorders>
              <w:tl2br w:val="nil"/>
              <w:tr2bl w:val="nil"/>
            </w:tcBorders>
            <w:noWrap w:val="0"/>
            <w:vAlign w:val="center"/>
          </w:tcPr>
          <w:p w14:paraId="50CD42C5">
            <w:pPr>
              <w:pStyle w:val="105"/>
              <w:bidi w:val="0"/>
              <w:rPr>
                <w:rFonts w:hint="default"/>
                <w:highlight w:val="none"/>
                <w:lang w:val="en-US" w:eastAsia="zh-CN"/>
              </w:rPr>
            </w:pPr>
            <w:r>
              <w:rPr>
                <w:rFonts w:hint="default"/>
                <w:highlight w:val="none"/>
                <w:lang w:val="en-US" w:eastAsia="zh-CN"/>
              </w:rPr>
              <w:t>14</w:t>
            </w:r>
          </w:p>
        </w:tc>
        <w:tc>
          <w:tcPr>
            <w:tcW w:w="6041" w:type="dxa"/>
            <w:tcBorders>
              <w:tl2br w:val="nil"/>
              <w:tr2bl w:val="nil"/>
            </w:tcBorders>
            <w:noWrap w:val="0"/>
            <w:vAlign w:val="center"/>
          </w:tcPr>
          <w:p w14:paraId="0B398DA9">
            <w:pPr>
              <w:pStyle w:val="105"/>
              <w:bidi w:val="0"/>
              <w:rPr>
                <w:rFonts w:hint="default"/>
                <w:highlight w:val="none"/>
                <w:lang w:val="en-US" w:eastAsia="zh-CN"/>
              </w:rPr>
            </w:pPr>
            <w:r>
              <w:rPr>
                <w:rFonts w:hint="default"/>
                <w:highlight w:val="none"/>
                <w:lang w:val="en-US" w:eastAsia="zh-CN"/>
              </w:rPr>
              <w:t xml:space="preserve">平衡重安装牢固，重量与位置符合使用说明书要求， </w:t>
            </w:r>
          </w:p>
        </w:tc>
        <w:tc>
          <w:tcPr>
            <w:tcW w:w="1229" w:type="dxa"/>
            <w:tcBorders>
              <w:tl2br w:val="nil"/>
              <w:tr2bl w:val="nil"/>
            </w:tcBorders>
            <w:noWrap w:val="0"/>
            <w:vAlign w:val="center"/>
          </w:tcPr>
          <w:p w14:paraId="720EBC38">
            <w:pPr>
              <w:pStyle w:val="105"/>
              <w:bidi w:val="0"/>
              <w:rPr>
                <w:rFonts w:hint="default"/>
                <w:highlight w:val="none"/>
                <w:lang w:val="en-US" w:eastAsia="zh-CN"/>
              </w:rPr>
            </w:pPr>
          </w:p>
        </w:tc>
      </w:tr>
      <w:tr w14:paraId="1AD7B6E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594C29CC">
            <w:pPr>
              <w:pStyle w:val="105"/>
              <w:bidi w:val="0"/>
              <w:rPr>
                <w:rFonts w:hint="default"/>
                <w:highlight w:val="none"/>
                <w:lang w:val="en-US" w:eastAsia="zh-CN"/>
              </w:rPr>
            </w:pPr>
            <w:r>
              <w:rPr>
                <w:rFonts w:hint="default"/>
                <w:highlight w:val="none"/>
                <w:lang w:val="en-US" w:eastAsia="zh-CN"/>
              </w:rPr>
              <w:t>垂直度</w:t>
            </w:r>
          </w:p>
        </w:tc>
        <w:tc>
          <w:tcPr>
            <w:tcW w:w="513" w:type="dxa"/>
            <w:tcBorders>
              <w:tl2br w:val="nil"/>
              <w:tr2bl w:val="nil"/>
            </w:tcBorders>
            <w:noWrap w:val="0"/>
            <w:vAlign w:val="center"/>
          </w:tcPr>
          <w:p w14:paraId="6957DB7D">
            <w:pPr>
              <w:pStyle w:val="105"/>
              <w:bidi w:val="0"/>
              <w:rPr>
                <w:rFonts w:hint="default"/>
                <w:highlight w:val="none"/>
                <w:lang w:val="en-US" w:eastAsia="zh-CN"/>
              </w:rPr>
            </w:pPr>
            <w:r>
              <w:rPr>
                <w:rFonts w:hint="default"/>
                <w:highlight w:val="none"/>
                <w:lang w:val="en-US" w:eastAsia="zh-CN"/>
              </w:rPr>
              <w:t>15</w:t>
            </w:r>
          </w:p>
        </w:tc>
        <w:tc>
          <w:tcPr>
            <w:tcW w:w="6041" w:type="dxa"/>
            <w:tcBorders>
              <w:tl2br w:val="nil"/>
              <w:tr2bl w:val="nil"/>
            </w:tcBorders>
            <w:noWrap w:val="0"/>
            <w:vAlign w:val="center"/>
          </w:tcPr>
          <w:p w14:paraId="3AD568CE">
            <w:pPr>
              <w:pStyle w:val="105"/>
              <w:bidi w:val="0"/>
              <w:rPr>
                <w:rFonts w:hint="default"/>
                <w:highlight w:val="none"/>
                <w:lang w:val="en-US" w:eastAsia="zh-CN"/>
              </w:rPr>
            </w:pPr>
            <w:r>
              <w:rPr>
                <w:rFonts w:hint="default"/>
                <w:highlight w:val="none"/>
                <w:lang w:val="en-US" w:eastAsia="zh-CN"/>
              </w:rPr>
              <w:t>独立状态塔身轴心线对支承面的垂直度≤4‰</w:t>
            </w:r>
          </w:p>
        </w:tc>
        <w:tc>
          <w:tcPr>
            <w:tcW w:w="1229" w:type="dxa"/>
            <w:tcBorders>
              <w:tl2br w:val="nil"/>
              <w:tr2bl w:val="nil"/>
            </w:tcBorders>
            <w:noWrap w:val="0"/>
            <w:vAlign w:val="center"/>
          </w:tcPr>
          <w:p w14:paraId="62595DDD">
            <w:pPr>
              <w:pStyle w:val="105"/>
              <w:bidi w:val="0"/>
              <w:rPr>
                <w:rFonts w:hint="default"/>
                <w:highlight w:val="none"/>
                <w:lang w:val="en-US" w:eastAsia="zh-CN"/>
              </w:rPr>
            </w:pPr>
          </w:p>
        </w:tc>
      </w:tr>
      <w:tr w14:paraId="556C6EA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47AD01A6">
            <w:pPr>
              <w:pStyle w:val="105"/>
              <w:bidi w:val="0"/>
              <w:rPr>
                <w:rFonts w:hint="default"/>
                <w:highlight w:val="none"/>
                <w:lang w:val="en-US" w:eastAsia="zh-CN"/>
              </w:rPr>
            </w:pPr>
            <w:r>
              <w:rPr>
                <w:rFonts w:hint="default"/>
                <w:highlight w:val="none"/>
                <w:lang w:val="en-US" w:eastAsia="zh-CN"/>
              </w:rPr>
              <w:t>回转</w:t>
            </w:r>
          </w:p>
        </w:tc>
        <w:tc>
          <w:tcPr>
            <w:tcW w:w="513" w:type="dxa"/>
            <w:tcBorders>
              <w:tl2br w:val="nil"/>
              <w:tr2bl w:val="nil"/>
            </w:tcBorders>
            <w:noWrap w:val="0"/>
            <w:vAlign w:val="center"/>
          </w:tcPr>
          <w:p w14:paraId="4AB5557F">
            <w:pPr>
              <w:pStyle w:val="105"/>
              <w:bidi w:val="0"/>
              <w:rPr>
                <w:rFonts w:hint="default"/>
                <w:highlight w:val="none"/>
                <w:lang w:val="en-US" w:eastAsia="zh-CN"/>
              </w:rPr>
            </w:pPr>
            <w:r>
              <w:rPr>
                <w:rFonts w:hint="default"/>
                <w:highlight w:val="none"/>
                <w:lang w:val="en-US" w:eastAsia="zh-CN"/>
              </w:rPr>
              <w:t>16</w:t>
            </w:r>
          </w:p>
        </w:tc>
        <w:tc>
          <w:tcPr>
            <w:tcW w:w="6041" w:type="dxa"/>
            <w:tcBorders>
              <w:tl2br w:val="nil"/>
              <w:tr2bl w:val="nil"/>
            </w:tcBorders>
            <w:noWrap w:val="0"/>
            <w:vAlign w:val="center"/>
          </w:tcPr>
          <w:p w14:paraId="4B7BCCCA">
            <w:pPr>
              <w:pStyle w:val="105"/>
              <w:bidi w:val="0"/>
              <w:rPr>
                <w:rFonts w:hint="default"/>
                <w:highlight w:val="none"/>
                <w:lang w:val="en-US" w:eastAsia="zh-CN"/>
              </w:rPr>
            </w:pPr>
            <w:r>
              <w:rPr>
                <w:rFonts w:hint="default"/>
                <w:highlight w:val="none"/>
                <w:lang w:val="en-US" w:eastAsia="zh-CN"/>
              </w:rPr>
              <w:t>回转处不设集电器供电的塔式起重机，应设置正反两个方向回转限位开关，开关动作时臂架旋转角度应≤±540°</w:t>
            </w:r>
          </w:p>
        </w:tc>
        <w:tc>
          <w:tcPr>
            <w:tcW w:w="1229" w:type="dxa"/>
            <w:tcBorders>
              <w:tl2br w:val="nil"/>
              <w:tr2bl w:val="nil"/>
            </w:tcBorders>
            <w:noWrap w:val="0"/>
            <w:vAlign w:val="center"/>
          </w:tcPr>
          <w:p w14:paraId="5DD1B288">
            <w:pPr>
              <w:pStyle w:val="105"/>
              <w:bidi w:val="0"/>
              <w:rPr>
                <w:rFonts w:hint="default"/>
                <w:highlight w:val="none"/>
                <w:lang w:val="en-US" w:eastAsia="zh-CN"/>
              </w:rPr>
            </w:pPr>
          </w:p>
        </w:tc>
      </w:tr>
      <w:tr w14:paraId="61C9D50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B99B151">
            <w:pPr>
              <w:pStyle w:val="105"/>
              <w:bidi w:val="0"/>
              <w:rPr>
                <w:rFonts w:hint="default"/>
                <w:highlight w:val="none"/>
                <w:lang w:val="en-US" w:eastAsia="zh-CN"/>
              </w:rPr>
            </w:pPr>
            <w:r>
              <w:rPr>
                <w:rFonts w:hint="default"/>
                <w:highlight w:val="none"/>
                <w:lang w:val="en-US" w:eastAsia="zh-CN"/>
              </w:rPr>
              <w:t>起升系统</w:t>
            </w:r>
          </w:p>
        </w:tc>
        <w:tc>
          <w:tcPr>
            <w:tcW w:w="513" w:type="dxa"/>
            <w:tcBorders>
              <w:tl2br w:val="nil"/>
              <w:tr2bl w:val="nil"/>
            </w:tcBorders>
            <w:noWrap w:val="0"/>
            <w:vAlign w:val="center"/>
          </w:tcPr>
          <w:p w14:paraId="6413DFF0">
            <w:pPr>
              <w:pStyle w:val="105"/>
              <w:bidi w:val="0"/>
              <w:rPr>
                <w:rFonts w:hint="default"/>
                <w:highlight w:val="none"/>
                <w:lang w:val="en-US" w:eastAsia="zh-CN"/>
              </w:rPr>
            </w:pPr>
            <w:r>
              <w:rPr>
                <w:rFonts w:hint="default"/>
                <w:highlight w:val="none"/>
                <w:lang w:val="en-US" w:eastAsia="zh-CN"/>
              </w:rPr>
              <w:t>17</w:t>
            </w:r>
          </w:p>
        </w:tc>
        <w:tc>
          <w:tcPr>
            <w:tcW w:w="6041" w:type="dxa"/>
            <w:tcBorders>
              <w:tl2br w:val="nil"/>
              <w:tr2bl w:val="nil"/>
            </w:tcBorders>
            <w:noWrap w:val="0"/>
            <w:vAlign w:val="center"/>
          </w:tcPr>
          <w:p w14:paraId="0EF27B82">
            <w:pPr>
              <w:pStyle w:val="105"/>
              <w:bidi w:val="0"/>
              <w:rPr>
                <w:rFonts w:hint="default"/>
                <w:highlight w:val="none"/>
                <w:lang w:val="en-US" w:eastAsia="zh-CN"/>
              </w:rPr>
            </w:pPr>
            <w:r>
              <w:rPr>
                <w:rFonts w:hint="default"/>
                <w:highlight w:val="none"/>
                <w:lang w:val="en-US" w:eastAsia="zh-CN"/>
              </w:rPr>
              <w:t>起重力矩限制器灵敏可靠，限制值&lt;额定载荷110%，显示误差≤额定载荷±5%</w:t>
            </w:r>
          </w:p>
        </w:tc>
        <w:tc>
          <w:tcPr>
            <w:tcW w:w="1229" w:type="dxa"/>
            <w:tcBorders>
              <w:tl2br w:val="nil"/>
              <w:tr2bl w:val="nil"/>
            </w:tcBorders>
            <w:noWrap w:val="0"/>
            <w:vAlign w:val="center"/>
          </w:tcPr>
          <w:p w14:paraId="4279D8B6">
            <w:pPr>
              <w:pStyle w:val="105"/>
              <w:bidi w:val="0"/>
              <w:rPr>
                <w:rFonts w:hint="default"/>
                <w:highlight w:val="none"/>
                <w:lang w:val="en-US" w:eastAsia="zh-CN"/>
              </w:rPr>
            </w:pPr>
          </w:p>
        </w:tc>
      </w:tr>
      <w:tr w14:paraId="10846D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0AFC299">
            <w:pPr>
              <w:pStyle w:val="105"/>
              <w:bidi w:val="0"/>
              <w:rPr>
                <w:rFonts w:hint="default"/>
                <w:highlight w:val="none"/>
                <w:lang w:val="en-US" w:eastAsia="zh-CN"/>
              </w:rPr>
            </w:pPr>
          </w:p>
        </w:tc>
        <w:tc>
          <w:tcPr>
            <w:tcW w:w="513" w:type="dxa"/>
            <w:tcBorders>
              <w:tl2br w:val="nil"/>
              <w:tr2bl w:val="nil"/>
            </w:tcBorders>
            <w:noWrap w:val="0"/>
            <w:vAlign w:val="center"/>
          </w:tcPr>
          <w:p w14:paraId="52C433CE">
            <w:pPr>
              <w:pStyle w:val="105"/>
              <w:bidi w:val="0"/>
              <w:rPr>
                <w:rFonts w:hint="default"/>
                <w:highlight w:val="none"/>
                <w:lang w:val="en-US" w:eastAsia="zh-CN"/>
              </w:rPr>
            </w:pPr>
            <w:r>
              <w:rPr>
                <w:rFonts w:hint="default"/>
                <w:highlight w:val="none"/>
                <w:lang w:val="en-US" w:eastAsia="zh-CN"/>
              </w:rPr>
              <w:t>18</w:t>
            </w:r>
          </w:p>
        </w:tc>
        <w:tc>
          <w:tcPr>
            <w:tcW w:w="6041" w:type="dxa"/>
            <w:tcBorders>
              <w:tl2br w:val="nil"/>
              <w:tr2bl w:val="nil"/>
            </w:tcBorders>
            <w:noWrap w:val="0"/>
            <w:vAlign w:val="center"/>
          </w:tcPr>
          <w:p w14:paraId="246E9D49">
            <w:pPr>
              <w:pStyle w:val="105"/>
              <w:bidi w:val="0"/>
              <w:rPr>
                <w:rFonts w:hint="default"/>
                <w:highlight w:val="none"/>
                <w:lang w:val="en-US" w:eastAsia="zh-CN"/>
              </w:rPr>
            </w:pPr>
            <w:r>
              <w:rPr>
                <w:rFonts w:hint="default"/>
                <w:highlight w:val="none"/>
                <w:lang w:val="en-US" w:eastAsia="zh-CN"/>
              </w:rPr>
              <w:t>起升高度限位器灵敏可靠，安全越程≥800mm</w:t>
            </w:r>
          </w:p>
        </w:tc>
        <w:tc>
          <w:tcPr>
            <w:tcW w:w="1229" w:type="dxa"/>
            <w:tcBorders>
              <w:tl2br w:val="nil"/>
              <w:tr2bl w:val="nil"/>
            </w:tcBorders>
            <w:noWrap w:val="0"/>
            <w:vAlign w:val="center"/>
          </w:tcPr>
          <w:p w14:paraId="4D304025">
            <w:pPr>
              <w:pStyle w:val="105"/>
              <w:bidi w:val="0"/>
              <w:rPr>
                <w:rFonts w:hint="default"/>
                <w:highlight w:val="none"/>
                <w:lang w:val="en-US" w:eastAsia="zh-CN"/>
              </w:rPr>
            </w:pPr>
          </w:p>
        </w:tc>
      </w:tr>
      <w:tr w14:paraId="17CEBD6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71E591A">
            <w:pPr>
              <w:pStyle w:val="105"/>
              <w:bidi w:val="0"/>
              <w:rPr>
                <w:rFonts w:hint="default"/>
                <w:highlight w:val="none"/>
                <w:lang w:val="en-US" w:eastAsia="zh-CN"/>
              </w:rPr>
            </w:pPr>
          </w:p>
        </w:tc>
        <w:tc>
          <w:tcPr>
            <w:tcW w:w="513" w:type="dxa"/>
            <w:tcBorders>
              <w:tl2br w:val="nil"/>
              <w:tr2bl w:val="nil"/>
            </w:tcBorders>
            <w:noWrap w:val="0"/>
            <w:vAlign w:val="center"/>
          </w:tcPr>
          <w:p w14:paraId="161C8A87">
            <w:pPr>
              <w:pStyle w:val="105"/>
              <w:bidi w:val="0"/>
              <w:rPr>
                <w:rFonts w:hint="default"/>
                <w:highlight w:val="none"/>
                <w:lang w:val="en-US" w:eastAsia="zh-CN"/>
              </w:rPr>
            </w:pPr>
            <w:r>
              <w:rPr>
                <w:rFonts w:hint="default"/>
                <w:highlight w:val="none"/>
                <w:lang w:val="en-US" w:eastAsia="zh-CN"/>
              </w:rPr>
              <w:t>19</w:t>
            </w:r>
          </w:p>
        </w:tc>
        <w:tc>
          <w:tcPr>
            <w:tcW w:w="6041" w:type="dxa"/>
            <w:tcBorders>
              <w:tl2br w:val="nil"/>
              <w:tr2bl w:val="nil"/>
            </w:tcBorders>
            <w:noWrap w:val="0"/>
            <w:vAlign w:val="center"/>
          </w:tcPr>
          <w:p w14:paraId="245BA9C1">
            <w:pPr>
              <w:pStyle w:val="105"/>
              <w:bidi w:val="0"/>
              <w:rPr>
                <w:rFonts w:hint="default"/>
                <w:highlight w:val="none"/>
                <w:lang w:val="en-US" w:eastAsia="zh-CN"/>
              </w:rPr>
            </w:pPr>
            <w:r>
              <w:rPr>
                <w:rFonts w:hint="default"/>
                <w:highlight w:val="none"/>
                <w:lang w:val="en-US" w:eastAsia="zh-CN"/>
              </w:rPr>
              <w:t>起重量限制器灵敏可靠，限制值＜额定载荷110%，显示误差≤额定载荷±5%</w:t>
            </w:r>
          </w:p>
        </w:tc>
        <w:tc>
          <w:tcPr>
            <w:tcW w:w="1229" w:type="dxa"/>
            <w:tcBorders>
              <w:tl2br w:val="nil"/>
              <w:tr2bl w:val="nil"/>
            </w:tcBorders>
            <w:noWrap w:val="0"/>
            <w:vAlign w:val="center"/>
          </w:tcPr>
          <w:p w14:paraId="0C02C57E">
            <w:pPr>
              <w:pStyle w:val="105"/>
              <w:bidi w:val="0"/>
              <w:rPr>
                <w:rFonts w:hint="default"/>
                <w:highlight w:val="none"/>
                <w:lang w:val="en-US" w:eastAsia="zh-CN"/>
              </w:rPr>
            </w:pPr>
          </w:p>
        </w:tc>
      </w:tr>
      <w:tr w14:paraId="59E578E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159052A5">
            <w:pPr>
              <w:pStyle w:val="105"/>
              <w:bidi w:val="0"/>
              <w:rPr>
                <w:rFonts w:hint="default"/>
                <w:highlight w:val="none"/>
                <w:lang w:val="en-US" w:eastAsia="zh-CN"/>
              </w:rPr>
            </w:pPr>
            <w:r>
              <w:rPr>
                <w:rFonts w:hint="default"/>
                <w:highlight w:val="none"/>
                <w:lang w:val="en-US" w:eastAsia="zh-CN"/>
              </w:rPr>
              <w:t>变幅系统</w:t>
            </w:r>
          </w:p>
        </w:tc>
        <w:tc>
          <w:tcPr>
            <w:tcW w:w="513" w:type="dxa"/>
            <w:tcBorders>
              <w:tl2br w:val="nil"/>
              <w:tr2bl w:val="nil"/>
            </w:tcBorders>
            <w:noWrap w:val="0"/>
            <w:vAlign w:val="center"/>
          </w:tcPr>
          <w:p w14:paraId="29A2DD67">
            <w:pPr>
              <w:pStyle w:val="105"/>
              <w:bidi w:val="0"/>
              <w:rPr>
                <w:rFonts w:hint="default"/>
                <w:highlight w:val="none"/>
                <w:lang w:val="en-US" w:eastAsia="zh-CN"/>
              </w:rPr>
            </w:pPr>
            <w:r>
              <w:rPr>
                <w:rFonts w:hint="default"/>
                <w:highlight w:val="none"/>
                <w:lang w:val="en-US" w:eastAsia="zh-CN"/>
              </w:rPr>
              <w:t>20</w:t>
            </w:r>
          </w:p>
        </w:tc>
        <w:tc>
          <w:tcPr>
            <w:tcW w:w="6041" w:type="dxa"/>
            <w:tcBorders>
              <w:tl2br w:val="nil"/>
              <w:tr2bl w:val="nil"/>
            </w:tcBorders>
            <w:noWrap w:val="0"/>
            <w:vAlign w:val="center"/>
          </w:tcPr>
          <w:p w14:paraId="6B3E8513">
            <w:pPr>
              <w:pStyle w:val="105"/>
              <w:bidi w:val="0"/>
              <w:rPr>
                <w:rFonts w:hint="default"/>
                <w:highlight w:val="none"/>
                <w:lang w:val="en-US" w:eastAsia="zh-CN"/>
              </w:rPr>
            </w:pPr>
            <w:r>
              <w:rPr>
                <w:rFonts w:hint="default"/>
                <w:highlight w:val="none"/>
                <w:lang w:val="en-US" w:eastAsia="zh-CN"/>
              </w:rPr>
              <w:t>应设置小车断绳、小车断轴保护装置，可靠有效</w:t>
            </w:r>
          </w:p>
        </w:tc>
        <w:tc>
          <w:tcPr>
            <w:tcW w:w="1229" w:type="dxa"/>
            <w:tcBorders>
              <w:tl2br w:val="nil"/>
              <w:tr2bl w:val="nil"/>
            </w:tcBorders>
            <w:noWrap w:val="0"/>
            <w:vAlign w:val="center"/>
          </w:tcPr>
          <w:p w14:paraId="1FBA7BC7">
            <w:pPr>
              <w:pStyle w:val="105"/>
              <w:bidi w:val="0"/>
              <w:rPr>
                <w:rFonts w:hint="default"/>
                <w:highlight w:val="none"/>
                <w:lang w:val="en-US" w:eastAsia="zh-CN"/>
              </w:rPr>
            </w:pPr>
          </w:p>
        </w:tc>
      </w:tr>
      <w:tr w14:paraId="02A26BA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77479BC5">
            <w:pPr>
              <w:pStyle w:val="105"/>
              <w:bidi w:val="0"/>
              <w:rPr>
                <w:rFonts w:hint="default"/>
                <w:highlight w:val="none"/>
                <w:lang w:val="en-US" w:eastAsia="zh-CN"/>
              </w:rPr>
            </w:pPr>
          </w:p>
        </w:tc>
        <w:tc>
          <w:tcPr>
            <w:tcW w:w="513" w:type="dxa"/>
            <w:tcBorders>
              <w:tl2br w:val="nil"/>
              <w:tr2bl w:val="nil"/>
            </w:tcBorders>
            <w:noWrap w:val="0"/>
            <w:vAlign w:val="center"/>
          </w:tcPr>
          <w:p w14:paraId="0E634CF7">
            <w:pPr>
              <w:pStyle w:val="105"/>
              <w:bidi w:val="0"/>
              <w:rPr>
                <w:rFonts w:hint="default"/>
                <w:highlight w:val="none"/>
                <w:lang w:val="en-US" w:eastAsia="zh-CN"/>
              </w:rPr>
            </w:pPr>
            <w:r>
              <w:rPr>
                <w:rFonts w:hint="default"/>
                <w:highlight w:val="none"/>
                <w:lang w:val="en-US" w:eastAsia="zh-CN"/>
              </w:rPr>
              <w:t>21</w:t>
            </w:r>
          </w:p>
        </w:tc>
        <w:tc>
          <w:tcPr>
            <w:tcW w:w="6041" w:type="dxa"/>
            <w:tcBorders>
              <w:tl2br w:val="nil"/>
              <w:tr2bl w:val="nil"/>
            </w:tcBorders>
            <w:noWrap w:val="0"/>
            <w:vAlign w:val="center"/>
          </w:tcPr>
          <w:p w14:paraId="499AE565">
            <w:pPr>
              <w:pStyle w:val="105"/>
              <w:bidi w:val="0"/>
              <w:rPr>
                <w:rFonts w:hint="default"/>
                <w:highlight w:val="none"/>
                <w:lang w:val="en-US" w:eastAsia="zh-CN"/>
              </w:rPr>
            </w:pPr>
            <w:r>
              <w:rPr>
                <w:rFonts w:hint="default"/>
                <w:highlight w:val="none"/>
                <w:lang w:val="en-US" w:eastAsia="zh-CN"/>
              </w:rPr>
              <w:t>小车变幅检修挂篮牢固可靠</w:t>
            </w:r>
          </w:p>
        </w:tc>
        <w:tc>
          <w:tcPr>
            <w:tcW w:w="1229" w:type="dxa"/>
            <w:tcBorders>
              <w:tl2br w:val="nil"/>
              <w:tr2bl w:val="nil"/>
            </w:tcBorders>
            <w:noWrap w:val="0"/>
            <w:vAlign w:val="center"/>
          </w:tcPr>
          <w:p w14:paraId="2FF3EF3B">
            <w:pPr>
              <w:pStyle w:val="105"/>
              <w:bidi w:val="0"/>
              <w:rPr>
                <w:rFonts w:hint="default"/>
                <w:highlight w:val="none"/>
                <w:lang w:val="en-US" w:eastAsia="zh-CN"/>
              </w:rPr>
            </w:pPr>
          </w:p>
        </w:tc>
      </w:tr>
      <w:tr w14:paraId="3748FFB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PrEx>
        <w:trPr>
          <w:trHeight w:val="454" w:hRule="atLeast"/>
          <w:jc w:val="center"/>
        </w:trPr>
        <w:tc>
          <w:tcPr>
            <w:tcW w:w="721" w:type="dxa"/>
            <w:vMerge w:val="continue"/>
            <w:tcBorders>
              <w:tl2br w:val="nil"/>
              <w:tr2bl w:val="nil"/>
            </w:tcBorders>
            <w:noWrap w:val="0"/>
            <w:vAlign w:val="center"/>
          </w:tcPr>
          <w:p w14:paraId="4FDE4A71">
            <w:pPr>
              <w:pStyle w:val="105"/>
              <w:bidi w:val="0"/>
              <w:rPr>
                <w:rFonts w:hint="default"/>
                <w:highlight w:val="none"/>
                <w:lang w:val="en-US" w:eastAsia="zh-CN"/>
              </w:rPr>
            </w:pPr>
          </w:p>
        </w:tc>
        <w:tc>
          <w:tcPr>
            <w:tcW w:w="513" w:type="dxa"/>
            <w:tcBorders>
              <w:tl2br w:val="nil"/>
              <w:tr2bl w:val="nil"/>
            </w:tcBorders>
            <w:noWrap w:val="0"/>
            <w:vAlign w:val="center"/>
          </w:tcPr>
          <w:p w14:paraId="79D2AA77">
            <w:pPr>
              <w:pStyle w:val="105"/>
              <w:bidi w:val="0"/>
              <w:rPr>
                <w:rFonts w:hint="default"/>
                <w:highlight w:val="none"/>
                <w:lang w:val="en-US" w:eastAsia="zh-CN"/>
              </w:rPr>
            </w:pPr>
            <w:r>
              <w:rPr>
                <w:rFonts w:hint="default"/>
                <w:highlight w:val="none"/>
                <w:lang w:val="en-US" w:eastAsia="zh-CN"/>
              </w:rPr>
              <w:t>22</w:t>
            </w:r>
          </w:p>
        </w:tc>
        <w:tc>
          <w:tcPr>
            <w:tcW w:w="6041" w:type="dxa"/>
            <w:tcBorders>
              <w:tl2br w:val="nil"/>
              <w:tr2bl w:val="nil"/>
            </w:tcBorders>
            <w:noWrap w:val="0"/>
            <w:vAlign w:val="center"/>
          </w:tcPr>
          <w:p w14:paraId="010F6982">
            <w:pPr>
              <w:pStyle w:val="105"/>
              <w:bidi w:val="0"/>
              <w:rPr>
                <w:rFonts w:hint="default"/>
                <w:highlight w:val="none"/>
                <w:lang w:val="en-US" w:eastAsia="zh-CN"/>
              </w:rPr>
            </w:pPr>
            <w:r>
              <w:rPr>
                <w:rFonts w:hint="default"/>
                <w:highlight w:val="none"/>
                <w:lang w:val="en-US" w:eastAsia="zh-CN"/>
              </w:rPr>
              <w:t>小车行程限位开关和终端缓冲装置齐全有效。限位开关动作后应保证小车停车时其端部距缓冲装置距离≥200mm</w:t>
            </w:r>
          </w:p>
        </w:tc>
        <w:tc>
          <w:tcPr>
            <w:tcW w:w="1229" w:type="dxa"/>
            <w:tcBorders>
              <w:tl2br w:val="nil"/>
              <w:tr2bl w:val="nil"/>
            </w:tcBorders>
            <w:noWrap w:val="0"/>
            <w:vAlign w:val="center"/>
          </w:tcPr>
          <w:p w14:paraId="73F7B804">
            <w:pPr>
              <w:pStyle w:val="105"/>
              <w:bidi w:val="0"/>
              <w:rPr>
                <w:rFonts w:hint="default"/>
                <w:highlight w:val="none"/>
                <w:lang w:val="en-US" w:eastAsia="zh-CN"/>
              </w:rPr>
            </w:pPr>
          </w:p>
        </w:tc>
      </w:tr>
      <w:tr w14:paraId="7ACD435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57209F6E">
            <w:pPr>
              <w:pStyle w:val="105"/>
              <w:bidi w:val="0"/>
              <w:rPr>
                <w:rFonts w:hint="default"/>
                <w:highlight w:val="none"/>
                <w:lang w:val="en-US" w:eastAsia="zh-CN"/>
              </w:rPr>
            </w:pPr>
            <w:r>
              <w:rPr>
                <w:rFonts w:hint="default"/>
                <w:highlight w:val="none"/>
                <w:lang w:val="en-US" w:eastAsia="zh-CN"/>
              </w:rPr>
              <w:t>机构及零部件</w:t>
            </w:r>
          </w:p>
        </w:tc>
        <w:tc>
          <w:tcPr>
            <w:tcW w:w="513" w:type="dxa"/>
            <w:tcBorders>
              <w:tl2br w:val="nil"/>
              <w:tr2bl w:val="nil"/>
            </w:tcBorders>
            <w:noWrap w:val="0"/>
            <w:vAlign w:val="center"/>
          </w:tcPr>
          <w:p w14:paraId="089F1205">
            <w:pPr>
              <w:pStyle w:val="105"/>
              <w:bidi w:val="0"/>
              <w:rPr>
                <w:rFonts w:hint="default"/>
                <w:highlight w:val="none"/>
                <w:lang w:val="en-US" w:eastAsia="zh-CN"/>
              </w:rPr>
            </w:pPr>
            <w:r>
              <w:rPr>
                <w:rFonts w:hint="default"/>
                <w:highlight w:val="none"/>
                <w:lang w:val="en-US" w:eastAsia="zh-CN"/>
              </w:rPr>
              <w:t>23</w:t>
            </w:r>
          </w:p>
        </w:tc>
        <w:tc>
          <w:tcPr>
            <w:tcW w:w="6041" w:type="dxa"/>
            <w:tcBorders>
              <w:tl2br w:val="nil"/>
              <w:tr2bl w:val="nil"/>
            </w:tcBorders>
            <w:noWrap w:val="0"/>
            <w:vAlign w:val="center"/>
          </w:tcPr>
          <w:p w14:paraId="135AE44F">
            <w:pPr>
              <w:pStyle w:val="105"/>
              <w:bidi w:val="0"/>
              <w:rPr>
                <w:rFonts w:hint="default"/>
                <w:highlight w:val="none"/>
                <w:lang w:val="en-US" w:eastAsia="zh-CN"/>
              </w:rPr>
            </w:pPr>
            <w:r>
              <w:rPr>
                <w:rFonts w:hint="default"/>
                <w:highlight w:val="none"/>
                <w:lang w:val="en-US" w:eastAsia="zh-CN"/>
              </w:rPr>
              <w:t>吊钩钩体无裂纹、补焊，危险截面、钩筋无塑性变形，挂绳处截面磨损量＜原高度的10%</w:t>
            </w:r>
          </w:p>
        </w:tc>
        <w:tc>
          <w:tcPr>
            <w:tcW w:w="1229" w:type="dxa"/>
            <w:tcBorders>
              <w:tl2br w:val="nil"/>
              <w:tr2bl w:val="nil"/>
            </w:tcBorders>
            <w:noWrap w:val="0"/>
            <w:vAlign w:val="center"/>
          </w:tcPr>
          <w:p w14:paraId="0C9FFE77">
            <w:pPr>
              <w:pStyle w:val="105"/>
              <w:bidi w:val="0"/>
              <w:rPr>
                <w:rFonts w:hint="default"/>
                <w:highlight w:val="none"/>
                <w:lang w:val="en-US" w:eastAsia="zh-CN"/>
              </w:rPr>
            </w:pPr>
          </w:p>
        </w:tc>
      </w:tr>
      <w:tr w14:paraId="3CE57C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0DBE3CCA">
            <w:pPr>
              <w:pStyle w:val="105"/>
              <w:bidi w:val="0"/>
              <w:rPr>
                <w:rFonts w:hint="default"/>
                <w:highlight w:val="none"/>
                <w:lang w:val="en-US" w:eastAsia="zh-CN"/>
              </w:rPr>
            </w:pPr>
          </w:p>
        </w:tc>
        <w:tc>
          <w:tcPr>
            <w:tcW w:w="513" w:type="dxa"/>
            <w:tcBorders>
              <w:tl2br w:val="nil"/>
              <w:tr2bl w:val="nil"/>
            </w:tcBorders>
            <w:noWrap w:val="0"/>
            <w:vAlign w:val="center"/>
          </w:tcPr>
          <w:p w14:paraId="03303823">
            <w:pPr>
              <w:pStyle w:val="105"/>
              <w:bidi w:val="0"/>
              <w:rPr>
                <w:rFonts w:hint="default"/>
                <w:highlight w:val="none"/>
                <w:lang w:val="en-US" w:eastAsia="zh-CN"/>
              </w:rPr>
            </w:pPr>
            <w:r>
              <w:rPr>
                <w:rFonts w:hint="default"/>
                <w:highlight w:val="none"/>
                <w:lang w:val="en-US" w:eastAsia="zh-CN"/>
              </w:rPr>
              <w:t>24</w:t>
            </w:r>
          </w:p>
        </w:tc>
        <w:tc>
          <w:tcPr>
            <w:tcW w:w="6041" w:type="dxa"/>
            <w:tcBorders>
              <w:tl2br w:val="nil"/>
              <w:tr2bl w:val="nil"/>
            </w:tcBorders>
            <w:noWrap w:val="0"/>
            <w:vAlign w:val="center"/>
          </w:tcPr>
          <w:p w14:paraId="2439E3DF">
            <w:pPr>
              <w:pStyle w:val="105"/>
              <w:bidi w:val="0"/>
              <w:rPr>
                <w:rFonts w:hint="default"/>
                <w:highlight w:val="none"/>
                <w:lang w:val="en-US" w:eastAsia="zh-CN"/>
              </w:rPr>
            </w:pPr>
            <w:r>
              <w:rPr>
                <w:rFonts w:hint="default"/>
                <w:highlight w:val="none"/>
                <w:lang w:val="en-US" w:eastAsia="zh-CN"/>
              </w:rPr>
              <w:t>滑轮转动灵活可靠，无卡塞现象；无裂纹或轮缘破损；滑轮绳槽壁厚磨损量＜原壁厚的20%；滑轮槽底的磨损量＜相应钢丝绳直径的25%</w:t>
            </w:r>
          </w:p>
        </w:tc>
        <w:tc>
          <w:tcPr>
            <w:tcW w:w="1229" w:type="dxa"/>
            <w:tcBorders>
              <w:tl2br w:val="nil"/>
              <w:tr2bl w:val="nil"/>
            </w:tcBorders>
            <w:noWrap w:val="0"/>
            <w:vAlign w:val="center"/>
          </w:tcPr>
          <w:p w14:paraId="2225AEDA">
            <w:pPr>
              <w:pStyle w:val="105"/>
              <w:bidi w:val="0"/>
              <w:rPr>
                <w:rFonts w:hint="default"/>
                <w:highlight w:val="none"/>
                <w:lang w:val="en-US" w:eastAsia="zh-CN"/>
              </w:rPr>
            </w:pPr>
          </w:p>
        </w:tc>
      </w:tr>
      <w:tr w14:paraId="2097196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30929B15">
            <w:pPr>
              <w:pStyle w:val="105"/>
              <w:bidi w:val="0"/>
              <w:rPr>
                <w:rFonts w:hint="default"/>
                <w:highlight w:val="none"/>
                <w:lang w:val="en-US" w:eastAsia="zh-CN"/>
              </w:rPr>
            </w:pPr>
          </w:p>
        </w:tc>
        <w:tc>
          <w:tcPr>
            <w:tcW w:w="513" w:type="dxa"/>
            <w:tcBorders>
              <w:tl2br w:val="nil"/>
              <w:tr2bl w:val="nil"/>
            </w:tcBorders>
            <w:noWrap w:val="0"/>
            <w:vAlign w:val="center"/>
          </w:tcPr>
          <w:p w14:paraId="1245D91E">
            <w:pPr>
              <w:pStyle w:val="105"/>
              <w:bidi w:val="0"/>
              <w:rPr>
                <w:rFonts w:hint="default"/>
                <w:highlight w:val="none"/>
                <w:lang w:val="en-US" w:eastAsia="zh-CN"/>
              </w:rPr>
            </w:pPr>
            <w:r>
              <w:rPr>
                <w:rFonts w:hint="default"/>
                <w:highlight w:val="none"/>
                <w:lang w:val="en-US" w:eastAsia="zh-CN"/>
              </w:rPr>
              <w:t>25</w:t>
            </w:r>
          </w:p>
        </w:tc>
        <w:tc>
          <w:tcPr>
            <w:tcW w:w="6041" w:type="dxa"/>
            <w:tcBorders>
              <w:tl2br w:val="nil"/>
              <w:tr2bl w:val="nil"/>
            </w:tcBorders>
            <w:noWrap w:val="0"/>
            <w:vAlign w:val="center"/>
          </w:tcPr>
          <w:p w14:paraId="15B66F70">
            <w:pPr>
              <w:pStyle w:val="105"/>
              <w:bidi w:val="0"/>
              <w:rPr>
                <w:rFonts w:hint="default"/>
                <w:highlight w:val="none"/>
                <w:lang w:val="en-US" w:eastAsia="zh-CN"/>
              </w:rPr>
            </w:pPr>
            <w:r>
              <w:rPr>
                <w:rFonts w:hint="default"/>
                <w:highlight w:val="none"/>
                <w:lang w:val="en-US" w:eastAsia="zh-CN"/>
              </w:rPr>
              <w:t>滑轮上的钢丝绳防脱装置应完整、可靠，该装置与滑轮最外缘的间隙≤钢丝绳直径的20%</w:t>
            </w:r>
          </w:p>
        </w:tc>
        <w:tc>
          <w:tcPr>
            <w:tcW w:w="1229" w:type="dxa"/>
            <w:tcBorders>
              <w:tl2br w:val="nil"/>
              <w:tr2bl w:val="nil"/>
            </w:tcBorders>
            <w:noWrap w:val="0"/>
            <w:vAlign w:val="center"/>
          </w:tcPr>
          <w:p w14:paraId="2F523861">
            <w:pPr>
              <w:pStyle w:val="105"/>
              <w:bidi w:val="0"/>
              <w:rPr>
                <w:rFonts w:hint="default"/>
                <w:highlight w:val="none"/>
                <w:lang w:val="en-US" w:eastAsia="zh-CN"/>
              </w:rPr>
            </w:pPr>
          </w:p>
        </w:tc>
      </w:tr>
      <w:tr w14:paraId="40E69DE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center"/>
          </w:tcPr>
          <w:p w14:paraId="6C200DFE">
            <w:pPr>
              <w:pStyle w:val="105"/>
              <w:bidi w:val="0"/>
              <w:rPr>
                <w:rFonts w:hint="default"/>
                <w:highlight w:val="none"/>
                <w:lang w:val="en-US" w:eastAsia="zh-CN"/>
              </w:rPr>
            </w:pPr>
          </w:p>
        </w:tc>
        <w:tc>
          <w:tcPr>
            <w:tcW w:w="513" w:type="dxa"/>
            <w:tcBorders>
              <w:tl2br w:val="nil"/>
              <w:tr2bl w:val="nil"/>
            </w:tcBorders>
            <w:noWrap w:val="0"/>
            <w:vAlign w:val="center"/>
          </w:tcPr>
          <w:p w14:paraId="06FF7460">
            <w:pPr>
              <w:pStyle w:val="105"/>
              <w:bidi w:val="0"/>
              <w:rPr>
                <w:rFonts w:hint="default"/>
                <w:highlight w:val="none"/>
                <w:lang w:val="en-US" w:eastAsia="zh-CN"/>
              </w:rPr>
            </w:pPr>
            <w:r>
              <w:rPr>
                <w:rFonts w:hint="default"/>
                <w:highlight w:val="none"/>
                <w:lang w:val="en-US" w:eastAsia="zh-CN"/>
              </w:rPr>
              <w:t>26</w:t>
            </w:r>
          </w:p>
        </w:tc>
        <w:tc>
          <w:tcPr>
            <w:tcW w:w="6041" w:type="dxa"/>
            <w:tcBorders>
              <w:tl2br w:val="nil"/>
              <w:tr2bl w:val="nil"/>
            </w:tcBorders>
            <w:noWrap w:val="0"/>
            <w:vAlign w:val="center"/>
          </w:tcPr>
          <w:p w14:paraId="14BC20AA">
            <w:pPr>
              <w:pStyle w:val="105"/>
              <w:bidi w:val="0"/>
              <w:rPr>
                <w:rFonts w:hint="default"/>
                <w:highlight w:val="none"/>
                <w:lang w:val="en-US" w:eastAsia="zh-CN"/>
              </w:rPr>
            </w:pPr>
            <w:r>
              <w:rPr>
                <w:rFonts w:hint="default"/>
                <w:highlight w:val="none"/>
                <w:lang w:val="en-US" w:eastAsia="zh-CN"/>
              </w:rPr>
              <w:t>吊钩防钢丝绳脱钩装置应完整可靠</w:t>
            </w:r>
          </w:p>
        </w:tc>
        <w:tc>
          <w:tcPr>
            <w:tcW w:w="1229" w:type="dxa"/>
            <w:tcBorders>
              <w:tl2br w:val="nil"/>
              <w:tr2bl w:val="nil"/>
            </w:tcBorders>
            <w:noWrap w:val="0"/>
            <w:vAlign w:val="center"/>
          </w:tcPr>
          <w:p w14:paraId="1525C5DF">
            <w:pPr>
              <w:pStyle w:val="105"/>
              <w:bidi w:val="0"/>
              <w:rPr>
                <w:rFonts w:hint="default"/>
                <w:highlight w:val="none"/>
                <w:lang w:val="en-US" w:eastAsia="zh-CN"/>
              </w:rPr>
            </w:pPr>
          </w:p>
        </w:tc>
      </w:tr>
      <w:tr w14:paraId="1F94697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B1B8783">
            <w:pPr>
              <w:pStyle w:val="105"/>
              <w:bidi w:val="0"/>
              <w:rPr>
                <w:rFonts w:hint="default"/>
                <w:highlight w:val="none"/>
                <w:lang w:val="en-US" w:eastAsia="zh-CN"/>
              </w:rPr>
            </w:pPr>
          </w:p>
        </w:tc>
        <w:tc>
          <w:tcPr>
            <w:tcW w:w="513" w:type="dxa"/>
            <w:tcBorders>
              <w:tl2br w:val="nil"/>
              <w:tr2bl w:val="nil"/>
            </w:tcBorders>
            <w:noWrap w:val="0"/>
            <w:vAlign w:val="center"/>
          </w:tcPr>
          <w:p w14:paraId="0BFD9CDC">
            <w:pPr>
              <w:pStyle w:val="105"/>
              <w:bidi w:val="0"/>
              <w:rPr>
                <w:rFonts w:hint="default"/>
                <w:highlight w:val="none"/>
                <w:lang w:val="en-US" w:eastAsia="zh-CN"/>
              </w:rPr>
            </w:pPr>
            <w:r>
              <w:rPr>
                <w:rFonts w:hint="default"/>
                <w:highlight w:val="none"/>
                <w:lang w:val="en-US" w:eastAsia="zh-CN"/>
              </w:rPr>
              <w:t>27</w:t>
            </w:r>
          </w:p>
        </w:tc>
        <w:tc>
          <w:tcPr>
            <w:tcW w:w="6041" w:type="dxa"/>
            <w:tcBorders>
              <w:tl2br w:val="nil"/>
              <w:tr2bl w:val="nil"/>
            </w:tcBorders>
            <w:noWrap w:val="0"/>
            <w:vAlign w:val="center"/>
          </w:tcPr>
          <w:p w14:paraId="0E24E0BB">
            <w:pPr>
              <w:pStyle w:val="105"/>
              <w:bidi w:val="0"/>
              <w:rPr>
                <w:rFonts w:hint="default"/>
                <w:highlight w:val="none"/>
                <w:lang w:val="en-US" w:eastAsia="zh-CN"/>
              </w:rPr>
            </w:pPr>
            <w:r>
              <w:rPr>
                <w:rFonts w:hint="default"/>
                <w:highlight w:val="none"/>
                <w:lang w:val="en-US" w:eastAsia="zh-CN"/>
              </w:rPr>
              <w:t>卷筒壁不应有裂纹，筒壁磨损量＜原壁厚的10%；多层缠绕的卷筒，端部应有比最外层钢丝绳高出2倍钢丝绳直径的凸缘</w:t>
            </w:r>
          </w:p>
        </w:tc>
        <w:tc>
          <w:tcPr>
            <w:tcW w:w="1229" w:type="dxa"/>
            <w:tcBorders>
              <w:tl2br w:val="nil"/>
              <w:tr2bl w:val="nil"/>
            </w:tcBorders>
            <w:noWrap w:val="0"/>
            <w:vAlign w:val="top"/>
          </w:tcPr>
          <w:p w14:paraId="02BBCB5D">
            <w:pPr>
              <w:pStyle w:val="105"/>
              <w:bidi w:val="0"/>
              <w:rPr>
                <w:rFonts w:hint="default"/>
                <w:highlight w:val="none"/>
                <w:lang w:val="en-US" w:eastAsia="zh-CN"/>
              </w:rPr>
            </w:pPr>
          </w:p>
        </w:tc>
      </w:tr>
      <w:tr w14:paraId="22E145D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C326FB4">
            <w:pPr>
              <w:pStyle w:val="105"/>
              <w:bidi w:val="0"/>
              <w:rPr>
                <w:rFonts w:hint="default"/>
                <w:highlight w:val="none"/>
                <w:lang w:val="en-US" w:eastAsia="zh-CN"/>
              </w:rPr>
            </w:pPr>
          </w:p>
        </w:tc>
        <w:tc>
          <w:tcPr>
            <w:tcW w:w="513" w:type="dxa"/>
            <w:tcBorders>
              <w:tl2br w:val="nil"/>
              <w:tr2bl w:val="nil"/>
            </w:tcBorders>
            <w:noWrap w:val="0"/>
            <w:vAlign w:val="center"/>
          </w:tcPr>
          <w:p w14:paraId="1E2D66F6">
            <w:pPr>
              <w:pStyle w:val="105"/>
              <w:bidi w:val="0"/>
              <w:rPr>
                <w:rFonts w:hint="default"/>
                <w:highlight w:val="none"/>
                <w:lang w:val="en-US" w:eastAsia="zh-CN"/>
              </w:rPr>
            </w:pPr>
            <w:r>
              <w:rPr>
                <w:rFonts w:hint="default"/>
                <w:highlight w:val="none"/>
                <w:lang w:val="en-US" w:eastAsia="zh-CN"/>
              </w:rPr>
              <w:t>28</w:t>
            </w:r>
          </w:p>
        </w:tc>
        <w:tc>
          <w:tcPr>
            <w:tcW w:w="6041" w:type="dxa"/>
            <w:tcBorders>
              <w:tl2br w:val="nil"/>
              <w:tr2bl w:val="nil"/>
            </w:tcBorders>
            <w:noWrap w:val="0"/>
            <w:vAlign w:val="center"/>
          </w:tcPr>
          <w:p w14:paraId="2D46D8E3">
            <w:pPr>
              <w:pStyle w:val="105"/>
              <w:bidi w:val="0"/>
              <w:rPr>
                <w:rFonts w:hint="default"/>
                <w:highlight w:val="none"/>
                <w:lang w:val="en-US" w:eastAsia="zh-CN"/>
              </w:rPr>
            </w:pPr>
            <w:r>
              <w:rPr>
                <w:rFonts w:hint="default"/>
                <w:highlight w:val="none"/>
                <w:lang w:val="en-US" w:eastAsia="zh-CN"/>
              </w:rPr>
              <w:t>卷筒上钢丝绳应排列有序，有钢丝绳防脱槽装置。该装置与卷筒最外缘的间隙≤钢丝绳直径的20%</w:t>
            </w:r>
          </w:p>
        </w:tc>
        <w:tc>
          <w:tcPr>
            <w:tcW w:w="1229" w:type="dxa"/>
            <w:tcBorders>
              <w:tl2br w:val="nil"/>
              <w:tr2bl w:val="nil"/>
            </w:tcBorders>
            <w:noWrap w:val="0"/>
            <w:vAlign w:val="center"/>
          </w:tcPr>
          <w:p w14:paraId="639E3B0B">
            <w:pPr>
              <w:pStyle w:val="105"/>
              <w:bidi w:val="0"/>
              <w:rPr>
                <w:rFonts w:hint="default"/>
                <w:highlight w:val="none"/>
                <w:lang w:val="en-US" w:eastAsia="zh-CN"/>
              </w:rPr>
            </w:pPr>
          </w:p>
        </w:tc>
      </w:tr>
      <w:tr w14:paraId="4F72FB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876323A">
            <w:pPr>
              <w:pStyle w:val="105"/>
              <w:bidi w:val="0"/>
              <w:rPr>
                <w:rFonts w:hint="default"/>
                <w:highlight w:val="none"/>
                <w:lang w:val="en-US" w:eastAsia="zh-CN"/>
              </w:rPr>
            </w:pPr>
          </w:p>
        </w:tc>
        <w:tc>
          <w:tcPr>
            <w:tcW w:w="513" w:type="dxa"/>
            <w:tcBorders>
              <w:tl2br w:val="nil"/>
              <w:tr2bl w:val="nil"/>
            </w:tcBorders>
            <w:noWrap w:val="0"/>
            <w:vAlign w:val="center"/>
          </w:tcPr>
          <w:p w14:paraId="248AA6F7">
            <w:pPr>
              <w:pStyle w:val="105"/>
              <w:bidi w:val="0"/>
              <w:rPr>
                <w:rFonts w:hint="default"/>
                <w:highlight w:val="none"/>
                <w:lang w:val="en-US" w:eastAsia="zh-CN"/>
              </w:rPr>
            </w:pPr>
            <w:r>
              <w:rPr>
                <w:rFonts w:hint="default"/>
                <w:highlight w:val="none"/>
                <w:lang w:val="en-US" w:eastAsia="zh-CN"/>
              </w:rPr>
              <w:t>29</w:t>
            </w:r>
          </w:p>
        </w:tc>
        <w:tc>
          <w:tcPr>
            <w:tcW w:w="6041" w:type="dxa"/>
            <w:tcBorders>
              <w:tl2br w:val="nil"/>
              <w:tr2bl w:val="nil"/>
            </w:tcBorders>
            <w:noWrap w:val="0"/>
            <w:vAlign w:val="center"/>
          </w:tcPr>
          <w:p w14:paraId="44448620">
            <w:pPr>
              <w:pStyle w:val="105"/>
              <w:bidi w:val="0"/>
              <w:rPr>
                <w:rFonts w:hint="default"/>
                <w:highlight w:val="none"/>
                <w:lang w:val="en-US" w:eastAsia="zh-CN"/>
              </w:rPr>
            </w:pPr>
            <w:r>
              <w:rPr>
                <w:rFonts w:hint="default"/>
                <w:highlight w:val="none"/>
                <w:lang w:val="en-US" w:eastAsia="zh-CN"/>
              </w:rPr>
              <w:t>钢丝绳穿绕正确，无干涉；钢丝绳规格符合说明书规定，端部应固结可靠；使用应符合GB5972—2009规定</w:t>
            </w:r>
          </w:p>
        </w:tc>
        <w:tc>
          <w:tcPr>
            <w:tcW w:w="1229" w:type="dxa"/>
            <w:tcBorders>
              <w:tl2br w:val="nil"/>
              <w:tr2bl w:val="nil"/>
            </w:tcBorders>
            <w:noWrap w:val="0"/>
            <w:vAlign w:val="center"/>
          </w:tcPr>
          <w:p w14:paraId="5CA99567">
            <w:pPr>
              <w:pStyle w:val="105"/>
              <w:bidi w:val="0"/>
              <w:rPr>
                <w:rFonts w:hint="default"/>
                <w:highlight w:val="none"/>
                <w:lang w:val="en-US" w:eastAsia="zh-CN"/>
              </w:rPr>
            </w:pPr>
          </w:p>
        </w:tc>
      </w:tr>
      <w:tr w14:paraId="7826D8BA">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6DED901">
            <w:pPr>
              <w:pStyle w:val="105"/>
              <w:bidi w:val="0"/>
              <w:rPr>
                <w:rFonts w:hint="default"/>
                <w:highlight w:val="none"/>
                <w:lang w:val="en-US" w:eastAsia="zh-CN"/>
              </w:rPr>
            </w:pPr>
          </w:p>
        </w:tc>
        <w:tc>
          <w:tcPr>
            <w:tcW w:w="513" w:type="dxa"/>
            <w:tcBorders>
              <w:tl2br w:val="nil"/>
              <w:tr2bl w:val="nil"/>
            </w:tcBorders>
            <w:noWrap w:val="0"/>
            <w:vAlign w:val="center"/>
          </w:tcPr>
          <w:p w14:paraId="3E117A4E">
            <w:pPr>
              <w:pStyle w:val="105"/>
              <w:bidi w:val="0"/>
              <w:rPr>
                <w:rFonts w:hint="default"/>
                <w:highlight w:val="none"/>
                <w:lang w:val="en-US" w:eastAsia="zh-CN"/>
              </w:rPr>
            </w:pPr>
            <w:r>
              <w:rPr>
                <w:rFonts w:hint="default"/>
                <w:highlight w:val="none"/>
                <w:lang w:val="en-US" w:eastAsia="zh-CN"/>
              </w:rPr>
              <w:t>30</w:t>
            </w:r>
          </w:p>
        </w:tc>
        <w:tc>
          <w:tcPr>
            <w:tcW w:w="6041" w:type="dxa"/>
            <w:tcBorders>
              <w:tl2br w:val="nil"/>
              <w:tr2bl w:val="nil"/>
            </w:tcBorders>
            <w:noWrap w:val="0"/>
            <w:vAlign w:val="center"/>
          </w:tcPr>
          <w:p w14:paraId="61325168">
            <w:pPr>
              <w:pStyle w:val="105"/>
              <w:bidi w:val="0"/>
              <w:rPr>
                <w:rFonts w:hint="default"/>
                <w:highlight w:val="none"/>
                <w:lang w:val="en-US" w:eastAsia="zh-CN"/>
              </w:rPr>
            </w:pPr>
            <w:r>
              <w:rPr>
                <w:rFonts w:hint="default"/>
                <w:highlight w:val="none"/>
                <w:lang w:val="en-US" w:eastAsia="zh-CN"/>
              </w:rPr>
              <w:t>制动器不应有裂纹、过度磨损、塑性变形、缺件等缺陷，调整适宜，制动平稳可靠</w:t>
            </w:r>
          </w:p>
        </w:tc>
        <w:tc>
          <w:tcPr>
            <w:tcW w:w="1229" w:type="dxa"/>
            <w:tcBorders>
              <w:tl2br w:val="nil"/>
              <w:tr2bl w:val="nil"/>
            </w:tcBorders>
            <w:noWrap w:val="0"/>
            <w:vAlign w:val="center"/>
          </w:tcPr>
          <w:p w14:paraId="6AD20D8A">
            <w:pPr>
              <w:pStyle w:val="105"/>
              <w:bidi w:val="0"/>
              <w:rPr>
                <w:rFonts w:hint="default"/>
                <w:highlight w:val="none"/>
                <w:lang w:val="en-US" w:eastAsia="zh-CN"/>
              </w:rPr>
            </w:pPr>
          </w:p>
        </w:tc>
      </w:tr>
      <w:tr w14:paraId="258D120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9CC8291">
            <w:pPr>
              <w:pStyle w:val="105"/>
              <w:bidi w:val="0"/>
              <w:rPr>
                <w:rFonts w:hint="default"/>
                <w:highlight w:val="none"/>
                <w:lang w:val="en-US" w:eastAsia="zh-CN"/>
              </w:rPr>
            </w:pPr>
          </w:p>
        </w:tc>
        <w:tc>
          <w:tcPr>
            <w:tcW w:w="513" w:type="dxa"/>
            <w:tcBorders>
              <w:tl2br w:val="nil"/>
              <w:tr2bl w:val="nil"/>
            </w:tcBorders>
            <w:noWrap w:val="0"/>
            <w:vAlign w:val="center"/>
          </w:tcPr>
          <w:p w14:paraId="27E08230">
            <w:pPr>
              <w:pStyle w:val="105"/>
              <w:bidi w:val="0"/>
              <w:rPr>
                <w:rFonts w:hint="default"/>
                <w:highlight w:val="none"/>
                <w:lang w:val="en-US" w:eastAsia="zh-CN"/>
              </w:rPr>
            </w:pPr>
            <w:r>
              <w:rPr>
                <w:rFonts w:hint="default"/>
                <w:highlight w:val="none"/>
                <w:lang w:val="en-US" w:eastAsia="zh-CN"/>
              </w:rPr>
              <w:t>31</w:t>
            </w:r>
          </w:p>
        </w:tc>
        <w:tc>
          <w:tcPr>
            <w:tcW w:w="6041" w:type="dxa"/>
            <w:tcBorders>
              <w:tl2br w:val="nil"/>
              <w:tr2bl w:val="nil"/>
            </w:tcBorders>
            <w:noWrap w:val="0"/>
            <w:vAlign w:val="center"/>
          </w:tcPr>
          <w:p w14:paraId="633764C8">
            <w:pPr>
              <w:pStyle w:val="105"/>
              <w:bidi w:val="0"/>
              <w:rPr>
                <w:rFonts w:hint="default"/>
                <w:highlight w:val="none"/>
                <w:lang w:val="en-US" w:eastAsia="zh-CN"/>
              </w:rPr>
            </w:pPr>
            <w:r>
              <w:rPr>
                <w:rFonts w:hint="default"/>
                <w:highlight w:val="none"/>
                <w:lang w:val="en-US" w:eastAsia="zh-CN"/>
              </w:rPr>
              <w:t>传动装置固定牢固，运行平稳</w:t>
            </w:r>
          </w:p>
        </w:tc>
        <w:tc>
          <w:tcPr>
            <w:tcW w:w="1229" w:type="dxa"/>
            <w:tcBorders>
              <w:tl2br w:val="nil"/>
              <w:tr2bl w:val="nil"/>
            </w:tcBorders>
            <w:noWrap w:val="0"/>
            <w:vAlign w:val="center"/>
          </w:tcPr>
          <w:p w14:paraId="35E027C6">
            <w:pPr>
              <w:pStyle w:val="105"/>
              <w:bidi w:val="0"/>
              <w:rPr>
                <w:rFonts w:hint="default"/>
                <w:highlight w:val="none"/>
                <w:lang w:val="en-US" w:eastAsia="zh-CN"/>
              </w:rPr>
            </w:pPr>
          </w:p>
        </w:tc>
      </w:tr>
      <w:tr w14:paraId="67F24100">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C449D00">
            <w:pPr>
              <w:pStyle w:val="105"/>
              <w:bidi w:val="0"/>
              <w:rPr>
                <w:rFonts w:hint="default"/>
                <w:highlight w:val="none"/>
                <w:lang w:val="en-US" w:eastAsia="zh-CN"/>
              </w:rPr>
            </w:pPr>
          </w:p>
        </w:tc>
        <w:tc>
          <w:tcPr>
            <w:tcW w:w="513" w:type="dxa"/>
            <w:tcBorders>
              <w:tl2br w:val="nil"/>
              <w:tr2bl w:val="nil"/>
            </w:tcBorders>
            <w:noWrap w:val="0"/>
            <w:vAlign w:val="center"/>
          </w:tcPr>
          <w:p w14:paraId="1CEF0AD3">
            <w:pPr>
              <w:pStyle w:val="105"/>
              <w:bidi w:val="0"/>
              <w:rPr>
                <w:rFonts w:hint="default"/>
                <w:highlight w:val="none"/>
                <w:lang w:val="en-US" w:eastAsia="zh-CN"/>
              </w:rPr>
            </w:pPr>
            <w:r>
              <w:rPr>
                <w:rFonts w:hint="default"/>
                <w:highlight w:val="none"/>
                <w:lang w:val="en-US" w:eastAsia="zh-CN"/>
              </w:rPr>
              <w:t>32</w:t>
            </w:r>
          </w:p>
        </w:tc>
        <w:tc>
          <w:tcPr>
            <w:tcW w:w="6041" w:type="dxa"/>
            <w:tcBorders>
              <w:tl2br w:val="nil"/>
              <w:tr2bl w:val="nil"/>
            </w:tcBorders>
            <w:noWrap w:val="0"/>
            <w:vAlign w:val="center"/>
          </w:tcPr>
          <w:p w14:paraId="1A59730F">
            <w:pPr>
              <w:pStyle w:val="105"/>
              <w:bidi w:val="0"/>
              <w:rPr>
                <w:rFonts w:hint="default"/>
                <w:highlight w:val="none"/>
                <w:lang w:val="en-US" w:eastAsia="zh-CN"/>
              </w:rPr>
            </w:pPr>
            <w:r>
              <w:rPr>
                <w:rFonts w:hint="default"/>
                <w:highlight w:val="none"/>
                <w:lang w:val="en-US" w:eastAsia="zh-CN"/>
              </w:rPr>
              <w:t>有可能伤人的活动零部件的防护罩齐全</w:t>
            </w:r>
          </w:p>
        </w:tc>
        <w:tc>
          <w:tcPr>
            <w:tcW w:w="1229" w:type="dxa"/>
            <w:tcBorders>
              <w:tl2br w:val="nil"/>
              <w:tr2bl w:val="nil"/>
            </w:tcBorders>
            <w:noWrap w:val="0"/>
            <w:vAlign w:val="center"/>
          </w:tcPr>
          <w:p w14:paraId="5BA0DEB5">
            <w:pPr>
              <w:pStyle w:val="105"/>
              <w:bidi w:val="0"/>
              <w:rPr>
                <w:rFonts w:hint="default"/>
                <w:highlight w:val="none"/>
                <w:lang w:val="en-US" w:eastAsia="zh-CN"/>
              </w:rPr>
            </w:pPr>
          </w:p>
        </w:tc>
      </w:tr>
      <w:tr w14:paraId="0D2390B7">
        <w:tblPrEx>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0E1CCB2C">
            <w:pPr>
              <w:pStyle w:val="105"/>
              <w:bidi w:val="0"/>
              <w:rPr>
                <w:rFonts w:hint="default"/>
                <w:highlight w:val="none"/>
                <w:lang w:val="en-US" w:eastAsia="zh-CN"/>
              </w:rPr>
            </w:pPr>
            <w:r>
              <w:rPr>
                <w:rFonts w:hint="default"/>
                <w:highlight w:val="none"/>
                <w:lang w:val="en-US" w:eastAsia="zh-CN"/>
              </w:rPr>
              <w:t>电气系统</w:t>
            </w:r>
          </w:p>
        </w:tc>
        <w:tc>
          <w:tcPr>
            <w:tcW w:w="513" w:type="dxa"/>
            <w:tcBorders>
              <w:tl2br w:val="nil"/>
              <w:tr2bl w:val="nil"/>
            </w:tcBorders>
            <w:noWrap w:val="0"/>
            <w:vAlign w:val="center"/>
          </w:tcPr>
          <w:p w14:paraId="46B5813E">
            <w:pPr>
              <w:pStyle w:val="105"/>
              <w:bidi w:val="0"/>
              <w:rPr>
                <w:rFonts w:hint="default"/>
                <w:highlight w:val="none"/>
                <w:lang w:val="en-US" w:eastAsia="zh-CN"/>
              </w:rPr>
            </w:pPr>
            <w:r>
              <w:rPr>
                <w:rFonts w:hint="default"/>
                <w:highlight w:val="none"/>
                <w:lang w:val="en-US" w:eastAsia="zh-CN"/>
              </w:rPr>
              <w:t>33</w:t>
            </w:r>
          </w:p>
        </w:tc>
        <w:tc>
          <w:tcPr>
            <w:tcW w:w="6041" w:type="dxa"/>
            <w:tcBorders>
              <w:tl2br w:val="nil"/>
              <w:tr2bl w:val="nil"/>
            </w:tcBorders>
            <w:noWrap w:val="0"/>
            <w:vAlign w:val="center"/>
          </w:tcPr>
          <w:p w14:paraId="0C1FC08A">
            <w:pPr>
              <w:pStyle w:val="105"/>
              <w:bidi w:val="0"/>
              <w:rPr>
                <w:rFonts w:hint="default"/>
                <w:highlight w:val="none"/>
                <w:lang w:val="en-US" w:eastAsia="zh-CN"/>
              </w:rPr>
            </w:pPr>
            <w:r>
              <w:rPr>
                <w:rFonts w:hint="default"/>
                <w:highlight w:val="none"/>
                <w:lang w:val="en-US" w:eastAsia="zh-CN"/>
              </w:rPr>
              <w:t>仪表、照明、报警系统完好、可靠；控制、操纵装置动作灵活、可靠</w:t>
            </w:r>
          </w:p>
        </w:tc>
        <w:tc>
          <w:tcPr>
            <w:tcW w:w="1229" w:type="dxa"/>
            <w:tcBorders>
              <w:tl2br w:val="nil"/>
              <w:tr2bl w:val="nil"/>
            </w:tcBorders>
            <w:noWrap w:val="0"/>
            <w:vAlign w:val="center"/>
          </w:tcPr>
          <w:p w14:paraId="3467D0D1">
            <w:pPr>
              <w:pStyle w:val="105"/>
              <w:bidi w:val="0"/>
              <w:rPr>
                <w:rFonts w:hint="default"/>
                <w:highlight w:val="none"/>
                <w:lang w:val="en-US" w:eastAsia="zh-CN"/>
              </w:rPr>
            </w:pPr>
          </w:p>
        </w:tc>
      </w:tr>
      <w:tr w14:paraId="5A74244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598A970">
            <w:pPr>
              <w:pStyle w:val="105"/>
              <w:bidi w:val="0"/>
              <w:rPr>
                <w:rFonts w:hint="default"/>
                <w:highlight w:val="none"/>
                <w:lang w:val="en-US" w:eastAsia="zh-CN"/>
              </w:rPr>
            </w:pPr>
          </w:p>
        </w:tc>
        <w:tc>
          <w:tcPr>
            <w:tcW w:w="513" w:type="dxa"/>
            <w:tcBorders>
              <w:tl2br w:val="nil"/>
              <w:tr2bl w:val="nil"/>
            </w:tcBorders>
            <w:noWrap w:val="0"/>
            <w:vAlign w:val="center"/>
          </w:tcPr>
          <w:p w14:paraId="4A781143">
            <w:pPr>
              <w:pStyle w:val="105"/>
              <w:bidi w:val="0"/>
              <w:rPr>
                <w:rFonts w:hint="default"/>
                <w:highlight w:val="none"/>
                <w:lang w:val="en-US" w:eastAsia="zh-CN"/>
              </w:rPr>
            </w:pPr>
            <w:r>
              <w:rPr>
                <w:rFonts w:hint="default"/>
                <w:highlight w:val="none"/>
                <w:lang w:val="en-US" w:eastAsia="zh-CN"/>
              </w:rPr>
              <w:t>34</w:t>
            </w:r>
          </w:p>
        </w:tc>
        <w:tc>
          <w:tcPr>
            <w:tcW w:w="6041" w:type="dxa"/>
            <w:tcBorders>
              <w:tl2br w:val="nil"/>
              <w:tr2bl w:val="nil"/>
            </w:tcBorders>
            <w:noWrap w:val="0"/>
            <w:vAlign w:val="center"/>
          </w:tcPr>
          <w:p w14:paraId="06FF40CB">
            <w:pPr>
              <w:pStyle w:val="105"/>
              <w:bidi w:val="0"/>
              <w:rPr>
                <w:rFonts w:hint="default"/>
                <w:highlight w:val="none"/>
                <w:lang w:val="en-US" w:eastAsia="zh-CN"/>
              </w:rPr>
            </w:pPr>
            <w:r>
              <w:rPr>
                <w:rFonts w:hint="default"/>
                <w:highlight w:val="none"/>
                <w:lang w:val="en-US" w:eastAsia="zh-CN"/>
              </w:rPr>
              <w:t>短路、过电流、失压及零位保护灵敏可靠</w:t>
            </w:r>
          </w:p>
        </w:tc>
        <w:tc>
          <w:tcPr>
            <w:tcW w:w="1229" w:type="dxa"/>
            <w:tcBorders>
              <w:tl2br w:val="nil"/>
              <w:tr2bl w:val="nil"/>
            </w:tcBorders>
            <w:noWrap w:val="0"/>
            <w:vAlign w:val="center"/>
          </w:tcPr>
          <w:p w14:paraId="789076C3">
            <w:pPr>
              <w:pStyle w:val="105"/>
              <w:bidi w:val="0"/>
              <w:rPr>
                <w:rFonts w:hint="default"/>
                <w:highlight w:val="none"/>
                <w:lang w:val="en-US" w:eastAsia="zh-CN"/>
              </w:rPr>
            </w:pPr>
          </w:p>
        </w:tc>
      </w:tr>
      <w:tr w14:paraId="0108866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3CB5D365">
            <w:pPr>
              <w:pStyle w:val="105"/>
              <w:bidi w:val="0"/>
              <w:rPr>
                <w:rFonts w:hint="default"/>
                <w:highlight w:val="none"/>
                <w:lang w:val="en-US" w:eastAsia="zh-CN"/>
              </w:rPr>
            </w:pPr>
          </w:p>
        </w:tc>
        <w:tc>
          <w:tcPr>
            <w:tcW w:w="513" w:type="dxa"/>
            <w:tcBorders>
              <w:tl2br w:val="nil"/>
              <w:tr2bl w:val="nil"/>
            </w:tcBorders>
            <w:noWrap w:val="0"/>
            <w:vAlign w:val="center"/>
          </w:tcPr>
          <w:p w14:paraId="11D63B99">
            <w:pPr>
              <w:pStyle w:val="105"/>
              <w:bidi w:val="0"/>
              <w:rPr>
                <w:rFonts w:hint="default"/>
                <w:highlight w:val="none"/>
                <w:lang w:val="en-US" w:eastAsia="zh-CN"/>
              </w:rPr>
            </w:pPr>
            <w:r>
              <w:rPr>
                <w:rFonts w:hint="default"/>
                <w:highlight w:val="none"/>
                <w:lang w:val="en-US" w:eastAsia="zh-CN"/>
              </w:rPr>
              <w:t>35</w:t>
            </w:r>
          </w:p>
        </w:tc>
        <w:tc>
          <w:tcPr>
            <w:tcW w:w="6041" w:type="dxa"/>
            <w:tcBorders>
              <w:tl2br w:val="nil"/>
              <w:tr2bl w:val="nil"/>
            </w:tcBorders>
            <w:noWrap w:val="0"/>
            <w:vAlign w:val="center"/>
          </w:tcPr>
          <w:p w14:paraId="3DC1E8B4">
            <w:pPr>
              <w:pStyle w:val="105"/>
              <w:bidi w:val="0"/>
              <w:rPr>
                <w:rFonts w:hint="default"/>
                <w:highlight w:val="none"/>
                <w:lang w:val="en-US" w:eastAsia="zh-CN"/>
              </w:rPr>
            </w:pPr>
            <w:r>
              <w:rPr>
                <w:rFonts w:hint="default"/>
                <w:highlight w:val="none"/>
                <w:lang w:val="en-US" w:eastAsia="zh-CN"/>
              </w:rPr>
              <w:t>切断总电源的急停开关应为非自动复位型，可靠有效</w:t>
            </w:r>
          </w:p>
        </w:tc>
        <w:tc>
          <w:tcPr>
            <w:tcW w:w="1229" w:type="dxa"/>
            <w:tcBorders>
              <w:tl2br w:val="nil"/>
              <w:tr2bl w:val="nil"/>
            </w:tcBorders>
            <w:noWrap w:val="0"/>
            <w:vAlign w:val="center"/>
          </w:tcPr>
          <w:p w14:paraId="7D8A6573">
            <w:pPr>
              <w:pStyle w:val="105"/>
              <w:bidi w:val="0"/>
              <w:rPr>
                <w:rFonts w:hint="default"/>
                <w:highlight w:val="none"/>
                <w:lang w:val="en-US" w:eastAsia="zh-CN"/>
              </w:rPr>
            </w:pPr>
          </w:p>
        </w:tc>
      </w:tr>
      <w:tr w14:paraId="2B80A1C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4C6689C2">
            <w:pPr>
              <w:pStyle w:val="105"/>
              <w:bidi w:val="0"/>
              <w:rPr>
                <w:rFonts w:hint="default"/>
                <w:highlight w:val="none"/>
                <w:lang w:val="en-US" w:eastAsia="zh-CN"/>
              </w:rPr>
            </w:pPr>
          </w:p>
        </w:tc>
        <w:tc>
          <w:tcPr>
            <w:tcW w:w="513" w:type="dxa"/>
            <w:tcBorders>
              <w:tl2br w:val="nil"/>
              <w:tr2bl w:val="nil"/>
            </w:tcBorders>
            <w:noWrap w:val="0"/>
            <w:vAlign w:val="center"/>
          </w:tcPr>
          <w:p w14:paraId="42A076A2">
            <w:pPr>
              <w:pStyle w:val="105"/>
              <w:bidi w:val="0"/>
              <w:rPr>
                <w:rFonts w:hint="default"/>
                <w:highlight w:val="none"/>
                <w:lang w:val="en-US" w:eastAsia="zh-CN"/>
              </w:rPr>
            </w:pPr>
            <w:r>
              <w:rPr>
                <w:rFonts w:hint="default"/>
                <w:highlight w:val="none"/>
                <w:lang w:val="en-US" w:eastAsia="zh-CN"/>
              </w:rPr>
              <w:t>36</w:t>
            </w:r>
          </w:p>
        </w:tc>
        <w:tc>
          <w:tcPr>
            <w:tcW w:w="6041" w:type="dxa"/>
            <w:tcBorders>
              <w:tl2br w:val="nil"/>
              <w:tr2bl w:val="nil"/>
            </w:tcBorders>
            <w:noWrap w:val="0"/>
            <w:vAlign w:val="center"/>
          </w:tcPr>
          <w:p w14:paraId="3910DCB7">
            <w:pPr>
              <w:pStyle w:val="105"/>
              <w:bidi w:val="0"/>
              <w:rPr>
                <w:rFonts w:hint="default"/>
                <w:highlight w:val="none"/>
                <w:lang w:val="en-US" w:eastAsia="zh-CN"/>
              </w:rPr>
            </w:pPr>
            <w:r>
              <w:rPr>
                <w:rFonts w:hint="default"/>
                <w:highlight w:val="none"/>
                <w:lang w:val="en-US" w:eastAsia="zh-CN"/>
              </w:rPr>
              <w:t>主电路和控制电路的对地绝缘电阻≥0.5MΩ</w:t>
            </w:r>
          </w:p>
        </w:tc>
        <w:tc>
          <w:tcPr>
            <w:tcW w:w="1229" w:type="dxa"/>
            <w:tcBorders>
              <w:tl2br w:val="nil"/>
              <w:tr2bl w:val="nil"/>
            </w:tcBorders>
            <w:noWrap w:val="0"/>
            <w:vAlign w:val="center"/>
          </w:tcPr>
          <w:p w14:paraId="4488B9F1">
            <w:pPr>
              <w:pStyle w:val="105"/>
              <w:bidi w:val="0"/>
              <w:rPr>
                <w:rFonts w:hint="default"/>
                <w:highlight w:val="none"/>
                <w:lang w:val="en-US" w:eastAsia="zh-CN"/>
              </w:rPr>
            </w:pPr>
          </w:p>
        </w:tc>
      </w:tr>
      <w:tr w14:paraId="5498FFF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B3DEDB3">
            <w:pPr>
              <w:pStyle w:val="105"/>
              <w:bidi w:val="0"/>
              <w:rPr>
                <w:rFonts w:hint="default"/>
                <w:highlight w:val="none"/>
                <w:lang w:val="en-US" w:eastAsia="zh-CN"/>
              </w:rPr>
            </w:pPr>
          </w:p>
        </w:tc>
        <w:tc>
          <w:tcPr>
            <w:tcW w:w="513" w:type="dxa"/>
            <w:tcBorders>
              <w:tl2br w:val="nil"/>
              <w:tr2bl w:val="nil"/>
            </w:tcBorders>
            <w:noWrap w:val="0"/>
            <w:vAlign w:val="center"/>
          </w:tcPr>
          <w:p w14:paraId="16773DB1">
            <w:pPr>
              <w:pStyle w:val="105"/>
              <w:bidi w:val="0"/>
              <w:rPr>
                <w:rFonts w:hint="default"/>
                <w:highlight w:val="none"/>
                <w:lang w:val="en-US" w:eastAsia="zh-CN"/>
              </w:rPr>
            </w:pPr>
            <w:r>
              <w:rPr>
                <w:rFonts w:hint="default"/>
                <w:highlight w:val="none"/>
                <w:lang w:val="en-US" w:eastAsia="zh-CN"/>
              </w:rPr>
              <w:t>37</w:t>
            </w:r>
          </w:p>
        </w:tc>
        <w:tc>
          <w:tcPr>
            <w:tcW w:w="6041" w:type="dxa"/>
            <w:tcBorders>
              <w:tl2br w:val="nil"/>
              <w:tr2bl w:val="nil"/>
            </w:tcBorders>
            <w:noWrap w:val="0"/>
            <w:vAlign w:val="center"/>
          </w:tcPr>
          <w:p w14:paraId="14EA7CFB">
            <w:pPr>
              <w:pStyle w:val="105"/>
              <w:bidi w:val="0"/>
              <w:rPr>
                <w:rFonts w:hint="default"/>
                <w:highlight w:val="none"/>
                <w:lang w:val="en-US" w:eastAsia="zh-CN"/>
              </w:rPr>
            </w:pPr>
            <w:r>
              <w:rPr>
                <w:rFonts w:hint="default"/>
                <w:highlight w:val="none"/>
                <w:lang w:val="en-US" w:eastAsia="zh-CN"/>
              </w:rPr>
              <w:t>声响信号完好</w:t>
            </w:r>
          </w:p>
        </w:tc>
        <w:tc>
          <w:tcPr>
            <w:tcW w:w="1229" w:type="dxa"/>
            <w:tcBorders>
              <w:tl2br w:val="nil"/>
              <w:tr2bl w:val="nil"/>
            </w:tcBorders>
            <w:noWrap w:val="0"/>
            <w:vAlign w:val="center"/>
          </w:tcPr>
          <w:p w14:paraId="3EC1C3B1">
            <w:pPr>
              <w:pStyle w:val="105"/>
              <w:bidi w:val="0"/>
              <w:rPr>
                <w:rFonts w:hint="default"/>
                <w:highlight w:val="none"/>
                <w:lang w:val="en-US" w:eastAsia="zh-CN"/>
              </w:rPr>
            </w:pPr>
          </w:p>
        </w:tc>
      </w:tr>
      <w:tr w14:paraId="7508B4E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4A762E4C">
            <w:pPr>
              <w:pStyle w:val="105"/>
              <w:bidi w:val="0"/>
              <w:rPr>
                <w:rFonts w:hint="default"/>
                <w:highlight w:val="none"/>
                <w:lang w:val="en-US" w:eastAsia="zh-CN"/>
              </w:rPr>
            </w:pPr>
          </w:p>
        </w:tc>
        <w:tc>
          <w:tcPr>
            <w:tcW w:w="513" w:type="dxa"/>
            <w:tcBorders>
              <w:tl2br w:val="nil"/>
              <w:tr2bl w:val="nil"/>
            </w:tcBorders>
            <w:noWrap w:val="0"/>
            <w:vAlign w:val="center"/>
          </w:tcPr>
          <w:p w14:paraId="401FA66A">
            <w:pPr>
              <w:pStyle w:val="105"/>
              <w:bidi w:val="0"/>
              <w:rPr>
                <w:rFonts w:hint="default"/>
                <w:highlight w:val="none"/>
                <w:lang w:val="en-US" w:eastAsia="zh-CN"/>
              </w:rPr>
            </w:pPr>
            <w:r>
              <w:rPr>
                <w:rFonts w:hint="default"/>
                <w:highlight w:val="none"/>
                <w:lang w:val="en-US" w:eastAsia="zh-CN"/>
              </w:rPr>
              <w:t>38</w:t>
            </w:r>
          </w:p>
        </w:tc>
        <w:tc>
          <w:tcPr>
            <w:tcW w:w="6041" w:type="dxa"/>
            <w:tcBorders>
              <w:tl2br w:val="nil"/>
              <w:tr2bl w:val="nil"/>
            </w:tcBorders>
            <w:noWrap w:val="0"/>
            <w:vAlign w:val="center"/>
          </w:tcPr>
          <w:p w14:paraId="15559056">
            <w:pPr>
              <w:pStyle w:val="105"/>
              <w:bidi w:val="0"/>
              <w:rPr>
                <w:rFonts w:hint="default"/>
                <w:highlight w:val="none"/>
                <w:lang w:val="en-US" w:eastAsia="zh-CN"/>
              </w:rPr>
            </w:pPr>
            <w:r>
              <w:rPr>
                <w:rFonts w:hint="default"/>
                <w:highlight w:val="none"/>
                <w:lang w:val="en-US" w:eastAsia="zh-CN"/>
              </w:rPr>
              <w:t>专用开关箱单独设置并有警示标志</w:t>
            </w:r>
          </w:p>
        </w:tc>
        <w:tc>
          <w:tcPr>
            <w:tcW w:w="1229" w:type="dxa"/>
            <w:tcBorders>
              <w:tl2br w:val="nil"/>
              <w:tr2bl w:val="nil"/>
            </w:tcBorders>
            <w:noWrap w:val="0"/>
            <w:vAlign w:val="center"/>
          </w:tcPr>
          <w:p w14:paraId="333BCB3E">
            <w:pPr>
              <w:pStyle w:val="105"/>
              <w:bidi w:val="0"/>
              <w:rPr>
                <w:rFonts w:hint="default"/>
                <w:highlight w:val="none"/>
                <w:lang w:val="en-US" w:eastAsia="zh-CN"/>
              </w:rPr>
            </w:pPr>
          </w:p>
        </w:tc>
      </w:tr>
      <w:tr w14:paraId="725CDA9E">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0FD243E7">
            <w:pPr>
              <w:pStyle w:val="105"/>
              <w:bidi w:val="0"/>
              <w:rPr>
                <w:rFonts w:hint="default"/>
                <w:highlight w:val="none"/>
                <w:lang w:val="en-US" w:eastAsia="zh-CN"/>
              </w:rPr>
            </w:pPr>
          </w:p>
        </w:tc>
        <w:tc>
          <w:tcPr>
            <w:tcW w:w="513" w:type="dxa"/>
            <w:tcBorders>
              <w:tl2br w:val="nil"/>
              <w:tr2bl w:val="nil"/>
            </w:tcBorders>
            <w:noWrap w:val="0"/>
            <w:vAlign w:val="center"/>
          </w:tcPr>
          <w:p w14:paraId="7085356E">
            <w:pPr>
              <w:pStyle w:val="105"/>
              <w:bidi w:val="0"/>
              <w:rPr>
                <w:rFonts w:hint="default"/>
                <w:highlight w:val="none"/>
                <w:lang w:val="en-US" w:eastAsia="zh-CN"/>
              </w:rPr>
            </w:pPr>
            <w:r>
              <w:rPr>
                <w:rFonts w:hint="default"/>
                <w:highlight w:val="none"/>
                <w:lang w:val="en-US" w:eastAsia="zh-CN"/>
              </w:rPr>
              <w:t>39</w:t>
            </w:r>
          </w:p>
        </w:tc>
        <w:tc>
          <w:tcPr>
            <w:tcW w:w="6041" w:type="dxa"/>
            <w:tcBorders>
              <w:tl2br w:val="nil"/>
              <w:tr2bl w:val="nil"/>
            </w:tcBorders>
            <w:noWrap w:val="0"/>
            <w:vAlign w:val="center"/>
          </w:tcPr>
          <w:p w14:paraId="0D870A95">
            <w:pPr>
              <w:pStyle w:val="105"/>
              <w:bidi w:val="0"/>
              <w:rPr>
                <w:rFonts w:hint="default"/>
                <w:highlight w:val="none"/>
                <w:lang w:val="en-US" w:eastAsia="zh-CN"/>
              </w:rPr>
            </w:pPr>
            <w:r>
              <w:rPr>
                <w:rFonts w:hint="default"/>
                <w:highlight w:val="none"/>
                <w:lang w:val="en-US" w:eastAsia="zh-CN"/>
              </w:rPr>
              <w:t>电缆无破损，老化，与金属接触处有绝缘材料隔离</w:t>
            </w:r>
          </w:p>
        </w:tc>
        <w:tc>
          <w:tcPr>
            <w:tcW w:w="1229" w:type="dxa"/>
            <w:tcBorders>
              <w:tl2br w:val="nil"/>
              <w:tr2bl w:val="nil"/>
            </w:tcBorders>
            <w:noWrap w:val="0"/>
            <w:vAlign w:val="center"/>
          </w:tcPr>
          <w:p w14:paraId="0DF8FF8E">
            <w:pPr>
              <w:pStyle w:val="105"/>
              <w:bidi w:val="0"/>
              <w:rPr>
                <w:rFonts w:hint="default"/>
                <w:highlight w:val="none"/>
                <w:lang w:val="en-US" w:eastAsia="zh-CN"/>
              </w:rPr>
            </w:pPr>
          </w:p>
        </w:tc>
      </w:tr>
      <w:tr w14:paraId="6FD5EAEB">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B13A760">
            <w:pPr>
              <w:pStyle w:val="105"/>
              <w:bidi w:val="0"/>
              <w:rPr>
                <w:rFonts w:hint="default"/>
                <w:highlight w:val="none"/>
                <w:lang w:val="en-US" w:eastAsia="zh-CN"/>
              </w:rPr>
            </w:pPr>
          </w:p>
        </w:tc>
        <w:tc>
          <w:tcPr>
            <w:tcW w:w="513" w:type="dxa"/>
            <w:tcBorders>
              <w:tl2br w:val="nil"/>
              <w:tr2bl w:val="nil"/>
            </w:tcBorders>
            <w:noWrap w:val="0"/>
            <w:vAlign w:val="center"/>
          </w:tcPr>
          <w:p w14:paraId="3D5EF53D">
            <w:pPr>
              <w:pStyle w:val="105"/>
              <w:bidi w:val="0"/>
              <w:rPr>
                <w:rFonts w:hint="default"/>
                <w:highlight w:val="none"/>
                <w:lang w:val="en-US" w:eastAsia="zh-CN"/>
              </w:rPr>
            </w:pPr>
            <w:r>
              <w:rPr>
                <w:rFonts w:hint="default"/>
                <w:highlight w:val="none"/>
                <w:lang w:val="en-US" w:eastAsia="zh-CN"/>
              </w:rPr>
              <w:t>40</w:t>
            </w:r>
          </w:p>
        </w:tc>
        <w:tc>
          <w:tcPr>
            <w:tcW w:w="6041" w:type="dxa"/>
            <w:tcBorders>
              <w:tl2br w:val="nil"/>
              <w:tr2bl w:val="nil"/>
            </w:tcBorders>
            <w:noWrap w:val="0"/>
            <w:vAlign w:val="center"/>
          </w:tcPr>
          <w:p w14:paraId="2DF07955">
            <w:pPr>
              <w:pStyle w:val="105"/>
              <w:bidi w:val="0"/>
              <w:rPr>
                <w:rFonts w:hint="default"/>
                <w:highlight w:val="none"/>
                <w:lang w:val="en-US" w:eastAsia="zh-CN"/>
              </w:rPr>
            </w:pPr>
            <w:r>
              <w:rPr>
                <w:rFonts w:hint="default"/>
                <w:highlight w:val="none"/>
                <w:lang w:val="en-US" w:eastAsia="zh-CN"/>
              </w:rPr>
              <w:t>塔顶高度大于30m且高于周围建筑物时应安装障碍指示灯，供电不应受停机的影响</w:t>
            </w:r>
          </w:p>
        </w:tc>
        <w:tc>
          <w:tcPr>
            <w:tcW w:w="1229" w:type="dxa"/>
            <w:tcBorders>
              <w:tl2br w:val="nil"/>
              <w:tr2bl w:val="nil"/>
            </w:tcBorders>
            <w:noWrap w:val="0"/>
            <w:vAlign w:val="center"/>
          </w:tcPr>
          <w:p w14:paraId="53ADC7AE">
            <w:pPr>
              <w:pStyle w:val="105"/>
              <w:bidi w:val="0"/>
              <w:rPr>
                <w:rFonts w:hint="default"/>
                <w:highlight w:val="none"/>
                <w:lang w:val="en-US" w:eastAsia="zh-CN"/>
              </w:rPr>
            </w:pPr>
          </w:p>
        </w:tc>
      </w:tr>
      <w:tr w14:paraId="534B83B8">
        <w:tblPrEx>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7D436C1A">
            <w:pPr>
              <w:pStyle w:val="105"/>
              <w:bidi w:val="0"/>
              <w:rPr>
                <w:rFonts w:hint="default"/>
                <w:highlight w:val="none"/>
                <w:lang w:val="en-US" w:eastAsia="zh-CN"/>
              </w:rPr>
            </w:pPr>
          </w:p>
        </w:tc>
        <w:tc>
          <w:tcPr>
            <w:tcW w:w="513" w:type="dxa"/>
            <w:tcBorders>
              <w:tl2br w:val="nil"/>
              <w:tr2bl w:val="nil"/>
            </w:tcBorders>
            <w:noWrap w:val="0"/>
            <w:vAlign w:val="center"/>
          </w:tcPr>
          <w:p w14:paraId="13449C87">
            <w:pPr>
              <w:pStyle w:val="105"/>
              <w:bidi w:val="0"/>
              <w:rPr>
                <w:rFonts w:hint="default"/>
                <w:highlight w:val="none"/>
                <w:lang w:val="en-US" w:eastAsia="zh-CN"/>
              </w:rPr>
            </w:pPr>
            <w:r>
              <w:rPr>
                <w:rFonts w:hint="default"/>
                <w:highlight w:val="none"/>
                <w:lang w:val="en-US" w:eastAsia="zh-CN"/>
              </w:rPr>
              <w:t>41</w:t>
            </w:r>
          </w:p>
        </w:tc>
        <w:tc>
          <w:tcPr>
            <w:tcW w:w="6041" w:type="dxa"/>
            <w:tcBorders>
              <w:tl2br w:val="nil"/>
              <w:tr2bl w:val="nil"/>
            </w:tcBorders>
            <w:noWrap w:val="0"/>
            <w:vAlign w:val="center"/>
          </w:tcPr>
          <w:p w14:paraId="13BDB6C8">
            <w:pPr>
              <w:pStyle w:val="105"/>
              <w:bidi w:val="0"/>
              <w:rPr>
                <w:rFonts w:hint="default"/>
                <w:highlight w:val="none"/>
                <w:lang w:val="en-US" w:eastAsia="zh-CN"/>
              </w:rPr>
            </w:pPr>
            <w:r>
              <w:rPr>
                <w:rFonts w:hint="default"/>
                <w:highlight w:val="none"/>
                <w:lang w:val="en-US" w:eastAsia="zh-CN"/>
              </w:rPr>
              <w:t>臂根铰点高于50m时应设置风速仪</w:t>
            </w:r>
          </w:p>
        </w:tc>
        <w:tc>
          <w:tcPr>
            <w:tcW w:w="1229" w:type="dxa"/>
            <w:tcBorders>
              <w:tl2br w:val="nil"/>
              <w:tr2bl w:val="nil"/>
            </w:tcBorders>
            <w:noWrap w:val="0"/>
            <w:vAlign w:val="center"/>
          </w:tcPr>
          <w:p w14:paraId="0AAE97BA">
            <w:pPr>
              <w:pStyle w:val="105"/>
              <w:bidi w:val="0"/>
              <w:rPr>
                <w:rFonts w:hint="default"/>
                <w:highlight w:val="none"/>
                <w:lang w:val="en-US" w:eastAsia="zh-CN"/>
              </w:rPr>
            </w:pPr>
          </w:p>
        </w:tc>
      </w:tr>
      <w:tr w14:paraId="71D7AD1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restart"/>
            <w:tcBorders>
              <w:tl2br w:val="nil"/>
              <w:tr2bl w:val="nil"/>
            </w:tcBorders>
            <w:noWrap w:val="0"/>
            <w:vAlign w:val="center"/>
          </w:tcPr>
          <w:p w14:paraId="269FCD5F">
            <w:pPr>
              <w:pStyle w:val="105"/>
              <w:bidi w:val="0"/>
              <w:rPr>
                <w:rFonts w:hint="default"/>
                <w:highlight w:val="none"/>
                <w:lang w:val="en-US" w:eastAsia="zh-CN"/>
              </w:rPr>
            </w:pPr>
            <w:r>
              <w:rPr>
                <w:rFonts w:hint="default"/>
                <w:highlight w:val="none"/>
                <w:lang w:val="en-US" w:eastAsia="zh-CN"/>
              </w:rPr>
              <w:t>司机室</w:t>
            </w:r>
          </w:p>
        </w:tc>
        <w:tc>
          <w:tcPr>
            <w:tcW w:w="513" w:type="dxa"/>
            <w:tcBorders>
              <w:tl2br w:val="nil"/>
              <w:tr2bl w:val="nil"/>
            </w:tcBorders>
            <w:noWrap w:val="0"/>
            <w:vAlign w:val="center"/>
          </w:tcPr>
          <w:p w14:paraId="7F80FBB5">
            <w:pPr>
              <w:pStyle w:val="105"/>
              <w:bidi w:val="0"/>
              <w:rPr>
                <w:rFonts w:hint="default"/>
                <w:highlight w:val="none"/>
                <w:lang w:val="en-US" w:eastAsia="zh-CN"/>
              </w:rPr>
            </w:pPr>
            <w:r>
              <w:rPr>
                <w:rFonts w:hint="default"/>
                <w:highlight w:val="none"/>
                <w:lang w:val="en-US" w:eastAsia="zh-CN"/>
              </w:rPr>
              <w:t>42</w:t>
            </w:r>
          </w:p>
        </w:tc>
        <w:tc>
          <w:tcPr>
            <w:tcW w:w="6041" w:type="dxa"/>
            <w:tcBorders>
              <w:tl2br w:val="nil"/>
              <w:tr2bl w:val="nil"/>
            </w:tcBorders>
            <w:noWrap w:val="0"/>
            <w:vAlign w:val="center"/>
          </w:tcPr>
          <w:p w14:paraId="1ADE153C">
            <w:pPr>
              <w:pStyle w:val="105"/>
              <w:bidi w:val="0"/>
              <w:rPr>
                <w:rFonts w:hint="default"/>
                <w:highlight w:val="none"/>
                <w:lang w:val="en-US" w:eastAsia="zh-CN"/>
              </w:rPr>
            </w:pPr>
            <w:r>
              <w:rPr>
                <w:rFonts w:hint="default"/>
                <w:highlight w:val="none"/>
                <w:lang w:val="en-US" w:eastAsia="zh-CN"/>
              </w:rPr>
              <w:t>性能标牌（显示屏）齐全，清晰</w:t>
            </w:r>
          </w:p>
        </w:tc>
        <w:tc>
          <w:tcPr>
            <w:tcW w:w="1229" w:type="dxa"/>
            <w:tcBorders>
              <w:tl2br w:val="nil"/>
              <w:tr2bl w:val="nil"/>
            </w:tcBorders>
            <w:noWrap w:val="0"/>
            <w:vAlign w:val="center"/>
          </w:tcPr>
          <w:p w14:paraId="58593A65">
            <w:pPr>
              <w:pStyle w:val="105"/>
              <w:bidi w:val="0"/>
              <w:rPr>
                <w:rFonts w:hint="default"/>
                <w:highlight w:val="none"/>
                <w:lang w:val="en-US" w:eastAsia="zh-CN"/>
              </w:rPr>
            </w:pPr>
          </w:p>
        </w:tc>
      </w:tr>
      <w:tr w14:paraId="776EE90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vMerge w:val="continue"/>
            <w:tcBorders>
              <w:tl2br w:val="nil"/>
              <w:tr2bl w:val="nil"/>
            </w:tcBorders>
            <w:noWrap w:val="0"/>
            <w:vAlign w:val="top"/>
          </w:tcPr>
          <w:p w14:paraId="16372820">
            <w:pPr>
              <w:pStyle w:val="105"/>
              <w:bidi w:val="0"/>
              <w:rPr>
                <w:rFonts w:hint="default"/>
                <w:highlight w:val="none"/>
                <w:lang w:val="en-US" w:eastAsia="zh-CN"/>
              </w:rPr>
            </w:pPr>
          </w:p>
        </w:tc>
        <w:tc>
          <w:tcPr>
            <w:tcW w:w="513" w:type="dxa"/>
            <w:tcBorders>
              <w:tl2br w:val="nil"/>
              <w:tr2bl w:val="nil"/>
            </w:tcBorders>
            <w:noWrap w:val="0"/>
            <w:vAlign w:val="center"/>
          </w:tcPr>
          <w:p w14:paraId="12F7C0A6">
            <w:pPr>
              <w:pStyle w:val="105"/>
              <w:bidi w:val="0"/>
              <w:rPr>
                <w:rFonts w:hint="default"/>
                <w:highlight w:val="none"/>
                <w:lang w:val="en-US" w:eastAsia="zh-CN"/>
              </w:rPr>
            </w:pPr>
            <w:r>
              <w:rPr>
                <w:rFonts w:hint="default"/>
                <w:highlight w:val="none"/>
                <w:lang w:val="en-US" w:eastAsia="zh-CN"/>
              </w:rPr>
              <w:t>43</w:t>
            </w:r>
          </w:p>
        </w:tc>
        <w:tc>
          <w:tcPr>
            <w:tcW w:w="6041" w:type="dxa"/>
            <w:tcBorders>
              <w:tl2br w:val="nil"/>
              <w:tr2bl w:val="nil"/>
            </w:tcBorders>
            <w:noWrap w:val="0"/>
            <w:vAlign w:val="center"/>
          </w:tcPr>
          <w:p w14:paraId="06B75388">
            <w:pPr>
              <w:pStyle w:val="105"/>
              <w:bidi w:val="0"/>
              <w:rPr>
                <w:rFonts w:hint="default"/>
                <w:highlight w:val="none"/>
                <w:lang w:val="en-US" w:eastAsia="zh-CN"/>
              </w:rPr>
            </w:pPr>
            <w:r>
              <w:rPr>
                <w:rFonts w:hint="default"/>
                <w:highlight w:val="none"/>
                <w:lang w:val="en-US" w:eastAsia="zh-CN"/>
              </w:rPr>
              <w:t>门窗、绝缘地板及灭火器等附属设施齐全，有效</w:t>
            </w:r>
          </w:p>
        </w:tc>
        <w:tc>
          <w:tcPr>
            <w:tcW w:w="1229" w:type="dxa"/>
            <w:tcBorders>
              <w:tl2br w:val="nil"/>
              <w:tr2bl w:val="nil"/>
            </w:tcBorders>
            <w:noWrap w:val="0"/>
            <w:vAlign w:val="center"/>
          </w:tcPr>
          <w:p w14:paraId="7877A75F">
            <w:pPr>
              <w:pStyle w:val="105"/>
              <w:bidi w:val="0"/>
              <w:rPr>
                <w:rFonts w:hint="default"/>
                <w:highlight w:val="none"/>
                <w:lang w:val="en-US" w:eastAsia="zh-CN"/>
              </w:rPr>
            </w:pPr>
          </w:p>
        </w:tc>
      </w:tr>
      <w:tr w14:paraId="757B0FCD">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721" w:type="dxa"/>
            <w:tcBorders>
              <w:tl2br w:val="nil"/>
              <w:tr2bl w:val="nil"/>
            </w:tcBorders>
            <w:noWrap w:val="0"/>
            <w:vAlign w:val="center"/>
          </w:tcPr>
          <w:p w14:paraId="454D01D1">
            <w:pPr>
              <w:pStyle w:val="105"/>
              <w:bidi w:val="0"/>
              <w:rPr>
                <w:rFonts w:hint="default"/>
                <w:highlight w:val="none"/>
                <w:lang w:val="en-US" w:eastAsia="zh-CN"/>
              </w:rPr>
            </w:pPr>
            <w:r>
              <w:rPr>
                <w:rFonts w:hint="default"/>
                <w:highlight w:val="none"/>
                <w:lang w:val="en-US" w:eastAsia="zh-CN"/>
              </w:rPr>
              <w:t>试运行</w:t>
            </w:r>
          </w:p>
        </w:tc>
        <w:tc>
          <w:tcPr>
            <w:tcW w:w="513" w:type="dxa"/>
            <w:tcBorders>
              <w:tl2br w:val="nil"/>
              <w:tr2bl w:val="nil"/>
            </w:tcBorders>
            <w:noWrap w:val="0"/>
            <w:vAlign w:val="center"/>
          </w:tcPr>
          <w:p w14:paraId="5B89863A">
            <w:pPr>
              <w:pStyle w:val="105"/>
              <w:bidi w:val="0"/>
              <w:rPr>
                <w:rFonts w:hint="default"/>
                <w:highlight w:val="none"/>
                <w:lang w:val="en-US" w:eastAsia="zh-CN"/>
              </w:rPr>
            </w:pPr>
            <w:r>
              <w:rPr>
                <w:rFonts w:hint="default"/>
                <w:highlight w:val="none"/>
                <w:lang w:val="en-US" w:eastAsia="zh-CN"/>
              </w:rPr>
              <w:t>44</w:t>
            </w:r>
          </w:p>
        </w:tc>
        <w:tc>
          <w:tcPr>
            <w:tcW w:w="6041" w:type="dxa"/>
            <w:tcBorders>
              <w:tl2br w:val="nil"/>
              <w:tr2bl w:val="nil"/>
            </w:tcBorders>
            <w:noWrap w:val="0"/>
            <w:vAlign w:val="center"/>
          </w:tcPr>
          <w:p w14:paraId="614E4CEE">
            <w:pPr>
              <w:pStyle w:val="105"/>
              <w:bidi w:val="0"/>
              <w:rPr>
                <w:rFonts w:hint="default"/>
                <w:highlight w:val="none"/>
                <w:lang w:val="en-US" w:eastAsia="zh-CN"/>
              </w:rPr>
            </w:pPr>
            <w:r>
              <w:rPr>
                <w:rFonts w:hint="default"/>
                <w:highlight w:val="none"/>
                <w:lang w:val="en-US" w:eastAsia="zh-CN"/>
              </w:rPr>
              <w:t>空载状态下，进行起升、回转、变幅各动作的操作，检查调试：操作系统、控制系统、联锁装置动作准确性和灵活性；各行程限位器动作准确性和可靠性；各机构无漏油现象，运动平稳无异常现象</w:t>
            </w:r>
          </w:p>
        </w:tc>
        <w:tc>
          <w:tcPr>
            <w:tcW w:w="1229" w:type="dxa"/>
            <w:tcBorders>
              <w:tl2br w:val="nil"/>
              <w:tr2bl w:val="nil"/>
            </w:tcBorders>
            <w:noWrap w:val="0"/>
            <w:vAlign w:val="center"/>
          </w:tcPr>
          <w:p w14:paraId="406010D7">
            <w:pPr>
              <w:pStyle w:val="105"/>
              <w:bidi w:val="0"/>
              <w:rPr>
                <w:rFonts w:hint="default"/>
                <w:highlight w:val="none"/>
                <w:lang w:val="en-US" w:eastAsia="zh-CN"/>
              </w:rPr>
            </w:pPr>
          </w:p>
        </w:tc>
      </w:tr>
    </w:tbl>
    <w:p w14:paraId="7ABCC3F3">
      <w:pPr>
        <w:spacing w:line="360" w:lineRule="auto"/>
        <w:rPr>
          <w:rFonts w:hint="eastAsia" w:ascii="宋体" w:hAnsi="宋体" w:eastAsia="宋体" w:cs="宋体"/>
          <w:bCs/>
          <w:kern w:val="2"/>
          <w:sz w:val="24"/>
          <w:szCs w:val="24"/>
          <w:highlight w:val="none"/>
        </w:rPr>
      </w:pPr>
      <w:r>
        <w:rPr>
          <w:rFonts w:hint="eastAsia" w:ascii="宋体" w:hAnsi="宋体" w:eastAsia="宋体" w:cs="宋体"/>
          <w:bCs/>
          <w:kern w:val="2"/>
          <w:sz w:val="24"/>
          <w:szCs w:val="24"/>
          <w:highlight w:val="none"/>
        </w:rPr>
        <w:br w:type="page"/>
      </w:r>
    </w:p>
    <w:bookmarkEnd w:id="309"/>
    <w:p w14:paraId="4B8D1658">
      <w:pPr>
        <w:pStyle w:val="2"/>
        <w:bidi w:val="0"/>
        <w:rPr>
          <w:highlight w:val="none"/>
        </w:rPr>
      </w:pPr>
      <w:bookmarkStart w:id="374" w:name="_Toc12378"/>
      <w:bookmarkStart w:id="375" w:name="_Toc25769"/>
      <w:bookmarkStart w:id="376" w:name="_Toc4012"/>
      <w:bookmarkStart w:id="377" w:name="_Toc29137"/>
      <w:r>
        <w:rPr>
          <w:rFonts w:hint="eastAsia"/>
          <w:highlight w:val="none"/>
          <w:lang w:val="en-US" w:eastAsia="zh-CN"/>
        </w:rPr>
        <w:t>9</w:t>
      </w:r>
      <w:r>
        <w:rPr>
          <w:rFonts w:hint="eastAsia"/>
          <w:highlight w:val="none"/>
        </w:rPr>
        <w:t>应急处置</w:t>
      </w:r>
      <w:r>
        <w:rPr>
          <w:rFonts w:hint="eastAsia"/>
          <w:highlight w:val="none"/>
          <w:lang w:eastAsia="zh-CN"/>
        </w:rPr>
        <w:t>措施</w:t>
      </w:r>
      <w:bookmarkEnd w:id="374"/>
      <w:bookmarkEnd w:id="375"/>
      <w:bookmarkEnd w:id="376"/>
      <w:bookmarkEnd w:id="377"/>
    </w:p>
    <w:p w14:paraId="0E2505D8">
      <w:pPr>
        <w:pStyle w:val="3"/>
        <w:numPr>
          <w:ilvl w:val="0"/>
          <w:numId w:val="0"/>
        </w:numPr>
        <w:outlineLvl w:val="1"/>
        <w:rPr>
          <w:rFonts w:hint="eastAsia"/>
          <w:highlight w:val="none"/>
        </w:rPr>
      </w:pPr>
      <w:bookmarkStart w:id="378" w:name="_Toc4766"/>
      <w:bookmarkStart w:id="379" w:name="_Toc32162"/>
      <w:bookmarkStart w:id="380" w:name="_Toc27879"/>
      <w:bookmarkStart w:id="381" w:name="_Toc10409838"/>
      <w:bookmarkStart w:id="382" w:name="_Toc9886"/>
      <w:r>
        <w:rPr>
          <w:rFonts w:hint="eastAsia"/>
          <w:highlight w:val="none"/>
          <w:lang w:val="en-US" w:eastAsia="zh-CN"/>
        </w:rPr>
        <w:t xml:space="preserve">9.1 </w:t>
      </w:r>
      <w:r>
        <w:rPr>
          <w:rFonts w:hint="eastAsia"/>
          <w:highlight w:val="none"/>
        </w:rPr>
        <w:t>危险源辨识</w:t>
      </w:r>
      <w:bookmarkEnd w:id="378"/>
      <w:bookmarkEnd w:id="379"/>
      <w:bookmarkEnd w:id="380"/>
      <w:bookmarkEnd w:id="381"/>
      <w:bookmarkEnd w:id="382"/>
    </w:p>
    <w:p w14:paraId="21C6C25E">
      <w:pPr>
        <w:pStyle w:val="4"/>
        <w:bidi w:val="0"/>
        <w:rPr>
          <w:rFonts w:hint="default"/>
          <w:highlight w:val="none"/>
          <w:lang w:val="en-US" w:eastAsia="zh-CN"/>
        </w:rPr>
      </w:pPr>
      <w:r>
        <w:rPr>
          <w:rFonts w:hint="eastAsia"/>
          <w:highlight w:val="none"/>
          <w:lang w:val="en-US" w:eastAsia="zh-CN"/>
        </w:rPr>
        <w:t>9.1.1</w:t>
      </w:r>
      <w:r>
        <w:rPr>
          <w:rFonts w:hint="eastAsia" w:ascii="宋体" w:hAnsi="宋体" w:eastAsia="宋体" w:cs="宋体"/>
          <w:color w:val="000000"/>
          <w:kern w:val="0"/>
          <w:sz w:val="24"/>
          <w:szCs w:val="24"/>
          <w:highlight w:val="none"/>
          <w:lang w:val="en-US" w:eastAsia="zh-CN" w:bidi="ar"/>
        </w:rPr>
        <w:t>危险源评价方法</w:t>
      </w:r>
    </w:p>
    <w:p w14:paraId="352FA482">
      <w:pPr>
        <w:spacing w:line="360" w:lineRule="auto"/>
        <w:ind w:firstLine="480" w:firstLineChars="200"/>
        <w:rPr>
          <w:rFonts w:hint="eastAsia"/>
          <w:highlight w:val="none"/>
          <w:lang w:val="en-US" w:eastAsia="zh-CN"/>
        </w:rPr>
      </w:pPr>
      <w:r>
        <w:rPr>
          <w:rFonts w:hint="eastAsia"/>
          <w:highlight w:val="none"/>
          <w:lang w:val="en-US" w:eastAsia="zh-CN"/>
        </w:rPr>
        <w:t>1、</w:t>
      </w:r>
      <w:r>
        <w:rPr>
          <w:rFonts w:hint="eastAsia"/>
          <w:highlight w:val="none"/>
        </w:rPr>
        <w:t>危险源辨识</w:t>
      </w:r>
    </w:p>
    <w:p w14:paraId="0AFD2525">
      <w:pPr>
        <w:spacing w:line="360" w:lineRule="auto"/>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危险源是指一个系统中具有潜在能量和物质，释放危险的、可造成人员伤害、财产损失或环境破坏的、在一定的触发因素作用下可转化为事故的部位、区域、场所、空间、岗位、设备及其位置。</w:t>
      </w:r>
    </w:p>
    <w:p w14:paraId="48ADD7E3">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危险因素评价</w:t>
      </w:r>
    </w:p>
    <w:p w14:paraId="32A673F2">
      <w:pPr>
        <w:pStyle w:val="158"/>
        <w:ind w:firstLine="480"/>
        <w:rPr>
          <w:rFonts w:ascii="宋体" w:hAnsi="宋体"/>
          <w:highlight w:val="none"/>
        </w:rPr>
      </w:pPr>
      <w:r>
        <w:rPr>
          <w:rFonts w:ascii="宋体" w:hAnsi="宋体"/>
          <w:highlight w:val="none"/>
        </w:rPr>
        <w:t>（1）风险估测方法选择</w:t>
      </w:r>
    </w:p>
    <w:p w14:paraId="739D2572">
      <w:pPr>
        <w:pStyle w:val="158"/>
        <w:ind w:firstLine="480"/>
        <w:rPr>
          <w:rFonts w:ascii="宋体" w:hAnsi="宋体"/>
          <w:highlight w:val="none"/>
        </w:rPr>
      </w:pPr>
      <w:r>
        <w:rPr>
          <w:rFonts w:ascii="宋体" w:hAnsi="宋体"/>
          <w:highlight w:val="none"/>
        </w:rPr>
        <w:t>风险估测是采用定性或定量的方法对风险事故发生的可能性及严重程度进行数量估算。采用LEC法对该合同段工程进行风险估测。风险分值D=LEC。D值越大，说明该系统危险性大。</w:t>
      </w:r>
    </w:p>
    <w:p w14:paraId="0BD7B585">
      <w:pPr>
        <w:pStyle w:val="158"/>
        <w:ind w:firstLine="480"/>
        <w:rPr>
          <w:rFonts w:ascii="宋体" w:hAnsi="宋体"/>
          <w:highlight w:val="none"/>
        </w:rPr>
      </w:pPr>
      <w:r>
        <w:rPr>
          <w:rFonts w:ascii="宋体" w:hAnsi="宋体"/>
          <w:highlight w:val="none"/>
        </w:rPr>
        <w:t>（2）量化分值标准</w:t>
      </w:r>
    </w:p>
    <w:p w14:paraId="4BD18095">
      <w:pPr>
        <w:pStyle w:val="158"/>
        <w:ind w:firstLine="480"/>
        <w:rPr>
          <w:rFonts w:ascii="宋体" w:hAnsi="宋体"/>
          <w:highlight w:val="none"/>
        </w:rPr>
      </w:pPr>
      <w:r>
        <w:rPr>
          <w:rFonts w:ascii="宋体" w:hAnsi="宋体"/>
          <w:highlight w:val="none"/>
        </w:rPr>
        <w:t>为了简化计算，将事故发生的可能性、施工人员暴露事件、事故发生后果划分不同的等级并赋值。</w:t>
      </w:r>
    </w:p>
    <w:p w14:paraId="2F5A90AC">
      <w:pPr>
        <w:pStyle w:val="158"/>
        <w:ind w:firstLine="480"/>
        <w:rPr>
          <w:rFonts w:ascii="宋体" w:hAnsi="宋体"/>
          <w:highlight w:val="none"/>
        </w:rPr>
      </w:pPr>
      <w:r>
        <w:rPr>
          <w:rFonts w:ascii="宋体" w:hAnsi="宋体"/>
          <w:highlight w:val="none"/>
        </w:rPr>
        <w:t>其中：D一风险值；L一发生事故的可能性；E一暴露于危险环境的频繁程度；</w:t>
      </w:r>
    </w:p>
    <w:p w14:paraId="0922FA54">
      <w:pPr>
        <w:pStyle w:val="158"/>
        <w:ind w:firstLine="480"/>
        <w:rPr>
          <w:rFonts w:ascii="宋体" w:hAnsi="宋体"/>
          <w:highlight w:val="none"/>
        </w:rPr>
      </w:pPr>
      <w:r>
        <w:rPr>
          <w:rFonts w:ascii="宋体" w:hAnsi="宋体"/>
          <w:highlight w:val="none"/>
        </w:rPr>
        <w:t>C一发生事故造成的后果。</w:t>
      </w:r>
    </w:p>
    <w:p w14:paraId="547723C5">
      <w:pPr>
        <w:pStyle w:val="158"/>
        <w:ind w:firstLine="480"/>
        <w:rPr>
          <w:rFonts w:ascii="宋体" w:hAnsi="宋体"/>
          <w:highlight w:val="none"/>
        </w:rPr>
      </w:pPr>
      <w:r>
        <w:rPr>
          <w:rFonts w:ascii="宋体" w:hAnsi="宋体"/>
          <w:highlight w:val="none"/>
        </w:rPr>
        <w:t>发生事故的可能性（</w:t>
      </w:r>
      <w:r>
        <w:rPr>
          <w:rFonts w:hint="eastAsia" w:ascii="宋体" w:hAnsi="宋体"/>
          <w:highlight w:val="none"/>
        </w:rPr>
        <w:t>L</w:t>
      </w:r>
      <w:r>
        <w:rPr>
          <w:rFonts w:ascii="宋体" w:hAnsi="宋体"/>
          <w:highlight w:val="none"/>
        </w:rPr>
        <w:t>）</w:t>
      </w:r>
    </w:p>
    <w:p w14:paraId="09A3453E">
      <w:pPr>
        <w:pStyle w:val="158"/>
        <w:ind w:firstLine="480"/>
        <w:rPr>
          <w:rFonts w:ascii="宋体" w:hAnsi="宋体"/>
          <w:highlight w:val="none"/>
        </w:rPr>
      </w:pPr>
      <w:r>
        <w:rPr>
          <w:rFonts w:ascii="宋体" w:hAnsi="宋体"/>
          <w:highlight w:val="none"/>
        </w:rPr>
        <w:t>从系统安全角度考虑将</w:t>
      </w:r>
      <w:r>
        <w:rPr>
          <w:rFonts w:hint="eastAsia" w:ascii="宋体" w:hAnsi="宋体"/>
          <w:highlight w:val="none"/>
        </w:rPr>
        <w:t>“</w:t>
      </w:r>
      <w:r>
        <w:rPr>
          <w:rFonts w:ascii="宋体" w:hAnsi="宋体"/>
          <w:highlight w:val="none"/>
        </w:rPr>
        <w:t>发生事故可能性极小</w:t>
      </w:r>
      <w:r>
        <w:rPr>
          <w:rFonts w:hint="eastAsia" w:ascii="宋体" w:hAnsi="宋体"/>
          <w:highlight w:val="none"/>
        </w:rPr>
        <w:t>”</w:t>
      </w:r>
      <w:r>
        <w:rPr>
          <w:rFonts w:ascii="宋体" w:hAnsi="宋体"/>
          <w:highlight w:val="none"/>
        </w:rPr>
        <w:t>的分数定为0.1，而必然要发生的事故的分数定为10，介于这两种情况之间的情况</w:t>
      </w:r>
      <w:r>
        <w:rPr>
          <w:rFonts w:hint="eastAsia" w:ascii="宋体" w:hAnsi="宋体"/>
          <w:highlight w:val="none"/>
          <w:lang w:eastAsia="zh-CN"/>
        </w:rPr>
        <w:t>制定</w:t>
      </w:r>
      <w:r>
        <w:rPr>
          <w:rFonts w:ascii="宋体" w:hAnsi="宋体"/>
          <w:highlight w:val="none"/>
        </w:rPr>
        <w:t>了若干个中间值，如表</w:t>
      </w:r>
      <w:r>
        <w:rPr>
          <w:rFonts w:hint="eastAsia"/>
          <w:highlight w:val="none"/>
          <w:lang w:val="en-US" w:eastAsia="zh-CN"/>
        </w:rPr>
        <w:t>9.1-1</w:t>
      </w:r>
      <w:r>
        <w:rPr>
          <w:rFonts w:ascii="宋体" w:hAnsi="宋体"/>
          <w:highlight w:val="none"/>
        </w:rPr>
        <w:t>所示：</w:t>
      </w:r>
    </w:p>
    <w:p w14:paraId="019274C0">
      <w:pPr>
        <w:pStyle w:val="41"/>
        <w:bidi w:val="0"/>
        <w:rPr>
          <w:highlight w:val="none"/>
        </w:rPr>
      </w:pPr>
      <w:r>
        <w:rPr>
          <w:highlight w:val="none"/>
        </w:rPr>
        <w:t>表</w:t>
      </w:r>
      <w:r>
        <w:rPr>
          <w:rFonts w:hint="eastAsia"/>
          <w:highlight w:val="none"/>
          <w:lang w:val="en-US" w:eastAsia="zh-CN"/>
        </w:rPr>
        <w:t>9.1</w:t>
      </w:r>
      <w:r>
        <w:rPr>
          <w:highlight w:val="none"/>
        </w:rPr>
        <w:t>-</w:t>
      </w:r>
      <w:r>
        <w:rPr>
          <w:rFonts w:hint="eastAsia"/>
          <w:highlight w:val="none"/>
        </w:rPr>
        <w:t>1</w:t>
      </w:r>
      <w:r>
        <w:rPr>
          <w:highlight w:val="none"/>
        </w:rPr>
        <w:t>发生事故的可能性（L）</w:t>
      </w:r>
    </w:p>
    <w:tbl>
      <w:tblPr>
        <w:tblStyle w:val="30"/>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1221"/>
        <w:gridCol w:w="3039"/>
        <w:gridCol w:w="1220"/>
        <w:gridCol w:w="3039"/>
      </w:tblGrid>
      <w:tr w14:paraId="6E818C9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4D3F7805">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1735C7D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c>
          <w:tcPr>
            <w:tcW w:w="716" w:type="pct"/>
            <w:shd w:val="clear" w:color="auto" w:fill="FFFFFF" w:themeFill="background1"/>
            <w:noWrap w:val="0"/>
            <w:vAlign w:val="center"/>
          </w:tcPr>
          <w:p w14:paraId="04650F5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分数值</w:t>
            </w:r>
          </w:p>
        </w:tc>
        <w:tc>
          <w:tcPr>
            <w:tcW w:w="1783" w:type="pct"/>
            <w:shd w:val="clear" w:color="auto" w:fill="FFFFFF" w:themeFill="background1"/>
            <w:noWrap w:val="0"/>
            <w:vAlign w:val="center"/>
          </w:tcPr>
          <w:p w14:paraId="30C9EC6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事故发生的可能性</w:t>
            </w:r>
          </w:p>
        </w:tc>
      </w:tr>
      <w:tr w14:paraId="76F0D3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7C9BE5C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10</w:t>
            </w:r>
          </w:p>
        </w:tc>
        <w:tc>
          <w:tcPr>
            <w:tcW w:w="1783" w:type="pct"/>
            <w:shd w:val="clear" w:color="auto" w:fill="FFFFFF" w:themeFill="background1"/>
            <w:noWrap w:val="0"/>
            <w:vAlign w:val="center"/>
          </w:tcPr>
          <w:p w14:paraId="3FE3466B">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完全可能预料</w:t>
            </w:r>
          </w:p>
        </w:tc>
        <w:tc>
          <w:tcPr>
            <w:tcW w:w="716" w:type="pct"/>
            <w:shd w:val="clear" w:color="auto" w:fill="FFFFFF" w:themeFill="background1"/>
            <w:noWrap w:val="0"/>
            <w:vAlign w:val="center"/>
          </w:tcPr>
          <w:p w14:paraId="3FDCDDC7">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0.5</w:t>
            </w:r>
          </w:p>
        </w:tc>
        <w:tc>
          <w:tcPr>
            <w:tcW w:w="1783" w:type="pct"/>
            <w:shd w:val="clear" w:color="auto" w:fill="FFFFFF" w:themeFill="background1"/>
            <w:noWrap w:val="0"/>
            <w:vAlign w:val="center"/>
          </w:tcPr>
          <w:p w14:paraId="4DCE075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很不可能，可以设想</w:t>
            </w:r>
          </w:p>
        </w:tc>
      </w:tr>
      <w:tr w14:paraId="737968D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6985641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6</w:t>
            </w:r>
          </w:p>
        </w:tc>
        <w:tc>
          <w:tcPr>
            <w:tcW w:w="1783" w:type="pct"/>
            <w:shd w:val="clear" w:color="auto" w:fill="FFFFFF" w:themeFill="background1"/>
            <w:noWrap w:val="0"/>
            <w:vAlign w:val="center"/>
          </w:tcPr>
          <w:p w14:paraId="61CF6C81">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相当可能</w:t>
            </w:r>
          </w:p>
        </w:tc>
        <w:tc>
          <w:tcPr>
            <w:tcW w:w="716" w:type="pct"/>
            <w:shd w:val="clear" w:color="auto" w:fill="FFFFFF" w:themeFill="background1"/>
            <w:noWrap w:val="0"/>
            <w:vAlign w:val="center"/>
          </w:tcPr>
          <w:p w14:paraId="1BBB9742">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0.2</w:t>
            </w:r>
          </w:p>
        </w:tc>
        <w:tc>
          <w:tcPr>
            <w:tcW w:w="1783" w:type="pct"/>
            <w:shd w:val="clear" w:color="auto" w:fill="FFFFFF" w:themeFill="background1"/>
            <w:noWrap w:val="0"/>
            <w:vAlign w:val="center"/>
          </w:tcPr>
          <w:p w14:paraId="22A0A0CC">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极不可能</w:t>
            </w:r>
          </w:p>
        </w:tc>
      </w:tr>
      <w:tr w14:paraId="051EC7F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1761B5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3</w:t>
            </w:r>
          </w:p>
        </w:tc>
        <w:tc>
          <w:tcPr>
            <w:tcW w:w="1783" w:type="pct"/>
            <w:shd w:val="clear" w:color="auto" w:fill="FFFFFF" w:themeFill="background1"/>
            <w:noWrap w:val="0"/>
            <w:vAlign w:val="center"/>
          </w:tcPr>
          <w:p w14:paraId="59F5B48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可能，但不经常</w:t>
            </w:r>
          </w:p>
        </w:tc>
        <w:tc>
          <w:tcPr>
            <w:tcW w:w="716" w:type="pct"/>
            <w:shd w:val="clear" w:color="auto" w:fill="FFFFFF" w:themeFill="background1"/>
            <w:noWrap w:val="0"/>
            <w:vAlign w:val="center"/>
          </w:tcPr>
          <w:p w14:paraId="056E2236">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0.1</w:t>
            </w:r>
          </w:p>
        </w:tc>
        <w:tc>
          <w:tcPr>
            <w:tcW w:w="1783" w:type="pct"/>
            <w:shd w:val="clear" w:color="auto" w:fill="FFFFFF" w:themeFill="background1"/>
            <w:noWrap w:val="0"/>
            <w:vAlign w:val="center"/>
          </w:tcPr>
          <w:p w14:paraId="185678A9">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实际不可能</w:t>
            </w:r>
          </w:p>
        </w:tc>
      </w:tr>
      <w:tr w14:paraId="799967C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717" w:type="pct"/>
            <w:shd w:val="clear" w:color="auto" w:fill="FFFFFF" w:themeFill="background1"/>
            <w:noWrap w:val="0"/>
            <w:vAlign w:val="center"/>
          </w:tcPr>
          <w:p w14:paraId="5301BA8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1</w:t>
            </w:r>
          </w:p>
        </w:tc>
        <w:tc>
          <w:tcPr>
            <w:tcW w:w="1783" w:type="pct"/>
            <w:shd w:val="clear" w:color="auto" w:fill="FFFFFF" w:themeFill="background1"/>
            <w:noWrap w:val="0"/>
            <w:vAlign w:val="center"/>
          </w:tcPr>
          <w:p w14:paraId="1DBD952F">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r>
              <w:rPr>
                <w:highlight w:val="none"/>
              </w:rPr>
              <w:t>可能性小，完全意外</w:t>
            </w:r>
          </w:p>
        </w:tc>
        <w:tc>
          <w:tcPr>
            <w:tcW w:w="716" w:type="pct"/>
            <w:shd w:val="clear" w:color="auto" w:fill="FFFFFF" w:themeFill="background1"/>
            <w:noWrap w:val="0"/>
            <w:vAlign w:val="center"/>
          </w:tcPr>
          <w:p w14:paraId="02A72980">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c>
          <w:tcPr>
            <w:tcW w:w="1783" w:type="pct"/>
            <w:shd w:val="clear" w:color="auto" w:fill="FFFFFF" w:themeFill="background1"/>
            <w:noWrap w:val="0"/>
            <w:vAlign w:val="center"/>
          </w:tcPr>
          <w:p w14:paraId="3593BD6E">
            <w:pPr>
              <w:keepNext w:val="0"/>
              <w:keepLines w:val="0"/>
              <w:pageBreakBefore w:val="0"/>
              <w:widowControl w:val="0"/>
              <w:kinsoku/>
              <w:wordWrap/>
              <w:overflowPunct/>
              <w:topLinePunct w:val="0"/>
              <w:autoSpaceDE/>
              <w:autoSpaceDN/>
              <w:bidi w:val="0"/>
              <w:adjustRightInd/>
              <w:snapToGrid/>
              <w:ind w:firstLine="0" w:firstLineChars="0"/>
              <w:textAlignment w:val="auto"/>
              <w:rPr>
                <w:highlight w:val="none"/>
              </w:rPr>
            </w:pPr>
          </w:p>
        </w:tc>
      </w:tr>
    </w:tbl>
    <w:p w14:paraId="63FF950A">
      <w:pPr>
        <w:pStyle w:val="158"/>
        <w:ind w:firstLine="480"/>
        <w:rPr>
          <w:rFonts w:ascii="宋体" w:hAnsi="宋体"/>
          <w:highlight w:val="none"/>
        </w:rPr>
      </w:pPr>
      <w:r>
        <w:rPr>
          <w:rFonts w:hint="eastAsia" w:ascii="宋体" w:hAnsi="宋体"/>
          <w:highlight w:val="none"/>
        </w:rPr>
        <w:t>②</w:t>
      </w:r>
      <w:r>
        <w:rPr>
          <w:rFonts w:ascii="宋体" w:hAnsi="宋体"/>
          <w:highlight w:val="none"/>
        </w:rPr>
        <w:t>暴露于危险环境的频繁程度（E）</w:t>
      </w:r>
    </w:p>
    <w:p w14:paraId="02B26BF6">
      <w:pPr>
        <w:pStyle w:val="158"/>
        <w:ind w:firstLine="480"/>
        <w:rPr>
          <w:rFonts w:ascii="宋体" w:hAnsi="宋体"/>
          <w:highlight w:val="none"/>
        </w:rPr>
      </w:pPr>
      <w:r>
        <w:rPr>
          <w:rFonts w:ascii="宋体" w:hAnsi="宋体"/>
          <w:highlight w:val="none"/>
        </w:rPr>
        <w:t>人员出现在危险环境中的时间越多，则危险性越大规定连续出现在危险环境的情况分数定为10，而非常罕见地出现在危险环境中分数定为0.5，将介于两者之间的各种情况规定若干个中间值，如</w:t>
      </w:r>
      <w:r>
        <w:rPr>
          <w:rFonts w:hint="eastAsia" w:ascii="宋体" w:hAnsi="宋体"/>
          <w:highlight w:val="none"/>
        </w:rPr>
        <w:t>下表</w:t>
      </w:r>
      <w:r>
        <w:rPr>
          <w:rFonts w:ascii="宋体" w:hAnsi="宋体"/>
          <w:highlight w:val="none"/>
        </w:rPr>
        <w:t>所示：</w:t>
      </w:r>
    </w:p>
    <w:p w14:paraId="258AC15A">
      <w:pPr>
        <w:pStyle w:val="41"/>
        <w:bidi w:val="0"/>
        <w:rPr>
          <w:highlight w:val="none"/>
        </w:rPr>
      </w:pPr>
      <w:r>
        <w:rPr>
          <w:highlight w:val="none"/>
        </w:rPr>
        <w:t>表</w:t>
      </w:r>
      <w:r>
        <w:rPr>
          <w:rFonts w:hint="eastAsia"/>
          <w:highlight w:val="none"/>
          <w:lang w:val="en-US" w:eastAsia="zh-CN"/>
        </w:rPr>
        <w:t>9.1</w:t>
      </w:r>
      <w:r>
        <w:rPr>
          <w:highlight w:val="none"/>
        </w:rPr>
        <w:t>-</w:t>
      </w:r>
      <w:r>
        <w:rPr>
          <w:rFonts w:hint="eastAsia"/>
          <w:highlight w:val="none"/>
        </w:rPr>
        <w:t>2</w:t>
      </w:r>
      <w:r>
        <w:rPr>
          <w:highlight w:val="none"/>
        </w:rPr>
        <w:t>暴露于危险环境的频繁程度（E）</w:t>
      </w:r>
    </w:p>
    <w:tbl>
      <w:tblPr>
        <w:tblStyle w:val="30"/>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473"/>
        <w:gridCol w:w="6047"/>
      </w:tblGrid>
      <w:tr w14:paraId="39B8FB4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7C8A9808">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548" w:type="pct"/>
            <w:shd w:val="clear" w:color="auto" w:fill="FFFFFF" w:themeFill="background1"/>
            <w:noWrap w:val="0"/>
            <w:vAlign w:val="center"/>
          </w:tcPr>
          <w:p w14:paraId="30C17C81">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暴露于危险环境的频繁程度</w:t>
            </w:r>
          </w:p>
        </w:tc>
      </w:tr>
      <w:tr w14:paraId="26E9611D">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1DED646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10</w:t>
            </w:r>
          </w:p>
        </w:tc>
        <w:tc>
          <w:tcPr>
            <w:tcW w:w="3548" w:type="pct"/>
            <w:shd w:val="clear" w:color="auto" w:fill="FFFFFF" w:themeFill="background1"/>
            <w:noWrap w:val="0"/>
            <w:vAlign w:val="center"/>
          </w:tcPr>
          <w:p w14:paraId="0BC029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连续暴露</w:t>
            </w:r>
          </w:p>
        </w:tc>
      </w:tr>
      <w:tr w14:paraId="334ED1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F7DB7E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6</w:t>
            </w:r>
          </w:p>
        </w:tc>
        <w:tc>
          <w:tcPr>
            <w:tcW w:w="3548" w:type="pct"/>
            <w:shd w:val="clear" w:color="auto" w:fill="FFFFFF" w:themeFill="background1"/>
            <w:noWrap w:val="0"/>
            <w:vAlign w:val="center"/>
          </w:tcPr>
          <w:p w14:paraId="06A221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每天工作时间内暴露</w:t>
            </w:r>
          </w:p>
        </w:tc>
      </w:tr>
      <w:tr w14:paraId="2CD8D3A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E814C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3</w:t>
            </w:r>
          </w:p>
        </w:tc>
        <w:tc>
          <w:tcPr>
            <w:tcW w:w="3548" w:type="pct"/>
            <w:shd w:val="clear" w:color="auto" w:fill="FFFFFF" w:themeFill="background1"/>
            <w:noWrap w:val="0"/>
            <w:vAlign w:val="center"/>
          </w:tcPr>
          <w:p w14:paraId="161219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每周一次，或偶然暴露</w:t>
            </w:r>
          </w:p>
        </w:tc>
      </w:tr>
      <w:tr w14:paraId="4671B84F">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5BB3DA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2</w:t>
            </w:r>
          </w:p>
        </w:tc>
        <w:tc>
          <w:tcPr>
            <w:tcW w:w="3548" w:type="pct"/>
            <w:shd w:val="clear" w:color="auto" w:fill="FFFFFF" w:themeFill="background1"/>
            <w:noWrap w:val="0"/>
            <w:vAlign w:val="center"/>
          </w:tcPr>
          <w:p w14:paraId="49EAF14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每月一次暴露</w:t>
            </w:r>
          </w:p>
        </w:tc>
      </w:tr>
      <w:tr w14:paraId="0167043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0C59F0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1</w:t>
            </w:r>
          </w:p>
        </w:tc>
        <w:tc>
          <w:tcPr>
            <w:tcW w:w="3548" w:type="pct"/>
            <w:shd w:val="clear" w:color="auto" w:fill="FFFFFF" w:themeFill="background1"/>
            <w:noWrap w:val="0"/>
            <w:vAlign w:val="center"/>
          </w:tcPr>
          <w:p w14:paraId="6242205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每年几次暴露</w:t>
            </w:r>
          </w:p>
        </w:tc>
      </w:tr>
      <w:tr w14:paraId="19AF8FF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451" w:type="pct"/>
            <w:shd w:val="clear" w:color="auto" w:fill="FFFFFF" w:themeFill="background1"/>
            <w:noWrap w:val="0"/>
            <w:vAlign w:val="center"/>
          </w:tcPr>
          <w:p w14:paraId="2B9828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0.5</w:t>
            </w:r>
          </w:p>
        </w:tc>
        <w:tc>
          <w:tcPr>
            <w:tcW w:w="3548" w:type="pct"/>
            <w:shd w:val="clear" w:color="auto" w:fill="FFFFFF" w:themeFill="background1"/>
            <w:noWrap w:val="0"/>
            <w:vAlign w:val="center"/>
          </w:tcPr>
          <w:p w14:paraId="189D7B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eastAsia="宋体" w:cs="Times New Roman"/>
                <w:highlight w:val="none"/>
              </w:rPr>
            </w:pPr>
            <w:r>
              <w:rPr>
                <w:rFonts w:ascii="宋体" w:hAnsi="宋体" w:eastAsia="宋体" w:cs="Times New Roman"/>
                <w:highlight w:val="none"/>
              </w:rPr>
              <w:t>非常罕见地暴露</w:t>
            </w:r>
          </w:p>
        </w:tc>
      </w:tr>
    </w:tbl>
    <w:p w14:paraId="2012A8D8">
      <w:pPr>
        <w:pStyle w:val="158"/>
        <w:ind w:firstLine="480"/>
        <w:rPr>
          <w:rFonts w:ascii="宋体" w:hAnsi="宋体"/>
          <w:highlight w:val="none"/>
        </w:rPr>
      </w:pPr>
      <w:r>
        <w:rPr>
          <w:rFonts w:hint="eastAsia" w:ascii="宋体" w:hAnsi="宋体"/>
          <w:highlight w:val="none"/>
        </w:rPr>
        <w:t>③</w:t>
      </w:r>
      <w:r>
        <w:rPr>
          <w:rFonts w:ascii="宋体" w:hAnsi="宋体"/>
          <w:highlight w:val="none"/>
        </w:rPr>
        <w:t>发生事故造成的后果（C）</w:t>
      </w:r>
    </w:p>
    <w:p w14:paraId="46012F71">
      <w:pPr>
        <w:pStyle w:val="158"/>
        <w:ind w:firstLine="480"/>
        <w:rPr>
          <w:rFonts w:ascii="宋体" w:hAnsi="宋体"/>
          <w:highlight w:val="none"/>
        </w:rPr>
      </w:pPr>
      <w:r>
        <w:rPr>
          <w:rFonts w:ascii="宋体" w:hAnsi="宋体"/>
          <w:highlight w:val="none"/>
        </w:rPr>
        <w:t>事故造成的人身伤害与财产损失变化范围很大，对伤亡事故来说，可从极小的轻伤直到多人死亡的严重后果。由于范围广阔，所以规定的分数值为1～100，轻伤规定分数值1，把造成十人以上死亡的可能性分数规定为100，</w:t>
      </w:r>
      <w:r>
        <w:rPr>
          <w:rFonts w:hint="eastAsia" w:ascii="宋体" w:hAnsi="宋体"/>
          <w:highlight w:val="none"/>
          <w:lang w:eastAsia="zh-CN"/>
        </w:rPr>
        <w:t>其他情况的</w:t>
      </w:r>
      <w:r>
        <w:rPr>
          <w:rFonts w:ascii="宋体" w:hAnsi="宋体"/>
          <w:highlight w:val="none"/>
        </w:rPr>
        <w:t>数值在1～100之间，如</w:t>
      </w:r>
      <w:r>
        <w:rPr>
          <w:rFonts w:hint="eastAsia" w:ascii="宋体" w:hAnsi="宋体"/>
          <w:highlight w:val="none"/>
        </w:rPr>
        <w:t>下表</w:t>
      </w:r>
      <w:r>
        <w:rPr>
          <w:rFonts w:ascii="宋体" w:hAnsi="宋体"/>
          <w:highlight w:val="none"/>
        </w:rPr>
        <w:t>所示：</w:t>
      </w:r>
    </w:p>
    <w:p w14:paraId="521215D2">
      <w:pPr>
        <w:pStyle w:val="41"/>
        <w:bidi w:val="0"/>
        <w:rPr>
          <w:highlight w:val="none"/>
        </w:rPr>
      </w:pPr>
      <w:r>
        <w:rPr>
          <w:highlight w:val="none"/>
        </w:rPr>
        <w:t>表</w:t>
      </w:r>
      <w:r>
        <w:rPr>
          <w:rFonts w:hint="eastAsia"/>
          <w:highlight w:val="none"/>
          <w:lang w:val="en-US" w:eastAsia="zh-CN"/>
        </w:rPr>
        <w:t>9.1</w:t>
      </w:r>
      <w:r>
        <w:rPr>
          <w:highlight w:val="none"/>
        </w:rPr>
        <w:t>-</w:t>
      </w:r>
      <w:r>
        <w:rPr>
          <w:rFonts w:hint="eastAsia"/>
          <w:highlight w:val="none"/>
        </w:rPr>
        <w:t>3</w:t>
      </w:r>
      <w:r>
        <w:rPr>
          <w:highlight w:val="none"/>
        </w:rPr>
        <w:t>发生事故造成的后果（C）</w:t>
      </w:r>
    </w:p>
    <w:tbl>
      <w:tblPr>
        <w:tblStyle w:val="30"/>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55"/>
        <w:gridCol w:w="6465"/>
      </w:tblGrid>
      <w:tr w14:paraId="5F80CC9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68D5CDE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分数值</w:t>
            </w:r>
          </w:p>
        </w:tc>
        <w:tc>
          <w:tcPr>
            <w:tcW w:w="3793" w:type="pct"/>
            <w:tcBorders>
              <w:tl2br w:val="nil"/>
              <w:tr2bl w:val="nil"/>
            </w:tcBorders>
            <w:shd w:val="clear" w:color="auto" w:fill="FFFFFF" w:themeFill="background1"/>
            <w:noWrap w:val="0"/>
            <w:vAlign w:val="center"/>
          </w:tcPr>
          <w:p w14:paraId="5AE8D79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b/>
                <w:highlight w:val="none"/>
              </w:rPr>
            </w:pPr>
            <w:r>
              <w:rPr>
                <w:rFonts w:ascii="宋体" w:hAnsi="宋体"/>
                <w:b/>
                <w:highlight w:val="none"/>
              </w:rPr>
              <w:t>事故发生的可能性</w:t>
            </w:r>
          </w:p>
        </w:tc>
      </w:tr>
      <w:tr w14:paraId="620C478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125FCE7">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100</w:t>
            </w:r>
          </w:p>
        </w:tc>
        <w:tc>
          <w:tcPr>
            <w:tcW w:w="3793" w:type="pct"/>
            <w:tcBorders>
              <w:tl2br w:val="nil"/>
              <w:tr2bl w:val="nil"/>
            </w:tcBorders>
            <w:shd w:val="clear" w:color="auto" w:fill="FFFFFF" w:themeFill="background1"/>
            <w:noWrap w:val="0"/>
            <w:vAlign w:val="center"/>
          </w:tcPr>
          <w:p w14:paraId="5E5761C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10人以上死亡</w:t>
            </w:r>
          </w:p>
        </w:tc>
      </w:tr>
      <w:tr w14:paraId="08E140EE">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25A9AEA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40</w:t>
            </w:r>
          </w:p>
        </w:tc>
        <w:tc>
          <w:tcPr>
            <w:tcW w:w="3793" w:type="pct"/>
            <w:tcBorders>
              <w:tl2br w:val="nil"/>
              <w:tr2bl w:val="nil"/>
            </w:tcBorders>
            <w:shd w:val="clear" w:color="auto" w:fill="FFFFFF" w:themeFill="background1"/>
            <w:noWrap w:val="0"/>
            <w:vAlign w:val="center"/>
          </w:tcPr>
          <w:p w14:paraId="4CE0A59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3～9人死亡</w:t>
            </w:r>
          </w:p>
        </w:tc>
      </w:tr>
      <w:tr w14:paraId="63F288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0A7318B6">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15</w:t>
            </w:r>
          </w:p>
        </w:tc>
        <w:tc>
          <w:tcPr>
            <w:tcW w:w="3793" w:type="pct"/>
            <w:tcBorders>
              <w:tl2br w:val="nil"/>
              <w:tr2bl w:val="nil"/>
            </w:tcBorders>
            <w:shd w:val="clear" w:color="auto" w:fill="FFFFFF" w:themeFill="background1"/>
            <w:noWrap w:val="0"/>
            <w:vAlign w:val="center"/>
          </w:tcPr>
          <w:p w14:paraId="189606D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1～2人死亡</w:t>
            </w:r>
          </w:p>
        </w:tc>
      </w:tr>
      <w:tr w14:paraId="6DF38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53EA616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7</w:t>
            </w:r>
          </w:p>
        </w:tc>
        <w:tc>
          <w:tcPr>
            <w:tcW w:w="3793" w:type="pct"/>
            <w:tcBorders>
              <w:tl2br w:val="nil"/>
              <w:tr2bl w:val="nil"/>
            </w:tcBorders>
            <w:shd w:val="clear" w:color="auto" w:fill="FFFFFF" w:themeFill="background1"/>
            <w:noWrap w:val="0"/>
            <w:vAlign w:val="center"/>
          </w:tcPr>
          <w:p w14:paraId="1AA44955">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致残</w:t>
            </w:r>
          </w:p>
        </w:tc>
      </w:tr>
      <w:tr w14:paraId="24B2C5B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3E299EB4">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3</w:t>
            </w:r>
          </w:p>
        </w:tc>
        <w:tc>
          <w:tcPr>
            <w:tcW w:w="3793" w:type="pct"/>
            <w:tcBorders>
              <w:tl2br w:val="nil"/>
              <w:tr2bl w:val="nil"/>
            </w:tcBorders>
            <w:shd w:val="clear" w:color="auto" w:fill="FFFFFF" w:themeFill="background1"/>
            <w:noWrap w:val="0"/>
            <w:vAlign w:val="center"/>
          </w:tcPr>
          <w:p w14:paraId="37C54C1D">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重伤</w:t>
            </w:r>
          </w:p>
        </w:tc>
      </w:tr>
      <w:tr w14:paraId="1BD0E77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206" w:type="pct"/>
            <w:tcBorders>
              <w:tl2br w:val="nil"/>
              <w:tr2bl w:val="nil"/>
            </w:tcBorders>
            <w:shd w:val="clear" w:color="auto" w:fill="FFFFFF" w:themeFill="background1"/>
            <w:noWrap w:val="0"/>
            <w:vAlign w:val="center"/>
          </w:tcPr>
          <w:p w14:paraId="78B7FD51">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1</w:t>
            </w:r>
          </w:p>
        </w:tc>
        <w:tc>
          <w:tcPr>
            <w:tcW w:w="3793" w:type="pct"/>
            <w:tcBorders>
              <w:tl2br w:val="nil"/>
              <w:tr2bl w:val="nil"/>
            </w:tcBorders>
            <w:shd w:val="clear" w:color="auto" w:fill="FFFFFF" w:themeFill="background1"/>
            <w:noWrap w:val="0"/>
            <w:vAlign w:val="center"/>
          </w:tcPr>
          <w:p w14:paraId="211DFC3A">
            <w:pPr>
              <w:pStyle w:val="72"/>
              <w:keepNext w:val="0"/>
              <w:keepLines w:val="0"/>
              <w:pageBreakBefore w:val="0"/>
              <w:widowControl w:val="0"/>
              <w:kinsoku/>
              <w:wordWrap/>
              <w:overflowPunct/>
              <w:topLinePunct w:val="0"/>
              <w:autoSpaceDE/>
              <w:autoSpaceDN/>
              <w:bidi w:val="0"/>
              <w:adjustRightInd/>
              <w:snapToGrid/>
              <w:ind w:firstLine="0" w:firstLineChars="0"/>
              <w:textAlignment w:val="auto"/>
              <w:rPr>
                <w:rFonts w:ascii="宋体" w:hAnsi="宋体"/>
                <w:highlight w:val="none"/>
              </w:rPr>
            </w:pPr>
            <w:r>
              <w:rPr>
                <w:rFonts w:ascii="宋体" w:hAnsi="宋体"/>
                <w:highlight w:val="none"/>
              </w:rPr>
              <w:t>轻伤</w:t>
            </w:r>
          </w:p>
        </w:tc>
      </w:tr>
    </w:tbl>
    <w:p w14:paraId="0A0A8819">
      <w:pPr>
        <w:pStyle w:val="158"/>
        <w:ind w:firstLine="480"/>
        <w:rPr>
          <w:rFonts w:ascii="宋体" w:hAnsi="宋体"/>
          <w:highlight w:val="none"/>
        </w:rPr>
      </w:pPr>
      <w:r>
        <w:rPr>
          <w:rFonts w:hint="eastAsia" w:ascii="宋体" w:hAnsi="宋体"/>
          <w:highlight w:val="none"/>
        </w:rPr>
        <w:t>④</w:t>
      </w:r>
      <w:r>
        <w:rPr>
          <w:rFonts w:ascii="宋体" w:hAnsi="宋体"/>
          <w:highlight w:val="none"/>
        </w:rPr>
        <w:t>风险值（D）</w:t>
      </w:r>
    </w:p>
    <w:p w14:paraId="4B8F394A">
      <w:pPr>
        <w:pStyle w:val="158"/>
        <w:ind w:firstLine="480"/>
        <w:rPr>
          <w:rFonts w:ascii="宋体" w:hAnsi="宋体"/>
          <w:highlight w:val="none"/>
        </w:rPr>
      </w:pPr>
      <w:r>
        <w:rPr>
          <w:rFonts w:ascii="宋体" w:hAnsi="宋体"/>
          <w:highlight w:val="none"/>
        </w:rPr>
        <w:t>根据公式D＝LEC，求出风险值D。风险等级的划分是凭经验判断，难免带有局限性，不能认为是普遍适用的，风险等级的界限值并不是长期固定不变的，在不同时期，组织应根据具体情况来确定风险等级的界限值，以符合持续改进的要求。风险等级划分如</w:t>
      </w:r>
      <w:r>
        <w:rPr>
          <w:rFonts w:hint="eastAsia" w:ascii="宋体" w:hAnsi="宋体"/>
          <w:highlight w:val="none"/>
        </w:rPr>
        <w:t>下表</w:t>
      </w:r>
      <w:r>
        <w:rPr>
          <w:rFonts w:ascii="宋体" w:hAnsi="宋体"/>
          <w:highlight w:val="none"/>
        </w:rPr>
        <w:t>所示：</w:t>
      </w:r>
    </w:p>
    <w:p w14:paraId="6B62CA24">
      <w:pPr>
        <w:pStyle w:val="41"/>
        <w:bidi w:val="0"/>
        <w:rPr>
          <w:highlight w:val="none"/>
        </w:rPr>
      </w:pPr>
      <w:r>
        <w:rPr>
          <w:highlight w:val="none"/>
        </w:rPr>
        <w:t>表</w:t>
      </w:r>
      <w:r>
        <w:rPr>
          <w:rFonts w:hint="eastAsia"/>
          <w:highlight w:val="none"/>
          <w:lang w:val="en-US" w:eastAsia="zh-CN"/>
        </w:rPr>
        <w:t>9.1</w:t>
      </w:r>
      <w:r>
        <w:rPr>
          <w:highlight w:val="none"/>
        </w:rPr>
        <w:t>-</w:t>
      </w:r>
      <w:r>
        <w:rPr>
          <w:rFonts w:hint="eastAsia"/>
          <w:highlight w:val="none"/>
        </w:rPr>
        <w:t>4</w:t>
      </w:r>
      <w:r>
        <w:rPr>
          <w:highlight w:val="none"/>
        </w:rPr>
        <w:t>风险等级划分（D）</w:t>
      </w:r>
    </w:p>
    <w:tbl>
      <w:tblPr>
        <w:tblStyle w:val="30"/>
        <w:tblW w:w="4998"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Layout w:type="autofit"/>
        <w:tblCellMar>
          <w:top w:w="0" w:type="dxa"/>
          <w:left w:w="108" w:type="dxa"/>
          <w:bottom w:w="0" w:type="dxa"/>
          <w:right w:w="108" w:type="dxa"/>
        </w:tblCellMar>
      </w:tblPr>
      <w:tblGrid>
        <w:gridCol w:w="2017"/>
        <w:gridCol w:w="3673"/>
        <w:gridCol w:w="2829"/>
      </w:tblGrid>
      <w:tr w14:paraId="4BE038C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243C3F44">
            <w:pPr>
              <w:pStyle w:val="72"/>
              <w:rPr>
                <w:rFonts w:ascii="宋体" w:hAnsi="宋体"/>
                <w:b/>
                <w:highlight w:val="none"/>
              </w:rPr>
            </w:pPr>
            <w:r>
              <w:rPr>
                <w:rFonts w:ascii="宋体" w:hAnsi="宋体"/>
                <w:b/>
                <w:highlight w:val="none"/>
              </w:rPr>
              <w:t>D值</w:t>
            </w:r>
          </w:p>
        </w:tc>
        <w:tc>
          <w:tcPr>
            <w:tcW w:w="2155" w:type="pct"/>
            <w:shd w:val="clear" w:color="auto" w:fill="FFFFFF" w:themeFill="background1"/>
            <w:noWrap w:val="0"/>
            <w:vAlign w:val="center"/>
          </w:tcPr>
          <w:p w14:paraId="6BDAC51C">
            <w:pPr>
              <w:pStyle w:val="72"/>
              <w:rPr>
                <w:rFonts w:ascii="宋体" w:hAnsi="宋体"/>
                <w:b/>
                <w:highlight w:val="none"/>
              </w:rPr>
            </w:pPr>
            <w:r>
              <w:rPr>
                <w:rFonts w:ascii="宋体" w:hAnsi="宋体"/>
                <w:b/>
                <w:highlight w:val="none"/>
              </w:rPr>
              <w:t>危险程度</w:t>
            </w:r>
          </w:p>
        </w:tc>
        <w:tc>
          <w:tcPr>
            <w:tcW w:w="1660" w:type="pct"/>
            <w:shd w:val="clear" w:color="auto" w:fill="FFFFFF" w:themeFill="background1"/>
            <w:noWrap w:val="0"/>
            <w:vAlign w:val="center"/>
          </w:tcPr>
          <w:p w14:paraId="2865B375">
            <w:pPr>
              <w:pStyle w:val="72"/>
              <w:rPr>
                <w:rFonts w:ascii="宋体" w:hAnsi="宋体"/>
                <w:b/>
                <w:highlight w:val="none"/>
              </w:rPr>
            </w:pPr>
            <w:r>
              <w:rPr>
                <w:rFonts w:ascii="宋体" w:hAnsi="宋体"/>
                <w:b/>
                <w:highlight w:val="none"/>
              </w:rPr>
              <w:t>风险等级</w:t>
            </w:r>
          </w:p>
        </w:tc>
      </w:tr>
      <w:tr w14:paraId="6F0120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6822F589">
            <w:pPr>
              <w:pStyle w:val="72"/>
              <w:rPr>
                <w:rFonts w:ascii="宋体" w:hAnsi="宋体"/>
                <w:highlight w:val="none"/>
              </w:rPr>
            </w:pPr>
            <w:r>
              <w:rPr>
                <w:rFonts w:ascii="宋体" w:hAnsi="宋体"/>
                <w:highlight w:val="none"/>
              </w:rPr>
              <w:t>D</w:t>
            </w:r>
            <w:r>
              <w:rPr>
                <w:rFonts w:hint="eastAsia" w:ascii="宋体" w:hAnsi="宋体"/>
                <w:highlight w:val="none"/>
              </w:rPr>
              <w:t>＞</w:t>
            </w:r>
            <w:r>
              <w:rPr>
                <w:rFonts w:ascii="宋体" w:hAnsi="宋体"/>
                <w:highlight w:val="none"/>
              </w:rPr>
              <w:t>320</w:t>
            </w:r>
          </w:p>
        </w:tc>
        <w:tc>
          <w:tcPr>
            <w:tcW w:w="2155" w:type="pct"/>
            <w:shd w:val="clear" w:color="auto" w:fill="FFFFFF" w:themeFill="background1"/>
            <w:noWrap w:val="0"/>
            <w:vAlign w:val="center"/>
          </w:tcPr>
          <w:p w14:paraId="15DD1857">
            <w:pPr>
              <w:pStyle w:val="72"/>
              <w:rPr>
                <w:rFonts w:hint="eastAsia" w:ascii="宋体" w:hAnsi="宋体" w:eastAsia="黑体"/>
                <w:highlight w:val="none"/>
                <w:lang w:eastAsia="zh-CN"/>
              </w:rPr>
            </w:pPr>
            <w:r>
              <w:rPr>
                <w:rFonts w:hint="eastAsia" w:ascii="宋体" w:hAnsi="宋体"/>
                <w:highlight w:val="none"/>
                <w:lang w:val="en-US" w:eastAsia="zh-CN"/>
              </w:rPr>
              <w:t>重大风险</w:t>
            </w:r>
          </w:p>
        </w:tc>
        <w:tc>
          <w:tcPr>
            <w:tcW w:w="1660" w:type="pct"/>
            <w:shd w:val="clear" w:color="auto" w:fill="FFFFFF" w:themeFill="background1"/>
            <w:noWrap w:val="0"/>
            <w:vAlign w:val="center"/>
          </w:tcPr>
          <w:p w14:paraId="4092DFF4">
            <w:pPr>
              <w:pStyle w:val="72"/>
              <w:rPr>
                <w:rFonts w:hint="eastAsia" w:ascii="宋体" w:hAnsi="宋体" w:eastAsia="黑体"/>
                <w:highlight w:val="none"/>
                <w:lang w:eastAsia="zh-CN"/>
              </w:rPr>
            </w:pPr>
            <w:r>
              <w:rPr>
                <w:rFonts w:hint="eastAsia" w:ascii="宋体" w:hAnsi="宋体"/>
                <w:highlight w:val="none"/>
                <w:lang w:val="en-US" w:eastAsia="zh-CN"/>
              </w:rPr>
              <w:t>Ⅳ</w:t>
            </w:r>
          </w:p>
        </w:tc>
      </w:tr>
      <w:tr w14:paraId="5A15CF5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1CEB3543">
            <w:pPr>
              <w:pStyle w:val="72"/>
              <w:rPr>
                <w:rFonts w:ascii="宋体" w:hAnsi="宋体"/>
                <w:highlight w:val="none"/>
              </w:rPr>
            </w:pPr>
            <w:r>
              <w:rPr>
                <w:rFonts w:ascii="宋体" w:hAnsi="宋体"/>
                <w:highlight w:val="none"/>
              </w:rPr>
              <w:t>320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160</w:t>
            </w:r>
          </w:p>
        </w:tc>
        <w:tc>
          <w:tcPr>
            <w:tcW w:w="2155" w:type="pct"/>
            <w:shd w:val="clear" w:color="auto" w:fill="FFFFFF" w:themeFill="background1"/>
            <w:noWrap w:val="0"/>
            <w:vAlign w:val="center"/>
          </w:tcPr>
          <w:p w14:paraId="06F3064D">
            <w:pPr>
              <w:pStyle w:val="72"/>
              <w:rPr>
                <w:rFonts w:hint="default" w:ascii="宋体" w:hAnsi="宋体" w:eastAsia="黑体"/>
                <w:highlight w:val="none"/>
                <w:lang w:val="en-US" w:eastAsia="zh-CN"/>
              </w:rPr>
            </w:pPr>
            <w:r>
              <w:rPr>
                <w:rFonts w:hint="eastAsia" w:ascii="宋体" w:hAnsi="宋体"/>
                <w:highlight w:val="none"/>
                <w:lang w:val="en-US" w:eastAsia="zh-CN"/>
              </w:rPr>
              <w:t>较大风险</w:t>
            </w:r>
          </w:p>
        </w:tc>
        <w:tc>
          <w:tcPr>
            <w:tcW w:w="1660" w:type="pct"/>
            <w:shd w:val="clear" w:color="auto" w:fill="FFFFFF" w:themeFill="background1"/>
            <w:noWrap w:val="0"/>
            <w:vAlign w:val="center"/>
          </w:tcPr>
          <w:p w14:paraId="3BA671D9">
            <w:pPr>
              <w:pStyle w:val="72"/>
              <w:rPr>
                <w:rFonts w:hint="default" w:ascii="宋体" w:hAnsi="宋体" w:eastAsia="黑体"/>
                <w:highlight w:val="none"/>
                <w:lang w:val="en-US" w:eastAsia="zh-CN"/>
              </w:rPr>
            </w:pPr>
            <w:r>
              <w:rPr>
                <w:rFonts w:hint="eastAsia" w:ascii="宋体" w:hAnsi="宋体"/>
                <w:highlight w:val="none"/>
                <w:lang w:val="en-US" w:eastAsia="zh-CN"/>
              </w:rPr>
              <w:t>Ⅲ</w:t>
            </w:r>
          </w:p>
        </w:tc>
      </w:tr>
      <w:tr w14:paraId="14295C9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056B73FB">
            <w:pPr>
              <w:pStyle w:val="72"/>
              <w:rPr>
                <w:rFonts w:ascii="宋体" w:hAnsi="宋体"/>
                <w:highlight w:val="none"/>
              </w:rPr>
            </w:pPr>
            <w:r>
              <w:rPr>
                <w:rFonts w:ascii="宋体" w:hAnsi="宋体"/>
                <w:highlight w:val="none"/>
              </w:rPr>
              <w:t>160</w:t>
            </w:r>
            <w:r>
              <w:rPr>
                <w:rFonts w:hint="eastAsia" w:ascii="宋体" w:hAnsi="宋体"/>
                <w:highlight w:val="none"/>
              </w:rPr>
              <w:t>≥</w:t>
            </w:r>
            <w:r>
              <w:rPr>
                <w:rFonts w:ascii="宋体" w:hAnsi="宋体"/>
                <w:highlight w:val="none"/>
              </w:rPr>
              <w:t>D</w:t>
            </w:r>
            <w:r>
              <w:rPr>
                <w:rFonts w:hint="eastAsia" w:ascii="宋体" w:hAnsi="宋体"/>
                <w:highlight w:val="none"/>
              </w:rPr>
              <w:t>＞</w:t>
            </w:r>
            <w:r>
              <w:rPr>
                <w:rFonts w:ascii="宋体" w:hAnsi="宋体"/>
                <w:highlight w:val="none"/>
              </w:rPr>
              <w:t>70</w:t>
            </w:r>
          </w:p>
        </w:tc>
        <w:tc>
          <w:tcPr>
            <w:tcW w:w="2155" w:type="pct"/>
            <w:shd w:val="clear" w:color="auto" w:fill="FFFFFF" w:themeFill="background1"/>
            <w:noWrap w:val="0"/>
            <w:vAlign w:val="center"/>
          </w:tcPr>
          <w:p w14:paraId="34E9D889">
            <w:pPr>
              <w:pStyle w:val="72"/>
              <w:rPr>
                <w:rFonts w:hint="eastAsia" w:ascii="宋体" w:hAnsi="宋体" w:eastAsia="黑体"/>
                <w:highlight w:val="none"/>
                <w:lang w:eastAsia="zh-CN"/>
              </w:rPr>
            </w:pPr>
            <w:r>
              <w:rPr>
                <w:rFonts w:hint="eastAsia" w:ascii="宋体" w:hAnsi="宋体"/>
                <w:highlight w:val="none"/>
                <w:lang w:val="en-US" w:eastAsia="zh-CN"/>
              </w:rPr>
              <w:t>一般风险</w:t>
            </w:r>
          </w:p>
        </w:tc>
        <w:tc>
          <w:tcPr>
            <w:tcW w:w="1660" w:type="pct"/>
            <w:shd w:val="clear" w:color="auto" w:fill="FFFFFF" w:themeFill="background1"/>
            <w:noWrap w:val="0"/>
            <w:vAlign w:val="center"/>
          </w:tcPr>
          <w:p w14:paraId="12AE5853">
            <w:pPr>
              <w:pStyle w:val="72"/>
              <w:rPr>
                <w:rFonts w:hint="eastAsia" w:ascii="宋体" w:hAnsi="宋体" w:eastAsia="黑体"/>
                <w:highlight w:val="none"/>
                <w:lang w:eastAsia="zh-CN"/>
              </w:rPr>
            </w:pPr>
            <w:r>
              <w:rPr>
                <w:rFonts w:hint="eastAsia" w:ascii="宋体" w:hAnsi="宋体"/>
                <w:highlight w:val="none"/>
                <w:lang w:val="en-US" w:eastAsia="zh-CN"/>
              </w:rPr>
              <w:t>Ⅱ</w:t>
            </w:r>
          </w:p>
        </w:tc>
      </w:tr>
      <w:tr w14:paraId="5443FA5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FFFFFF" w:themeFill="background1"/>
          <w:tblCellMar>
            <w:top w:w="0" w:type="dxa"/>
            <w:left w:w="108" w:type="dxa"/>
            <w:bottom w:w="0" w:type="dxa"/>
            <w:right w:w="108" w:type="dxa"/>
          </w:tblCellMar>
        </w:tblPrEx>
        <w:trPr>
          <w:trHeight w:val="397" w:hRule="atLeast"/>
          <w:jc w:val="center"/>
        </w:trPr>
        <w:tc>
          <w:tcPr>
            <w:tcW w:w="1184" w:type="pct"/>
            <w:shd w:val="clear" w:color="auto" w:fill="FFFFFF" w:themeFill="background1"/>
            <w:noWrap w:val="0"/>
            <w:vAlign w:val="center"/>
          </w:tcPr>
          <w:p w14:paraId="537823B4">
            <w:pPr>
              <w:pStyle w:val="72"/>
              <w:rPr>
                <w:rFonts w:hint="default" w:ascii="宋体" w:hAnsi="宋体" w:eastAsia="黑体"/>
                <w:highlight w:val="none"/>
                <w:lang w:val="en-US" w:eastAsia="zh-CN"/>
              </w:rPr>
            </w:pPr>
            <w:r>
              <w:rPr>
                <w:rFonts w:ascii="宋体" w:hAnsi="宋体"/>
                <w:highlight w:val="none"/>
              </w:rPr>
              <w:t>D</w:t>
            </w:r>
            <w:r>
              <w:rPr>
                <w:rFonts w:hint="eastAsia" w:ascii="宋体" w:hAnsi="宋体"/>
                <w:highlight w:val="none"/>
                <w:lang w:val="en-US" w:eastAsia="zh-CN"/>
              </w:rPr>
              <w:t>≤70</w:t>
            </w:r>
          </w:p>
        </w:tc>
        <w:tc>
          <w:tcPr>
            <w:tcW w:w="2155" w:type="pct"/>
            <w:shd w:val="clear" w:color="auto" w:fill="FFFFFF" w:themeFill="background1"/>
            <w:noWrap w:val="0"/>
            <w:vAlign w:val="center"/>
          </w:tcPr>
          <w:p w14:paraId="51980FBC">
            <w:pPr>
              <w:pStyle w:val="72"/>
              <w:rPr>
                <w:rFonts w:hint="default" w:ascii="宋体" w:hAnsi="宋体" w:eastAsia="黑体"/>
                <w:highlight w:val="none"/>
                <w:lang w:val="en-US" w:eastAsia="zh-CN"/>
              </w:rPr>
            </w:pPr>
            <w:r>
              <w:rPr>
                <w:rFonts w:hint="eastAsia" w:ascii="宋体" w:hAnsi="宋体"/>
                <w:highlight w:val="none"/>
                <w:lang w:val="en-US" w:eastAsia="zh-CN"/>
              </w:rPr>
              <w:t>较小风险</w:t>
            </w:r>
          </w:p>
        </w:tc>
        <w:tc>
          <w:tcPr>
            <w:tcW w:w="1660" w:type="pct"/>
            <w:shd w:val="clear" w:color="auto" w:fill="FFFFFF" w:themeFill="background1"/>
            <w:noWrap w:val="0"/>
            <w:vAlign w:val="center"/>
          </w:tcPr>
          <w:p w14:paraId="699E8176">
            <w:pPr>
              <w:pStyle w:val="72"/>
              <w:rPr>
                <w:rFonts w:hint="eastAsia" w:ascii="宋体" w:hAnsi="宋体" w:eastAsia="黑体"/>
                <w:highlight w:val="none"/>
                <w:lang w:eastAsia="zh-CN"/>
              </w:rPr>
            </w:pPr>
            <w:r>
              <w:rPr>
                <w:rFonts w:hint="eastAsia" w:ascii="宋体" w:hAnsi="宋体"/>
                <w:highlight w:val="none"/>
                <w:lang w:val="en-US" w:eastAsia="zh-CN"/>
              </w:rPr>
              <w:t>Ⅰ</w:t>
            </w:r>
          </w:p>
        </w:tc>
      </w:tr>
    </w:tbl>
    <w:p w14:paraId="7DE0E791">
      <w:pPr>
        <w:bidi w:val="0"/>
        <w:rPr>
          <w:rFonts w:hint="eastAsia"/>
          <w:highlight w:val="none"/>
          <w:lang w:val="en-US" w:eastAsia="zh-CN"/>
        </w:rPr>
      </w:pPr>
    </w:p>
    <w:p w14:paraId="1B61E0A9">
      <w:pPr>
        <w:pStyle w:val="4"/>
        <w:bidi w:val="0"/>
        <w:rPr>
          <w:rFonts w:hint="default" w:ascii="宋体" w:hAnsi="宋体" w:eastAsia="宋体"/>
          <w:highlight w:val="none"/>
          <w:lang w:val="en-US" w:eastAsia="zh-CN"/>
        </w:rPr>
      </w:pPr>
      <w:r>
        <w:rPr>
          <w:rFonts w:hint="eastAsia"/>
          <w:highlight w:val="none"/>
          <w:lang w:val="en-US" w:eastAsia="zh-CN"/>
        </w:rPr>
        <w:t>9.1.2</w:t>
      </w:r>
      <w:r>
        <w:rPr>
          <w:rFonts w:hint="eastAsia" w:ascii="宋体" w:hAnsi="宋体" w:eastAsia="宋体" w:cs="宋体"/>
          <w:color w:val="000000"/>
          <w:kern w:val="0"/>
          <w:sz w:val="24"/>
          <w:szCs w:val="24"/>
          <w:highlight w:val="none"/>
          <w:lang w:val="en-US" w:eastAsia="zh-CN" w:bidi="ar"/>
        </w:rPr>
        <w:t>危险源辨识与评价</w:t>
      </w:r>
    </w:p>
    <w:p w14:paraId="58333EC1">
      <w:pPr>
        <w:ind w:firstLine="480" w:firstLineChars="200"/>
        <w:rPr>
          <w:rFonts w:ascii="宋体" w:hAnsi="宋体"/>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宋体" w:hAnsi="宋体"/>
          <w:highlight w:val="none"/>
        </w:rPr>
        <w:t>根据以上风险估测方法，对</w:t>
      </w:r>
      <w:r>
        <w:rPr>
          <w:rFonts w:hint="eastAsia"/>
          <w:highlight w:val="none"/>
          <w:lang w:val="en-US" w:eastAsia="zh-CN"/>
        </w:rPr>
        <w:t>塔吊</w:t>
      </w:r>
      <w:r>
        <w:rPr>
          <w:rFonts w:hint="eastAsia" w:ascii="宋体" w:hAnsi="宋体"/>
          <w:highlight w:val="none"/>
          <w:lang w:val="en-US" w:eastAsia="zh-CN"/>
        </w:rPr>
        <w:t>安拆</w:t>
      </w:r>
      <w:r>
        <w:rPr>
          <w:rFonts w:ascii="宋体" w:hAnsi="宋体"/>
          <w:highlight w:val="none"/>
        </w:rPr>
        <w:t>施工过程主要危险源进行分析和估算，从而得出相关估测结果见</w:t>
      </w:r>
      <w:r>
        <w:rPr>
          <w:rFonts w:hint="eastAsia" w:ascii="宋体" w:hAnsi="宋体"/>
          <w:highlight w:val="none"/>
        </w:rPr>
        <w:t>下表</w:t>
      </w:r>
      <w:r>
        <w:rPr>
          <w:rFonts w:ascii="宋体" w:hAnsi="宋体"/>
          <w:highlight w:val="none"/>
        </w:rPr>
        <w:t>。</w:t>
      </w:r>
    </w:p>
    <w:tbl>
      <w:tblPr>
        <w:tblStyle w:val="30"/>
        <w:tblW w:w="4997"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509"/>
        <w:gridCol w:w="465"/>
        <w:gridCol w:w="686"/>
        <w:gridCol w:w="5408"/>
        <w:gridCol w:w="1095"/>
        <w:gridCol w:w="486"/>
        <w:gridCol w:w="420"/>
        <w:gridCol w:w="397"/>
        <w:gridCol w:w="723"/>
        <w:gridCol w:w="630"/>
        <w:gridCol w:w="1704"/>
        <w:gridCol w:w="1642"/>
      </w:tblGrid>
      <w:tr w14:paraId="2FB75A1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restart"/>
            <w:tcBorders>
              <w:tl2br w:val="nil"/>
              <w:tr2bl w:val="nil"/>
            </w:tcBorders>
            <w:shd w:val="clear" w:color="auto" w:fill="auto"/>
            <w:vAlign w:val="center"/>
          </w:tcPr>
          <w:p w14:paraId="40FE16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64" w:type="pct"/>
            <w:vMerge w:val="restart"/>
            <w:tcBorders>
              <w:tl2br w:val="nil"/>
              <w:tr2bl w:val="nil"/>
            </w:tcBorders>
            <w:shd w:val="clear" w:color="auto" w:fill="auto"/>
            <w:vAlign w:val="center"/>
          </w:tcPr>
          <w:p w14:paraId="1B7139D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作业活动单元</w:t>
            </w:r>
          </w:p>
        </w:tc>
        <w:tc>
          <w:tcPr>
            <w:tcW w:w="242" w:type="pct"/>
            <w:vMerge w:val="restart"/>
            <w:tcBorders>
              <w:tl2br w:val="nil"/>
              <w:tr2bl w:val="nil"/>
            </w:tcBorders>
            <w:shd w:val="clear" w:color="auto" w:fill="auto"/>
            <w:vAlign w:val="center"/>
          </w:tcPr>
          <w:p w14:paraId="3B2D9D82">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52CDA5C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1907" w:type="pct"/>
            <w:vMerge w:val="restart"/>
            <w:tcBorders>
              <w:tl2br w:val="nil"/>
              <w:tr2bl w:val="nil"/>
            </w:tcBorders>
            <w:shd w:val="clear" w:color="auto" w:fill="auto"/>
            <w:vAlign w:val="center"/>
          </w:tcPr>
          <w:p w14:paraId="17E482C6">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 可能存在的隐患</w:t>
            </w:r>
          </w:p>
        </w:tc>
        <w:tc>
          <w:tcPr>
            <w:tcW w:w="386" w:type="pct"/>
            <w:vMerge w:val="restart"/>
            <w:tcBorders>
              <w:tl2br w:val="nil"/>
              <w:tr2bl w:val="nil"/>
            </w:tcBorders>
            <w:shd w:val="clear" w:color="auto" w:fill="auto"/>
            <w:vAlign w:val="center"/>
          </w:tcPr>
          <w:p w14:paraId="1258CEE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6FB05D44">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714" w:type="pct"/>
            <w:gridSpan w:val="4"/>
            <w:tcBorders>
              <w:tl2br w:val="nil"/>
              <w:tr2bl w:val="nil"/>
            </w:tcBorders>
            <w:shd w:val="clear" w:color="auto" w:fill="auto"/>
            <w:vAlign w:val="center"/>
          </w:tcPr>
          <w:p w14:paraId="7F84DA3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危险、有害因素评价</w:t>
            </w:r>
          </w:p>
        </w:tc>
        <w:tc>
          <w:tcPr>
            <w:tcW w:w="222" w:type="pct"/>
            <w:vMerge w:val="restart"/>
            <w:tcBorders>
              <w:tl2br w:val="nil"/>
              <w:tr2bl w:val="nil"/>
            </w:tcBorders>
            <w:shd w:val="clear" w:color="auto" w:fill="auto"/>
            <w:vAlign w:val="center"/>
          </w:tcPr>
          <w:p w14:paraId="79CD3AE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7F39677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601" w:type="pct"/>
            <w:vMerge w:val="restart"/>
            <w:tcBorders>
              <w:tl2br w:val="nil"/>
              <w:tr2bl w:val="nil"/>
            </w:tcBorders>
            <w:shd w:val="clear" w:color="auto" w:fill="auto"/>
            <w:vAlign w:val="center"/>
          </w:tcPr>
          <w:p w14:paraId="1155779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现行法律法规</w:t>
            </w:r>
          </w:p>
        </w:tc>
        <w:tc>
          <w:tcPr>
            <w:tcW w:w="579" w:type="pct"/>
            <w:vMerge w:val="restart"/>
            <w:tcBorders>
              <w:tl2br w:val="nil"/>
              <w:tr2bl w:val="nil"/>
            </w:tcBorders>
            <w:shd w:val="clear" w:color="auto" w:fill="auto"/>
            <w:vAlign w:val="center"/>
          </w:tcPr>
          <w:p w14:paraId="657EDC1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控制方法</w:t>
            </w:r>
          </w:p>
        </w:tc>
      </w:tr>
      <w:tr w14:paraId="0C7DCF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553B5F09">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0CFEB18D">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70CDA00">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73D3001D">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2E639AB6">
            <w:pPr>
              <w:spacing w:line="240" w:lineRule="auto"/>
              <w:jc w:val="center"/>
              <w:rPr>
                <w:rFonts w:hint="eastAsia" w:ascii="宋体" w:hAnsi="宋体" w:eastAsia="宋体" w:cs="宋体"/>
                <w:b/>
                <w:bCs/>
                <w:i w:val="0"/>
                <w:iCs w:val="0"/>
                <w:color w:val="000000"/>
                <w:sz w:val="18"/>
                <w:szCs w:val="18"/>
                <w:highlight w:val="none"/>
                <w:u w:val="none"/>
              </w:rPr>
            </w:pPr>
          </w:p>
        </w:tc>
        <w:tc>
          <w:tcPr>
            <w:tcW w:w="714" w:type="pct"/>
            <w:gridSpan w:val="4"/>
            <w:tcBorders>
              <w:tl2br w:val="nil"/>
              <w:tr2bl w:val="nil"/>
            </w:tcBorders>
            <w:shd w:val="clear" w:color="auto" w:fill="auto"/>
            <w:vAlign w:val="center"/>
          </w:tcPr>
          <w:p w14:paraId="2D5A04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D=LEC</w:t>
            </w:r>
          </w:p>
        </w:tc>
        <w:tc>
          <w:tcPr>
            <w:tcW w:w="222" w:type="pct"/>
            <w:vMerge w:val="continue"/>
            <w:tcBorders>
              <w:tl2br w:val="nil"/>
              <w:tr2bl w:val="nil"/>
            </w:tcBorders>
            <w:shd w:val="clear" w:color="auto" w:fill="auto"/>
            <w:vAlign w:val="center"/>
          </w:tcPr>
          <w:p w14:paraId="4FBB173C">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3DA3122D">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0A2574">
            <w:pPr>
              <w:spacing w:line="240" w:lineRule="auto"/>
              <w:jc w:val="center"/>
              <w:rPr>
                <w:rFonts w:hint="eastAsia" w:ascii="宋体" w:hAnsi="宋体" w:eastAsia="宋体" w:cs="宋体"/>
                <w:b/>
                <w:bCs/>
                <w:i w:val="0"/>
                <w:iCs w:val="0"/>
                <w:color w:val="000000"/>
                <w:sz w:val="18"/>
                <w:szCs w:val="18"/>
                <w:highlight w:val="none"/>
                <w:u w:val="none"/>
              </w:rPr>
            </w:pPr>
          </w:p>
        </w:tc>
      </w:tr>
      <w:tr w14:paraId="1CAB75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vMerge w:val="continue"/>
            <w:tcBorders>
              <w:tl2br w:val="nil"/>
              <w:tr2bl w:val="nil"/>
            </w:tcBorders>
            <w:shd w:val="clear" w:color="auto" w:fill="auto"/>
            <w:vAlign w:val="center"/>
          </w:tcPr>
          <w:p w14:paraId="44EBD51D">
            <w:pPr>
              <w:spacing w:line="240" w:lineRule="auto"/>
              <w:jc w:val="center"/>
              <w:rPr>
                <w:rFonts w:hint="eastAsia" w:ascii="宋体" w:hAnsi="宋体" w:eastAsia="宋体" w:cs="宋体"/>
                <w:b/>
                <w:bCs/>
                <w:i w:val="0"/>
                <w:iCs w:val="0"/>
                <w:color w:val="000000"/>
                <w:sz w:val="18"/>
                <w:szCs w:val="18"/>
                <w:highlight w:val="none"/>
                <w:u w:val="none"/>
              </w:rPr>
            </w:pPr>
          </w:p>
        </w:tc>
        <w:tc>
          <w:tcPr>
            <w:tcW w:w="164" w:type="pct"/>
            <w:vMerge w:val="continue"/>
            <w:tcBorders>
              <w:tl2br w:val="nil"/>
              <w:tr2bl w:val="nil"/>
            </w:tcBorders>
            <w:shd w:val="clear" w:color="auto" w:fill="auto"/>
            <w:vAlign w:val="center"/>
          </w:tcPr>
          <w:p w14:paraId="734635A3">
            <w:pPr>
              <w:spacing w:line="240" w:lineRule="auto"/>
              <w:jc w:val="center"/>
              <w:rPr>
                <w:rFonts w:hint="eastAsia" w:ascii="宋体" w:hAnsi="宋体" w:eastAsia="宋体" w:cs="宋体"/>
                <w:b/>
                <w:bCs/>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C14C5D5">
            <w:pPr>
              <w:spacing w:line="240" w:lineRule="auto"/>
              <w:jc w:val="center"/>
              <w:rPr>
                <w:rFonts w:hint="eastAsia" w:ascii="宋体" w:hAnsi="宋体" w:eastAsia="宋体" w:cs="宋体"/>
                <w:b/>
                <w:bCs/>
                <w:i w:val="0"/>
                <w:iCs w:val="0"/>
                <w:color w:val="000000"/>
                <w:sz w:val="18"/>
                <w:szCs w:val="18"/>
                <w:highlight w:val="none"/>
                <w:u w:val="none"/>
              </w:rPr>
            </w:pPr>
          </w:p>
        </w:tc>
        <w:tc>
          <w:tcPr>
            <w:tcW w:w="1907" w:type="pct"/>
            <w:vMerge w:val="continue"/>
            <w:tcBorders>
              <w:tl2br w:val="nil"/>
              <w:tr2bl w:val="nil"/>
            </w:tcBorders>
            <w:shd w:val="clear" w:color="auto" w:fill="auto"/>
            <w:vAlign w:val="center"/>
          </w:tcPr>
          <w:p w14:paraId="18228B15">
            <w:pPr>
              <w:spacing w:line="240" w:lineRule="auto"/>
              <w:jc w:val="center"/>
              <w:rPr>
                <w:rFonts w:hint="eastAsia" w:ascii="宋体" w:hAnsi="宋体" w:eastAsia="宋体" w:cs="宋体"/>
                <w:b/>
                <w:bCs/>
                <w:i w:val="0"/>
                <w:iCs w:val="0"/>
                <w:color w:val="000000"/>
                <w:sz w:val="18"/>
                <w:szCs w:val="18"/>
                <w:highlight w:val="none"/>
                <w:u w:val="none"/>
              </w:rPr>
            </w:pPr>
          </w:p>
        </w:tc>
        <w:tc>
          <w:tcPr>
            <w:tcW w:w="386" w:type="pct"/>
            <w:vMerge w:val="continue"/>
            <w:tcBorders>
              <w:tl2br w:val="nil"/>
              <w:tr2bl w:val="nil"/>
            </w:tcBorders>
            <w:shd w:val="clear" w:color="auto" w:fill="auto"/>
            <w:vAlign w:val="center"/>
          </w:tcPr>
          <w:p w14:paraId="1B51598A">
            <w:pPr>
              <w:spacing w:line="240" w:lineRule="auto"/>
              <w:jc w:val="center"/>
              <w:rPr>
                <w:rFonts w:hint="eastAsia" w:ascii="宋体" w:hAnsi="宋体" w:eastAsia="宋体" w:cs="宋体"/>
                <w:b/>
                <w:bCs/>
                <w:i w:val="0"/>
                <w:iCs w:val="0"/>
                <w:color w:val="000000"/>
                <w:sz w:val="18"/>
                <w:szCs w:val="18"/>
                <w:highlight w:val="none"/>
                <w:u w:val="none"/>
              </w:rPr>
            </w:pPr>
          </w:p>
        </w:tc>
        <w:tc>
          <w:tcPr>
            <w:tcW w:w="171" w:type="pct"/>
            <w:tcBorders>
              <w:tl2br w:val="nil"/>
              <w:tr2bl w:val="nil"/>
            </w:tcBorders>
            <w:shd w:val="clear" w:color="auto" w:fill="auto"/>
            <w:vAlign w:val="center"/>
          </w:tcPr>
          <w:p w14:paraId="7001009E">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L</w:t>
            </w:r>
          </w:p>
        </w:tc>
        <w:tc>
          <w:tcPr>
            <w:tcW w:w="148" w:type="pct"/>
            <w:tcBorders>
              <w:tl2br w:val="nil"/>
              <w:tr2bl w:val="nil"/>
            </w:tcBorders>
            <w:shd w:val="clear" w:color="auto" w:fill="auto"/>
            <w:vAlign w:val="center"/>
          </w:tcPr>
          <w:p w14:paraId="28BE9A57">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E</w:t>
            </w:r>
          </w:p>
        </w:tc>
        <w:tc>
          <w:tcPr>
            <w:tcW w:w="140" w:type="pct"/>
            <w:tcBorders>
              <w:tl2br w:val="nil"/>
              <w:tr2bl w:val="nil"/>
            </w:tcBorders>
            <w:shd w:val="clear" w:color="auto" w:fill="auto"/>
            <w:vAlign w:val="center"/>
          </w:tcPr>
          <w:p w14:paraId="7513AFEA">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C</w:t>
            </w:r>
          </w:p>
        </w:tc>
        <w:tc>
          <w:tcPr>
            <w:tcW w:w="253" w:type="pct"/>
            <w:tcBorders>
              <w:tl2br w:val="nil"/>
              <w:tr2bl w:val="nil"/>
            </w:tcBorders>
            <w:shd w:val="clear" w:color="auto" w:fill="auto"/>
            <w:vAlign w:val="center"/>
          </w:tcPr>
          <w:p w14:paraId="6859474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D</w:t>
            </w:r>
          </w:p>
        </w:tc>
        <w:tc>
          <w:tcPr>
            <w:tcW w:w="222" w:type="pct"/>
            <w:vMerge w:val="continue"/>
            <w:tcBorders>
              <w:tl2br w:val="nil"/>
              <w:tr2bl w:val="nil"/>
            </w:tcBorders>
            <w:shd w:val="clear" w:color="auto" w:fill="auto"/>
            <w:vAlign w:val="center"/>
          </w:tcPr>
          <w:p w14:paraId="4EC1DF46">
            <w:pPr>
              <w:spacing w:line="240" w:lineRule="auto"/>
              <w:jc w:val="center"/>
              <w:rPr>
                <w:rFonts w:hint="eastAsia" w:ascii="宋体" w:hAnsi="宋体" w:eastAsia="宋体" w:cs="宋体"/>
                <w:b/>
                <w:bCs/>
                <w:i w:val="0"/>
                <w:iCs w:val="0"/>
                <w:color w:val="000000"/>
                <w:sz w:val="18"/>
                <w:szCs w:val="18"/>
                <w:highlight w:val="none"/>
                <w:u w:val="none"/>
              </w:rPr>
            </w:pPr>
          </w:p>
        </w:tc>
        <w:tc>
          <w:tcPr>
            <w:tcW w:w="601" w:type="pct"/>
            <w:vMerge w:val="continue"/>
            <w:tcBorders>
              <w:tl2br w:val="nil"/>
              <w:tr2bl w:val="nil"/>
            </w:tcBorders>
            <w:shd w:val="clear" w:color="auto" w:fill="auto"/>
            <w:vAlign w:val="center"/>
          </w:tcPr>
          <w:p w14:paraId="6D0BEC3E">
            <w:pPr>
              <w:spacing w:line="240" w:lineRule="auto"/>
              <w:jc w:val="center"/>
              <w:rPr>
                <w:rFonts w:hint="eastAsia" w:ascii="宋体" w:hAnsi="宋体" w:eastAsia="宋体" w:cs="宋体"/>
                <w:b/>
                <w:bCs/>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B789515">
            <w:pPr>
              <w:spacing w:line="240" w:lineRule="auto"/>
              <w:jc w:val="center"/>
              <w:rPr>
                <w:rFonts w:hint="eastAsia" w:ascii="宋体" w:hAnsi="宋体" w:eastAsia="宋体" w:cs="宋体"/>
                <w:b/>
                <w:bCs/>
                <w:i w:val="0"/>
                <w:iCs w:val="0"/>
                <w:color w:val="000000"/>
                <w:sz w:val="18"/>
                <w:szCs w:val="18"/>
                <w:highlight w:val="none"/>
                <w:u w:val="none"/>
              </w:rPr>
            </w:pPr>
          </w:p>
        </w:tc>
      </w:tr>
      <w:tr w14:paraId="32CD3B1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057B6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64" w:type="pct"/>
            <w:vMerge w:val="restart"/>
            <w:tcBorders>
              <w:tl2br w:val="nil"/>
              <w:tr2bl w:val="nil"/>
            </w:tcBorders>
            <w:shd w:val="clear" w:color="auto" w:fill="auto"/>
            <w:vAlign w:val="center"/>
          </w:tcPr>
          <w:p w14:paraId="0BDE77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起重作业</w:t>
            </w:r>
          </w:p>
        </w:tc>
        <w:tc>
          <w:tcPr>
            <w:tcW w:w="242" w:type="pct"/>
            <w:vMerge w:val="restart"/>
            <w:tcBorders>
              <w:tl2br w:val="nil"/>
              <w:tr2bl w:val="nil"/>
            </w:tcBorders>
            <w:shd w:val="clear" w:color="auto" w:fill="auto"/>
            <w:vAlign w:val="center"/>
          </w:tcPr>
          <w:p w14:paraId="17E34D3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2435076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作业</w:t>
            </w:r>
          </w:p>
          <w:p w14:paraId="3A63E77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w:t>
            </w:r>
          </w:p>
          <w:p w14:paraId="095780B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9E5FCF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作业前，未检查起重吊装所使用的起重机滑轮、吊索、卡环和地锚等</w:t>
            </w:r>
          </w:p>
        </w:tc>
        <w:tc>
          <w:tcPr>
            <w:tcW w:w="386" w:type="pct"/>
            <w:tcBorders>
              <w:tl2br w:val="nil"/>
              <w:tr2bl w:val="nil"/>
            </w:tcBorders>
            <w:shd w:val="clear" w:color="auto" w:fill="auto"/>
            <w:vAlign w:val="center"/>
          </w:tcPr>
          <w:p w14:paraId="0DB21A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3204B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031F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55E42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5C2966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0C592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restart"/>
            <w:tcBorders>
              <w:tl2br w:val="nil"/>
              <w:tr2bl w:val="nil"/>
            </w:tcBorders>
            <w:shd w:val="clear" w:color="auto" w:fill="auto"/>
            <w:vAlign w:val="center"/>
          </w:tcPr>
          <w:p w14:paraId="636E57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《安全生产法》《建设工程安全生产管理条例》《公路工程施工安全技术规范》《施工现场临时用电安全技术规范》《构筑物施工安全检查标准》《重大危险源辨识》等</w:t>
            </w:r>
          </w:p>
        </w:tc>
        <w:tc>
          <w:tcPr>
            <w:tcW w:w="579" w:type="pct"/>
            <w:vMerge w:val="restart"/>
            <w:tcBorders>
              <w:tl2br w:val="nil"/>
              <w:tr2bl w:val="nil"/>
            </w:tcBorders>
            <w:shd w:val="clear" w:color="auto" w:fill="auto"/>
            <w:vAlign w:val="center"/>
          </w:tcPr>
          <w:p w14:paraId="5391F2C2">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1、严格按方案要求组织施工；</w:t>
            </w:r>
          </w:p>
          <w:p w14:paraId="56AF4453">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2、进行危险源辨识，制定控制措施</w:t>
            </w:r>
          </w:p>
          <w:p w14:paraId="55F6E621">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3、遵守安全管理制度和安全操作规程</w:t>
            </w:r>
          </w:p>
          <w:p w14:paraId="07D9614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4、开展定期和不定期的安全大检查</w:t>
            </w:r>
          </w:p>
          <w:p w14:paraId="7123D48E">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5、针对不同岗位、工种，开展有针对性的安全教育培训；</w:t>
            </w:r>
          </w:p>
          <w:p w14:paraId="6232FD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6、按照分包合同要求严格管理。</w:t>
            </w:r>
          </w:p>
        </w:tc>
      </w:tr>
      <w:tr w14:paraId="22169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B8B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64" w:type="pct"/>
            <w:vMerge w:val="continue"/>
            <w:tcBorders>
              <w:tl2br w:val="nil"/>
              <w:tr2bl w:val="nil"/>
            </w:tcBorders>
            <w:shd w:val="clear" w:color="auto" w:fill="auto"/>
            <w:vAlign w:val="center"/>
          </w:tcPr>
          <w:p w14:paraId="23A2B9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E0EE5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2E64C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吊装业作区未设置明显标志或警戒区；夜间施工没有足够的照明</w:t>
            </w:r>
          </w:p>
        </w:tc>
        <w:tc>
          <w:tcPr>
            <w:tcW w:w="386" w:type="pct"/>
            <w:tcBorders>
              <w:tl2br w:val="nil"/>
              <w:tr2bl w:val="nil"/>
            </w:tcBorders>
            <w:shd w:val="clear" w:color="auto" w:fill="auto"/>
            <w:vAlign w:val="center"/>
          </w:tcPr>
          <w:p w14:paraId="631989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FA769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721721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7668A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9167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CD191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61014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5E9EAC">
            <w:pPr>
              <w:spacing w:line="240" w:lineRule="auto"/>
              <w:jc w:val="left"/>
              <w:rPr>
                <w:rFonts w:hint="eastAsia" w:ascii="宋体" w:hAnsi="宋体" w:eastAsia="宋体" w:cs="宋体"/>
                <w:i w:val="0"/>
                <w:iCs w:val="0"/>
                <w:color w:val="000000"/>
                <w:sz w:val="18"/>
                <w:szCs w:val="18"/>
                <w:highlight w:val="none"/>
                <w:u w:val="none"/>
              </w:rPr>
            </w:pPr>
          </w:p>
        </w:tc>
      </w:tr>
      <w:tr w14:paraId="1AB7ED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0834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64" w:type="pct"/>
            <w:vMerge w:val="continue"/>
            <w:tcBorders>
              <w:tl2br w:val="nil"/>
              <w:tr2bl w:val="nil"/>
            </w:tcBorders>
            <w:shd w:val="clear" w:color="auto" w:fill="auto"/>
            <w:vAlign w:val="center"/>
          </w:tcPr>
          <w:p w14:paraId="4EB8A21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00A919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B7D4A1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起重设备通行道路不平整、坚实</w:t>
            </w:r>
          </w:p>
        </w:tc>
        <w:tc>
          <w:tcPr>
            <w:tcW w:w="386" w:type="pct"/>
            <w:tcBorders>
              <w:tl2br w:val="nil"/>
              <w:tr2bl w:val="nil"/>
            </w:tcBorders>
            <w:shd w:val="clear" w:color="auto" w:fill="auto"/>
            <w:vAlign w:val="center"/>
          </w:tcPr>
          <w:p w14:paraId="7F88ED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F8E23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8" w:type="pct"/>
            <w:tcBorders>
              <w:tl2br w:val="nil"/>
              <w:tr2bl w:val="nil"/>
            </w:tcBorders>
            <w:shd w:val="clear" w:color="auto" w:fill="auto"/>
            <w:vAlign w:val="center"/>
          </w:tcPr>
          <w:p w14:paraId="6A6D5B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D23CD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30A0DB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0EFE5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100F34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50D21F">
            <w:pPr>
              <w:spacing w:line="240" w:lineRule="auto"/>
              <w:jc w:val="left"/>
              <w:rPr>
                <w:rFonts w:hint="eastAsia" w:ascii="宋体" w:hAnsi="宋体" w:eastAsia="宋体" w:cs="宋体"/>
                <w:i w:val="0"/>
                <w:iCs w:val="0"/>
                <w:color w:val="000000"/>
                <w:sz w:val="18"/>
                <w:szCs w:val="18"/>
                <w:highlight w:val="none"/>
                <w:u w:val="none"/>
              </w:rPr>
            </w:pPr>
          </w:p>
        </w:tc>
      </w:tr>
      <w:tr w14:paraId="2AADB8A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029D9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64" w:type="pct"/>
            <w:vMerge w:val="continue"/>
            <w:tcBorders>
              <w:tl2br w:val="nil"/>
              <w:tr2bl w:val="nil"/>
            </w:tcBorders>
            <w:shd w:val="clear" w:color="auto" w:fill="auto"/>
            <w:vAlign w:val="center"/>
          </w:tcPr>
          <w:p w14:paraId="285E485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8A747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123BDE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高空用的吊篮和临时工作台未绑扎牢靠，没有防护栏杆</w:t>
            </w:r>
          </w:p>
        </w:tc>
        <w:tc>
          <w:tcPr>
            <w:tcW w:w="386" w:type="pct"/>
            <w:tcBorders>
              <w:tl2br w:val="nil"/>
              <w:tr2bl w:val="nil"/>
            </w:tcBorders>
            <w:shd w:val="clear" w:color="auto" w:fill="auto"/>
            <w:vAlign w:val="center"/>
          </w:tcPr>
          <w:p w14:paraId="547F9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A9623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735EE4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1B821A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EF2BE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695DA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96983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61C6AF7">
            <w:pPr>
              <w:spacing w:line="240" w:lineRule="auto"/>
              <w:jc w:val="left"/>
              <w:rPr>
                <w:rFonts w:hint="eastAsia" w:ascii="宋体" w:hAnsi="宋体" w:eastAsia="宋体" w:cs="宋体"/>
                <w:i w:val="0"/>
                <w:iCs w:val="0"/>
                <w:color w:val="000000"/>
                <w:sz w:val="18"/>
                <w:szCs w:val="18"/>
                <w:highlight w:val="none"/>
                <w:u w:val="none"/>
              </w:rPr>
            </w:pPr>
          </w:p>
        </w:tc>
      </w:tr>
      <w:tr w14:paraId="664028B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B64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64" w:type="pct"/>
            <w:vMerge w:val="continue"/>
            <w:tcBorders>
              <w:tl2br w:val="nil"/>
              <w:tr2bl w:val="nil"/>
            </w:tcBorders>
            <w:shd w:val="clear" w:color="auto" w:fill="auto"/>
            <w:vAlign w:val="center"/>
          </w:tcPr>
          <w:p w14:paraId="022972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8C4B15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BF01CC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吊篮和工作台的脚手板未铺平绑牢，存在探头板</w:t>
            </w:r>
          </w:p>
        </w:tc>
        <w:tc>
          <w:tcPr>
            <w:tcW w:w="386" w:type="pct"/>
            <w:tcBorders>
              <w:tl2br w:val="nil"/>
              <w:tr2bl w:val="nil"/>
            </w:tcBorders>
            <w:shd w:val="clear" w:color="auto" w:fill="auto"/>
            <w:vAlign w:val="center"/>
          </w:tcPr>
          <w:p w14:paraId="2D301BA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高处坠落</w:t>
            </w:r>
          </w:p>
          <w:p w14:paraId="15D402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672B3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B0611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B42DF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95A5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724839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E7E60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9628F2">
            <w:pPr>
              <w:spacing w:line="240" w:lineRule="auto"/>
              <w:jc w:val="left"/>
              <w:rPr>
                <w:rFonts w:hint="eastAsia" w:ascii="宋体" w:hAnsi="宋体" w:eastAsia="宋体" w:cs="宋体"/>
                <w:i w:val="0"/>
                <w:iCs w:val="0"/>
                <w:color w:val="000000"/>
                <w:sz w:val="18"/>
                <w:szCs w:val="18"/>
                <w:highlight w:val="none"/>
                <w:u w:val="none"/>
              </w:rPr>
            </w:pPr>
          </w:p>
        </w:tc>
      </w:tr>
      <w:tr w14:paraId="4E744F2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25AFC6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64" w:type="pct"/>
            <w:vMerge w:val="continue"/>
            <w:tcBorders>
              <w:tl2br w:val="nil"/>
              <w:tr2bl w:val="nil"/>
            </w:tcBorders>
            <w:shd w:val="clear" w:color="auto" w:fill="auto"/>
            <w:vAlign w:val="center"/>
          </w:tcPr>
          <w:p w14:paraId="51B4FBE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FE2586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01779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吊物下方站人</w:t>
            </w:r>
          </w:p>
        </w:tc>
        <w:tc>
          <w:tcPr>
            <w:tcW w:w="386" w:type="pct"/>
            <w:tcBorders>
              <w:tl2br w:val="nil"/>
              <w:tr2bl w:val="nil"/>
            </w:tcBorders>
            <w:shd w:val="clear" w:color="auto" w:fill="auto"/>
            <w:vAlign w:val="center"/>
          </w:tcPr>
          <w:p w14:paraId="14899B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7A321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5AFFA9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9BAE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06844D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77B52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3C88F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70E3346">
            <w:pPr>
              <w:spacing w:line="240" w:lineRule="auto"/>
              <w:jc w:val="left"/>
              <w:rPr>
                <w:rFonts w:hint="eastAsia" w:ascii="宋体" w:hAnsi="宋体" w:eastAsia="宋体" w:cs="宋体"/>
                <w:i w:val="0"/>
                <w:iCs w:val="0"/>
                <w:color w:val="000000"/>
                <w:sz w:val="18"/>
                <w:szCs w:val="18"/>
                <w:highlight w:val="none"/>
                <w:u w:val="none"/>
              </w:rPr>
            </w:pPr>
          </w:p>
        </w:tc>
      </w:tr>
      <w:tr w14:paraId="24A4329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027EC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64" w:type="pct"/>
            <w:vMerge w:val="continue"/>
            <w:tcBorders>
              <w:tl2br w:val="nil"/>
              <w:tr2bl w:val="nil"/>
            </w:tcBorders>
            <w:shd w:val="clear" w:color="auto" w:fill="auto"/>
            <w:vAlign w:val="center"/>
          </w:tcPr>
          <w:p w14:paraId="483AF54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5663C5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91537F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起吊前，未对起重机钢丝绳及连接部位和吊具进行检查</w:t>
            </w:r>
          </w:p>
        </w:tc>
        <w:tc>
          <w:tcPr>
            <w:tcW w:w="386" w:type="pct"/>
            <w:tcBorders>
              <w:tl2br w:val="nil"/>
              <w:tr2bl w:val="nil"/>
            </w:tcBorders>
            <w:shd w:val="clear" w:color="auto" w:fill="auto"/>
            <w:vAlign w:val="center"/>
          </w:tcPr>
          <w:p w14:paraId="38EA5A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4B57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83E37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90F0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19CCB1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32D9477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C771CC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BD049BA">
            <w:pPr>
              <w:spacing w:line="240" w:lineRule="auto"/>
              <w:jc w:val="left"/>
              <w:rPr>
                <w:rFonts w:hint="eastAsia" w:ascii="宋体" w:hAnsi="宋体" w:eastAsia="宋体" w:cs="宋体"/>
                <w:i w:val="0"/>
                <w:iCs w:val="0"/>
                <w:color w:val="000000"/>
                <w:sz w:val="18"/>
                <w:szCs w:val="18"/>
                <w:highlight w:val="none"/>
                <w:u w:val="none"/>
              </w:rPr>
            </w:pPr>
          </w:p>
        </w:tc>
      </w:tr>
      <w:tr w14:paraId="00C720A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89C32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64" w:type="pct"/>
            <w:vMerge w:val="continue"/>
            <w:tcBorders>
              <w:tl2br w:val="nil"/>
              <w:tr2bl w:val="nil"/>
            </w:tcBorders>
            <w:shd w:val="clear" w:color="auto" w:fill="auto"/>
            <w:vAlign w:val="center"/>
          </w:tcPr>
          <w:p w14:paraId="07D3AE0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1FC519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56444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吊装大、重构件和采用新的吊装工艺时，未进行试吊</w:t>
            </w:r>
          </w:p>
        </w:tc>
        <w:tc>
          <w:tcPr>
            <w:tcW w:w="386" w:type="pct"/>
            <w:tcBorders>
              <w:tl2br w:val="nil"/>
              <w:tr2bl w:val="nil"/>
            </w:tcBorders>
            <w:shd w:val="clear" w:color="auto" w:fill="auto"/>
            <w:vAlign w:val="center"/>
          </w:tcPr>
          <w:p w14:paraId="339F742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65259B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16AF88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584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346EF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3109297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1CF3FB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88144B2">
            <w:pPr>
              <w:spacing w:line="240" w:lineRule="auto"/>
              <w:jc w:val="left"/>
              <w:rPr>
                <w:rFonts w:hint="eastAsia" w:ascii="宋体" w:hAnsi="宋体" w:eastAsia="宋体" w:cs="宋体"/>
                <w:i w:val="0"/>
                <w:iCs w:val="0"/>
                <w:color w:val="000000"/>
                <w:sz w:val="18"/>
                <w:szCs w:val="18"/>
                <w:highlight w:val="none"/>
                <w:u w:val="none"/>
              </w:rPr>
            </w:pPr>
          </w:p>
        </w:tc>
      </w:tr>
      <w:tr w14:paraId="12A4222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38C2C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64" w:type="pct"/>
            <w:vMerge w:val="continue"/>
            <w:tcBorders>
              <w:tl2br w:val="nil"/>
              <w:tr2bl w:val="nil"/>
            </w:tcBorders>
            <w:shd w:val="clear" w:color="auto" w:fill="auto"/>
            <w:vAlign w:val="center"/>
          </w:tcPr>
          <w:p w14:paraId="603B8D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E2A78EF">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63D89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大雨、雾、大雪及六级以上大风等恶劣天气进行吊装作业</w:t>
            </w:r>
          </w:p>
        </w:tc>
        <w:tc>
          <w:tcPr>
            <w:tcW w:w="386" w:type="pct"/>
            <w:tcBorders>
              <w:tl2br w:val="nil"/>
              <w:tr2bl w:val="nil"/>
            </w:tcBorders>
            <w:shd w:val="clear" w:color="auto" w:fill="auto"/>
            <w:vAlign w:val="center"/>
          </w:tcPr>
          <w:p w14:paraId="0BF1A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7F737E8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439B8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351C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1B867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1E1665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26283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5719FE9">
            <w:pPr>
              <w:spacing w:line="240" w:lineRule="auto"/>
              <w:jc w:val="left"/>
              <w:rPr>
                <w:rFonts w:hint="eastAsia" w:ascii="宋体" w:hAnsi="宋体" w:eastAsia="宋体" w:cs="宋体"/>
                <w:i w:val="0"/>
                <w:iCs w:val="0"/>
                <w:color w:val="000000"/>
                <w:sz w:val="18"/>
                <w:szCs w:val="18"/>
                <w:highlight w:val="none"/>
                <w:u w:val="none"/>
              </w:rPr>
            </w:pPr>
          </w:p>
        </w:tc>
      </w:tr>
      <w:tr w14:paraId="7C698EE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61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64" w:type="pct"/>
            <w:vMerge w:val="continue"/>
            <w:tcBorders>
              <w:tl2br w:val="nil"/>
              <w:tr2bl w:val="nil"/>
            </w:tcBorders>
            <w:shd w:val="clear" w:color="auto" w:fill="auto"/>
            <w:vAlign w:val="center"/>
          </w:tcPr>
          <w:p w14:paraId="015AFFA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85D46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252AB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采用了斜拉、斜吊，或者起吊埋于地下或粘结在地面上的构件</w:t>
            </w:r>
          </w:p>
        </w:tc>
        <w:tc>
          <w:tcPr>
            <w:tcW w:w="386" w:type="pct"/>
            <w:tcBorders>
              <w:tl2br w:val="nil"/>
              <w:tr2bl w:val="nil"/>
            </w:tcBorders>
            <w:shd w:val="clear" w:color="auto" w:fill="auto"/>
            <w:vAlign w:val="center"/>
          </w:tcPr>
          <w:p w14:paraId="7D2BF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37D807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3A330E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BD540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47CC6A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7A5DEE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53C93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857B7B6">
            <w:pPr>
              <w:spacing w:line="240" w:lineRule="auto"/>
              <w:jc w:val="left"/>
              <w:rPr>
                <w:rFonts w:hint="eastAsia" w:ascii="宋体" w:hAnsi="宋体" w:eastAsia="宋体" w:cs="宋体"/>
                <w:i w:val="0"/>
                <w:iCs w:val="0"/>
                <w:color w:val="000000"/>
                <w:sz w:val="18"/>
                <w:szCs w:val="18"/>
                <w:highlight w:val="none"/>
                <w:u w:val="none"/>
              </w:rPr>
            </w:pPr>
          </w:p>
        </w:tc>
      </w:tr>
      <w:tr w14:paraId="382D534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51E5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64" w:type="pct"/>
            <w:vMerge w:val="continue"/>
            <w:tcBorders>
              <w:tl2br w:val="nil"/>
              <w:tr2bl w:val="nil"/>
            </w:tcBorders>
            <w:shd w:val="clear" w:color="auto" w:fill="auto"/>
            <w:vAlign w:val="center"/>
          </w:tcPr>
          <w:p w14:paraId="409F445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FCEF49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0026FE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起重机与架空输电线距离不满足相关标准的规定</w:t>
            </w:r>
          </w:p>
        </w:tc>
        <w:tc>
          <w:tcPr>
            <w:tcW w:w="386" w:type="pct"/>
            <w:tcBorders>
              <w:tl2br w:val="nil"/>
              <w:tr2bl w:val="nil"/>
            </w:tcBorders>
            <w:shd w:val="clear" w:color="auto" w:fill="auto"/>
            <w:vAlign w:val="center"/>
          </w:tcPr>
          <w:p w14:paraId="68D16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475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2B3211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2E8C0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B42BFF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006C22E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19E5E6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D13680">
            <w:pPr>
              <w:spacing w:line="240" w:lineRule="auto"/>
              <w:jc w:val="left"/>
              <w:rPr>
                <w:rFonts w:hint="eastAsia" w:ascii="宋体" w:hAnsi="宋体" w:eastAsia="宋体" w:cs="宋体"/>
                <w:i w:val="0"/>
                <w:iCs w:val="0"/>
                <w:color w:val="000000"/>
                <w:sz w:val="18"/>
                <w:szCs w:val="18"/>
                <w:highlight w:val="none"/>
                <w:u w:val="none"/>
              </w:rPr>
            </w:pPr>
          </w:p>
        </w:tc>
      </w:tr>
      <w:tr w14:paraId="0DEDFF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810B9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64" w:type="pct"/>
            <w:vMerge w:val="continue"/>
            <w:tcBorders>
              <w:tl2br w:val="nil"/>
              <w:tr2bl w:val="nil"/>
            </w:tcBorders>
            <w:shd w:val="clear" w:color="auto" w:fill="auto"/>
            <w:vAlign w:val="center"/>
          </w:tcPr>
          <w:p w14:paraId="052728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896038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86E7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起吊过程中，在起重机行走、回转、俯仰吊臂、起落吊钩等动作前，起重司机未鸣声示意</w:t>
            </w:r>
          </w:p>
        </w:tc>
        <w:tc>
          <w:tcPr>
            <w:tcW w:w="386" w:type="pct"/>
            <w:tcBorders>
              <w:tl2br w:val="nil"/>
              <w:tr2bl w:val="nil"/>
            </w:tcBorders>
            <w:shd w:val="clear" w:color="auto" w:fill="auto"/>
            <w:vAlign w:val="center"/>
          </w:tcPr>
          <w:p w14:paraId="630BA0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BADFC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8" w:type="pct"/>
            <w:tcBorders>
              <w:tl2br w:val="nil"/>
              <w:tr2bl w:val="nil"/>
            </w:tcBorders>
            <w:shd w:val="clear" w:color="auto" w:fill="auto"/>
            <w:vAlign w:val="center"/>
          </w:tcPr>
          <w:p w14:paraId="11E8237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A3FB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253" w:type="pct"/>
            <w:tcBorders>
              <w:tl2br w:val="nil"/>
              <w:tr2bl w:val="nil"/>
            </w:tcBorders>
            <w:shd w:val="clear" w:color="auto" w:fill="auto"/>
            <w:vAlign w:val="center"/>
          </w:tcPr>
          <w:p w14:paraId="6D61EF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222" w:type="pct"/>
            <w:tcBorders>
              <w:tl2br w:val="nil"/>
              <w:tr2bl w:val="nil"/>
            </w:tcBorders>
            <w:shd w:val="clear" w:color="auto" w:fill="auto"/>
            <w:vAlign w:val="center"/>
          </w:tcPr>
          <w:p w14:paraId="01473F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324D08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67EAEB9">
            <w:pPr>
              <w:spacing w:line="240" w:lineRule="auto"/>
              <w:jc w:val="left"/>
              <w:rPr>
                <w:rFonts w:hint="eastAsia" w:ascii="宋体" w:hAnsi="宋体" w:eastAsia="宋体" w:cs="宋体"/>
                <w:i w:val="0"/>
                <w:iCs w:val="0"/>
                <w:color w:val="000000"/>
                <w:sz w:val="18"/>
                <w:szCs w:val="18"/>
                <w:highlight w:val="none"/>
                <w:u w:val="none"/>
              </w:rPr>
            </w:pPr>
          </w:p>
        </w:tc>
      </w:tr>
      <w:tr w14:paraId="1E4ACC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DB8E9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64" w:type="pct"/>
            <w:vMerge w:val="continue"/>
            <w:tcBorders>
              <w:tl2br w:val="nil"/>
              <w:tr2bl w:val="nil"/>
            </w:tcBorders>
            <w:shd w:val="clear" w:color="auto" w:fill="auto"/>
            <w:vAlign w:val="center"/>
          </w:tcPr>
          <w:p w14:paraId="7C1159B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1BB05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EE78AC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在已吊起的构件下面或起重臂下旋转范围内作业或行走</w:t>
            </w:r>
          </w:p>
        </w:tc>
        <w:tc>
          <w:tcPr>
            <w:tcW w:w="386" w:type="pct"/>
            <w:tcBorders>
              <w:tl2br w:val="nil"/>
              <w:tr2bl w:val="nil"/>
            </w:tcBorders>
            <w:shd w:val="clear" w:color="auto" w:fill="auto"/>
            <w:vAlign w:val="center"/>
          </w:tcPr>
          <w:p w14:paraId="32B84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F2293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8" w:type="pct"/>
            <w:tcBorders>
              <w:tl2br w:val="nil"/>
              <w:tr2bl w:val="nil"/>
            </w:tcBorders>
            <w:shd w:val="clear" w:color="auto" w:fill="auto"/>
            <w:vAlign w:val="center"/>
          </w:tcPr>
          <w:p w14:paraId="6B3A2E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AEABA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80E96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222" w:type="pct"/>
            <w:tcBorders>
              <w:tl2br w:val="nil"/>
              <w:tr2bl w:val="nil"/>
            </w:tcBorders>
            <w:shd w:val="clear" w:color="auto" w:fill="auto"/>
            <w:vAlign w:val="center"/>
          </w:tcPr>
          <w:p w14:paraId="239D5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286F2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34C90B">
            <w:pPr>
              <w:spacing w:line="240" w:lineRule="auto"/>
              <w:jc w:val="left"/>
              <w:rPr>
                <w:rFonts w:hint="eastAsia" w:ascii="宋体" w:hAnsi="宋体" w:eastAsia="宋体" w:cs="宋体"/>
                <w:i w:val="0"/>
                <w:iCs w:val="0"/>
                <w:color w:val="000000"/>
                <w:sz w:val="18"/>
                <w:szCs w:val="18"/>
                <w:highlight w:val="none"/>
                <w:u w:val="none"/>
              </w:rPr>
            </w:pPr>
          </w:p>
        </w:tc>
      </w:tr>
      <w:tr w14:paraId="67FDB5B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2C57D1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64" w:type="pct"/>
            <w:vMerge w:val="continue"/>
            <w:tcBorders>
              <w:tl2br w:val="nil"/>
              <w:tr2bl w:val="nil"/>
            </w:tcBorders>
            <w:shd w:val="clear" w:color="auto" w:fill="auto"/>
            <w:vAlign w:val="center"/>
          </w:tcPr>
          <w:p w14:paraId="72D0E2E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A828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8AB9D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高处安装中的电、气焊作业，未严格采取安全防火措施，在作业处下面周围10m范围内有人</w:t>
            </w:r>
          </w:p>
        </w:tc>
        <w:tc>
          <w:tcPr>
            <w:tcW w:w="386" w:type="pct"/>
            <w:tcBorders>
              <w:tl2br w:val="nil"/>
              <w:tr2bl w:val="nil"/>
            </w:tcBorders>
            <w:shd w:val="clear" w:color="auto" w:fill="auto"/>
            <w:vAlign w:val="center"/>
          </w:tcPr>
          <w:p w14:paraId="20365F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起重伤害</w:t>
            </w:r>
          </w:p>
          <w:p w14:paraId="6086F7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2E7B69C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7120D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673565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BB9A1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A31ED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9A6977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A06DC30">
            <w:pPr>
              <w:spacing w:line="240" w:lineRule="auto"/>
              <w:jc w:val="left"/>
              <w:rPr>
                <w:rFonts w:hint="eastAsia" w:ascii="宋体" w:hAnsi="宋体" w:eastAsia="宋体" w:cs="宋体"/>
                <w:i w:val="0"/>
                <w:iCs w:val="0"/>
                <w:color w:val="000000"/>
                <w:sz w:val="18"/>
                <w:szCs w:val="18"/>
                <w:highlight w:val="none"/>
                <w:u w:val="none"/>
              </w:rPr>
            </w:pPr>
          </w:p>
        </w:tc>
      </w:tr>
      <w:tr w14:paraId="299B3E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B0030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64" w:type="pct"/>
            <w:vMerge w:val="continue"/>
            <w:tcBorders>
              <w:tl2br w:val="nil"/>
              <w:tr2bl w:val="nil"/>
            </w:tcBorders>
            <w:shd w:val="clear" w:color="auto" w:fill="auto"/>
            <w:vAlign w:val="center"/>
          </w:tcPr>
          <w:p w14:paraId="62B90F6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EC65C4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64872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自行式起重机作业前未将支腿全部伸出，并支垫牢固</w:t>
            </w:r>
          </w:p>
        </w:tc>
        <w:tc>
          <w:tcPr>
            <w:tcW w:w="386" w:type="pct"/>
            <w:tcBorders>
              <w:tl2br w:val="nil"/>
              <w:tr2bl w:val="nil"/>
            </w:tcBorders>
            <w:shd w:val="clear" w:color="auto" w:fill="auto"/>
            <w:vAlign w:val="center"/>
          </w:tcPr>
          <w:p w14:paraId="77D621E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0C9D41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21185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5E386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BB4CF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61E8F4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158608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1F077">
            <w:pPr>
              <w:spacing w:line="240" w:lineRule="auto"/>
              <w:jc w:val="left"/>
              <w:rPr>
                <w:rFonts w:hint="eastAsia" w:ascii="宋体" w:hAnsi="宋体" w:eastAsia="宋体" w:cs="宋体"/>
                <w:i w:val="0"/>
                <w:iCs w:val="0"/>
                <w:color w:val="000000"/>
                <w:sz w:val="18"/>
                <w:szCs w:val="18"/>
                <w:highlight w:val="none"/>
                <w:u w:val="none"/>
              </w:rPr>
            </w:pPr>
          </w:p>
        </w:tc>
      </w:tr>
      <w:tr w14:paraId="6E31460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7D84CB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64" w:type="pct"/>
            <w:vMerge w:val="restart"/>
            <w:tcBorders>
              <w:tl2br w:val="nil"/>
              <w:tr2bl w:val="nil"/>
            </w:tcBorders>
            <w:shd w:val="clear" w:color="auto" w:fill="auto"/>
            <w:vAlign w:val="center"/>
          </w:tcPr>
          <w:p w14:paraId="7D7D75B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塔吊安拆</w:t>
            </w:r>
          </w:p>
        </w:tc>
        <w:tc>
          <w:tcPr>
            <w:tcW w:w="242" w:type="pct"/>
            <w:vMerge w:val="restart"/>
            <w:tcBorders>
              <w:tl2br w:val="nil"/>
              <w:tr2bl w:val="nil"/>
            </w:tcBorders>
            <w:shd w:val="clear" w:color="auto" w:fill="auto"/>
            <w:vAlign w:val="center"/>
          </w:tcPr>
          <w:p w14:paraId="6E485C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w:t>
            </w:r>
          </w:p>
        </w:tc>
        <w:tc>
          <w:tcPr>
            <w:tcW w:w="1907" w:type="pct"/>
            <w:tcBorders>
              <w:tl2br w:val="nil"/>
              <w:tr2bl w:val="nil"/>
            </w:tcBorders>
            <w:shd w:val="clear" w:color="auto" w:fill="auto"/>
            <w:vAlign w:val="center"/>
          </w:tcPr>
          <w:p w14:paraId="26A3A57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塔机安装前没有进行全面的检查，并确认合格</w:t>
            </w:r>
          </w:p>
        </w:tc>
        <w:tc>
          <w:tcPr>
            <w:tcW w:w="386" w:type="pct"/>
            <w:tcBorders>
              <w:tl2br w:val="nil"/>
              <w:tr2bl w:val="nil"/>
            </w:tcBorders>
            <w:shd w:val="clear" w:color="auto" w:fill="auto"/>
            <w:vAlign w:val="center"/>
          </w:tcPr>
          <w:p w14:paraId="47CE79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557761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CC579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4CA140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3F6DE5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03D0C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49B57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473556">
            <w:pPr>
              <w:spacing w:line="240" w:lineRule="auto"/>
              <w:jc w:val="left"/>
              <w:rPr>
                <w:rFonts w:hint="eastAsia" w:ascii="宋体" w:hAnsi="宋体" w:eastAsia="宋体" w:cs="宋体"/>
                <w:i w:val="0"/>
                <w:iCs w:val="0"/>
                <w:color w:val="000000"/>
                <w:sz w:val="18"/>
                <w:szCs w:val="18"/>
                <w:highlight w:val="none"/>
                <w:u w:val="none"/>
              </w:rPr>
            </w:pPr>
          </w:p>
        </w:tc>
      </w:tr>
      <w:tr w14:paraId="518E51A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4CB5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64" w:type="pct"/>
            <w:vMerge w:val="continue"/>
            <w:tcBorders>
              <w:tl2br w:val="nil"/>
              <w:tr2bl w:val="nil"/>
            </w:tcBorders>
            <w:shd w:val="clear" w:color="auto" w:fill="auto"/>
            <w:vAlign w:val="center"/>
          </w:tcPr>
          <w:p w14:paraId="7FF04F0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6DD68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0F88F4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386" w:type="pct"/>
            <w:tcBorders>
              <w:tl2br w:val="nil"/>
              <w:tr2bl w:val="nil"/>
            </w:tcBorders>
            <w:shd w:val="clear" w:color="auto" w:fill="auto"/>
            <w:vAlign w:val="center"/>
          </w:tcPr>
          <w:p w14:paraId="207472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17A9BB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4C4AF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11342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5C932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6B8FE73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C20BDC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A54A25">
            <w:pPr>
              <w:spacing w:line="240" w:lineRule="auto"/>
              <w:jc w:val="left"/>
              <w:rPr>
                <w:rFonts w:hint="eastAsia" w:ascii="宋体" w:hAnsi="宋体" w:eastAsia="宋体" w:cs="宋体"/>
                <w:i w:val="0"/>
                <w:iCs w:val="0"/>
                <w:color w:val="000000"/>
                <w:sz w:val="18"/>
                <w:szCs w:val="18"/>
                <w:highlight w:val="none"/>
                <w:u w:val="none"/>
              </w:rPr>
            </w:pPr>
          </w:p>
        </w:tc>
      </w:tr>
      <w:tr w14:paraId="7DC464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22D67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64" w:type="pct"/>
            <w:vMerge w:val="continue"/>
            <w:tcBorders>
              <w:tl2br w:val="nil"/>
              <w:tr2bl w:val="nil"/>
            </w:tcBorders>
            <w:shd w:val="clear" w:color="auto" w:fill="auto"/>
            <w:vAlign w:val="center"/>
          </w:tcPr>
          <w:p w14:paraId="64C1926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07F95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FD5FA4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附着装置的设置和自由端高度不符合使用说明书的规定</w:t>
            </w:r>
          </w:p>
        </w:tc>
        <w:tc>
          <w:tcPr>
            <w:tcW w:w="386" w:type="pct"/>
            <w:tcBorders>
              <w:tl2br w:val="nil"/>
              <w:tr2bl w:val="nil"/>
            </w:tcBorders>
            <w:shd w:val="clear" w:color="auto" w:fill="auto"/>
            <w:vAlign w:val="center"/>
          </w:tcPr>
          <w:p w14:paraId="388D84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7C68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F4D6E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D4D4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837C6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1AFDEC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67371E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327825E">
            <w:pPr>
              <w:spacing w:line="240" w:lineRule="auto"/>
              <w:jc w:val="left"/>
              <w:rPr>
                <w:rFonts w:hint="eastAsia" w:ascii="宋体" w:hAnsi="宋体" w:eastAsia="宋体" w:cs="宋体"/>
                <w:i w:val="0"/>
                <w:iCs w:val="0"/>
                <w:color w:val="000000"/>
                <w:sz w:val="18"/>
                <w:szCs w:val="18"/>
                <w:highlight w:val="none"/>
                <w:u w:val="none"/>
              </w:rPr>
            </w:pPr>
          </w:p>
        </w:tc>
      </w:tr>
      <w:tr w14:paraId="60D93E3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198A5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64" w:type="pct"/>
            <w:vMerge w:val="continue"/>
            <w:tcBorders>
              <w:tl2br w:val="nil"/>
              <w:tr2bl w:val="nil"/>
            </w:tcBorders>
            <w:shd w:val="clear" w:color="auto" w:fill="auto"/>
            <w:vAlign w:val="center"/>
          </w:tcPr>
          <w:p w14:paraId="6549EF6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4A1D21B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D73CE8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当附着水平距离、附着间距等不满足使用说明书的要求时，没有进行设计计算、绘制制作图、编写相关说明</w:t>
            </w:r>
          </w:p>
        </w:tc>
        <w:tc>
          <w:tcPr>
            <w:tcW w:w="386" w:type="pct"/>
            <w:tcBorders>
              <w:tl2br w:val="nil"/>
              <w:tr2bl w:val="nil"/>
            </w:tcBorders>
            <w:shd w:val="clear" w:color="auto" w:fill="auto"/>
            <w:vAlign w:val="center"/>
          </w:tcPr>
          <w:p w14:paraId="31A2B4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468C2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0.2</w:t>
            </w:r>
          </w:p>
        </w:tc>
        <w:tc>
          <w:tcPr>
            <w:tcW w:w="148" w:type="pct"/>
            <w:tcBorders>
              <w:tl2br w:val="nil"/>
              <w:tr2bl w:val="nil"/>
            </w:tcBorders>
            <w:shd w:val="clear" w:color="auto" w:fill="auto"/>
            <w:vAlign w:val="center"/>
          </w:tcPr>
          <w:p w14:paraId="245346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40043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AA73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48ADCB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5967AC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3941DF7">
            <w:pPr>
              <w:spacing w:line="240" w:lineRule="auto"/>
              <w:jc w:val="left"/>
              <w:rPr>
                <w:rFonts w:hint="eastAsia" w:ascii="宋体" w:hAnsi="宋体" w:eastAsia="宋体" w:cs="宋体"/>
                <w:i w:val="0"/>
                <w:iCs w:val="0"/>
                <w:color w:val="000000"/>
                <w:sz w:val="18"/>
                <w:szCs w:val="18"/>
                <w:highlight w:val="none"/>
                <w:u w:val="none"/>
              </w:rPr>
            </w:pPr>
          </w:p>
        </w:tc>
      </w:tr>
      <w:tr w14:paraId="56D9DC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E7DE3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64" w:type="pct"/>
            <w:vMerge w:val="continue"/>
            <w:tcBorders>
              <w:tl2br w:val="nil"/>
              <w:tr2bl w:val="nil"/>
            </w:tcBorders>
            <w:shd w:val="clear" w:color="auto" w:fill="auto"/>
            <w:vAlign w:val="center"/>
          </w:tcPr>
          <w:p w14:paraId="446FC48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D8F237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EE3080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386" w:type="pct"/>
            <w:tcBorders>
              <w:tl2br w:val="nil"/>
              <w:tr2bl w:val="nil"/>
            </w:tcBorders>
            <w:shd w:val="clear" w:color="auto" w:fill="auto"/>
            <w:vAlign w:val="center"/>
          </w:tcPr>
          <w:p w14:paraId="41501EC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2E513D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582F64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5A3A35E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FC2F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120</w:t>
            </w:r>
          </w:p>
        </w:tc>
        <w:tc>
          <w:tcPr>
            <w:tcW w:w="222" w:type="pct"/>
            <w:tcBorders>
              <w:tl2br w:val="nil"/>
              <w:tr2bl w:val="nil"/>
            </w:tcBorders>
            <w:shd w:val="clear" w:color="auto" w:fill="auto"/>
            <w:vAlign w:val="center"/>
          </w:tcPr>
          <w:p w14:paraId="48C08A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6A9A0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7EE681">
            <w:pPr>
              <w:spacing w:line="240" w:lineRule="auto"/>
              <w:jc w:val="left"/>
              <w:rPr>
                <w:rFonts w:hint="eastAsia" w:ascii="宋体" w:hAnsi="宋体" w:eastAsia="宋体" w:cs="宋体"/>
                <w:i w:val="0"/>
                <w:iCs w:val="0"/>
                <w:color w:val="000000"/>
                <w:sz w:val="18"/>
                <w:szCs w:val="18"/>
                <w:highlight w:val="none"/>
                <w:u w:val="none"/>
              </w:rPr>
            </w:pPr>
          </w:p>
        </w:tc>
      </w:tr>
      <w:tr w14:paraId="3A06933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1920" w:hRule="atLeast"/>
        </w:trPr>
        <w:tc>
          <w:tcPr>
            <w:tcW w:w="180" w:type="pct"/>
            <w:tcBorders>
              <w:tl2br w:val="nil"/>
              <w:tr2bl w:val="nil"/>
            </w:tcBorders>
            <w:shd w:val="clear" w:color="auto" w:fill="auto"/>
            <w:vAlign w:val="center"/>
          </w:tcPr>
          <w:p w14:paraId="065F3B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64" w:type="pct"/>
            <w:vMerge w:val="continue"/>
            <w:tcBorders>
              <w:tl2br w:val="nil"/>
              <w:tr2bl w:val="nil"/>
            </w:tcBorders>
            <w:shd w:val="clear" w:color="auto" w:fill="auto"/>
            <w:vAlign w:val="center"/>
          </w:tcPr>
          <w:p w14:paraId="54C2AAD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77847D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2320D0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386" w:type="pct"/>
            <w:tcBorders>
              <w:tl2br w:val="nil"/>
              <w:tr2bl w:val="nil"/>
            </w:tcBorders>
            <w:shd w:val="clear" w:color="auto" w:fill="auto"/>
            <w:vAlign w:val="center"/>
          </w:tcPr>
          <w:p w14:paraId="39BDC3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4E4EC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1C0D4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4EF963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013B1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80</w:t>
            </w:r>
          </w:p>
        </w:tc>
        <w:tc>
          <w:tcPr>
            <w:tcW w:w="222" w:type="pct"/>
            <w:tcBorders>
              <w:tl2br w:val="nil"/>
              <w:tr2bl w:val="nil"/>
            </w:tcBorders>
            <w:shd w:val="clear" w:color="auto" w:fill="auto"/>
            <w:vAlign w:val="center"/>
          </w:tcPr>
          <w:p w14:paraId="0493B1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2C8482B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A3882D">
            <w:pPr>
              <w:spacing w:line="240" w:lineRule="auto"/>
              <w:jc w:val="left"/>
              <w:rPr>
                <w:rFonts w:hint="eastAsia" w:ascii="宋体" w:hAnsi="宋体" w:eastAsia="宋体" w:cs="宋体"/>
                <w:i w:val="0"/>
                <w:iCs w:val="0"/>
                <w:color w:val="000000"/>
                <w:sz w:val="18"/>
                <w:szCs w:val="18"/>
                <w:highlight w:val="none"/>
                <w:u w:val="none"/>
              </w:rPr>
            </w:pPr>
          </w:p>
        </w:tc>
      </w:tr>
      <w:tr w14:paraId="2327CBE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04679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64" w:type="pct"/>
            <w:vMerge w:val="continue"/>
            <w:tcBorders>
              <w:tl2br w:val="nil"/>
              <w:tr2bl w:val="nil"/>
            </w:tcBorders>
            <w:shd w:val="clear" w:color="auto" w:fill="auto"/>
            <w:vAlign w:val="center"/>
          </w:tcPr>
          <w:p w14:paraId="1B43901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B76023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668F01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当需要在夜间进行安拆作业时，没有保证提供足够的照明</w:t>
            </w:r>
          </w:p>
        </w:tc>
        <w:tc>
          <w:tcPr>
            <w:tcW w:w="386" w:type="pct"/>
            <w:tcBorders>
              <w:tl2br w:val="nil"/>
              <w:tr2bl w:val="nil"/>
            </w:tcBorders>
            <w:shd w:val="clear" w:color="auto" w:fill="auto"/>
            <w:vAlign w:val="center"/>
          </w:tcPr>
          <w:p w14:paraId="34B138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171" w:type="pct"/>
            <w:tcBorders>
              <w:tl2br w:val="nil"/>
              <w:tr2bl w:val="nil"/>
            </w:tcBorders>
            <w:shd w:val="clear" w:color="auto" w:fill="auto"/>
            <w:vAlign w:val="center"/>
          </w:tcPr>
          <w:p w14:paraId="101A17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293E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03D531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2A657F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60E3E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8D7386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7865DAA">
            <w:pPr>
              <w:spacing w:line="240" w:lineRule="auto"/>
              <w:jc w:val="left"/>
              <w:rPr>
                <w:rFonts w:hint="eastAsia" w:ascii="宋体" w:hAnsi="宋体" w:eastAsia="宋体" w:cs="宋体"/>
                <w:i w:val="0"/>
                <w:iCs w:val="0"/>
                <w:color w:val="000000"/>
                <w:sz w:val="18"/>
                <w:szCs w:val="18"/>
                <w:highlight w:val="none"/>
                <w:u w:val="none"/>
              </w:rPr>
            </w:pPr>
          </w:p>
        </w:tc>
      </w:tr>
      <w:tr w14:paraId="4B8311F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B9E83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64" w:type="pct"/>
            <w:vMerge w:val="continue"/>
            <w:tcBorders>
              <w:tl2br w:val="nil"/>
              <w:tr2bl w:val="nil"/>
            </w:tcBorders>
            <w:shd w:val="clear" w:color="auto" w:fill="auto"/>
            <w:vAlign w:val="center"/>
          </w:tcPr>
          <w:p w14:paraId="5912F00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F4B1A1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9C3E95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当遇特殊情况安装作业不能连续进行时，没有将已安装的部位固定牢靠并达到安全状态</w:t>
            </w:r>
          </w:p>
        </w:tc>
        <w:tc>
          <w:tcPr>
            <w:tcW w:w="386" w:type="pct"/>
            <w:tcBorders>
              <w:tl2br w:val="nil"/>
              <w:tr2bl w:val="nil"/>
            </w:tcBorders>
            <w:shd w:val="clear" w:color="auto" w:fill="auto"/>
            <w:vAlign w:val="center"/>
          </w:tcPr>
          <w:p w14:paraId="72EAC19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1A85CE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5FBA5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24A08CB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112D54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7D045F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AA65DA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4B770E2">
            <w:pPr>
              <w:spacing w:line="240" w:lineRule="auto"/>
              <w:jc w:val="left"/>
              <w:rPr>
                <w:rFonts w:hint="eastAsia" w:ascii="宋体" w:hAnsi="宋体" w:eastAsia="宋体" w:cs="宋体"/>
                <w:i w:val="0"/>
                <w:iCs w:val="0"/>
                <w:color w:val="000000"/>
                <w:sz w:val="18"/>
                <w:szCs w:val="18"/>
                <w:highlight w:val="none"/>
                <w:u w:val="none"/>
              </w:rPr>
            </w:pPr>
          </w:p>
        </w:tc>
      </w:tr>
      <w:tr w14:paraId="6BAA58D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9905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64" w:type="pct"/>
            <w:vMerge w:val="continue"/>
            <w:tcBorders>
              <w:tl2br w:val="nil"/>
              <w:tr2bl w:val="nil"/>
            </w:tcBorders>
            <w:shd w:val="clear" w:color="auto" w:fill="auto"/>
            <w:vAlign w:val="center"/>
          </w:tcPr>
          <w:p w14:paraId="575274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65F3648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34348E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连接件及防松脱件用其它代用品代用</w:t>
            </w:r>
          </w:p>
        </w:tc>
        <w:tc>
          <w:tcPr>
            <w:tcW w:w="386" w:type="pct"/>
            <w:tcBorders>
              <w:tl2br w:val="nil"/>
              <w:tr2bl w:val="nil"/>
            </w:tcBorders>
            <w:shd w:val="clear" w:color="auto" w:fill="auto"/>
            <w:vAlign w:val="center"/>
          </w:tcPr>
          <w:p w14:paraId="1F5A3E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起重伤害等</w:t>
            </w:r>
          </w:p>
        </w:tc>
        <w:tc>
          <w:tcPr>
            <w:tcW w:w="171" w:type="pct"/>
            <w:tcBorders>
              <w:tl2br w:val="nil"/>
              <w:tr2bl w:val="nil"/>
            </w:tcBorders>
            <w:shd w:val="clear" w:color="auto" w:fill="auto"/>
            <w:vAlign w:val="center"/>
          </w:tcPr>
          <w:p w14:paraId="5E9A6D4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6500D3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0" w:type="pct"/>
            <w:tcBorders>
              <w:tl2br w:val="nil"/>
              <w:tr2bl w:val="nil"/>
            </w:tcBorders>
            <w:shd w:val="clear" w:color="auto" w:fill="auto"/>
            <w:vAlign w:val="center"/>
          </w:tcPr>
          <w:p w14:paraId="739EEA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53" w:type="pct"/>
            <w:tcBorders>
              <w:tl2br w:val="nil"/>
              <w:tr2bl w:val="nil"/>
            </w:tcBorders>
            <w:shd w:val="clear" w:color="auto" w:fill="auto"/>
            <w:vAlign w:val="center"/>
          </w:tcPr>
          <w:p w14:paraId="720EE0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222" w:type="pct"/>
            <w:tcBorders>
              <w:tl2br w:val="nil"/>
              <w:tr2bl w:val="nil"/>
            </w:tcBorders>
            <w:shd w:val="clear" w:color="auto" w:fill="auto"/>
            <w:vAlign w:val="center"/>
          </w:tcPr>
          <w:p w14:paraId="41807F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FCC4F4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FAC6FA">
            <w:pPr>
              <w:spacing w:line="240" w:lineRule="auto"/>
              <w:jc w:val="left"/>
              <w:rPr>
                <w:rFonts w:hint="eastAsia" w:ascii="宋体" w:hAnsi="宋体" w:eastAsia="宋体" w:cs="宋体"/>
                <w:i w:val="0"/>
                <w:iCs w:val="0"/>
                <w:color w:val="000000"/>
                <w:sz w:val="18"/>
                <w:szCs w:val="18"/>
                <w:highlight w:val="none"/>
                <w:u w:val="none"/>
              </w:rPr>
            </w:pPr>
          </w:p>
        </w:tc>
      </w:tr>
      <w:tr w14:paraId="44BB69A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3F3ED0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64" w:type="pct"/>
            <w:vMerge w:val="restart"/>
            <w:tcBorders>
              <w:tl2br w:val="nil"/>
              <w:tr2bl w:val="nil"/>
            </w:tcBorders>
            <w:shd w:val="clear" w:color="auto" w:fill="auto"/>
            <w:vAlign w:val="center"/>
          </w:tcPr>
          <w:p w14:paraId="02D98EB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w:t>
            </w:r>
          </w:p>
        </w:tc>
        <w:tc>
          <w:tcPr>
            <w:tcW w:w="242" w:type="pct"/>
            <w:vMerge w:val="restart"/>
            <w:tcBorders>
              <w:tl2br w:val="nil"/>
              <w:tr2bl w:val="nil"/>
            </w:tcBorders>
            <w:shd w:val="clear" w:color="auto" w:fill="auto"/>
            <w:vAlign w:val="center"/>
          </w:tcPr>
          <w:p w14:paraId="466BC9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作业前安全条件确认</w:t>
            </w:r>
          </w:p>
        </w:tc>
        <w:tc>
          <w:tcPr>
            <w:tcW w:w="1907" w:type="pct"/>
            <w:tcBorders>
              <w:tl2br w:val="nil"/>
              <w:tr2bl w:val="nil"/>
            </w:tcBorders>
            <w:shd w:val="clear" w:color="auto" w:fill="auto"/>
            <w:vAlign w:val="center"/>
          </w:tcPr>
          <w:p w14:paraId="591E44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高处作业未编制安全技术措施</w:t>
            </w:r>
          </w:p>
        </w:tc>
        <w:tc>
          <w:tcPr>
            <w:tcW w:w="386" w:type="pct"/>
            <w:tcBorders>
              <w:tl2br w:val="nil"/>
              <w:tr2bl w:val="nil"/>
            </w:tcBorders>
            <w:shd w:val="clear" w:color="auto" w:fill="auto"/>
            <w:vAlign w:val="center"/>
          </w:tcPr>
          <w:p w14:paraId="0392E8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358BAB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727CD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23BFE8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502608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0477DB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EB00A">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C16BE98">
            <w:pPr>
              <w:spacing w:line="240" w:lineRule="auto"/>
              <w:jc w:val="left"/>
              <w:rPr>
                <w:rFonts w:hint="eastAsia" w:ascii="宋体" w:hAnsi="宋体" w:eastAsia="宋体" w:cs="宋体"/>
                <w:i w:val="0"/>
                <w:iCs w:val="0"/>
                <w:color w:val="000000"/>
                <w:sz w:val="18"/>
                <w:szCs w:val="18"/>
                <w:highlight w:val="none"/>
                <w:u w:val="none"/>
              </w:rPr>
            </w:pPr>
          </w:p>
        </w:tc>
      </w:tr>
      <w:tr w14:paraId="35E360E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F5467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64" w:type="pct"/>
            <w:vMerge w:val="continue"/>
            <w:tcBorders>
              <w:tl2br w:val="nil"/>
              <w:tr2bl w:val="nil"/>
            </w:tcBorders>
            <w:shd w:val="clear" w:color="auto" w:fill="auto"/>
            <w:vAlign w:val="center"/>
          </w:tcPr>
          <w:p w14:paraId="4D51876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2B6D72B">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768DAB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高处作业前，没有对安全防护设施进行检查、验收</w:t>
            </w:r>
          </w:p>
        </w:tc>
        <w:tc>
          <w:tcPr>
            <w:tcW w:w="386" w:type="pct"/>
            <w:tcBorders>
              <w:tl2br w:val="nil"/>
              <w:tr2bl w:val="nil"/>
            </w:tcBorders>
            <w:shd w:val="clear" w:color="auto" w:fill="auto"/>
            <w:vAlign w:val="center"/>
          </w:tcPr>
          <w:p w14:paraId="0C58F65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DCA5C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FA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6BA1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CF1CA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93457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549D4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9D4A259">
            <w:pPr>
              <w:spacing w:line="240" w:lineRule="auto"/>
              <w:jc w:val="left"/>
              <w:rPr>
                <w:rFonts w:hint="eastAsia" w:ascii="宋体" w:hAnsi="宋体" w:eastAsia="宋体" w:cs="宋体"/>
                <w:i w:val="0"/>
                <w:iCs w:val="0"/>
                <w:color w:val="000000"/>
                <w:sz w:val="18"/>
                <w:szCs w:val="18"/>
                <w:highlight w:val="none"/>
                <w:u w:val="none"/>
              </w:rPr>
            </w:pPr>
          </w:p>
        </w:tc>
      </w:tr>
      <w:tr w14:paraId="64E24FF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73D1C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64" w:type="pct"/>
            <w:vMerge w:val="continue"/>
            <w:tcBorders>
              <w:tl2br w:val="nil"/>
              <w:tr2bl w:val="nil"/>
            </w:tcBorders>
            <w:shd w:val="clear" w:color="auto" w:fill="auto"/>
            <w:vAlign w:val="center"/>
          </w:tcPr>
          <w:p w14:paraId="7B9D1EF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3844F2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322EBA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高处作业施工没有对作业人员进行安全教育和交底</w:t>
            </w:r>
          </w:p>
        </w:tc>
        <w:tc>
          <w:tcPr>
            <w:tcW w:w="386" w:type="pct"/>
            <w:tcBorders>
              <w:tl2br w:val="nil"/>
              <w:tr2bl w:val="nil"/>
            </w:tcBorders>
            <w:shd w:val="clear" w:color="auto" w:fill="auto"/>
            <w:vAlign w:val="center"/>
          </w:tcPr>
          <w:p w14:paraId="2B6A5D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20604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32E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6E30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20960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2E9B13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B8505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094C725">
            <w:pPr>
              <w:spacing w:line="240" w:lineRule="auto"/>
              <w:jc w:val="left"/>
              <w:rPr>
                <w:rFonts w:hint="eastAsia" w:ascii="宋体" w:hAnsi="宋体" w:eastAsia="宋体" w:cs="宋体"/>
                <w:i w:val="0"/>
                <w:iCs w:val="0"/>
                <w:color w:val="000000"/>
                <w:sz w:val="18"/>
                <w:szCs w:val="18"/>
                <w:highlight w:val="none"/>
                <w:u w:val="none"/>
              </w:rPr>
            </w:pPr>
          </w:p>
        </w:tc>
      </w:tr>
      <w:tr w14:paraId="1B527A9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BE00A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64" w:type="pct"/>
            <w:vMerge w:val="continue"/>
            <w:tcBorders>
              <w:tl2br w:val="nil"/>
              <w:tr2bl w:val="nil"/>
            </w:tcBorders>
            <w:shd w:val="clear" w:color="auto" w:fill="auto"/>
            <w:vAlign w:val="center"/>
          </w:tcPr>
          <w:p w14:paraId="0D3036D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C1D124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A0EFDD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高处作业施工前，没有检查高处作业的安全标志、防火设施、电气设施及设备</w:t>
            </w:r>
          </w:p>
        </w:tc>
        <w:tc>
          <w:tcPr>
            <w:tcW w:w="386" w:type="pct"/>
            <w:tcBorders>
              <w:tl2br w:val="nil"/>
              <w:tr2bl w:val="nil"/>
            </w:tcBorders>
            <w:shd w:val="clear" w:color="auto" w:fill="auto"/>
            <w:vAlign w:val="center"/>
          </w:tcPr>
          <w:p w14:paraId="0F1633D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7666A6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2269D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3BF51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2E6C5F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293B0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E5F3F3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55A23D">
            <w:pPr>
              <w:spacing w:line="240" w:lineRule="auto"/>
              <w:jc w:val="left"/>
              <w:rPr>
                <w:rFonts w:hint="eastAsia" w:ascii="宋体" w:hAnsi="宋体" w:eastAsia="宋体" w:cs="宋体"/>
                <w:i w:val="0"/>
                <w:iCs w:val="0"/>
                <w:color w:val="000000"/>
                <w:sz w:val="18"/>
                <w:szCs w:val="18"/>
                <w:highlight w:val="none"/>
                <w:u w:val="none"/>
              </w:rPr>
            </w:pPr>
          </w:p>
        </w:tc>
      </w:tr>
      <w:tr w14:paraId="07F6513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4697A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64" w:type="pct"/>
            <w:vMerge w:val="continue"/>
            <w:tcBorders>
              <w:tl2br w:val="nil"/>
              <w:tr2bl w:val="nil"/>
            </w:tcBorders>
            <w:shd w:val="clear" w:color="auto" w:fill="auto"/>
            <w:vAlign w:val="center"/>
          </w:tcPr>
          <w:p w14:paraId="1EAB787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5F8C19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EF0EB1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高处作业人员没有按规定正确佩戴和使用高处作业安全防护用具</w:t>
            </w:r>
          </w:p>
        </w:tc>
        <w:tc>
          <w:tcPr>
            <w:tcW w:w="386" w:type="pct"/>
            <w:tcBorders>
              <w:tl2br w:val="nil"/>
              <w:tr2bl w:val="nil"/>
            </w:tcBorders>
            <w:shd w:val="clear" w:color="auto" w:fill="auto"/>
            <w:vAlign w:val="center"/>
          </w:tcPr>
          <w:p w14:paraId="6A7E8B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5EB986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E7C7C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1061B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3E6016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0329144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001D7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C9B6807">
            <w:pPr>
              <w:spacing w:line="240" w:lineRule="auto"/>
              <w:jc w:val="left"/>
              <w:rPr>
                <w:rFonts w:hint="eastAsia" w:ascii="宋体" w:hAnsi="宋体" w:eastAsia="宋体" w:cs="宋体"/>
                <w:i w:val="0"/>
                <w:iCs w:val="0"/>
                <w:color w:val="000000"/>
                <w:sz w:val="18"/>
                <w:szCs w:val="18"/>
                <w:highlight w:val="none"/>
                <w:u w:val="none"/>
              </w:rPr>
            </w:pPr>
          </w:p>
        </w:tc>
      </w:tr>
      <w:tr w14:paraId="209A32F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37AAE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64" w:type="pct"/>
            <w:vMerge w:val="continue"/>
            <w:tcBorders>
              <w:tl2br w:val="nil"/>
              <w:tr2bl w:val="nil"/>
            </w:tcBorders>
            <w:shd w:val="clear" w:color="auto" w:fill="auto"/>
            <w:vAlign w:val="center"/>
          </w:tcPr>
          <w:p w14:paraId="6D95F206">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53FAD4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5F6CAE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恶劣气候进行露天攀登与悬空高处作业</w:t>
            </w:r>
          </w:p>
        </w:tc>
        <w:tc>
          <w:tcPr>
            <w:tcW w:w="386" w:type="pct"/>
            <w:tcBorders>
              <w:tl2br w:val="nil"/>
              <w:tr2bl w:val="nil"/>
            </w:tcBorders>
            <w:shd w:val="clear" w:color="auto" w:fill="auto"/>
            <w:vAlign w:val="center"/>
          </w:tcPr>
          <w:p w14:paraId="74CC4F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2BAF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06BC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0FC4A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660811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AD3A1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788317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1A4B0FF">
            <w:pPr>
              <w:spacing w:line="240" w:lineRule="auto"/>
              <w:jc w:val="left"/>
              <w:rPr>
                <w:rFonts w:hint="eastAsia" w:ascii="宋体" w:hAnsi="宋体" w:eastAsia="宋体" w:cs="宋体"/>
                <w:i w:val="0"/>
                <w:iCs w:val="0"/>
                <w:color w:val="000000"/>
                <w:sz w:val="18"/>
                <w:szCs w:val="18"/>
                <w:highlight w:val="none"/>
                <w:u w:val="none"/>
              </w:rPr>
            </w:pPr>
          </w:p>
        </w:tc>
      </w:tr>
      <w:tr w14:paraId="777F999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761AD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64" w:type="pct"/>
            <w:vMerge w:val="continue"/>
            <w:tcBorders>
              <w:tl2br w:val="nil"/>
              <w:tr2bl w:val="nil"/>
            </w:tcBorders>
            <w:shd w:val="clear" w:color="auto" w:fill="auto"/>
            <w:vAlign w:val="center"/>
          </w:tcPr>
          <w:p w14:paraId="11E2DF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FE822B4">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悬空</w:t>
            </w:r>
          </w:p>
          <w:p w14:paraId="497E760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32F9BA8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悬空作业没有设牢固的立足点，没有配置登高和防坠落的设施</w:t>
            </w:r>
          </w:p>
        </w:tc>
        <w:tc>
          <w:tcPr>
            <w:tcW w:w="386" w:type="pct"/>
            <w:tcBorders>
              <w:tl2br w:val="nil"/>
              <w:tr2bl w:val="nil"/>
            </w:tcBorders>
            <w:shd w:val="clear" w:color="auto" w:fill="auto"/>
            <w:vAlign w:val="center"/>
          </w:tcPr>
          <w:p w14:paraId="465C3C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084512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0C1D14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5E8BBF5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16875F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27C428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19F5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2B1086E">
            <w:pPr>
              <w:spacing w:line="240" w:lineRule="auto"/>
              <w:jc w:val="left"/>
              <w:rPr>
                <w:rFonts w:hint="eastAsia" w:ascii="宋体" w:hAnsi="宋体" w:eastAsia="宋体" w:cs="宋体"/>
                <w:i w:val="0"/>
                <w:iCs w:val="0"/>
                <w:color w:val="000000"/>
                <w:sz w:val="18"/>
                <w:szCs w:val="18"/>
                <w:highlight w:val="none"/>
                <w:u w:val="none"/>
              </w:rPr>
            </w:pPr>
          </w:p>
        </w:tc>
      </w:tr>
      <w:tr w14:paraId="182BBD2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EB1B9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64" w:type="pct"/>
            <w:vMerge w:val="continue"/>
            <w:tcBorders>
              <w:tl2br w:val="nil"/>
              <w:tr2bl w:val="nil"/>
            </w:tcBorders>
            <w:shd w:val="clear" w:color="auto" w:fill="auto"/>
            <w:vAlign w:val="center"/>
          </w:tcPr>
          <w:p w14:paraId="5891997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1C3C0A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A5EA24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在高空安装大模板、吊装第一块预制构件或单独的大中型预制构件时，没有站在作业平台上操作</w:t>
            </w:r>
          </w:p>
        </w:tc>
        <w:tc>
          <w:tcPr>
            <w:tcW w:w="386" w:type="pct"/>
            <w:tcBorders>
              <w:tl2br w:val="nil"/>
              <w:tr2bl w:val="nil"/>
            </w:tcBorders>
            <w:shd w:val="clear" w:color="auto" w:fill="auto"/>
            <w:vAlign w:val="center"/>
          </w:tcPr>
          <w:p w14:paraId="389AAF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4C9C84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3AAF4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62C1D3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FA2A95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08E4B4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26E1756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F4DDDE">
            <w:pPr>
              <w:spacing w:line="240" w:lineRule="auto"/>
              <w:jc w:val="left"/>
              <w:rPr>
                <w:rFonts w:hint="eastAsia" w:ascii="宋体" w:hAnsi="宋体" w:eastAsia="宋体" w:cs="宋体"/>
                <w:i w:val="0"/>
                <w:iCs w:val="0"/>
                <w:color w:val="000000"/>
                <w:sz w:val="18"/>
                <w:szCs w:val="18"/>
                <w:highlight w:val="none"/>
                <w:u w:val="none"/>
              </w:rPr>
            </w:pPr>
          </w:p>
        </w:tc>
      </w:tr>
      <w:tr w14:paraId="030B94F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FF35C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64" w:type="pct"/>
            <w:vMerge w:val="continue"/>
            <w:tcBorders>
              <w:tl2br w:val="nil"/>
              <w:tr2bl w:val="nil"/>
            </w:tcBorders>
            <w:shd w:val="clear" w:color="auto" w:fill="auto"/>
            <w:vAlign w:val="center"/>
          </w:tcPr>
          <w:p w14:paraId="34749F8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ACCE20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D9C9E8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在未固定、无防护的构件及安装中的管道上作业或通行</w:t>
            </w:r>
          </w:p>
        </w:tc>
        <w:tc>
          <w:tcPr>
            <w:tcW w:w="386" w:type="pct"/>
            <w:tcBorders>
              <w:tl2br w:val="nil"/>
              <w:tr2bl w:val="nil"/>
            </w:tcBorders>
            <w:shd w:val="clear" w:color="auto" w:fill="auto"/>
            <w:vAlign w:val="center"/>
          </w:tcPr>
          <w:p w14:paraId="4CE814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00B3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9E8B5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7CC61B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1D2001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222" w:type="pct"/>
            <w:tcBorders>
              <w:tl2br w:val="nil"/>
              <w:tr2bl w:val="nil"/>
            </w:tcBorders>
            <w:shd w:val="clear" w:color="auto" w:fill="auto"/>
            <w:vAlign w:val="center"/>
          </w:tcPr>
          <w:p w14:paraId="5F1B78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7DC90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88039C">
            <w:pPr>
              <w:spacing w:line="240" w:lineRule="auto"/>
              <w:jc w:val="left"/>
              <w:rPr>
                <w:rFonts w:hint="eastAsia" w:ascii="宋体" w:hAnsi="宋体" w:eastAsia="宋体" w:cs="宋体"/>
                <w:i w:val="0"/>
                <w:iCs w:val="0"/>
                <w:color w:val="000000"/>
                <w:sz w:val="18"/>
                <w:szCs w:val="18"/>
                <w:highlight w:val="none"/>
                <w:u w:val="none"/>
              </w:rPr>
            </w:pPr>
          </w:p>
        </w:tc>
      </w:tr>
      <w:tr w14:paraId="58FB9D7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0A827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64" w:type="pct"/>
            <w:vMerge w:val="continue"/>
            <w:tcBorders>
              <w:tl2br w:val="nil"/>
              <w:tr2bl w:val="nil"/>
            </w:tcBorders>
            <w:shd w:val="clear" w:color="auto" w:fill="auto"/>
            <w:vAlign w:val="center"/>
          </w:tcPr>
          <w:p w14:paraId="6D6E12F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7ADB9F68">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0696EE7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1907" w:type="pct"/>
            <w:tcBorders>
              <w:tl2br w:val="nil"/>
              <w:tr2bl w:val="nil"/>
            </w:tcBorders>
            <w:shd w:val="clear" w:color="auto" w:fill="auto"/>
            <w:vAlign w:val="center"/>
          </w:tcPr>
          <w:p w14:paraId="42A6A96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386" w:type="pct"/>
            <w:tcBorders>
              <w:tl2br w:val="nil"/>
              <w:tr2bl w:val="nil"/>
            </w:tcBorders>
            <w:shd w:val="clear" w:color="auto" w:fill="auto"/>
            <w:vAlign w:val="center"/>
          </w:tcPr>
          <w:p w14:paraId="421C4E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4FBB017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A6C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1EE4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6B15A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9AE08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D2BBA82">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CF198B">
            <w:pPr>
              <w:spacing w:line="240" w:lineRule="auto"/>
              <w:jc w:val="left"/>
              <w:rPr>
                <w:rFonts w:hint="eastAsia" w:ascii="宋体" w:hAnsi="宋体" w:eastAsia="宋体" w:cs="宋体"/>
                <w:i w:val="0"/>
                <w:iCs w:val="0"/>
                <w:color w:val="000000"/>
                <w:sz w:val="18"/>
                <w:szCs w:val="18"/>
                <w:highlight w:val="none"/>
                <w:u w:val="none"/>
              </w:rPr>
            </w:pPr>
          </w:p>
        </w:tc>
      </w:tr>
      <w:tr w14:paraId="488720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D232E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64" w:type="pct"/>
            <w:vMerge w:val="continue"/>
            <w:tcBorders>
              <w:tl2br w:val="nil"/>
              <w:tr2bl w:val="nil"/>
            </w:tcBorders>
            <w:shd w:val="clear" w:color="auto" w:fill="auto"/>
            <w:vAlign w:val="center"/>
          </w:tcPr>
          <w:p w14:paraId="2A29E6B8">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74027E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4056E7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施工现场人员进出的通道口没有搭设防护棚</w:t>
            </w:r>
          </w:p>
        </w:tc>
        <w:tc>
          <w:tcPr>
            <w:tcW w:w="386" w:type="pct"/>
            <w:tcBorders>
              <w:tl2br w:val="nil"/>
              <w:tr2bl w:val="nil"/>
            </w:tcBorders>
            <w:shd w:val="clear" w:color="auto" w:fill="auto"/>
            <w:vAlign w:val="center"/>
          </w:tcPr>
          <w:p w14:paraId="1C8C5A9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171" w:type="pct"/>
            <w:tcBorders>
              <w:tl2br w:val="nil"/>
              <w:tr2bl w:val="nil"/>
            </w:tcBorders>
            <w:shd w:val="clear" w:color="auto" w:fill="auto"/>
            <w:vAlign w:val="center"/>
          </w:tcPr>
          <w:p w14:paraId="304821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DC2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E20F2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8B25F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17A859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866631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4CF08B8">
            <w:pPr>
              <w:spacing w:line="240" w:lineRule="auto"/>
              <w:jc w:val="left"/>
              <w:rPr>
                <w:rFonts w:hint="eastAsia" w:ascii="宋体" w:hAnsi="宋体" w:eastAsia="宋体" w:cs="宋体"/>
                <w:i w:val="0"/>
                <w:iCs w:val="0"/>
                <w:color w:val="000000"/>
                <w:sz w:val="18"/>
                <w:szCs w:val="18"/>
                <w:highlight w:val="none"/>
                <w:u w:val="none"/>
              </w:rPr>
            </w:pPr>
          </w:p>
        </w:tc>
      </w:tr>
      <w:tr w14:paraId="2E1467B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5D0E9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64" w:type="pct"/>
            <w:vMerge w:val="continue"/>
            <w:tcBorders>
              <w:tl2br w:val="nil"/>
              <w:tr2bl w:val="nil"/>
            </w:tcBorders>
            <w:shd w:val="clear" w:color="auto" w:fill="auto"/>
            <w:vAlign w:val="center"/>
          </w:tcPr>
          <w:p w14:paraId="5E2FED5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118E9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高处作业吊篮</w:t>
            </w:r>
          </w:p>
        </w:tc>
        <w:tc>
          <w:tcPr>
            <w:tcW w:w="1907" w:type="pct"/>
            <w:tcBorders>
              <w:tl2br w:val="nil"/>
              <w:tr2bl w:val="nil"/>
            </w:tcBorders>
            <w:shd w:val="clear" w:color="auto" w:fill="auto"/>
            <w:vAlign w:val="center"/>
          </w:tcPr>
          <w:p w14:paraId="2C927A9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吊篮的自制零部件未经检验合格就进行了装配</w:t>
            </w:r>
          </w:p>
        </w:tc>
        <w:tc>
          <w:tcPr>
            <w:tcW w:w="386" w:type="pct"/>
            <w:tcBorders>
              <w:tl2br w:val="nil"/>
              <w:tr2bl w:val="nil"/>
            </w:tcBorders>
            <w:shd w:val="clear" w:color="auto" w:fill="auto"/>
            <w:vAlign w:val="center"/>
          </w:tcPr>
          <w:p w14:paraId="302ED2D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4DC17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1C5DF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6375B9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D7DF7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709B01E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5A36F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DDB5FB">
            <w:pPr>
              <w:spacing w:line="240" w:lineRule="auto"/>
              <w:jc w:val="left"/>
              <w:rPr>
                <w:rFonts w:hint="eastAsia" w:ascii="宋体" w:hAnsi="宋体" w:eastAsia="宋体" w:cs="宋体"/>
                <w:i w:val="0"/>
                <w:iCs w:val="0"/>
                <w:color w:val="000000"/>
                <w:sz w:val="18"/>
                <w:szCs w:val="18"/>
                <w:highlight w:val="none"/>
                <w:u w:val="none"/>
              </w:rPr>
            </w:pPr>
          </w:p>
        </w:tc>
      </w:tr>
      <w:tr w14:paraId="68F4943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6632AC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64" w:type="pct"/>
            <w:vMerge w:val="continue"/>
            <w:tcBorders>
              <w:tl2br w:val="nil"/>
              <w:tr2bl w:val="nil"/>
            </w:tcBorders>
            <w:shd w:val="clear" w:color="auto" w:fill="auto"/>
            <w:vAlign w:val="center"/>
          </w:tcPr>
          <w:p w14:paraId="23F2185A">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63CB96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0A3822A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没有对标准件、外购件、外协件进行检查验收</w:t>
            </w:r>
          </w:p>
        </w:tc>
        <w:tc>
          <w:tcPr>
            <w:tcW w:w="386" w:type="pct"/>
            <w:tcBorders>
              <w:tl2br w:val="nil"/>
              <w:tr2bl w:val="nil"/>
            </w:tcBorders>
            <w:shd w:val="clear" w:color="auto" w:fill="auto"/>
            <w:vAlign w:val="center"/>
          </w:tcPr>
          <w:p w14:paraId="5160242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846E5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6BC87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F4215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0CFA31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34A9756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C3F03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5CF5D8F">
            <w:pPr>
              <w:spacing w:line="240" w:lineRule="auto"/>
              <w:jc w:val="left"/>
              <w:rPr>
                <w:rFonts w:hint="eastAsia" w:ascii="宋体" w:hAnsi="宋体" w:eastAsia="宋体" w:cs="宋体"/>
                <w:i w:val="0"/>
                <w:iCs w:val="0"/>
                <w:color w:val="000000"/>
                <w:sz w:val="18"/>
                <w:szCs w:val="18"/>
                <w:highlight w:val="none"/>
                <w:u w:val="none"/>
              </w:rPr>
            </w:pPr>
          </w:p>
        </w:tc>
      </w:tr>
      <w:tr w14:paraId="2B1737D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4367B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164" w:type="pct"/>
            <w:vMerge w:val="continue"/>
            <w:tcBorders>
              <w:tl2br w:val="nil"/>
              <w:tr2bl w:val="nil"/>
            </w:tcBorders>
            <w:shd w:val="clear" w:color="auto" w:fill="auto"/>
            <w:vAlign w:val="center"/>
          </w:tcPr>
          <w:p w14:paraId="425C100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0761E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C6829A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吊篮工作处阵风大于5级</w:t>
            </w:r>
          </w:p>
        </w:tc>
        <w:tc>
          <w:tcPr>
            <w:tcW w:w="386" w:type="pct"/>
            <w:tcBorders>
              <w:tl2br w:val="nil"/>
              <w:tr2bl w:val="nil"/>
            </w:tcBorders>
            <w:shd w:val="clear" w:color="auto" w:fill="auto"/>
            <w:vAlign w:val="center"/>
          </w:tcPr>
          <w:p w14:paraId="1D4DF7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61AC61B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CBE8E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2503D4F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783FF3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22BBA5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E48E8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A9C1084">
            <w:pPr>
              <w:spacing w:line="240" w:lineRule="auto"/>
              <w:jc w:val="left"/>
              <w:rPr>
                <w:rFonts w:hint="eastAsia" w:ascii="宋体" w:hAnsi="宋体" w:eastAsia="宋体" w:cs="宋体"/>
                <w:i w:val="0"/>
                <w:iCs w:val="0"/>
                <w:color w:val="000000"/>
                <w:sz w:val="18"/>
                <w:szCs w:val="18"/>
                <w:highlight w:val="none"/>
                <w:u w:val="none"/>
              </w:rPr>
            </w:pPr>
          </w:p>
        </w:tc>
      </w:tr>
      <w:tr w14:paraId="18C8A94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3C7725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64" w:type="pct"/>
            <w:vMerge w:val="continue"/>
            <w:tcBorders>
              <w:tl2br w:val="nil"/>
              <w:tr2bl w:val="nil"/>
            </w:tcBorders>
            <w:shd w:val="clear" w:color="auto" w:fill="auto"/>
            <w:vAlign w:val="center"/>
          </w:tcPr>
          <w:p w14:paraId="508642C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F418D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CD5521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吊篮的每个吊点没有设置2根钢丝绳，安全钢丝绳没有装安全锁或相同作用的独立安全装置</w:t>
            </w:r>
          </w:p>
        </w:tc>
        <w:tc>
          <w:tcPr>
            <w:tcW w:w="386" w:type="pct"/>
            <w:tcBorders>
              <w:tl2br w:val="nil"/>
              <w:tr2bl w:val="nil"/>
            </w:tcBorders>
            <w:shd w:val="clear" w:color="auto" w:fill="auto"/>
            <w:vAlign w:val="center"/>
          </w:tcPr>
          <w:p w14:paraId="4E5349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716F416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4EAEBA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35016A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0EA2914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4190E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207ACB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2164E9">
            <w:pPr>
              <w:spacing w:line="240" w:lineRule="auto"/>
              <w:jc w:val="left"/>
              <w:rPr>
                <w:rFonts w:hint="eastAsia" w:ascii="宋体" w:hAnsi="宋体" w:eastAsia="宋体" w:cs="宋体"/>
                <w:i w:val="0"/>
                <w:iCs w:val="0"/>
                <w:color w:val="000000"/>
                <w:sz w:val="18"/>
                <w:szCs w:val="18"/>
                <w:highlight w:val="none"/>
                <w:u w:val="none"/>
              </w:rPr>
            </w:pPr>
          </w:p>
        </w:tc>
      </w:tr>
      <w:tr w14:paraId="7FA352B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78EDAB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47</w:t>
            </w:r>
          </w:p>
        </w:tc>
        <w:tc>
          <w:tcPr>
            <w:tcW w:w="164" w:type="pct"/>
            <w:vMerge w:val="continue"/>
            <w:tcBorders>
              <w:tl2br w:val="nil"/>
              <w:tr2bl w:val="nil"/>
            </w:tcBorders>
            <w:shd w:val="clear" w:color="auto" w:fill="auto"/>
            <w:vAlign w:val="center"/>
          </w:tcPr>
          <w:p w14:paraId="3DA455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485F1E">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396237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在正常工作时，安全钢丝绳不能顺利通过安全锁或相同作用的独立安全装置</w:t>
            </w:r>
          </w:p>
        </w:tc>
        <w:tc>
          <w:tcPr>
            <w:tcW w:w="386" w:type="pct"/>
            <w:tcBorders>
              <w:tl2br w:val="nil"/>
              <w:tr2bl w:val="nil"/>
            </w:tcBorders>
            <w:shd w:val="clear" w:color="auto" w:fill="auto"/>
            <w:vAlign w:val="center"/>
          </w:tcPr>
          <w:p w14:paraId="3BC5D5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47F82D3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2C845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10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53" w:type="pct"/>
            <w:tcBorders>
              <w:tl2br w:val="nil"/>
              <w:tr2bl w:val="nil"/>
            </w:tcBorders>
            <w:shd w:val="clear" w:color="auto" w:fill="auto"/>
            <w:vAlign w:val="center"/>
          </w:tcPr>
          <w:p w14:paraId="15FF6F8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45</w:t>
            </w:r>
          </w:p>
        </w:tc>
        <w:tc>
          <w:tcPr>
            <w:tcW w:w="222" w:type="pct"/>
            <w:tcBorders>
              <w:tl2br w:val="nil"/>
              <w:tr2bl w:val="nil"/>
            </w:tcBorders>
            <w:shd w:val="clear" w:color="auto" w:fill="auto"/>
            <w:vAlign w:val="center"/>
          </w:tcPr>
          <w:p w14:paraId="032955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D77A53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A00227">
            <w:pPr>
              <w:spacing w:line="240" w:lineRule="auto"/>
              <w:jc w:val="left"/>
              <w:rPr>
                <w:rFonts w:hint="eastAsia" w:ascii="宋体" w:hAnsi="宋体" w:eastAsia="宋体" w:cs="宋体"/>
                <w:i w:val="0"/>
                <w:iCs w:val="0"/>
                <w:color w:val="000000"/>
                <w:sz w:val="18"/>
                <w:szCs w:val="18"/>
                <w:highlight w:val="none"/>
                <w:u w:val="none"/>
              </w:rPr>
            </w:pPr>
          </w:p>
        </w:tc>
      </w:tr>
      <w:tr w14:paraId="506CB6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B5223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48</w:t>
            </w:r>
          </w:p>
        </w:tc>
        <w:tc>
          <w:tcPr>
            <w:tcW w:w="164" w:type="pct"/>
            <w:vMerge w:val="continue"/>
            <w:tcBorders>
              <w:tl2br w:val="nil"/>
              <w:tr2bl w:val="nil"/>
            </w:tcBorders>
            <w:shd w:val="clear" w:color="auto" w:fill="auto"/>
            <w:vAlign w:val="center"/>
          </w:tcPr>
          <w:p w14:paraId="198B48A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1A43466">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0F125D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吊篮上的操作人员未配置独立于悬吊平台的安全绳及安全带或其它安全装置，未严格遵守操作规程</w:t>
            </w:r>
          </w:p>
        </w:tc>
        <w:tc>
          <w:tcPr>
            <w:tcW w:w="386" w:type="pct"/>
            <w:tcBorders>
              <w:tl2br w:val="nil"/>
              <w:tr2bl w:val="nil"/>
            </w:tcBorders>
            <w:shd w:val="clear" w:color="auto" w:fill="auto"/>
            <w:vAlign w:val="center"/>
          </w:tcPr>
          <w:p w14:paraId="024A86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高处坠落</w:t>
            </w:r>
          </w:p>
        </w:tc>
        <w:tc>
          <w:tcPr>
            <w:tcW w:w="171" w:type="pct"/>
            <w:tcBorders>
              <w:tl2br w:val="nil"/>
              <w:tr2bl w:val="nil"/>
            </w:tcBorders>
            <w:shd w:val="clear" w:color="auto" w:fill="auto"/>
            <w:vAlign w:val="center"/>
          </w:tcPr>
          <w:p w14:paraId="16AA467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32A927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354D61E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E6BA2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0AF6CA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FAB46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71BB61">
            <w:pPr>
              <w:spacing w:line="240" w:lineRule="auto"/>
              <w:jc w:val="left"/>
              <w:rPr>
                <w:rFonts w:hint="eastAsia" w:ascii="宋体" w:hAnsi="宋体" w:eastAsia="宋体" w:cs="宋体"/>
                <w:i w:val="0"/>
                <w:iCs w:val="0"/>
                <w:color w:val="000000"/>
                <w:sz w:val="18"/>
                <w:szCs w:val="18"/>
                <w:highlight w:val="none"/>
                <w:u w:val="none"/>
              </w:rPr>
            </w:pPr>
          </w:p>
        </w:tc>
      </w:tr>
      <w:tr w14:paraId="14081EA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A44AD5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49</w:t>
            </w:r>
          </w:p>
        </w:tc>
        <w:tc>
          <w:tcPr>
            <w:tcW w:w="164" w:type="pct"/>
            <w:vMerge w:val="continue"/>
            <w:tcBorders>
              <w:tl2br w:val="nil"/>
              <w:tr2bl w:val="nil"/>
            </w:tcBorders>
            <w:shd w:val="clear" w:color="auto" w:fill="auto"/>
            <w:vAlign w:val="center"/>
          </w:tcPr>
          <w:p w14:paraId="3AA2BB2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0063A7">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0D26B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吊篮在正常工作时，使用安全锁进行制动</w:t>
            </w:r>
          </w:p>
        </w:tc>
        <w:tc>
          <w:tcPr>
            <w:tcW w:w="386" w:type="pct"/>
            <w:tcBorders>
              <w:tl2br w:val="nil"/>
              <w:tr2bl w:val="nil"/>
            </w:tcBorders>
            <w:shd w:val="clear" w:color="auto" w:fill="auto"/>
            <w:vAlign w:val="center"/>
          </w:tcPr>
          <w:p w14:paraId="0904CC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54599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CCADB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0" w:type="pct"/>
            <w:tcBorders>
              <w:tl2br w:val="nil"/>
              <w:tr2bl w:val="nil"/>
            </w:tcBorders>
            <w:shd w:val="clear" w:color="auto" w:fill="auto"/>
            <w:vAlign w:val="center"/>
          </w:tcPr>
          <w:p w14:paraId="3304FF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68F8B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222" w:type="pct"/>
            <w:tcBorders>
              <w:tl2br w:val="nil"/>
              <w:tr2bl w:val="nil"/>
            </w:tcBorders>
            <w:shd w:val="clear" w:color="auto" w:fill="auto"/>
            <w:vAlign w:val="center"/>
          </w:tcPr>
          <w:p w14:paraId="6CBE81D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61CA18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2549E2C4">
            <w:pPr>
              <w:spacing w:line="240" w:lineRule="auto"/>
              <w:jc w:val="left"/>
              <w:rPr>
                <w:rFonts w:hint="eastAsia" w:ascii="宋体" w:hAnsi="宋体" w:eastAsia="宋体" w:cs="宋体"/>
                <w:i w:val="0"/>
                <w:iCs w:val="0"/>
                <w:color w:val="000000"/>
                <w:sz w:val="18"/>
                <w:szCs w:val="18"/>
                <w:highlight w:val="none"/>
                <w:u w:val="none"/>
              </w:rPr>
            </w:pPr>
          </w:p>
        </w:tc>
      </w:tr>
      <w:tr w14:paraId="3EE80A7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021AE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w:t>
            </w:r>
          </w:p>
        </w:tc>
        <w:tc>
          <w:tcPr>
            <w:tcW w:w="164" w:type="pct"/>
            <w:vMerge w:val="continue"/>
            <w:tcBorders>
              <w:tl2br w:val="nil"/>
              <w:tr2bl w:val="nil"/>
            </w:tcBorders>
            <w:shd w:val="clear" w:color="auto" w:fill="auto"/>
            <w:vAlign w:val="center"/>
          </w:tcPr>
          <w:p w14:paraId="077A65C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BAA8972">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F6ADE2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利用吊篮进行电焊作业时，用吊篮做电焊接线回路；或者吊篮内放置氧气瓶、乙炔瓶等易燃易爆品</w:t>
            </w:r>
          </w:p>
        </w:tc>
        <w:tc>
          <w:tcPr>
            <w:tcW w:w="386" w:type="pct"/>
            <w:tcBorders>
              <w:tl2br w:val="nil"/>
              <w:tr2bl w:val="nil"/>
            </w:tcBorders>
            <w:shd w:val="clear" w:color="auto" w:fill="auto"/>
            <w:vAlign w:val="center"/>
          </w:tcPr>
          <w:p w14:paraId="571CD4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EE7D45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804449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BAEC7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DCF642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222" w:type="pct"/>
            <w:tcBorders>
              <w:tl2br w:val="nil"/>
              <w:tr2bl w:val="nil"/>
            </w:tcBorders>
            <w:shd w:val="clear" w:color="auto" w:fill="auto"/>
            <w:vAlign w:val="center"/>
          </w:tcPr>
          <w:p w14:paraId="6985A5F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42A02F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231C0EC">
            <w:pPr>
              <w:spacing w:line="240" w:lineRule="auto"/>
              <w:jc w:val="left"/>
              <w:rPr>
                <w:rFonts w:hint="eastAsia" w:ascii="宋体" w:hAnsi="宋体" w:eastAsia="宋体" w:cs="宋体"/>
                <w:i w:val="0"/>
                <w:iCs w:val="0"/>
                <w:color w:val="000000"/>
                <w:sz w:val="18"/>
                <w:szCs w:val="18"/>
                <w:highlight w:val="none"/>
                <w:u w:val="none"/>
              </w:rPr>
            </w:pPr>
          </w:p>
        </w:tc>
      </w:tr>
      <w:tr w14:paraId="432866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6C35F0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51</w:t>
            </w:r>
          </w:p>
        </w:tc>
        <w:tc>
          <w:tcPr>
            <w:tcW w:w="164" w:type="pct"/>
            <w:vMerge w:val="restart"/>
            <w:tcBorders>
              <w:tl2br w:val="nil"/>
              <w:tr2bl w:val="nil"/>
            </w:tcBorders>
            <w:shd w:val="clear" w:color="auto" w:fill="auto"/>
            <w:vAlign w:val="center"/>
          </w:tcPr>
          <w:p w14:paraId="6C0CF3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临时用电</w:t>
            </w:r>
          </w:p>
        </w:tc>
        <w:tc>
          <w:tcPr>
            <w:tcW w:w="242" w:type="pct"/>
            <w:vMerge w:val="restart"/>
            <w:tcBorders>
              <w:tl2br w:val="nil"/>
              <w:tr2bl w:val="nil"/>
            </w:tcBorders>
            <w:shd w:val="clear" w:color="auto" w:fill="auto"/>
            <w:vAlign w:val="center"/>
          </w:tcPr>
          <w:p w14:paraId="6863F39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接地和防雷</w:t>
            </w:r>
          </w:p>
        </w:tc>
        <w:tc>
          <w:tcPr>
            <w:tcW w:w="1907" w:type="pct"/>
            <w:tcBorders>
              <w:tl2br w:val="nil"/>
              <w:tr2bl w:val="nil"/>
            </w:tcBorders>
            <w:shd w:val="clear" w:color="auto" w:fill="auto"/>
            <w:vAlign w:val="center"/>
          </w:tcPr>
          <w:p w14:paraId="0581D1A2">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施工现场的临时用电电力系统存在利用大地做相线或零线的现象</w:t>
            </w:r>
          </w:p>
        </w:tc>
        <w:tc>
          <w:tcPr>
            <w:tcW w:w="386" w:type="pct"/>
            <w:tcBorders>
              <w:tl2br w:val="nil"/>
              <w:tr2bl w:val="nil"/>
            </w:tcBorders>
            <w:shd w:val="clear" w:color="auto" w:fill="auto"/>
            <w:vAlign w:val="center"/>
          </w:tcPr>
          <w:p w14:paraId="2A5C24D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85A9F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88E8F3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4548B2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580D3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04F85F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55C31A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B3A1F6A">
            <w:pPr>
              <w:spacing w:line="240" w:lineRule="auto"/>
              <w:jc w:val="left"/>
              <w:rPr>
                <w:rFonts w:hint="eastAsia" w:ascii="宋体" w:hAnsi="宋体" w:eastAsia="宋体" w:cs="宋体"/>
                <w:i w:val="0"/>
                <w:iCs w:val="0"/>
                <w:color w:val="000000"/>
                <w:sz w:val="18"/>
                <w:szCs w:val="18"/>
                <w:highlight w:val="none"/>
                <w:u w:val="none"/>
              </w:rPr>
            </w:pPr>
          </w:p>
        </w:tc>
      </w:tr>
      <w:tr w14:paraId="3AC6613A">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2804681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52</w:t>
            </w:r>
          </w:p>
        </w:tc>
        <w:tc>
          <w:tcPr>
            <w:tcW w:w="164" w:type="pct"/>
            <w:vMerge w:val="continue"/>
            <w:tcBorders>
              <w:tl2br w:val="nil"/>
              <w:tr2bl w:val="nil"/>
            </w:tcBorders>
            <w:shd w:val="clear" w:color="auto" w:fill="auto"/>
            <w:vAlign w:val="center"/>
          </w:tcPr>
          <w:p w14:paraId="1B49DD97">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D7D18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189640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保护零线没有采用绝缘导线</w:t>
            </w:r>
          </w:p>
        </w:tc>
        <w:tc>
          <w:tcPr>
            <w:tcW w:w="386" w:type="pct"/>
            <w:tcBorders>
              <w:tl2br w:val="nil"/>
              <w:tr2bl w:val="nil"/>
            </w:tcBorders>
            <w:shd w:val="clear" w:color="auto" w:fill="auto"/>
            <w:vAlign w:val="center"/>
          </w:tcPr>
          <w:p w14:paraId="65B4947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4325C47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BC2674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7E326AD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962B0C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222" w:type="pct"/>
            <w:tcBorders>
              <w:tl2br w:val="nil"/>
              <w:tr2bl w:val="nil"/>
            </w:tcBorders>
            <w:shd w:val="clear" w:color="auto" w:fill="auto"/>
            <w:vAlign w:val="center"/>
          </w:tcPr>
          <w:p w14:paraId="68B8B0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07F459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9714D8">
            <w:pPr>
              <w:spacing w:line="240" w:lineRule="auto"/>
              <w:jc w:val="left"/>
              <w:rPr>
                <w:rFonts w:hint="eastAsia" w:ascii="宋体" w:hAnsi="宋体" w:eastAsia="宋体" w:cs="宋体"/>
                <w:i w:val="0"/>
                <w:iCs w:val="0"/>
                <w:color w:val="000000"/>
                <w:sz w:val="18"/>
                <w:szCs w:val="18"/>
                <w:highlight w:val="none"/>
                <w:u w:val="none"/>
              </w:rPr>
            </w:pPr>
          </w:p>
        </w:tc>
      </w:tr>
      <w:tr w14:paraId="245AC6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6D1F9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53</w:t>
            </w:r>
          </w:p>
        </w:tc>
        <w:tc>
          <w:tcPr>
            <w:tcW w:w="164" w:type="pct"/>
            <w:vMerge w:val="continue"/>
            <w:tcBorders>
              <w:tl2br w:val="nil"/>
              <w:tr2bl w:val="nil"/>
            </w:tcBorders>
            <w:shd w:val="clear" w:color="auto" w:fill="auto"/>
            <w:vAlign w:val="center"/>
          </w:tcPr>
          <w:p w14:paraId="0A1A63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29349D3">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电缆</w:t>
            </w:r>
          </w:p>
          <w:p w14:paraId="5D8C66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线路</w:t>
            </w:r>
          </w:p>
        </w:tc>
        <w:tc>
          <w:tcPr>
            <w:tcW w:w="1907" w:type="pct"/>
            <w:tcBorders>
              <w:tl2br w:val="nil"/>
              <w:tr2bl w:val="nil"/>
            </w:tcBorders>
            <w:shd w:val="clear" w:color="auto" w:fill="auto"/>
            <w:vAlign w:val="center"/>
          </w:tcPr>
          <w:p w14:paraId="6A513E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电缆线路未采用埋地或架空敷设，或未采取避免机械损伤和介质腐蚀的措施</w:t>
            </w:r>
          </w:p>
        </w:tc>
        <w:tc>
          <w:tcPr>
            <w:tcW w:w="386" w:type="pct"/>
            <w:tcBorders>
              <w:tl2br w:val="nil"/>
              <w:tr2bl w:val="nil"/>
            </w:tcBorders>
            <w:shd w:val="clear" w:color="auto" w:fill="auto"/>
            <w:vAlign w:val="center"/>
          </w:tcPr>
          <w:p w14:paraId="09737F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30E948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16CBA1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EE742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917E7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5B0B5EB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A55BE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9286333">
            <w:pPr>
              <w:spacing w:line="240" w:lineRule="auto"/>
              <w:jc w:val="left"/>
              <w:rPr>
                <w:rFonts w:hint="eastAsia" w:ascii="宋体" w:hAnsi="宋体" w:eastAsia="宋体" w:cs="宋体"/>
                <w:i w:val="0"/>
                <w:iCs w:val="0"/>
                <w:color w:val="000000"/>
                <w:sz w:val="18"/>
                <w:szCs w:val="18"/>
                <w:highlight w:val="none"/>
                <w:u w:val="none"/>
              </w:rPr>
            </w:pPr>
          </w:p>
        </w:tc>
      </w:tr>
      <w:tr w14:paraId="5873CFC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BD5D95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164" w:type="pct"/>
            <w:vMerge w:val="continue"/>
            <w:tcBorders>
              <w:tl2br w:val="nil"/>
              <w:tr2bl w:val="nil"/>
            </w:tcBorders>
            <w:shd w:val="clear" w:color="auto" w:fill="auto"/>
            <w:vAlign w:val="center"/>
          </w:tcPr>
          <w:p w14:paraId="05D7903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66C64EC">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14D0660">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室内配线没有短路保护和过载保护</w:t>
            </w:r>
          </w:p>
        </w:tc>
        <w:tc>
          <w:tcPr>
            <w:tcW w:w="386" w:type="pct"/>
            <w:tcBorders>
              <w:tl2br w:val="nil"/>
              <w:tr2bl w:val="nil"/>
            </w:tcBorders>
            <w:shd w:val="clear" w:color="auto" w:fill="auto"/>
            <w:vAlign w:val="center"/>
          </w:tcPr>
          <w:p w14:paraId="62C700D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3D58D6F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8C06C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D7585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0DF9A23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3B133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547EF2D">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A212DE">
            <w:pPr>
              <w:spacing w:line="240" w:lineRule="auto"/>
              <w:jc w:val="left"/>
              <w:rPr>
                <w:rFonts w:hint="eastAsia" w:ascii="宋体" w:hAnsi="宋体" w:eastAsia="宋体" w:cs="宋体"/>
                <w:i w:val="0"/>
                <w:iCs w:val="0"/>
                <w:color w:val="000000"/>
                <w:sz w:val="18"/>
                <w:szCs w:val="18"/>
                <w:highlight w:val="none"/>
                <w:u w:val="none"/>
              </w:rPr>
            </w:pPr>
          </w:p>
        </w:tc>
      </w:tr>
      <w:tr w14:paraId="4B865CD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7589CB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w:t>
            </w:r>
          </w:p>
        </w:tc>
        <w:tc>
          <w:tcPr>
            <w:tcW w:w="164" w:type="pct"/>
            <w:vMerge w:val="continue"/>
            <w:tcBorders>
              <w:tl2br w:val="nil"/>
              <w:tr2bl w:val="nil"/>
            </w:tcBorders>
            <w:shd w:val="clear" w:color="auto" w:fill="auto"/>
            <w:vAlign w:val="center"/>
          </w:tcPr>
          <w:p w14:paraId="01EACDC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0FAD02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照明</w:t>
            </w:r>
          </w:p>
        </w:tc>
        <w:tc>
          <w:tcPr>
            <w:tcW w:w="1907" w:type="pct"/>
            <w:tcBorders>
              <w:tl2br w:val="nil"/>
              <w:tr2bl w:val="nil"/>
            </w:tcBorders>
            <w:shd w:val="clear" w:color="auto" w:fill="auto"/>
            <w:vAlign w:val="center"/>
          </w:tcPr>
          <w:p w14:paraId="6CDBB29C">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有爆炸和火灾危险的场所，没有按危险场所等级选用防爆型照明器</w:t>
            </w:r>
          </w:p>
        </w:tc>
        <w:tc>
          <w:tcPr>
            <w:tcW w:w="386" w:type="pct"/>
            <w:tcBorders>
              <w:tl2br w:val="nil"/>
              <w:tr2bl w:val="nil"/>
            </w:tcBorders>
            <w:shd w:val="clear" w:color="auto" w:fill="auto"/>
            <w:vAlign w:val="center"/>
          </w:tcPr>
          <w:p w14:paraId="4B9803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爆炸</w:t>
            </w:r>
          </w:p>
        </w:tc>
        <w:tc>
          <w:tcPr>
            <w:tcW w:w="171" w:type="pct"/>
            <w:tcBorders>
              <w:tl2br w:val="nil"/>
              <w:tr2bl w:val="nil"/>
            </w:tcBorders>
            <w:shd w:val="clear" w:color="auto" w:fill="auto"/>
            <w:vAlign w:val="center"/>
          </w:tcPr>
          <w:p w14:paraId="354DF3E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EE128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2C7477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713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54</w:t>
            </w:r>
          </w:p>
        </w:tc>
        <w:tc>
          <w:tcPr>
            <w:tcW w:w="222" w:type="pct"/>
            <w:tcBorders>
              <w:tl2br w:val="nil"/>
              <w:tr2bl w:val="nil"/>
            </w:tcBorders>
            <w:shd w:val="clear" w:color="auto" w:fill="auto"/>
            <w:vAlign w:val="center"/>
          </w:tcPr>
          <w:p w14:paraId="174812D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546588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7858461">
            <w:pPr>
              <w:spacing w:line="240" w:lineRule="auto"/>
              <w:jc w:val="left"/>
              <w:rPr>
                <w:rFonts w:hint="eastAsia" w:ascii="宋体" w:hAnsi="宋体" w:eastAsia="宋体" w:cs="宋体"/>
                <w:i w:val="0"/>
                <w:iCs w:val="0"/>
                <w:color w:val="000000"/>
                <w:sz w:val="18"/>
                <w:szCs w:val="18"/>
                <w:highlight w:val="none"/>
                <w:u w:val="none"/>
              </w:rPr>
            </w:pPr>
          </w:p>
        </w:tc>
      </w:tr>
      <w:tr w14:paraId="767095D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6EF66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56</w:t>
            </w:r>
          </w:p>
        </w:tc>
        <w:tc>
          <w:tcPr>
            <w:tcW w:w="164" w:type="pct"/>
            <w:vMerge w:val="continue"/>
            <w:tcBorders>
              <w:tl2br w:val="nil"/>
              <w:tr2bl w:val="nil"/>
            </w:tcBorders>
            <w:shd w:val="clear" w:color="auto" w:fill="auto"/>
            <w:vAlign w:val="center"/>
          </w:tcPr>
          <w:p w14:paraId="5781D66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272899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1DD55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隧道、高温、有导电灰尘、比较潮湿或灯具离地面高度低于2.5m等场所的照明，电源电压大于36V</w:t>
            </w:r>
          </w:p>
        </w:tc>
        <w:tc>
          <w:tcPr>
            <w:tcW w:w="386" w:type="pct"/>
            <w:tcBorders>
              <w:tl2br w:val="nil"/>
              <w:tr2bl w:val="nil"/>
            </w:tcBorders>
            <w:shd w:val="clear" w:color="auto" w:fill="auto"/>
            <w:vAlign w:val="center"/>
          </w:tcPr>
          <w:p w14:paraId="5C677C5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221671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EBF596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0CBDF85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34B88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44176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936FE8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FC48D57">
            <w:pPr>
              <w:spacing w:line="240" w:lineRule="auto"/>
              <w:jc w:val="left"/>
              <w:rPr>
                <w:rFonts w:hint="eastAsia" w:ascii="宋体" w:hAnsi="宋体" w:eastAsia="宋体" w:cs="宋体"/>
                <w:i w:val="0"/>
                <w:iCs w:val="0"/>
                <w:color w:val="000000"/>
                <w:sz w:val="18"/>
                <w:szCs w:val="18"/>
                <w:highlight w:val="none"/>
                <w:u w:val="none"/>
              </w:rPr>
            </w:pPr>
          </w:p>
        </w:tc>
      </w:tr>
      <w:tr w14:paraId="5EEFCD7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952441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57</w:t>
            </w:r>
          </w:p>
        </w:tc>
        <w:tc>
          <w:tcPr>
            <w:tcW w:w="164" w:type="pct"/>
            <w:vMerge w:val="continue"/>
            <w:tcBorders>
              <w:tl2br w:val="nil"/>
              <w:tr2bl w:val="nil"/>
            </w:tcBorders>
            <w:shd w:val="clear" w:color="auto" w:fill="auto"/>
            <w:vAlign w:val="center"/>
          </w:tcPr>
          <w:p w14:paraId="5EBE380B">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523DAE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AFBB3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潮湿和易触及带电体场所的照明，电源电压大于24V</w:t>
            </w:r>
          </w:p>
        </w:tc>
        <w:tc>
          <w:tcPr>
            <w:tcW w:w="386" w:type="pct"/>
            <w:tcBorders>
              <w:tl2br w:val="nil"/>
              <w:tr2bl w:val="nil"/>
            </w:tcBorders>
            <w:shd w:val="clear" w:color="auto" w:fill="auto"/>
            <w:vAlign w:val="center"/>
          </w:tcPr>
          <w:p w14:paraId="40E2B4A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6D67180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3710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3A0A60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41DBDD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3E353E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06CE31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20D36DC">
            <w:pPr>
              <w:spacing w:line="240" w:lineRule="auto"/>
              <w:jc w:val="left"/>
              <w:rPr>
                <w:rFonts w:hint="eastAsia" w:ascii="宋体" w:hAnsi="宋体" w:eastAsia="宋体" w:cs="宋体"/>
                <w:i w:val="0"/>
                <w:iCs w:val="0"/>
                <w:color w:val="000000"/>
                <w:sz w:val="18"/>
                <w:szCs w:val="18"/>
                <w:highlight w:val="none"/>
                <w:u w:val="none"/>
              </w:rPr>
            </w:pPr>
          </w:p>
        </w:tc>
      </w:tr>
      <w:tr w14:paraId="2353A2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5332112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58</w:t>
            </w:r>
          </w:p>
        </w:tc>
        <w:tc>
          <w:tcPr>
            <w:tcW w:w="164" w:type="pct"/>
            <w:vMerge w:val="continue"/>
            <w:tcBorders>
              <w:tl2br w:val="nil"/>
              <w:tr2bl w:val="nil"/>
            </w:tcBorders>
            <w:shd w:val="clear" w:color="auto" w:fill="auto"/>
            <w:vAlign w:val="center"/>
          </w:tcPr>
          <w:p w14:paraId="6368B5EB">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7313C49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防雨</w:t>
            </w:r>
          </w:p>
        </w:tc>
        <w:tc>
          <w:tcPr>
            <w:tcW w:w="1907" w:type="pct"/>
            <w:tcBorders>
              <w:tl2br w:val="nil"/>
              <w:tr2bl w:val="nil"/>
            </w:tcBorders>
            <w:shd w:val="clear" w:color="auto" w:fill="auto"/>
            <w:vAlign w:val="center"/>
          </w:tcPr>
          <w:p w14:paraId="5665207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户外安装使用的电气设备不具备良好的防雨性能</w:t>
            </w:r>
          </w:p>
        </w:tc>
        <w:tc>
          <w:tcPr>
            <w:tcW w:w="386" w:type="pct"/>
            <w:tcBorders>
              <w:tl2br w:val="nil"/>
              <w:tr2bl w:val="nil"/>
            </w:tcBorders>
            <w:shd w:val="clear" w:color="auto" w:fill="auto"/>
            <w:vAlign w:val="center"/>
          </w:tcPr>
          <w:p w14:paraId="57E535D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4CF118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F395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B80F11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00EED9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E6419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F7E35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8564CAC">
            <w:pPr>
              <w:spacing w:line="240" w:lineRule="auto"/>
              <w:jc w:val="left"/>
              <w:rPr>
                <w:rFonts w:hint="eastAsia" w:ascii="宋体" w:hAnsi="宋体" w:eastAsia="宋体" w:cs="宋体"/>
                <w:i w:val="0"/>
                <w:iCs w:val="0"/>
                <w:color w:val="000000"/>
                <w:sz w:val="18"/>
                <w:szCs w:val="18"/>
                <w:highlight w:val="none"/>
                <w:u w:val="none"/>
              </w:rPr>
            </w:pPr>
          </w:p>
        </w:tc>
      </w:tr>
      <w:tr w14:paraId="06614CC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4BCA32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59</w:t>
            </w:r>
          </w:p>
        </w:tc>
        <w:tc>
          <w:tcPr>
            <w:tcW w:w="164" w:type="pct"/>
            <w:vMerge w:val="continue"/>
            <w:tcBorders>
              <w:tl2br w:val="nil"/>
              <w:tr2bl w:val="nil"/>
            </w:tcBorders>
            <w:shd w:val="clear" w:color="auto" w:fill="auto"/>
            <w:vAlign w:val="center"/>
          </w:tcPr>
          <w:p w14:paraId="21FB9E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17E399BD">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潮湿</w:t>
            </w:r>
          </w:p>
          <w:p w14:paraId="3297808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环境</w:t>
            </w:r>
          </w:p>
        </w:tc>
        <w:tc>
          <w:tcPr>
            <w:tcW w:w="1907" w:type="pct"/>
            <w:tcBorders>
              <w:tl2br w:val="nil"/>
              <w:tr2bl w:val="nil"/>
            </w:tcBorders>
            <w:shd w:val="clear" w:color="auto" w:fill="auto"/>
            <w:vAlign w:val="center"/>
          </w:tcPr>
          <w:p w14:paraId="69AB435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在潮湿环境中使用电气设备时，操作人员没有按规定穿戴绝缘防护用品和站在绝缘台上</w:t>
            </w:r>
          </w:p>
        </w:tc>
        <w:tc>
          <w:tcPr>
            <w:tcW w:w="386" w:type="pct"/>
            <w:tcBorders>
              <w:tl2br w:val="nil"/>
              <w:tr2bl w:val="nil"/>
            </w:tcBorders>
            <w:shd w:val="clear" w:color="auto" w:fill="auto"/>
            <w:vAlign w:val="center"/>
          </w:tcPr>
          <w:p w14:paraId="57FE734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31AE9B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6D715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F8539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5CE7F8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7A6AC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3F8A806">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C169A86">
            <w:pPr>
              <w:spacing w:line="240" w:lineRule="auto"/>
              <w:jc w:val="left"/>
              <w:rPr>
                <w:rFonts w:hint="eastAsia" w:ascii="宋体" w:hAnsi="宋体" w:eastAsia="宋体" w:cs="宋体"/>
                <w:i w:val="0"/>
                <w:iCs w:val="0"/>
                <w:color w:val="000000"/>
                <w:sz w:val="18"/>
                <w:szCs w:val="18"/>
                <w:highlight w:val="none"/>
                <w:u w:val="none"/>
              </w:rPr>
            </w:pPr>
          </w:p>
        </w:tc>
      </w:tr>
      <w:tr w14:paraId="23E928A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71E036F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w:t>
            </w:r>
          </w:p>
        </w:tc>
        <w:tc>
          <w:tcPr>
            <w:tcW w:w="164" w:type="pct"/>
            <w:vMerge w:val="continue"/>
            <w:tcBorders>
              <w:tl2br w:val="nil"/>
              <w:tr2bl w:val="nil"/>
            </w:tcBorders>
            <w:shd w:val="clear" w:color="auto" w:fill="auto"/>
            <w:vAlign w:val="center"/>
          </w:tcPr>
          <w:p w14:paraId="4FD8DDD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2934C2F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712793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设备的金属外壳、环境中的金属构架和管道没有良好接地</w:t>
            </w:r>
          </w:p>
        </w:tc>
        <w:tc>
          <w:tcPr>
            <w:tcW w:w="386" w:type="pct"/>
            <w:tcBorders>
              <w:tl2br w:val="nil"/>
              <w:tr2bl w:val="nil"/>
            </w:tcBorders>
            <w:shd w:val="clear" w:color="auto" w:fill="auto"/>
            <w:vAlign w:val="center"/>
          </w:tcPr>
          <w:p w14:paraId="5767D3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171122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EC8D78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6F6DC1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727B8E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3632CDB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F7A7DB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5F887A">
            <w:pPr>
              <w:spacing w:line="240" w:lineRule="auto"/>
              <w:jc w:val="left"/>
              <w:rPr>
                <w:rFonts w:hint="eastAsia" w:ascii="宋体" w:hAnsi="宋体" w:eastAsia="宋体" w:cs="宋体"/>
                <w:i w:val="0"/>
                <w:iCs w:val="0"/>
                <w:color w:val="000000"/>
                <w:sz w:val="18"/>
                <w:szCs w:val="18"/>
                <w:highlight w:val="none"/>
                <w:u w:val="none"/>
              </w:rPr>
            </w:pPr>
          </w:p>
        </w:tc>
      </w:tr>
      <w:tr w14:paraId="07A7492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E73D6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61</w:t>
            </w:r>
          </w:p>
        </w:tc>
        <w:tc>
          <w:tcPr>
            <w:tcW w:w="164" w:type="pct"/>
            <w:vMerge w:val="continue"/>
            <w:tcBorders>
              <w:tl2br w:val="nil"/>
              <w:tr2bl w:val="nil"/>
            </w:tcBorders>
            <w:shd w:val="clear" w:color="auto" w:fill="auto"/>
            <w:vAlign w:val="center"/>
          </w:tcPr>
          <w:p w14:paraId="0D0DC79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12634D2">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临电</w:t>
            </w:r>
          </w:p>
          <w:p w14:paraId="384F41B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w:t>
            </w:r>
          </w:p>
        </w:tc>
        <w:tc>
          <w:tcPr>
            <w:tcW w:w="1907" w:type="pct"/>
            <w:tcBorders>
              <w:tl2br w:val="nil"/>
              <w:tr2bl w:val="nil"/>
            </w:tcBorders>
            <w:shd w:val="clear" w:color="auto" w:fill="auto"/>
            <w:vAlign w:val="center"/>
          </w:tcPr>
          <w:p w14:paraId="5C0BAB4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拆除前，被拆除部分没有与带电部分在电气上进行可靠断开、隔离；没有悬挂警示牌；没有在被拆除侧挂临时接地线或投接地刀闸</w:t>
            </w:r>
          </w:p>
        </w:tc>
        <w:tc>
          <w:tcPr>
            <w:tcW w:w="386" w:type="pct"/>
            <w:tcBorders>
              <w:tl2br w:val="nil"/>
              <w:tr2bl w:val="nil"/>
            </w:tcBorders>
            <w:shd w:val="clear" w:color="auto" w:fill="auto"/>
            <w:vAlign w:val="center"/>
          </w:tcPr>
          <w:p w14:paraId="0A939D9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8174A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422B60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75ADEA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138B739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1F97B18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40A6304">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74CFE64">
            <w:pPr>
              <w:spacing w:line="240" w:lineRule="auto"/>
              <w:jc w:val="left"/>
              <w:rPr>
                <w:rFonts w:hint="eastAsia" w:ascii="宋体" w:hAnsi="宋体" w:eastAsia="宋体" w:cs="宋体"/>
                <w:i w:val="0"/>
                <w:iCs w:val="0"/>
                <w:color w:val="000000"/>
                <w:sz w:val="18"/>
                <w:szCs w:val="18"/>
                <w:highlight w:val="none"/>
                <w:u w:val="none"/>
              </w:rPr>
            </w:pPr>
          </w:p>
        </w:tc>
      </w:tr>
      <w:tr w14:paraId="09A25D4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7486FAE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64" w:type="pct"/>
            <w:vMerge w:val="continue"/>
            <w:tcBorders>
              <w:tl2br w:val="nil"/>
              <w:tr2bl w:val="nil"/>
            </w:tcBorders>
            <w:shd w:val="clear" w:color="auto" w:fill="auto"/>
            <w:vAlign w:val="center"/>
          </w:tcPr>
          <w:p w14:paraId="1A8486C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653E29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DBEBA8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在拆除临近带电部分的供用电设施时，没有专人监护、并设隔离防护设施 </w:t>
            </w:r>
          </w:p>
        </w:tc>
        <w:tc>
          <w:tcPr>
            <w:tcW w:w="386" w:type="pct"/>
            <w:tcBorders>
              <w:tl2br w:val="nil"/>
              <w:tr2bl w:val="nil"/>
            </w:tcBorders>
            <w:shd w:val="clear" w:color="auto" w:fill="auto"/>
            <w:vAlign w:val="center"/>
          </w:tcPr>
          <w:p w14:paraId="710C71A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75F102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250F5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50CEF20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342B58A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2ACCB5C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5B85C219">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65EF910">
            <w:pPr>
              <w:spacing w:line="240" w:lineRule="auto"/>
              <w:jc w:val="left"/>
              <w:rPr>
                <w:rFonts w:hint="eastAsia" w:ascii="宋体" w:hAnsi="宋体" w:eastAsia="宋体" w:cs="宋体"/>
                <w:i w:val="0"/>
                <w:iCs w:val="0"/>
                <w:color w:val="000000"/>
                <w:sz w:val="18"/>
                <w:szCs w:val="18"/>
                <w:highlight w:val="none"/>
                <w:u w:val="none"/>
              </w:rPr>
            </w:pPr>
          </w:p>
        </w:tc>
      </w:tr>
      <w:tr w14:paraId="6A17DB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422446E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63</w:t>
            </w:r>
          </w:p>
        </w:tc>
        <w:tc>
          <w:tcPr>
            <w:tcW w:w="164" w:type="pct"/>
            <w:vMerge w:val="continue"/>
            <w:tcBorders>
              <w:tl2br w:val="nil"/>
              <w:tr2bl w:val="nil"/>
            </w:tcBorders>
            <w:shd w:val="clear" w:color="auto" w:fill="auto"/>
            <w:vAlign w:val="center"/>
          </w:tcPr>
          <w:p w14:paraId="67725B8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BE151C0">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7BE031E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拆除工作未从电源侧开始</w:t>
            </w:r>
          </w:p>
        </w:tc>
        <w:tc>
          <w:tcPr>
            <w:tcW w:w="386" w:type="pct"/>
            <w:tcBorders>
              <w:tl2br w:val="nil"/>
              <w:tr2bl w:val="nil"/>
            </w:tcBorders>
            <w:shd w:val="clear" w:color="auto" w:fill="auto"/>
            <w:vAlign w:val="center"/>
          </w:tcPr>
          <w:p w14:paraId="7F591D2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触电</w:t>
            </w:r>
          </w:p>
        </w:tc>
        <w:tc>
          <w:tcPr>
            <w:tcW w:w="171" w:type="pct"/>
            <w:tcBorders>
              <w:tl2br w:val="nil"/>
              <w:tr2bl w:val="nil"/>
            </w:tcBorders>
            <w:shd w:val="clear" w:color="auto" w:fill="auto"/>
            <w:vAlign w:val="center"/>
          </w:tcPr>
          <w:p w14:paraId="56511E4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795436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37396C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253" w:type="pct"/>
            <w:tcBorders>
              <w:tl2br w:val="nil"/>
              <w:tr2bl w:val="nil"/>
            </w:tcBorders>
            <w:shd w:val="clear" w:color="auto" w:fill="auto"/>
            <w:vAlign w:val="center"/>
          </w:tcPr>
          <w:p w14:paraId="6627B83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222" w:type="pct"/>
            <w:tcBorders>
              <w:tl2br w:val="nil"/>
              <w:tr2bl w:val="nil"/>
            </w:tcBorders>
            <w:shd w:val="clear" w:color="auto" w:fill="auto"/>
            <w:vAlign w:val="center"/>
          </w:tcPr>
          <w:p w14:paraId="70934F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B66E37E">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25D5DA9">
            <w:pPr>
              <w:spacing w:line="240" w:lineRule="auto"/>
              <w:jc w:val="left"/>
              <w:rPr>
                <w:rFonts w:hint="eastAsia" w:ascii="宋体" w:hAnsi="宋体" w:eastAsia="宋体" w:cs="宋体"/>
                <w:i w:val="0"/>
                <w:iCs w:val="0"/>
                <w:color w:val="000000"/>
                <w:sz w:val="18"/>
                <w:szCs w:val="18"/>
                <w:highlight w:val="none"/>
                <w:u w:val="none"/>
              </w:rPr>
            </w:pPr>
          </w:p>
        </w:tc>
      </w:tr>
      <w:tr w14:paraId="0BAD6DD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65088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64</w:t>
            </w:r>
          </w:p>
        </w:tc>
        <w:tc>
          <w:tcPr>
            <w:tcW w:w="164" w:type="pct"/>
            <w:vMerge w:val="restart"/>
            <w:tcBorders>
              <w:tl2br w:val="nil"/>
              <w:tr2bl w:val="nil"/>
            </w:tcBorders>
            <w:shd w:val="clear" w:color="auto" w:fill="auto"/>
            <w:vAlign w:val="center"/>
          </w:tcPr>
          <w:p w14:paraId="02E305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特殊季节与特殊环境施工</w:t>
            </w:r>
          </w:p>
        </w:tc>
        <w:tc>
          <w:tcPr>
            <w:tcW w:w="242" w:type="pct"/>
            <w:vMerge w:val="restart"/>
            <w:tcBorders>
              <w:tl2br w:val="nil"/>
              <w:tr2bl w:val="nil"/>
            </w:tcBorders>
            <w:shd w:val="clear" w:color="auto" w:fill="auto"/>
            <w:vAlign w:val="center"/>
          </w:tcPr>
          <w:p w14:paraId="53BEF3C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一般</w:t>
            </w:r>
          </w:p>
        </w:tc>
        <w:tc>
          <w:tcPr>
            <w:tcW w:w="1907" w:type="pct"/>
            <w:tcBorders>
              <w:tl2br w:val="nil"/>
              <w:tr2bl w:val="nil"/>
            </w:tcBorders>
            <w:shd w:val="clear" w:color="auto" w:fill="auto"/>
            <w:vAlign w:val="center"/>
          </w:tcPr>
          <w:p w14:paraId="4D5F861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未制订特殊季节、特殊环境防范措施，未编制应急预案，未储备应急物资、未定期演练</w:t>
            </w:r>
          </w:p>
        </w:tc>
        <w:tc>
          <w:tcPr>
            <w:tcW w:w="386" w:type="pct"/>
            <w:tcBorders>
              <w:tl2br w:val="nil"/>
              <w:tr2bl w:val="nil"/>
            </w:tcBorders>
            <w:shd w:val="clear" w:color="auto" w:fill="auto"/>
            <w:vAlign w:val="center"/>
          </w:tcPr>
          <w:p w14:paraId="71725C7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119A77A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EB3565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36F92C1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C1E5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222" w:type="pct"/>
            <w:tcBorders>
              <w:tl2br w:val="nil"/>
              <w:tr2bl w:val="nil"/>
            </w:tcBorders>
            <w:shd w:val="clear" w:color="auto" w:fill="auto"/>
            <w:vAlign w:val="center"/>
          </w:tcPr>
          <w:p w14:paraId="3F1947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64AD901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8C8690">
            <w:pPr>
              <w:spacing w:line="240" w:lineRule="auto"/>
              <w:jc w:val="left"/>
              <w:rPr>
                <w:rFonts w:hint="eastAsia" w:ascii="宋体" w:hAnsi="宋体" w:eastAsia="宋体" w:cs="宋体"/>
                <w:i w:val="0"/>
                <w:iCs w:val="0"/>
                <w:color w:val="000000"/>
                <w:sz w:val="18"/>
                <w:szCs w:val="18"/>
                <w:highlight w:val="none"/>
                <w:u w:val="none"/>
              </w:rPr>
            </w:pPr>
          </w:p>
        </w:tc>
      </w:tr>
      <w:tr w14:paraId="6422D0E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80" w:hRule="atLeast"/>
        </w:trPr>
        <w:tc>
          <w:tcPr>
            <w:tcW w:w="180" w:type="pct"/>
            <w:tcBorders>
              <w:tl2br w:val="nil"/>
              <w:tr2bl w:val="nil"/>
            </w:tcBorders>
            <w:shd w:val="clear" w:color="auto" w:fill="auto"/>
            <w:vAlign w:val="center"/>
          </w:tcPr>
          <w:p w14:paraId="5A54B0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w:t>
            </w:r>
          </w:p>
        </w:tc>
        <w:tc>
          <w:tcPr>
            <w:tcW w:w="164" w:type="pct"/>
            <w:vMerge w:val="continue"/>
            <w:tcBorders>
              <w:tl2br w:val="nil"/>
              <w:tr2bl w:val="nil"/>
            </w:tcBorders>
            <w:shd w:val="clear" w:color="auto" w:fill="auto"/>
            <w:vAlign w:val="center"/>
          </w:tcPr>
          <w:p w14:paraId="09C7A743">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2F9EC5D">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1B94DADB">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未及时收集当地气象、水文等信息，未及时采取防范措施</w:t>
            </w:r>
          </w:p>
        </w:tc>
        <w:tc>
          <w:tcPr>
            <w:tcW w:w="386" w:type="pct"/>
            <w:tcBorders>
              <w:tl2br w:val="nil"/>
              <w:tr2bl w:val="nil"/>
            </w:tcBorders>
            <w:shd w:val="clear" w:color="auto" w:fill="auto"/>
            <w:vAlign w:val="center"/>
          </w:tcPr>
          <w:p w14:paraId="58C560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3A2FCA0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68E2CB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13C42C2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D419A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22" w:type="pct"/>
            <w:tcBorders>
              <w:tl2br w:val="nil"/>
              <w:tr2bl w:val="nil"/>
            </w:tcBorders>
            <w:shd w:val="clear" w:color="auto" w:fill="auto"/>
            <w:vAlign w:val="center"/>
          </w:tcPr>
          <w:p w14:paraId="7DD8E4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5B127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DB2AAA8">
            <w:pPr>
              <w:spacing w:line="240" w:lineRule="auto"/>
              <w:jc w:val="left"/>
              <w:rPr>
                <w:rFonts w:hint="eastAsia" w:ascii="宋体" w:hAnsi="宋体" w:eastAsia="宋体" w:cs="宋体"/>
                <w:i w:val="0"/>
                <w:iCs w:val="0"/>
                <w:color w:val="000000"/>
                <w:sz w:val="18"/>
                <w:szCs w:val="18"/>
                <w:highlight w:val="none"/>
                <w:u w:val="none"/>
              </w:rPr>
            </w:pPr>
          </w:p>
        </w:tc>
      </w:tr>
      <w:tr w14:paraId="106F0795">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180" w:type="pct"/>
            <w:tcBorders>
              <w:tl2br w:val="nil"/>
              <w:tr2bl w:val="nil"/>
            </w:tcBorders>
            <w:shd w:val="clear" w:color="auto" w:fill="auto"/>
            <w:vAlign w:val="center"/>
          </w:tcPr>
          <w:p w14:paraId="10371C1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66</w:t>
            </w:r>
          </w:p>
        </w:tc>
        <w:tc>
          <w:tcPr>
            <w:tcW w:w="164" w:type="pct"/>
            <w:vMerge w:val="continue"/>
            <w:tcBorders>
              <w:tl2br w:val="nil"/>
              <w:tr2bl w:val="nil"/>
            </w:tcBorders>
            <w:shd w:val="clear" w:color="auto" w:fill="auto"/>
            <w:vAlign w:val="center"/>
          </w:tcPr>
          <w:p w14:paraId="0201DDDD">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2E925D9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w:t>
            </w:r>
          </w:p>
        </w:tc>
        <w:tc>
          <w:tcPr>
            <w:tcW w:w="1907" w:type="pct"/>
            <w:tcBorders>
              <w:tl2br w:val="nil"/>
              <w:tr2bl w:val="nil"/>
            </w:tcBorders>
            <w:shd w:val="clear" w:color="auto" w:fill="auto"/>
            <w:vAlign w:val="center"/>
          </w:tcPr>
          <w:p w14:paraId="0433994D">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冬季来临前，未检修、保养使用的设备、机具及防护、消防设施，未采取防冻措施</w:t>
            </w:r>
          </w:p>
        </w:tc>
        <w:tc>
          <w:tcPr>
            <w:tcW w:w="386" w:type="pct"/>
            <w:tcBorders>
              <w:tl2br w:val="nil"/>
              <w:tr2bl w:val="nil"/>
            </w:tcBorders>
            <w:shd w:val="clear" w:color="auto" w:fill="auto"/>
            <w:vAlign w:val="center"/>
          </w:tcPr>
          <w:p w14:paraId="36C80A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机械伤害</w:t>
            </w:r>
          </w:p>
        </w:tc>
        <w:tc>
          <w:tcPr>
            <w:tcW w:w="171" w:type="pct"/>
            <w:tcBorders>
              <w:tl2br w:val="nil"/>
              <w:tr2bl w:val="nil"/>
            </w:tcBorders>
            <w:shd w:val="clear" w:color="auto" w:fill="auto"/>
            <w:vAlign w:val="center"/>
          </w:tcPr>
          <w:p w14:paraId="35D118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6CC69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0BCF5A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EF6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50A1CC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308DAA6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0457B6E">
            <w:pPr>
              <w:spacing w:line="240" w:lineRule="auto"/>
              <w:jc w:val="left"/>
              <w:rPr>
                <w:rFonts w:hint="eastAsia" w:ascii="宋体" w:hAnsi="宋体" w:eastAsia="宋体" w:cs="宋体"/>
                <w:i w:val="0"/>
                <w:iCs w:val="0"/>
                <w:color w:val="000000"/>
                <w:sz w:val="18"/>
                <w:szCs w:val="18"/>
                <w:highlight w:val="none"/>
                <w:u w:val="none"/>
              </w:rPr>
            </w:pPr>
          </w:p>
        </w:tc>
      </w:tr>
      <w:tr w14:paraId="78AA890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956662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67</w:t>
            </w:r>
          </w:p>
        </w:tc>
        <w:tc>
          <w:tcPr>
            <w:tcW w:w="164" w:type="pct"/>
            <w:vMerge w:val="continue"/>
            <w:tcBorders>
              <w:tl2br w:val="nil"/>
              <w:tr2bl w:val="nil"/>
            </w:tcBorders>
            <w:shd w:val="clear" w:color="auto" w:fill="auto"/>
            <w:vAlign w:val="center"/>
          </w:tcPr>
          <w:p w14:paraId="4B9C9549">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57894105">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4E722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冬季施工现场的道路、工作平台、斜坡道、脚手板等均未采取防滑措施，冬季施工现场未配消防器材</w:t>
            </w:r>
          </w:p>
        </w:tc>
        <w:tc>
          <w:tcPr>
            <w:tcW w:w="386" w:type="pct"/>
            <w:tcBorders>
              <w:tl2br w:val="nil"/>
              <w:tr2bl w:val="nil"/>
            </w:tcBorders>
            <w:shd w:val="clear" w:color="auto" w:fill="auto"/>
            <w:vAlign w:val="center"/>
          </w:tcPr>
          <w:p w14:paraId="2582FC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16C6B0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5F18FE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0" w:type="pct"/>
            <w:tcBorders>
              <w:tl2br w:val="nil"/>
              <w:tr2bl w:val="nil"/>
            </w:tcBorders>
            <w:shd w:val="clear" w:color="auto" w:fill="auto"/>
            <w:vAlign w:val="center"/>
          </w:tcPr>
          <w:p w14:paraId="7F6D15C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7887C3C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213AC9A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8B562B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96A2188">
            <w:pPr>
              <w:spacing w:line="240" w:lineRule="auto"/>
              <w:jc w:val="left"/>
              <w:rPr>
                <w:rFonts w:hint="eastAsia" w:ascii="宋体" w:hAnsi="宋体" w:eastAsia="宋体" w:cs="宋体"/>
                <w:i w:val="0"/>
                <w:iCs w:val="0"/>
                <w:color w:val="000000"/>
                <w:sz w:val="18"/>
                <w:szCs w:val="18"/>
                <w:highlight w:val="none"/>
                <w:u w:val="none"/>
              </w:rPr>
            </w:pPr>
          </w:p>
        </w:tc>
      </w:tr>
      <w:tr w14:paraId="5971CBCF">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180" w:type="pct"/>
            <w:tcBorders>
              <w:tl2br w:val="nil"/>
              <w:tr2bl w:val="nil"/>
            </w:tcBorders>
            <w:shd w:val="clear" w:color="auto" w:fill="auto"/>
            <w:vAlign w:val="center"/>
          </w:tcPr>
          <w:p w14:paraId="33AE12A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68</w:t>
            </w:r>
          </w:p>
        </w:tc>
        <w:tc>
          <w:tcPr>
            <w:tcW w:w="164" w:type="pct"/>
            <w:vMerge w:val="continue"/>
            <w:tcBorders>
              <w:tl2br w:val="nil"/>
              <w:tr2bl w:val="nil"/>
            </w:tcBorders>
            <w:shd w:val="clear" w:color="auto" w:fill="auto"/>
            <w:vAlign w:val="center"/>
          </w:tcPr>
          <w:p w14:paraId="5C2438C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697D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w:t>
            </w:r>
          </w:p>
        </w:tc>
        <w:tc>
          <w:tcPr>
            <w:tcW w:w="1907" w:type="pct"/>
            <w:tcBorders>
              <w:tl2br w:val="nil"/>
              <w:tr2bl w:val="nil"/>
            </w:tcBorders>
            <w:shd w:val="clear" w:color="auto" w:fill="auto"/>
            <w:vAlign w:val="center"/>
          </w:tcPr>
          <w:p w14:paraId="425A115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雨季来临前，未检查、修复或完善现场避雷装置、接地装置、排水设施，围堰、堤坝等未采取加固和防坍措施，易冲刷部位未采取防冲或导流措施</w:t>
            </w:r>
          </w:p>
        </w:tc>
        <w:tc>
          <w:tcPr>
            <w:tcW w:w="386" w:type="pct"/>
            <w:tcBorders>
              <w:tl2br w:val="nil"/>
              <w:tr2bl w:val="nil"/>
            </w:tcBorders>
            <w:shd w:val="clear" w:color="auto" w:fill="auto"/>
            <w:vAlign w:val="center"/>
          </w:tcPr>
          <w:p w14:paraId="70AF1B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w:t>
            </w:r>
          </w:p>
        </w:tc>
        <w:tc>
          <w:tcPr>
            <w:tcW w:w="171" w:type="pct"/>
            <w:tcBorders>
              <w:tl2br w:val="nil"/>
              <w:tr2bl w:val="nil"/>
            </w:tcBorders>
            <w:shd w:val="clear" w:color="auto" w:fill="auto"/>
            <w:vAlign w:val="center"/>
          </w:tcPr>
          <w:p w14:paraId="623833E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3AEFCEF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7C57C6E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3E7B2B3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6367660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E184A1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0A23F74">
            <w:pPr>
              <w:spacing w:line="240" w:lineRule="auto"/>
              <w:jc w:val="left"/>
              <w:rPr>
                <w:rFonts w:hint="eastAsia" w:ascii="宋体" w:hAnsi="宋体" w:eastAsia="宋体" w:cs="宋体"/>
                <w:i w:val="0"/>
                <w:iCs w:val="0"/>
                <w:color w:val="000000"/>
                <w:sz w:val="18"/>
                <w:szCs w:val="18"/>
                <w:highlight w:val="none"/>
                <w:u w:val="none"/>
              </w:rPr>
            </w:pPr>
          </w:p>
        </w:tc>
      </w:tr>
      <w:tr w14:paraId="74437381">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3872860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69</w:t>
            </w:r>
          </w:p>
        </w:tc>
        <w:tc>
          <w:tcPr>
            <w:tcW w:w="164" w:type="pct"/>
            <w:vMerge w:val="continue"/>
            <w:tcBorders>
              <w:tl2br w:val="nil"/>
              <w:tr2bl w:val="nil"/>
            </w:tcBorders>
            <w:shd w:val="clear" w:color="auto" w:fill="auto"/>
            <w:vAlign w:val="center"/>
          </w:tcPr>
          <w:p w14:paraId="6713910F">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441D6F8">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EB3BDB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现场的而脚手架、跳板、桥梁、墩台等作业面未采取防滑措施</w:t>
            </w:r>
          </w:p>
        </w:tc>
        <w:tc>
          <w:tcPr>
            <w:tcW w:w="386" w:type="pct"/>
            <w:tcBorders>
              <w:tl2br w:val="nil"/>
              <w:tr2bl w:val="nil"/>
            </w:tcBorders>
            <w:shd w:val="clear" w:color="auto" w:fill="auto"/>
            <w:vAlign w:val="center"/>
          </w:tcPr>
          <w:p w14:paraId="6474000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5667B32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3CFBB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04D43DD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253" w:type="pct"/>
            <w:tcBorders>
              <w:tl2br w:val="nil"/>
              <w:tr2bl w:val="nil"/>
            </w:tcBorders>
            <w:shd w:val="clear" w:color="auto" w:fill="auto"/>
            <w:vAlign w:val="center"/>
          </w:tcPr>
          <w:p w14:paraId="1A10077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222" w:type="pct"/>
            <w:tcBorders>
              <w:tl2br w:val="nil"/>
              <w:tr2bl w:val="nil"/>
            </w:tcBorders>
            <w:shd w:val="clear" w:color="auto" w:fill="auto"/>
            <w:vAlign w:val="center"/>
          </w:tcPr>
          <w:p w14:paraId="35F092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4032EC17">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33C5A28C">
            <w:pPr>
              <w:spacing w:line="240" w:lineRule="auto"/>
              <w:jc w:val="left"/>
              <w:rPr>
                <w:rFonts w:hint="eastAsia" w:ascii="宋体" w:hAnsi="宋体" w:eastAsia="宋体" w:cs="宋体"/>
                <w:i w:val="0"/>
                <w:iCs w:val="0"/>
                <w:color w:val="000000"/>
                <w:sz w:val="18"/>
                <w:szCs w:val="18"/>
                <w:highlight w:val="none"/>
                <w:u w:val="none"/>
              </w:rPr>
            </w:pPr>
          </w:p>
        </w:tc>
      </w:tr>
      <w:tr w14:paraId="4A88848B">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1B63C6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70</w:t>
            </w:r>
          </w:p>
        </w:tc>
        <w:tc>
          <w:tcPr>
            <w:tcW w:w="164" w:type="pct"/>
            <w:vMerge w:val="continue"/>
            <w:tcBorders>
              <w:tl2br w:val="nil"/>
              <w:tr2bl w:val="nil"/>
            </w:tcBorders>
            <w:shd w:val="clear" w:color="auto" w:fill="auto"/>
            <w:vAlign w:val="center"/>
          </w:tcPr>
          <w:p w14:paraId="763C106C">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3270AF09">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57DFB50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大风、大雨后，未检查支架、脚手架、起重设备、临时用电工程、临时房屋等设施的基础</w:t>
            </w:r>
          </w:p>
        </w:tc>
        <w:tc>
          <w:tcPr>
            <w:tcW w:w="386" w:type="pct"/>
            <w:tcBorders>
              <w:tl2br w:val="nil"/>
              <w:tr2bl w:val="nil"/>
            </w:tcBorders>
            <w:shd w:val="clear" w:color="auto" w:fill="auto"/>
            <w:vAlign w:val="center"/>
          </w:tcPr>
          <w:p w14:paraId="7B460A8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171" w:type="pct"/>
            <w:tcBorders>
              <w:tl2br w:val="nil"/>
              <w:tr2bl w:val="nil"/>
            </w:tcBorders>
            <w:shd w:val="clear" w:color="auto" w:fill="auto"/>
            <w:vAlign w:val="center"/>
          </w:tcPr>
          <w:p w14:paraId="60116FA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2D5187B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89E2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0121867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CFC538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8A27410">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04A86FB1">
            <w:pPr>
              <w:spacing w:line="240" w:lineRule="auto"/>
              <w:jc w:val="left"/>
              <w:rPr>
                <w:rFonts w:hint="eastAsia" w:ascii="宋体" w:hAnsi="宋体" w:eastAsia="宋体" w:cs="宋体"/>
                <w:i w:val="0"/>
                <w:iCs w:val="0"/>
                <w:color w:val="000000"/>
                <w:sz w:val="18"/>
                <w:szCs w:val="18"/>
                <w:highlight w:val="none"/>
                <w:u w:val="none"/>
              </w:rPr>
            </w:pPr>
          </w:p>
        </w:tc>
      </w:tr>
      <w:tr w14:paraId="23C472BD">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E748A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71</w:t>
            </w:r>
          </w:p>
        </w:tc>
        <w:tc>
          <w:tcPr>
            <w:tcW w:w="164" w:type="pct"/>
            <w:vMerge w:val="continue"/>
            <w:tcBorders>
              <w:tl2br w:val="nil"/>
              <w:tr2bl w:val="nil"/>
            </w:tcBorders>
            <w:shd w:val="clear" w:color="auto" w:fill="auto"/>
            <w:vAlign w:val="center"/>
          </w:tcPr>
          <w:p w14:paraId="60C933F5">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1530423">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35D0EFF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雷雨时，未停止露天作业</w:t>
            </w:r>
          </w:p>
        </w:tc>
        <w:tc>
          <w:tcPr>
            <w:tcW w:w="386" w:type="pct"/>
            <w:tcBorders>
              <w:tl2br w:val="nil"/>
              <w:tr2bl w:val="nil"/>
            </w:tcBorders>
            <w:shd w:val="clear" w:color="auto" w:fill="auto"/>
            <w:vAlign w:val="center"/>
          </w:tcPr>
          <w:p w14:paraId="777133B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雷击等</w:t>
            </w:r>
          </w:p>
        </w:tc>
        <w:tc>
          <w:tcPr>
            <w:tcW w:w="171" w:type="pct"/>
            <w:tcBorders>
              <w:tl2br w:val="nil"/>
              <w:tr2bl w:val="nil"/>
            </w:tcBorders>
            <w:shd w:val="clear" w:color="auto" w:fill="auto"/>
            <w:vAlign w:val="center"/>
          </w:tcPr>
          <w:p w14:paraId="5AF484F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41BE10D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0" w:type="pct"/>
            <w:tcBorders>
              <w:tl2br w:val="nil"/>
              <w:tr2bl w:val="nil"/>
            </w:tcBorders>
            <w:shd w:val="clear" w:color="auto" w:fill="auto"/>
            <w:vAlign w:val="center"/>
          </w:tcPr>
          <w:p w14:paraId="52318F1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253" w:type="pct"/>
            <w:tcBorders>
              <w:tl2br w:val="nil"/>
              <w:tr2bl w:val="nil"/>
            </w:tcBorders>
            <w:shd w:val="clear" w:color="auto" w:fill="auto"/>
            <w:vAlign w:val="center"/>
          </w:tcPr>
          <w:p w14:paraId="619E6BC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222" w:type="pct"/>
            <w:tcBorders>
              <w:tl2br w:val="nil"/>
              <w:tr2bl w:val="nil"/>
            </w:tcBorders>
            <w:shd w:val="clear" w:color="auto" w:fill="auto"/>
            <w:vAlign w:val="center"/>
          </w:tcPr>
          <w:p w14:paraId="07CF722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90FE06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BA263A3">
            <w:pPr>
              <w:spacing w:line="240" w:lineRule="auto"/>
              <w:jc w:val="left"/>
              <w:rPr>
                <w:rFonts w:hint="eastAsia" w:ascii="宋体" w:hAnsi="宋体" w:eastAsia="宋体" w:cs="宋体"/>
                <w:i w:val="0"/>
                <w:iCs w:val="0"/>
                <w:color w:val="000000"/>
                <w:sz w:val="18"/>
                <w:szCs w:val="18"/>
                <w:highlight w:val="none"/>
                <w:u w:val="none"/>
              </w:rPr>
            </w:pPr>
          </w:p>
        </w:tc>
      </w:tr>
      <w:tr w14:paraId="2D7FD528">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4F900F4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72</w:t>
            </w:r>
          </w:p>
        </w:tc>
        <w:tc>
          <w:tcPr>
            <w:tcW w:w="164" w:type="pct"/>
            <w:vMerge w:val="continue"/>
            <w:tcBorders>
              <w:tl2br w:val="nil"/>
              <w:tr2bl w:val="nil"/>
            </w:tcBorders>
            <w:shd w:val="clear" w:color="auto" w:fill="auto"/>
            <w:vAlign w:val="center"/>
          </w:tcPr>
          <w:p w14:paraId="70CC1C9E">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3E46E6A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w:t>
            </w:r>
          </w:p>
        </w:tc>
        <w:tc>
          <w:tcPr>
            <w:tcW w:w="1907" w:type="pct"/>
            <w:tcBorders>
              <w:tl2br w:val="nil"/>
              <w:tr2bl w:val="nil"/>
            </w:tcBorders>
            <w:shd w:val="clear" w:color="auto" w:fill="auto"/>
            <w:vAlign w:val="center"/>
          </w:tcPr>
          <w:p w14:paraId="2A8ECA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386" w:type="pct"/>
            <w:tcBorders>
              <w:tl2br w:val="nil"/>
              <w:tr2bl w:val="nil"/>
            </w:tcBorders>
            <w:shd w:val="clear" w:color="auto" w:fill="auto"/>
            <w:vAlign w:val="center"/>
          </w:tcPr>
          <w:p w14:paraId="3757BEC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171" w:type="pct"/>
            <w:tcBorders>
              <w:tl2br w:val="nil"/>
              <w:tr2bl w:val="nil"/>
            </w:tcBorders>
            <w:shd w:val="clear" w:color="auto" w:fill="auto"/>
            <w:vAlign w:val="center"/>
          </w:tcPr>
          <w:p w14:paraId="46DB44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4BC98C4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6EBE34F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1E68A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1C31E0D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0E6AB7F">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42EB3BD7">
            <w:pPr>
              <w:spacing w:line="240" w:lineRule="auto"/>
              <w:jc w:val="left"/>
              <w:rPr>
                <w:rFonts w:hint="eastAsia" w:ascii="宋体" w:hAnsi="宋体" w:eastAsia="宋体" w:cs="宋体"/>
                <w:i w:val="0"/>
                <w:iCs w:val="0"/>
                <w:color w:val="000000"/>
                <w:sz w:val="18"/>
                <w:szCs w:val="18"/>
                <w:highlight w:val="none"/>
                <w:u w:val="none"/>
              </w:rPr>
            </w:pPr>
          </w:p>
        </w:tc>
      </w:tr>
      <w:tr w14:paraId="1998246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2FBEB0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73</w:t>
            </w:r>
          </w:p>
        </w:tc>
        <w:tc>
          <w:tcPr>
            <w:tcW w:w="164" w:type="pct"/>
            <w:vMerge w:val="continue"/>
            <w:tcBorders>
              <w:tl2br w:val="nil"/>
              <w:tr2bl w:val="nil"/>
            </w:tcBorders>
            <w:shd w:val="clear" w:color="auto" w:fill="auto"/>
            <w:vAlign w:val="center"/>
          </w:tcPr>
          <w:p w14:paraId="153214F1">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138863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229BF83A">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夜间施工时，作业现场的预留孔洞、上下道口及沟槽等危险部位未设置夜间警示标志和警示灯</w:t>
            </w:r>
          </w:p>
        </w:tc>
        <w:tc>
          <w:tcPr>
            <w:tcW w:w="386" w:type="pct"/>
            <w:tcBorders>
              <w:tl2br w:val="nil"/>
              <w:tr2bl w:val="nil"/>
            </w:tcBorders>
            <w:shd w:val="clear" w:color="auto" w:fill="auto"/>
            <w:vAlign w:val="center"/>
          </w:tcPr>
          <w:p w14:paraId="5E5E136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坠落</w:t>
            </w:r>
          </w:p>
        </w:tc>
        <w:tc>
          <w:tcPr>
            <w:tcW w:w="171" w:type="pct"/>
            <w:tcBorders>
              <w:tl2br w:val="nil"/>
              <w:tr2bl w:val="nil"/>
            </w:tcBorders>
            <w:shd w:val="clear" w:color="auto" w:fill="auto"/>
            <w:vAlign w:val="center"/>
          </w:tcPr>
          <w:p w14:paraId="6AC86D6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8AA979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2322DE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4A7341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290144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6297598">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642490F">
            <w:pPr>
              <w:spacing w:line="240" w:lineRule="auto"/>
              <w:jc w:val="left"/>
              <w:rPr>
                <w:rFonts w:hint="eastAsia" w:ascii="宋体" w:hAnsi="宋体" w:eastAsia="宋体" w:cs="宋体"/>
                <w:i w:val="0"/>
                <w:iCs w:val="0"/>
                <w:color w:val="000000"/>
                <w:sz w:val="18"/>
                <w:szCs w:val="18"/>
                <w:highlight w:val="none"/>
                <w:u w:val="none"/>
              </w:rPr>
            </w:pPr>
          </w:p>
        </w:tc>
      </w:tr>
      <w:tr w14:paraId="590C5FE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563FA33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74</w:t>
            </w:r>
          </w:p>
        </w:tc>
        <w:tc>
          <w:tcPr>
            <w:tcW w:w="164" w:type="pct"/>
            <w:vMerge w:val="continue"/>
            <w:tcBorders>
              <w:tl2br w:val="nil"/>
              <w:tr2bl w:val="nil"/>
            </w:tcBorders>
            <w:shd w:val="clear" w:color="auto" w:fill="auto"/>
            <w:vAlign w:val="center"/>
          </w:tcPr>
          <w:p w14:paraId="211995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04F0712B">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高温</w:t>
            </w:r>
          </w:p>
          <w:p w14:paraId="6ACF8A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w:t>
            </w:r>
          </w:p>
        </w:tc>
        <w:tc>
          <w:tcPr>
            <w:tcW w:w="1907" w:type="pct"/>
            <w:tcBorders>
              <w:tl2br w:val="nil"/>
              <w:tr2bl w:val="nil"/>
            </w:tcBorders>
            <w:shd w:val="clear" w:color="auto" w:fill="auto"/>
            <w:vAlign w:val="center"/>
          </w:tcPr>
          <w:p w14:paraId="7EC34E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作业时间未避开高温时段，必须在高温条件下的施工作业未采取防暑降温措施</w:t>
            </w:r>
          </w:p>
        </w:tc>
        <w:tc>
          <w:tcPr>
            <w:tcW w:w="386" w:type="pct"/>
            <w:tcBorders>
              <w:tl2br w:val="nil"/>
              <w:tr2bl w:val="nil"/>
            </w:tcBorders>
            <w:shd w:val="clear" w:color="auto" w:fill="auto"/>
            <w:vAlign w:val="center"/>
          </w:tcPr>
          <w:p w14:paraId="64CD8D3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中暑</w:t>
            </w:r>
          </w:p>
        </w:tc>
        <w:tc>
          <w:tcPr>
            <w:tcW w:w="171" w:type="pct"/>
            <w:tcBorders>
              <w:tl2br w:val="nil"/>
              <w:tr2bl w:val="nil"/>
            </w:tcBorders>
            <w:shd w:val="clear" w:color="auto" w:fill="auto"/>
            <w:vAlign w:val="center"/>
          </w:tcPr>
          <w:p w14:paraId="3989FA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1D98983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264E9D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2F6CC2F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07321CA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16C11B55">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CB9A71F">
            <w:pPr>
              <w:spacing w:line="240" w:lineRule="auto"/>
              <w:jc w:val="left"/>
              <w:rPr>
                <w:rFonts w:hint="eastAsia" w:ascii="宋体" w:hAnsi="宋体" w:eastAsia="宋体" w:cs="宋体"/>
                <w:i w:val="0"/>
                <w:iCs w:val="0"/>
                <w:color w:val="000000"/>
                <w:sz w:val="18"/>
                <w:szCs w:val="18"/>
                <w:highlight w:val="none"/>
                <w:u w:val="none"/>
              </w:rPr>
            </w:pPr>
          </w:p>
        </w:tc>
      </w:tr>
      <w:tr w14:paraId="237A0AD6">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113A097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75</w:t>
            </w:r>
          </w:p>
        </w:tc>
        <w:tc>
          <w:tcPr>
            <w:tcW w:w="164" w:type="pct"/>
            <w:vMerge w:val="continue"/>
            <w:tcBorders>
              <w:tl2br w:val="nil"/>
              <w:tr2bl w:val="nil"/>
            </w:tcBorders>
            <w:shd w:val="clear" w:color="auto" w:fill="auto"/>
            <w:vAlign w:val="center"/>
          </w:tcPr>
          <w:p w14:paraId="04E284A2">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00A1A7D4">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6146A76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施工现场的易燃易爆物品未采取防晒措施</w:t>
            </w:r>
          </w:p>
        </w:tc>
        <w:tc>
          <w:tcPr>
            <w:tcW w:w="386" w:type="pct"/>
            <w:tcBorders>
              <w:tl2br w:val="nil"/>
              <w:tr2bl w:val="nil"/>
            </w:tcBorders>
            <w:shd w:val="clear" w:color="auto" w:fill="auto"/>
            <w:vAlign w:val="center"/>
          </w:tcPr>
          <w:p w14:paraId="0551DC9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火灾</w:t>
            </w:r>
          </w:p>
        </w:tc>
        <w:tc>
          <w:tcPr>
            <w:tcW w:w="171" w:type="pct"/>
            <w:tcBorders>
              <w:tl2br w:val="nil"/>
              <w:tr2bl w:val="nil"/>
            </w:tcBorders>
            <w:shd w:val="clear" w:color="auto" w:fill="auto"/>
            <w:vAlign w:val="center"/>
          </w:tcPr>
          <w:p w14:paraId="196F774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0B61036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0" w:type="pct"/>
            <w:tcBorders>
              <w:tl2br w:val="nil"/>
              <w:tr2bl w:val="nil"/>
            </w:tcBorders>
            <w:shd w:val="clear" w:color="auto" w:fill="auto"/>
            <w:vAlign w:val="center"/>
          </w:tcPr>
          <w:p w14:paraId="4797D85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6EFAB58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222" w:type="pct"/>
            <w:tcBorders>
              <w:tl2br w:val="nil"/>
              <w:tr2bl w:val="nil"/>
            </w:tcBorders>
            <w:shd w:val="clear" w:color="auto" w:fill="auto"/>
            <w:vAlign w:val="center"/>
          </w:tcPr>
          <w:p w14:paraId="2E01CC9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0C03FF9C">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180AC37A">
            <w:pPr>
              <w:spacing w:line="240" w:lineRule="auto"/>
              <w:jc w:val="left"/>
              <w:rPr>
                <w:rFonts w:hint="eastAsia" w:ascii="宋体" w:hAnsi="宋体" w:eastAsia="宋体" w:cs="宋体"/>
                <w:i w:val="0"/>
                <w:iCs w:val="0"/>
                <w:color w:val="000000"/>
                <w:sz w:val="18"/>
                <w:szCs w:val="18"/>
                <w:highlight w:val="none"/>
                <w:u w:val="none"/>
              </w:rPr>
            </w:pPr>
          </w:p>
        </w:tc>
      </w:tr>
      <w:tr w14:paraId="19CECC9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192F2E3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76</w:t>
            </w:r>
          </w:p>
        </w:tc>
        <w:tc>
          <w:tcPr>
            <w:tcW w:w="164" w:type="pct"/>
            <w:vMerge w:val="continue"/>
            <w:tcBorders>
              <w:tl2br w:val="nil"/>
              <w:tr2bl w:val="nil"/>
            </w:tcBorders>
            <w:shd w:val="clear" w:color="auto" w:fill="auto"/>
            <w:vAlign w:val="center"/>
          </w:tcPr>
          <w:p w14:paraId="31E241A2">
            <w:pPr>
              <w:spacing w:line="240" w:lineRule="auto"/>
              <w:jc w:val="center"/>
              <w:rPr>
                <w:rFonts w:hint="eastAsia" w:ascii="宋体" w:hAnsi="宋体" w:eastAsia="宋体" w:cs="宋体"/>
                <w:i w:val="0"/>
                <w:iCs w:val="0"/>
                <w:color w:val="000000"/>
                <w:sz w:val="18"/>
                <w:szCs w:val="18"/>
                <w:highlight w:val="none"/>
                <w:u w:val="none"/>
              </w:rPr>
            </w:pPr>
          </w:p>
        </w:tc>
        <w:tc>
          <w:tcPr>
            <w:tcW w:w="242" w:type="pct"/>
            <w:tcBorders>
              <w:tl2br w:val="nil"/>
              <w:tr2bl w:val="nil"/>
            </w:tcBorders>
            <w:shd w:val="clear" w:color="auto" w:fill="auto"/>
            <w:vAlign w:val="center"/>
          </w:tcPr>
          <w:p w14:paraId="3A86BD1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1907" w:type="pct"/>
            <w:tcBorders>
              <w:tl2br w:val="nil"/>
              <w:tr2bl w:val="nil"/>
            </w:tcBorders>
            <w:shd w:val="clear" w:color="auto" w:fill="auto"/>
            <w:vAlign w:val="center"/>
          </w:tcPr>
          <w:p w14:paraId="4F1D9E1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386" w:type="pct"/>
            <w:tcBorders>
              <w:tl2br w:val="nil"/>
              <w:tr2bl w:val="nil"/>
            </w:tcBorders>
            <w:shd w:val="clear" w:color="auto" w:fill="auto"/>
            <w:vAlign w:val="center"/>
          </w:tcPr>
          <w:p w14:paraId="101E9A3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80F90C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21392F2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3F85EA1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048C3CF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42081F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5A84919B">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75D1E764">
            <w:pPr>
              <w:spacing w:line="240" w:lineRule="auto"/>
              <w:jc w:val="left"/>
              <w:rPr>
                <w:rFonts w:hint="eastAsia" w:ascii="宋体" w:hAnsi="宋体" w:eastAsia="宋体" w:cs="宋体"/>
                <w:i w:val="0"/>
                <w:iCs w:val="0"/>
                <w:color w:val="000000"/>
                <w:sz w:val="18"/>
                <w:szCs w:val="18"/>
                <w:highlight w:val="none"/>
                <w:u w:val="none"/>
              </w:rPr>
            </w:pPr>
          </w:p>
        </w:tc>
      </w:tr>
      <w:tr w14:paraId="6E336FF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180" w:type="pct"/>
            <w:tcBorders>
              <w:tl2br w:val="nil"/>
              <w:tr2bl w:val="nil"/>
            </w:tcBorders>
            <w:shd w:val="clear" w:color="auto" w:fill="auto"/>
            <w:vAlign w:val="center"/>
          </w:tcPr>
          <w:p w14:paraId="6C6A60C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77</w:t>
            </w:r>
          </w:p>
        </w:tc>
        <w:tc>
          <w:tcPr>
            <w:tcW w:w="164" w:type="pct"/>
            <w:vMerge w:val="continue"/>
            <w:tcBorders>
              <w:tl2br w:val="nil"/>
              <w:tr2bl w:val="nil"/>
            </w:tcBorders>
            <w:shd w:val="clear" w:color="auto" w:fill="auto"/>
            <w:vAlign w:val="center"/>
          </w:tcPr>
          <w:p w14:paraId="1C9E9760">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restart"/>
            <w:tcBorders>
              <w:tl2br w:val="nil"/>
              <w:tr2bl w:val="nil"/>
            </w:tcBorders>
            <w:shd w:val="clear" w:color="auto" w:fill="auto"/>
            <w:vAlign w:val="center"/>
          </w:tcPr>
          <w:p w14:paraId="55C282D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w:t>
            </w:r>
          </w:p>
        </w:tc>
        <w:tc>
          <w:tcPr>
            <w:tcW w:w="1907" w:type="pct"/>
            <w:tcBorders>
              <w:tl2br w:val="nil"/>
              <w:tr2bl w:val="nil"/>
            </w:tcBorders>
            <w:shd w:val="clear" w:color="auto" w:fill="auto"/>
            <w:vAlign w:val="center"/>
          </w:tcPr>
          <w:p w14:paraId="3DC161F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386" w:type="pct"/>
            <w:tcBorders>
              <w:tl2br w:val="nil"/>
              <w:tr2bl w:val="nil"/>
            </w:tcBorders>
            <w:shd w:val="clear" w:color="auto" w:fill="auto"/>
            <w:vAlign w:val="center"/>
          </w:tcPr>
          <w:p w14:paraId="2C062E0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171" w:type="pct"/>
            <w:tcBorders>
              <w:tl2br w:val="nil"/>
              <w:tr2bl w:val="nil"/>
            </w:tcBorders>
            <w:shd w:val="clear" w:color="auto" w:fill="auto"/>
            <w:vAlign w:val="center"/>
          </w:tcPr>
          <w:p w14:paraId="3EFE56E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8" w:type="pct"/>
            <w:tcBorders>
              <w:tl2br w:val="nil"/>
              <w:tr2bl w:val="nil"/>
            </w:tcBorders>
            <w:shd w:val="clear" w:color="auto" w:fill="auto"/>
            <w:vAlign w:val="center"/>
          </w:tcPr>
          <w:p w14:paraId="6CC28F5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06BF38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7506C4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222" w:type="pct"/>
            <w:tcBorders>
              <w:tl2br w:val="nil"/>
              <w:tr2bl w:val="nil"/>
            </w:tcBorders>
            <w:shd w:val="clear" w:color="auto" w:fill="auto"/>
            <w:vAlign w:val="center"/>
          </w:tcPr>
          <w:p w14:paraId="2E8D775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601" w:type="pct"/>
            <w:vMerge w:val="continue"/>
            <w:tcBorders>
              <w:tl2br w:val="nil"/>
              <w:tr2bl w:val="nil"/>
            </w:tcBorders>
            <w:shd w:val="clear" w:color="auto" w:fill="auto"/>
            <w:vAlign w:val="center"/>
          </w:tcPr>
          <w:p w14:paraId="79C49BE3">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5609F159">
            <w:pPr>
              <w:spacing w:line="240" w:lineRule="auto"/>
              <w:jc w:val="left"/>
              <w:rPr>
                <w:rFonts w:hint="eastAsia" w:ascii="宋体" w:hAnsi="宋体" w:eastAsia="宋体" w:cs="宋体"/>
                <w:i w:val="0"/>
                <w:iCs w:val="0"/>
                <w:color w:val="000000"/>
                <w:sz w:val="18"/>
                <w:szCs w:val="18"/>
                <w:highlight w:val="none"/>
                <w:u w:val="none"/>
              </w:rPr>
            </w:pPr>
          </w:p>
        </w:tc>
      </w:tr>
      <w:tr w14:paraId="6641F519">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240" w:hRule="atLeast"/>
        </w:trPr>
        <w:tc>
          <w:tcPr>
            <w:tcW w:w="180" w:type="pct"/>
            <w:tcBorders>
              <w:tl2br w:val="nil"/>
              <w:tr2bl w:val="nil"/>
            </w:tcBorders>
            <w:shd w:val="clear" w:color="auto" w:fill="auto"/>
            <w:vAlign w:val="center"/>
          </w:tcPr>
          <w:p w14:paraId="0DDECD9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64" w:type="pct"/>
            <w:vMerge w:val="continue"/>
            <w:tcBorders>
              <w:tl2br w:val="nil"/>
              <w:tr2bl w:val="nil"/>
            </w:tcBorders>
            <w:shd w:val="clear" w:color="auto" w:fill="auto"/>
            <w:vAlign w:val="center"/>
          </w:tcPr>
          <w:p w14:paraId="769ACB34">
            <w:pPr>
              <w:spacing w:line="240" w:lineRule="auto"/>
              <w:jc w:val="center"/>
              <w:rPr>
                <w:rFonts w:hint="eastAsia" w:ascii="宋体" w:hAnsi="宋体" w:eastAsia="宋体" w:cs="宋体"/>
                <w:i w:val="0"/>
                <w:iCs w:val="0"/>
                <w:color w:val="000000"/>
                <w:sz w:val="18"/>
                <w:szCs w:val="18"/>
                <w:highlight w:val="none"/>
                <w:u w:val="none"/>
              </w:rPr>
            </w:pPr>
          </w:p>
        </w:tc>
        <w:tc>
          <w:tcPr>
            <w:tcW w:w="242" w:type="pct"/>
            <w:vMerge w:val="continue"/>
            <w:tcBorders>
              <w:tl2br w:val="nil"/>
              <w:tr2bl w:val="nil"/>
            </w:tcBorders>
            <w:shd w:val="clear" w:color="auto" w:fill="auto"/>
            <w:vAlign w:val="center"/>
          </w:tcPr>
          <w:p w14:paraId="71F6DC2A">
            <w:pPr>
              <w:spacing w:line="240" w:lineRule="auto"/>
              <w:jc w:val="center"/>
              <w:rPr>
                <w:rFonts w:hint="eastAsia" w:ascii="宋体" w:hAnsi="宋体" w:eastAsia="宋体" w:cs="宋体"/>
                <w:i w:val="0"/>
                <w:iCs w:val="0"/>
                <w:color w:val="000000"/>
                <w:sz w:val="18"/>
                <w:szCs w:val="18"/>
                <w:highlight w:val="none"/>
                <w:u w:val="none"/>
              </w:rPr>
            </w:pPr>
          </w:p>
        </w:tc>
        <w:tc>
          <w:tcPr>
            <w:tcW w:w="1907" w:type="pct"/>
            <w:tcBorders>
              <w:tl2br w:val="nil"/>
              <w:tr2bl w:val="nil"/>
            </w:tcBorders>
            <w:shd w:val="clear" w:color="auto" w:fill="auto"/>
            <w:vAlign w:val="center"/>
          </w:tcPr>
          <w:p w14:paraId="40EE8FC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库区及下游受排洪影响地区施工作业未及时掌握水位变化情况</w:t>
            </w:r>
          </w:p>
        </w:tc>
        <w:tc>
          <w:tcPr>
            <w:tcW w:w="386" w:type="pct"/>
            <w:tcBorders>
              <w:tl2br w:val="nil"/>
              <w:tr2bl w:val="nil"/>
            </w:tcBorders>
            <w:shd w:val="clear" w:color="auto" w:fill="auto"/>
            <w:vAlign w:val="center"/>
          </w:tcPr>
          <w:p w14:paraId="73B6CD8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洪灾</w:t>
            </w:r>
          </w:p>
        </w:tc>
        <w:tc>
          <w:tcPr>
            <w:tcW w:w="171" w:type="pct"/>
            <w:tcBorders>
              <w:tl2br w:val="nil"/>
              <w:tr2bl w:val="nil"/>
            </w:tcBorders>
            <w:shd w:val="clear" w:color="auto" w:fill="auto"/>
            <w:vAlign w:val="center"/>
          </w:tcPr>
          <w:p w14:paraId="6772989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8" w:type="pct"/>
            <w:tcBorders>
              <w:tl2br w:val="nil"/>
              <w:tr2bl w:val="nil"/>
            </w:tcBorders>
            <w:shd w:val="clear" w:color="auto" w:fill="auto"/>
            <w:vAlign w:val="center"/>
          </w:tcPr>
          <w:p w14:paraId="72B2962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0" w:type="pct"/>
            <w:tcBorders>
              <w:tl2br w:val="nil"/>
              <w:tr2bl w:val="nil"/>
            </w:tcBorders>
            <w:shd w:val="clear" w:color="auto" w:fill="auto"/>
            <w:vAlign w:val="center"/>
          </w:tcPr>
          <w:p w14:paraId="2E47D2C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253" w:type="pct"/>
            <w:tcBorders>
              <w:tl2br w:val="nil"/>
              <w:tr2bl w:val="nil"/>
            </w:tcBorders>
            <w:shd w:val="clear" w:color="auto" w:fill="auto"/>
            <w:vAlign w:val="center"/>
          </w:tcPr>
          <w:p w14:paraId="1919071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222" w:type="pct"/>
            <w:tcBorders>
              <w:tl2br w:val="nil"/>
              <w:tr2bl w:val="nil"/>
            </w:tcBorders>
            <w:shd w:val="clear" w:color="auto" w:fill="auto"/>
            <w:vAlign w:val="center"/>
          </w:tcPr>
          <w:p w14:paraId="6DF0EED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Ⅰ</w:t>
            </w:r>
          </w:p>
        </w:tc>
        <w:tc>
          <w:tcPr>
            <w:tcW w:w="601" w:type="pct"/>
            <w:vMerge w:val="continue"/>
            <w:tcBorders>
              <w:tl2br w:val="nil"/>
              <w:tr2bl w:val="nil"/>
            </w:tcBorders>
            <w:shd w:val="clear" w:color="auto" w:fill="auto"/>
            <w:vAlign w:val="center"/>
          </w:tcPr>
          <w:p w14:paraId="7BBDE6E1">
            <w:pPr>
              <w:spacing w:line="240" w:lineRule="auto"/>
              <w:jc w:val="center"/>
              <w:rPr>
                <w:rFonts w:hint="eastAsia" w:ascii="宋体" w:hAnsi="宋体" w:eastAsia="宋体" w:cs="宋体"/>
                <w:i w:val="0"/>
                <w:iCs w:val="0"/>
                <w:color w:val="000000"/>
                <w:sz w:val="18"/>
                <w:szCs w:val="18"/>
                <w:highlight w:val="none"/>
                <w:u w:val="none"/>
              </w:rPr>
            </w:pPr>
          </w:p>
        </w:tc>
        <w:tc>
          <w:tcPr>
            <w:tcW w:w="579" w:type="pct"/>
            <w:vMerge w:val="continue"/>
            <w:tcBorders>
              <w:tl2br w:val="nil"/>
              <w:tr2bl w:val="nil"/>
            </w:tcBorders>
            <w:shd w:val="clear" w:color="auto" w:fill="auto"/>
            <w:vAlign w:val="center"/>
          </w:tcPr>
          <w:p w14:paraId="6A438490">
            <w:pPr>
              <w:spacing w:line="240" w:lineRule="auto"/>
              <w:jc w:val="left"/>
              <w:rPr>
                <w:rFonts w:hint="eastAsia" w:ascii="宋体" w:hAnsi="宋体" w:eastAsia="宋体" w:cs="宋体"/>
                <w:i w:val="0"/>
                <w:iCs w:val="0"/>
                <w:color w:val="000000"/>
                <w:sz w:val="18"/>
                <w:szCs w:val="18"/>
                <w:highlight w:val="none"/>
                <w:u w:val="none"/>
              </w:rPr>
            </w:pPr>
          </w:p>
        </w:tc>
      </w:tr>
    </w:tbl>
    <w:p w14:paraId="4772452A">
      <w:pPr>
        <w:bidi w:val="0"/>
        <w:rPr>
          <w:rFonts w:hint="eastAsia"/>
          <w:highlight w:val="none"/>
        </w:rPr>
        <w:sectPr>
          <w:headerReference r:id="rId7"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49FDB69D">
      <w:pPr>
        <w:pStyle w:val="4"/>
        <w:bidi w:val="0"/>
        <w:rPr>
          <w:highlight w:val="none"/>
        </w:rPr>
      </w:pPr>
      <w:bookmarkStart w:id="383" w:name="_Toc11562"/>
      <w:bookmarkStart w:id="384" w:name="_Toc10409839"/>
      <w:bookmarkStart w:id="385" w:name="_Toc18053"/>
      <w:r>
        <w:rPr>
          <w:rFonts w:hint="eastAsia"/>
          <w:highlight w:val="none"/>
          <w:lang w:val="en-US" w:eastAsia="zh-CN"/>
        </w:rPr>
        <w:t>9.1.3</w:t>
      </w:r>
      <w:r>
        <w:rPr>
          <w:rFonts w:hint="eastAsia" w:ascii="宋体" w:hAnsi="宋体" w:eastAsia="宋体" w:cs="宋体"/>
          <w:color w:val="000000"/>
          <w:kern w:val="0"/>
          <w:sz w:val="24"/>
          <w:szCs w:val="24"/>
          <w:highlight w:val="none"/>
          <w:lang w:val="en-US" w:eastAsia="zh-CN" w:bidi="ar"/>
        </w:rPr>
        <w:t>风险分析结论</w:t>
      </w:r>
    </w:p>
    <w:p w14:paraId="1187E91C">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对塔吊安拆施工过程中存在的危险有害因素进行辨识，辨识出危险有害因素</w:t>
      </w:r>
    </w:p>
    <w:p w14:paraId="75C9AC9D">
      <w:pPr>
        <w:keepNext w:val="0"/>
        <w:keepLines w:val="0"/>
        <w:widowControl/>
        <w:numPr>
          <w:ilvl w:val="0"/>
          <w:numId w:val="0"/>
        </w:numPr>
        <w:suppressLineNumbers w:val="0"/>
        <w:jc w:val="left"/>
        <w:rPr>
          <w:highlight w:val="none"/>
        </w:rPr>
      </w:pPr>
      <w:r>
        <w:rPr>
          <w:rFonts w:hint="eastAsia" w:ascii="宋体" w:hAnsi="宋体" w:eastAsia="宋体" w:cs="宋体"/>
          <w:color w:val="000000"/>
          <w:kern w:val="0"/>
          <w:sz w:val="24"/>
          <w:szCs w:val="24"/>
          <w:highlight w:val="none"/>
          <w:lang w:val="en-US" w:eastAsia="zh-CN" w:bidi="ar"/>
        </w:rPr>
        <w:t>78项。通过评价，得出危害级别为Ⅰ级（D≤70）的风险有71项，为较小风险，由班组管控，项目部加强现场检查并进行关注；危害级别为Ⅱ级（70＜D≤160）的风险有7项，为一般风险，由项目部管控结合实际情况并制定针对性安全控制措施。</w:t>
      </w:r>
    </w:p>
    <w:p w14:paraId="0A8401FE">
      <w:pPr>
        <w:pStyle w:val="158"/>
        <w:jc w:val="center"/>
        <w:rPr>
          <w:rFonts w:ascii="仿宋" w:hAnsi="仿宋" w:eastAsia="黑体" w:cs="仿宋"/>
          <w:bCs/>
          <w:color w:val="000000" w:themeColor="text1"/>
          <w:kern w:val="2"/>
          <w:sz w:val="21"/>
          <w:szCs w:val="24"/>
          <w:highlight w:val="none"/>
          <w:lang w:val="en-US" w:eastAsia="zh-CN" w:bidi="ar-SA"/>
          <w14:textFill>
            <w14:solidFill>
              <w14:schemeClr w14:val="tx1"/>
            </w14:solidFill>
          </w14:textFill>
        </w:rPr>
      </w:pP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表9</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.1</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.3</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1</w:t>
      </w:r>
      <w:r>
        <w:rPr>
          <w:rFonts w:hint="default" w:ascii="仿宋" w:hAnsi="仿宋" w:eastAsia="黑体" w:cs="仿宋"/>
          <w:bCs/>
          <w:color w:val="000000" w:themeColor="text1"/>
          <w:kern w:val="2"/>
          <w:sz w:val="21"/>
          <w:szCs w:val="24"/>
          <w:highlight w:val="none"/>
          <w:lang w:val="en-US" w:eastAsia="zh-CN" w:bidi="ar-SA"/>
          <w14:textFill>
            <w14:solidFill>
              <w14:schemeClr w14:val="tx1"/>
            </w14:solidFill>
          </w14:textFill>
        </w:rPr>
        <w:t xml:space="preserve"> </w:t>
      </w:r>
      <w:r>
        <w:rPr>
          <w:rFonts w:hint="eastAsia" w:ascii="仿宋" w:hAnsi="仿宋" w:eastAsia="黑体" w:cs="仿宋"/>
          <w:bCs/>
          <w:color w:val="000000" w:themeColor="text1"/>
          <w:kern w:val="2"/>
          <w:sz w:val="21"/>
          <w:szCs w:val="24"/>
          <w:highlight w:val="none"/>
          <w:lang w:val="en-US" w:eastAsia="zh-CN" w:bidi="ar-SA"/>
          <w14:textFill>
            <w14:solidFill>
              <w14:schemeClr w14:val="tx1"/>
            </w14:solidFill>
          </w14:textFill>
        </w:rPr>
        <w:t>液压爬模施工显著危害因素清单及控制措施表</w:t>
      </w:r>
    </w:p>
    <w:tbl>
      <w:tblPr>
        <w:tblStyle w:val="30"/>
        <w:tblW w:w="4998" w:type="pct"/>
        <w:tblInd w:w="0" w:type="dxa"/>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Layout w:type="autofit"/>
        <w:tblCellMar>
          <w:top w:w="0" w:type="dxa"/>
          <w:left w:w="108" w:type="dxa"/>
          <w:bottom w:w="0" w:type="dxa"/>
          <w:right w:w="108" w:type="dxa"/>
        </w:tblCellMar>
      </w:tblPr>
      <w:tblGrid>
        <w:gridCol w:w="414"/>
        <w:gridCol w:w="556"/>
        <w:gridCol w:w="4363"/>
        <w:gridCol w:w="886"/>
        <w:gridCol w:w="508"/>
        <w:gridCol w:w="1792"/>
      </w:tblGrid>
      <w:tr w14:paraId="0FFE75A7">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243" w:type="pct"/>
            <w:vMerge w:val="restart"/>
            <w:tcBorders>
              <w:tl2br w:val="nil"/>
              <w:tr2bl w:val="nil"/>
            </w:tcBorders>
            <w:shd w:val="clear" w:color="auto" w:fill="auto"/>
            <w:vAlign w:val="center"/>
          </w:tcPr>
          <w:p w14:paraId="2FD37350">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326" w:type="pct"/>
            <w:vMerge w:val="restart"/>
            <w:tcBorders>
              <w:tl2br w:val="nil"/>
              <w:tr2bl w:val="nil"/>
            </w:tcBorders>
            <w:shd w:val="clear" w:color="auto" w:fill="auto"/>
            <w:vAlign w:val="center"/>
          </w:tcPr>
          <w:p w14:paraId="76CB645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活动</w:t>
            </w:r>
          </w:p>
          <w:p w14:paraId="1A791299">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内容</w:t>
            </w:r>
          </w:p>
        </w:tc>
        <w:tc>
          <w:tcPr>
            <w:tcW w:w="2559" w:type="pct"/>
            <w:vMerge w:val="restart"/>
            <w:tcBorders>
              <w:tl2br w:val="nil"/>
              <w:tr2bl w:val="nil"/>
            </w:tcBorders>
            <w:shd w:val="clear" w:color="auto" w:fill="auto"/>
            <w:vAlign w:val="center"/>
          </w:tcPr>
          <w:p w14:paraId="323F8E7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危害因素</w:t>
            </w:r>
          </w:p>
        </w:tc>
        <w:tc>
          <w:tcPr>
            <w:tcW w:w="520" w:type="pct"/>
            <w:vMerge w:val="restart"/>
            <w:tcBorders>
              <w:tl2br w:val="nil"/>
              <w:tr2bl w:val="nil"/>
            </w:tcBorders>
            <w:shd w:val="clear" w:color="auto" w:fill="auto"/>
            <w:vAlign w:val="center"/>
          </w:tcPr>
          <w:p w14:paraId="4EB5BFA3">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潜在事故</w:t>
            </w:r>
          </w:p>
          <w:p w14:paraId="3DABBC4F">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类型</w:t>
            </w:r>
          </w:p>
        </w:tc>
        <w:tc>
          <w:tcPr>
            <w:tcW w:w="298" w:type="pct"/>
            <w:vMerge w:val="restart"/>
            <w:tcBorders>
              <w:tl2br w:val="nil"/>
              <w:tr2bl w:val="nil"/>
            </w:tcBorders>
            <w:shd w:val="clear" w:color="auto" w:fill="auto"/>
            <w:vAlign w:val="center"/>
          </w:tcPr>
          <w:p w14:paraId="5ED373B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危害</w:t>
            </w:r>
          </w:p>
          <w:p w14:paraId="150E136D">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级别</w:t>
            </w:r>
          </w:p>
        </w:tc>
        <w:tc>
          <w:tcPr>
            <w:tcW w:w="1051" w:type="pct"/>
            <w:vMerge w:val="restart"/>
            <w:tcBorders>
              <w:tl2br w:val="nil"/>
              <w:tr2bl w:val="nil"/>
            </w:tcBorders>
            <w:shd w:val="clear" w:color="auto" w:fill="auto"/>
            <w:vAlign w:val="center"/>
          </w:tcPr>
          <w:p w14:paraId="5B205F6B">
            <w:pPr>
              <w:keepNext w:val="0"/>
              <w:keepLines w:val="0"/>
              <w:widowControl/>
              <w:suppressLineNumbers w:val="0"/>
              <w:spacing w:line="240" w:lineRule="auto"/>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控制措施</w:t>
            </w:r>
          </w:p>
        </w:tc>
      </w:tr>
      <w:tr w14:paraId="4BBCFC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5EF16BA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74C53552">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0F5F42">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52F3CFA5">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325BFFC4">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2E1F3C11">
            <w:pPr>
              <w:spacing w:line="240" w:lineRule="auto"/>
              <w:jc w:val="center"/>
              <w:rPr>
                <w:rFonts w:hint="eastAsia" w:ascii="宋体" w:hAnsi="宋体" w:eastAsia="宋体" w:cs="宋体"/>
                <w:b/>
                <w:bCs/>
                <w:i w:val="0"/>
                <w:iCs w:val="0"/>
                <w:color w:val="000000"/>
                <w:sz w:val="18"/>
                <w:szCs w:val="18"/>
                <w:highlight w:val="none"/>
                <w:u w:val="none"/>
              </w:rPr>
            </w:pPr>
          </w:p>
        </w:tc>
      </w:tr>
      <w:tr w14:paraId="26ACB370">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240" w:hRule="atLeast"/>
        </w:trPr>
        <w:tc>
          <w:tcPr>
            <w:tcW w:w="243" w:type="pct"/>
            <w:vMerge w:val="continue"/>
            <w:tcBorders>
              <w:tl2br w:val="nil"/>
              <w:tr2bl w:val="nil"/>
            </w:tcBorders>
            <w:shd w:val="clear" w:color="auto" w:fill="auto"/>
            <w:vAlign w:val="center"/>
          </w:tcPr>
          <w:p w14:paraId="3675DF20">
            <w:pPr>
              <w:spacing w:line="240" w:lineRule="auto"/>
              <w:jc w:val="center"/>
              <w:rPr>
                <w:rFonts w:hint="eastAsia" w:ascii="宋体" w:hAnsi="宋体" w:eastAsia="宋体" w:cs="宋体"/>
                <w:b/>
                <w:bCs/>
                <w:i w:val="0"/>
                <w:iCs w:val="0"/>
                <w:color w:val="000000"/>
                <w:sz w:val="18"/>
                <w:szCs w:val="18"/>
                <w:highlight w:val="none"/>
                <w:u w:val="none"/>
              </w:rPr>
            </w:pPr>
          </w:p>
        </w:tc>
        <w:tc>
          <w:tcPr>
            <w:tcW w:w="326" w:type="pct"/>
            <w:vMerge w:val="continue"/>
            <w:tcBorders>
              <w:tl2br w:val="nil"/>
              <w:tr2bl w:val="nil"/>
            </w:tcBorders>
            <w:shd w:val="clear" w:color="auto" w:fill="auto"/>
            <w:vAlign w:val="center"/>
          </w:tcPr>
          <w:p w14:paraId="4EB49331">
            <w:pPr>
              <w:spacing w:line="240" w:lineRule="auto"/>
              <w:jc w:val="center"/>
              <w:rPr>
                <w:rFonts w:hint="eastAsia" w:ascii="宋体" w:hAnsi="宋体" w:eastAsia="宋体" w:cs="宋体"/>
                <w:b/>
                <w:bCs/>
                <w:i w:val="0"/>
                <w:iCs w:val="0"/>
                <w:color w:val="000000"/>
                <w:sz w:val="18"/>
                <w:szCs w:val="18"/>
                <w:highlight w:val="none"/>
                <w:u w:val="none"/>
              </w:rPr>
            </w:pPr>
          </w:p>
        </w:tc>
        <w:tc>
          <w:tcPr>
            <w:tcW w:w="2559" w:type="pct"/>
            <w:vMerge w:val="continue"/>
            <w:tcBorders>
              <w:tl2br w:val="nil"/>
              <w:tr2bl w:val="nil"/>
            </w:tcBorders>
            <w:shd w:val="clear" w:color="auto" w:fill="auto"/>
            <w:vAlign w:val="center"/>
          </w:tcPr>
          <w:p w14:paraId="1B861C73">
            <w:pPr>
              <w:spacing w:line="240" w:lineRule="auto"/>
              <w:jc w:val="center"/>
              <w:rPr>
                <w:rFonts w:hint="eastAsia" w:ascii="宋体" w:hAnsi="宋体" w:eastAsia="宋体" w:cs="宋体"/>
                <w:b/>
                <w:bCs/>
                <w:i w:val="0"/>
                <w:iCs w:val="0"/>
                <w:color w:val="000000"/>
                <w:sz w:val="18"/>
                <w:szCs w:val="18"/>
                <w:highlight w:val="none"/>
                <w:u w:val="none"/>
              </w:rPr>
            </w:pPr>
          </w:p>
        </w:tc>
        <w:tc>
          <w:tcPr>
            <w:tcW w:w="520" w:type="pct"/>
            <w:vMerge w:val="continue"/>
            <w:tcBorders>
              <w:tl2br w:val="nil"/>
              <w:tr2bl w:val="nil"/>
            </w:tcBorders>
            <w:shd w:val="clear" w:color="auto" w:fill="auto"/>
            <w:vAlign w:val="center"/>
          </w:tcPr>
          <w:p w14:paraId="4FE629FB">
            <w:pPr>
              <w:spacing w:line="240" w:lineRule="auto"/>
              <w:jc w:val="center"/>
              <w:rPr>
                <w:rFonts w:hint="eastAsia" w:ascii="宋体" w:hAnsi="宋体" w:eastAsia="宋体" w:cs="宋体"/>
                <w:b/>
                <w:bCs/>
                <w:i w:val="0"/>
                <w:iCs w:val="0"/>
                <w:color w:val="000000"/>
                <w:sz w:val="18"/>
                <w:szCs w:val="18"/>
                <w:highlight w:val="none"/>
                <w:u w:val="none"/>
              </w:rPr>
            </w:pPr>
          </w:p>
        </w:tc>
        <w:tc>
          <w:tcPr>
            <w:tcW w:w="298" w:type="pct"/>
            <w:vMerge w:val="continue"/>
            <w:tcBorders>
              <w:tl2br w:val="nil"/>
              <w:tr2bl w:val="nil"/>
            </w:tcBorders>
            <w:shd w:val="clear" w:color="auto" w:fill="auto"/>
            <w:vAlign w:val="center"/>
          </w:tcPr>
          <w:p w14:paraId="2306F555">
            <w:pPr>
              <w:spacing w:line="240" w:lineRule="auto"/>
              <w:jc w:val="center"/>
              <w:rPr>
                <w:rFonts w:hint="eastAsia" w:ascii="宋体" w:hAnsi="宋体" w:eastAsia="宋体" w:cs="宋体"/>
                <w:b/>
                <w:bCs/>
                <w:i w:val="0"/>
                <w:iCs w:val="0"/>
                <w:color w:val="000000"/>
                <w:sz w:val="18"/>
                <w:szCs w:val="18"/>
                <w:highlight w:val="none"/>
                <w:u w:val="none"/>
              </w:rPr>
            </w:pPr>
          </w:p>
        </w:tc>
        <w:tc>
          <w:tcPr>
            <w:tcW w:w="1051" w:type="pct"/>
            <w:vMerge w:val="continue"/>
            <w:tcBorders>
              <w:tl2br w:val="nil"/>
              <w:tr2bl w:val="nil"/>
            </w:tcBorders>
            <w:shd w:val="clear" w:color="auto" w:fill="auto"/>
            <w:vAlign w:val="center"/>
          </w:tcPr>
          <w:p w14:paraId="6941F265">
            <w:pPr>
              <w:spacing w:line="240" w:lineRule="auto"/>
              <w:jc w:val="center"/>
              <w:rPr>
                <w:rFonts w:hint="eastAsia" w:ascii="宋体" w:hAnsi="宋体" w:eastAsia="宋体" w:cs="宋体"/>
                <w:b/>
                <w:bCs/>
                <w:i w:val="0"/>
                <w:iCs w:val="0"/>
                <w:color w:val="000000"/>
                <w:sz w:val="18"/>
                <w:szCs w:val="18"/>
                <w:highlight w:val="none"/>
                <w:u w:val="none"/>
              </w:rPr>
            </w:pPr>
          </w:p>
        </w:tc>
      </w:tr>
      <w:tr w14:paraId="5C2F9102">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520" w:hRule="atLeast"/>
        </w:trPr>
        <w:tc>
          <w:tcPr>
            <w:tcW w:w="243" w:type="pct"/>
            <w:tcBorders>
              <w:tl2br w:val="nil"/>
              <w:tr2bl w:val="nil"/>
            </w:tcBorders>
            <w:shd w:val="clear" w:color="auto" w:fill="auto"/>
            <w:vAlign w:val="center"/>
          </w:tcPr>
          <w:p w14:paraId="7322E41C">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326" w:type="pct"/>
            <w:vMerge w:val="restart"/>
            <w:tcBorders>
              <w:tl2br w:val="nil"/>
              <w:tr2bl w:val="nil"/>
            </w:tcBorders>
            <w:shd w:val="clear" w:color="auto" w:fill="auto"/>
            <w:vAlign w:val="center"/>
          </w:tcPr>
          <w:p w14:paraId="635F4570">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塔吊安装</w:t>
            </w:r>
          </w:p>
        </w:tc>
        <w:tc>
          <w:tcPr>
            <w:tcW w:w="2559" w:type="pct"/>
            <w:tcBorders>
              <w:tl2br w:val="nil"/>
              <w:tr2bl w:val="nil"/>
            </w:tcBorders>
            <w:shd w:val="clear" w:color="auto" w:fill="auto"/>
            <w:vAlign w:val="center"/>
          </w:tcPr>
          <w:p w14:paraId="6B7BFF76">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安装前没有对基础进行验收基础周围没有排水设施</w:t>
            </w:r>
          </w:p>
        </w:tc>
        <w:tc>
          <w:tcPr>
            <w:tcW w:w="520" w:type="pct"/>
            <w:tcBorders>
              <w:tl2br w:val="nil"/>
              <w:tr2bl w:val="nil"/>
            </w:tcBorders>
            <w:shd w:val="clear" w:color="auto" w:fill="auto"/>
            <w:vAlign w:val="center"/>
          </w:tcPr>
          <w:p w14:paraId="662D8BBA">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坍塌</w:t>
            </w:r>
          </w:p>
        </w:tc>
        <w:tc>
          <w:tcPr>
            <w:tcW w:w="298" w:type="pct"/>
            <w:tcBorders>
              <w:tl2br w:val="nil"/>
              <w:tr2bl w:val="nil"/>
            </w:tcBorders>
            <w:shd w:val="clear" w:color="auto" w:fill="auto"/>
            <w:vAlign w:val="center"/>
          </w:tcPr>
          <w:p w14:paraId="732DF75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2961ECF4">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施工前对场地排水进行检查，验收合格方可施工</w:t>
            </w:r>
          </w:p>
        </w:tc>
      </w:tr>
      <w:tr w14:paraId="098A315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23A3347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326" w:type="pct"/>
            <w:vMerge w:val="continue"/>
            <w:tcBorders>
              <w:tl2br w:val="nil"/>
              <w:tr2bl w:val="nil"/>
            </w:tcBorders>
            <w:shd w:val="clear" w:color="auto" w:fill="auto"/>
            <w:vAlign w:val="center"/>
          </w:tcPr>
          <w:p w14:paraId="75B32C28">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5F8D19DE">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安装作业未按照专项方案要求实施安装前未对安装作业人员进行安全技术交底</w:t>
            </w:r>
          </w:p>
        </w:tc>
        <w:tc>
          <w:tcPr>
            <w:tcW w:w="520" w:type="pct"/>
            <w:tcBorders>
              <w:tl2br w:val="nil"/>
              <w:tr2bl w:val="nil"/>
            </w:tcBorders>
            <w:shd w:val="clear" w:color="auto" w:fill="auto"/>
            <w:vAlign w:val="center"/>
          </w:tcPr>
          <w:p w14:paraId="02DADF32">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42979A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36B791E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施工前落实交底制度，确保每位进场人员全覆盖</w:t>
            </w:r>
          </w:p>
        </w:tc>
      </w:tr>
      <w:tr w14:paraId="529338D4">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1920" w:hRule="atLeast"/>
        </w:trPr>
        <w:tc>
          <w:tcPr>
            <w:tcW w:w="243" w:type="pct"/>
            <w:tcBorders>
              <w:tl2br w:val="nil"/>
              <w:tr2bl w:val="nil"/>
            </w:tcBorders>
            <w:shd w:val="clear" w:color="auto" w:fill="auto"/>
            <w:vAlign w:val="center"/>
          </w:tcPr>
          <w:p w14:paraId="4837F93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326" w:type="pct"/>
            <w:vMerge w:val="continue"/>
            <w:tcBorders>
              <w:tl2br w:val="nil"/>
              <w:tr2bl w:val="nil"/>
            </w:tcBorders>
            <w:shd w:val="clear" w:color="auto" w:fill="auto"/>
            <w:vAlign w:val="center"/>
          </w:tcPr>
          <w:p w14:paraId="3BC3F884">
            <w:pPr>
              <w:spacing w:line="240" w:lineRule="auto"/>
              <w:jc w:val="center"/>
              <w:rPr>
                <w:rFonts w:hint="eastAsia" w:ascii="宋体" w:hAnsi="宋体" w:eastAsia="宋体" w:cs="宋体"/>
                <w:i w:val="0"/>
                <w:iCs w:val="0"/>
                <w:color w:val="000000"/>
                <w:sz w:val="18"/>
                <w:szCs w:val="18"/>
                <w:highlight w:val="none"/>
                <w:u w:val="none"/>
              </w:rPr>
            </w:pPr>
          </w:p>
        </w:tc>
        <w:tc>
          <w:tcPr>
            <w:tcW w:w="2559" w:type="pct"/>
            <w:tcBorders>
              <w:tl2br w:val="nil"/>
              <w:tr2bl w:val="nil"/>
            </w:tcBorders>
            <w:shd w:val="clear" w:color="auto" w:fill="auto"/>
            <w:vAlign w:val="center"/>
          </w:tcPr>
          <w:p w14:paraId="372578AF">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升式塔式起重机的顶升加节不符合下列规定：1、顶升系统必须完好，2、构筑物件必须完好，3、顶升前，塔机下支座与顶升套架应可靠连接，4、顶升前，应保持顶升横梁搁置正确，5、顶升前，应将塔机配平顶升过程中应确保塔机的平衡，6、顶升加节的顺序，应符合使用说明书的规定，7、顶升过程中，不应进行起升、回转、变幅等动作，8、顶升结束后，应将标准节与回转下支座可靠连接，9、塔机加节后需附着的，应按照先安装附着装置、后顶升加节的顺序进行，附着装置的位置和支撑点的强度应符合要求</w:t>
            </w:r>
          </w:p>
        </w:tc>
        <w:tc>
          <w:tcPr>
            <w:tcW w:w="520" w:type="pct"/>
            <w:tcBorders>
              <w:tl2br w:val="nil"/>
              <w:tr2bl w:val="nil"/>
            </w:tcBorders>
            <w:shd w:val="clear" w:color="auto" w:fill="auto"/>
            <w:vAlign w:val="center"/>
          </w:tcPr>
          <w:p w14:paraId="6DDCE41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起重伤害</w:t>
            </w:r>
          </w:p>
        </w:tc>
        <w:tc>
          <w:tcPr>
            <w:tcW w:w="298" w:type="pct"/>
            <w:tcBorders>
              <w:tl2br w:val="nil"/>
              <w:tr2bl w:val="nil"/>
            </w:tcBorders>
            <w:shd w:val="clear" w:color="auto" w:fill="auto"/>
            <w:vAlign w:val="center"/>
          </w:tcPr>
          <w:p w14:paraId="711317F8">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1D540353">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安排专人进行塔吊安拆工作。安装完成后落实验收程序。报专业机构验收合格后，由项目部组织邀请监理和业主单位进行验收。施工过程中定期进行检查维护，对破损构件及时进行更换。</w:t>
            </w:r>
          </w:p>
        </w:tc>
      </w:tr>
      <w:tr w14:paraId="750597C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52D11FC4">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326" w:type="pct"/>
            <w:tcBorders>
              <w:tl2br w:val="nil"/>
              <w:tr2bl w:val="nil"/>
            </w:tcBorders>
            <w:shd w:val="clear" w:color="auto" w:fill="auto"/>
            <w:vAlign w:val="center"/>
          </w:tcPr>
          <w:p w14:paraId="324EA28A">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交叉</w:t>
            </w:r>
          </w:p>
          <w:p w14:paraId="5A785D2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作业</w:t>
            </w:r>
          </w:p>
        </w:tc>
        <w:tc>
          <w:tcPr>
            <w:tcW w:w="2559" w:type="pct"/>
            <w:tcBorders>
              <w:tl2br w:val="nil"/>
              <w:tr2bl w:val="nil"/>
            </w:tcBorders>
            <w:shd w:val="clear" w:color="auto" w:fill="auto"/>
            <w:vAlign w:val="center"/>
          </w:tcPr>
          <w:p w14:paraId="6C20BEE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交叉作业时，下层作业的位置没有处于上层作业的坠落半径之外当达不到规定时，没有设置安全防护棚、下方没有设置警戒隔离区</w:t>
            </w:r>
          </w:p>
        </w:tc>
        <w:tc>
          <w:tcPr>
            <w:tcW w:w="520" w:type="pct"/>
            <w:tcBorders>
              <w:tl2br w:val="nil"/>
              <w:tr2bl w:val="nil"/>
            </w:tcBorders>
            <w:shd w:val="clear" w:color="auto" w:fill="auto"/>
            <w:vAlign w:val="center"/>
          </w:tcPr>
          <w:p w14:paraId="2A469ED9">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物体打击</w:t>
            </w:r>
          </w:p>
        </w:tc>
        <w:tc>
          <w:tcPr>
            <w:tcW w:w="298" w:type="pct"/>
            <w:tcBorders>
              <w:tl2br w:val="nil"/>
              <w:tr2bl w:val="nil"/>
            </w:tcBorders>
            <w:shd w:val="clear" w:color="auto" w:fill="auto"/>
            <w:vAlign w:val="center"/>
          </w:tcPr>
          <w:p w14:paraId="7A66937F">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43E20E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高处作业交叉作业时，如有条件设置防坠网。高处平台小型设备及工具妥善保管。</w:t>
            </w:r>
          </w:p>
        </w:tc>
      </w:tr>
      <w:tr w14:paraId="07241AE3">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960" w:hRule="atLeast"/>
        </w:trPr>
        <w:tc>
          <w:tcPr>
            <w:tcW w:w="243" w:type="pct"/>
            <w:tcBorders>
              <w:tl2br w:val="nil"/>
              <w:tr2bl w:val="nil"/>
            </w:tcBorders>
            <w:shd w:val="clear" w:color="auto" w:fill="auto"/>
            <w:vAlign w:val="center"/>
          </w:tcPr>
          <w:p w14:paraId="298908F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326" w:type="pct"/>
            <w:tcBorders>
              <w:tl2br w:val="nil"/>
              <w:tr2bl w:val="nil"/>
            </w:tcBorders>
            <w:shd w:val="clear" w:color="auto" w:fill="auto"/>
            <w:vAlign w:val="center"/>
          </w:tcPr>
          <w:p w14:paraId="6F33990B">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w:t>
            </w:r>
          </w:p>
        </w:tc>
        <w:tc>
          <w:tcPr>
            <w:tcW w:w="2559" w:type="pct"/>
            <w:tcBorders>
              <w:tl2br w:val="nil"/>
              <w:tr2bl w:val="nil"/>
            </w:tcBorders>
            <w:shd w:val="clear" w:color="auto" w:fill="auto"/>
            <w:vAlign w:val="center"/>
          </w:tcPr>
          <w:p w14:paraId="34E8C8A7">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夜间施工时，作业场所未设置照明设备，照度不满足施工要求，光束直接照射机械操作和指挥人员</w:t>
            </w:r>
          </w:p>
        </w:tc>
        <w:tc>
          <w:tcPr>
            <w:tcW w:w="520" w:type="pct"/>
            <w:tcBorders>
              <w:tl2br w:val="nil"/>
              <w:tr2bl w:val="nil"/>
            </w:tcBorders>
            <w:shd w:val="clear" w:color="auto" w:fill="auto"/>
            <w:vAlign w:val="center"/>
          </w:tcPr>
          <w:p w14:paraId="086B54F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其它</w:t>
            </w:r>
          </w:p>
        </w:tc>
        <w:tc>
          <w:tcPr>
            <w:tcW w:w="298" w:type="pct"/>
            <w:tcBorders>
              <w:tl2br w:val="nil"/>
              <w:tr2bl w:val="nil"/>
            </w:tcBorders>
            <w:shd w:val="clear" w:color="auto" w:fill="auto"/>
            <w:vAlign w:val="center"/>
          </w:tcPr>
          <w:p w14:paraId="564DA7A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7D093088">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夜间施工时，作业场所设置照明设备，光束不直接照射指挥人员，并设置夜间警示标志和警示灯</w:t>
            </w:r>
          </w:p>
        </w:tc>
      </w:tr>
      <w:tr w14:paraId="5FBE179C">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tblCellMar>
            <w:top w:w="0" w:type="dxa"/>
            <w:left w:w="108" w:type="dxa"/>
            <w:bottom w:w="0" w:type="dxa"/>
            <w:right w:w="108" w:type="dxa"/>
          </w:tblCellMar>
        </w:tblPrEx>
        <w:trPr>
          <w:trHeight w:val="480" w:hRule="atLeast"/>
        </w:trPr>
        <w:tc>
          <w:tcPr>
            <w:tcW w:w="243" w:type="pct"/>
            <w:tcBorders>
              <w:tl2br w:val="nil"/>
              <w:tr2bl w:val="nil"/>
            </w:tcBorders>
            <w:shd w:val="clear" w:color="auto" w:fill="auto"/>
            <w:vAlign w:val="center"/>
          </w:tcPr>
          <w:p w14:paraId="4789D627">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326" w:type="pct"/>
            <w:tcBorders>
              <w:tl2br w:val="nil"/>
              <w:tr2bl w:val="nil"/>
            </w:tcBorders>
            <w:shd w:val="clear" w:color="auto" w:fill="auto"/>
            <w:vAlign w:val="center"/>
          </w:tcPr>
          <w:p w14:paraId="7B61243E">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台风季节施工</w:t>
            </w:r>
          </w:p>
        </w:tc>
        <w:tc>
          <w:tcPr>
            <w:tcW w:w="2559" w:type="pct"/>
            <w:tcBorders>
              <w:tl2br w:val="nil"/>
              <w:tr2bl w:val="nil"/>
            </w:tcBorders>
            <w:shd w:val="clear" w:color="auto" w:fill="auto"/>
            <w:vAlign w:val="center"/>
          </w:tcPr>
          <w:p w14:paraId="196701B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在建工程、机械设备、临时设施、生活和办公用房未做防风加固，排水沟渠不通畅</w:t>
            </w:r>
          </w:p>
        </w:tc>
        <w:tc>
          <w:tcPr>
            <w:tcW w:w="520" w:type="pct"/>
            <w:tcBorders>
              <w:tl2br w:val="nil"/>
              <w:tr2bl w:val="nil"/>
            </w:tcBorders>
            <w:shd w:val="clear" w:color="auto" w:fill="auto"/>
            <w:vAlign w:val="center"/>
          </w:tcPr>
          <w:p w14:paraId="79B77681">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3FC93A66">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51CDE8E9">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 级以上大风等恶劣天气，脚手架使用前重新进行检查</w:t>
            </w:r>
          </w:p>
        </w:tc>
      </w:tr>
      <w:tr w14:paraId="10CF3B5E">
        <w:tblPrEx>
          <w:tblBorders>
            <w:top w:val="double" w:color="0000E3" w:sz="6" w:space="0"/>
            <w:left w:val="double" w:color="0000E3" w:sz="6" w:space="0"/>
            <w:bottom w:val="double" w:color="0000E3" w:sz="6" w:space="0"/>
            <w:right w:val="double" w:color="0000E3" w:sz="6" w:space="0"/>
            <w:insideH w:val="single" w:color="0000E3" w:sz="4" w:space="0"/>
            <w:insideV w:val="single" w:color="0000E3" w:sz="4" w:space="0"/>
          </w:tblBorders>
          <w:shd w:val="clear" w:color="auto" w:fill="auto"/>
          <w:tblCellMar>
            <w:top w:w="0" w:type="dxa"/>
            <w:left w:w="108" w:type="dxa"/>
            <w:bottom w:w="0" w:type="dxa"/>
            <w:right w:w="108" w:type="dxa"/>
          </w:tblCellMar>
        </w:tblPrEx>
        <w:trPr>
          <w:trHeight w:val="720" w:hRule="atLeast"/>
        </w:trPr>
        <w:tc>
          <w:tcPr>
            <w:tcW w:w="243" w:type="pct"/>
            <w:tcBorders>
              <w:tl2br w:val="nil"/>
              <w:tr2bl w:val="nil"/>
            </w:tcBorders>
            <w:shd w:val="clear" w:color="auto" w:fill="auto"/>
            <w:vAlign w:val="center"/>
          </w:tcPr>
          <w:p w14:paraId="7E33136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326" w:type="pct"/>
            <w:tcBorders>
              <w:tl2br w:val="nil"/>
              <w:tr2bl w:val="nil"/>
            </w:tcBorders>
            <w:shd w:val="clear" w:color="auto" w:fill="auto"/>
            <w:vAlign w:val="center"/>
          </w:tcPr>
          <w:p w14:paraId="17059CF3">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汛期施工</w:t>
            </w:r>
          </w:p>
        </w:tc>
        <w:tc>
          <w:tcPr>
            <w:tcW w:w="2559" w:type="pct"/>
            <w:tcBorders>
              <w:tl2br w:val="nil"/>
              <w:tr2bl w:val="nil"/>
            </w:tcBorders>
            <w:shd w:val="clear" w:color="auto" w:fill="auto"/>
            <w:vAlign w:val="center"/>
          </w:tcPr>
          <w:p w14:paraId="1C7B53F1">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易发生洪水、泥石流、滑坡等灾害的施工现场未加强观测、预警，发现危险预兆未及时撤离作业人员和施工机械设备</w:t>
            </w:r>
          </w:p>
        </w:tc>
        <w:tc>
          <w:tcPr>
            <w:tcW w:w="520" w:type="pct"/>
            <w:tcBorders>
              <w:tl2br w:val="nil"/>
              <w:tr2bl w:val="nil"/>
            </w:tcBorders>
            <w:shd w:val="clear" w:color="auto" w:fill="auto"/>
            <w:vAlign w:val="center"/>
          </w:tcPr>
          <w:p w14:paraId="4BBEE305">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自然灾害</w:t>
            </w:r>
          </w:p>
        </w:tc>
        <w:tc>
          <w:tcPr>
            <w:tcW w:w="298" w:type="pct"/>
            <w:tcBorders>
              <w:tl2br w:val="nil"/>
              <w:tr2bl w:val="nil"/>
            </w:tcBorders>
            <w:shd w:val="clear" w:color="auto" w:fill="auto"/>
            <w:vAlign w:val="center"/>
          </w:tcPr>
          <w:p w14:paraId="75F5EFED">
            <w:pPr>
              <w:keepNext w:val="0"/>
              <w:keepLines w:val="0"/>
              <w:widowControl/>
              <w:suppressLineNumbers w:val="0"/>
              <w:spacing w:line="240" w:lineRule="auto"/>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Ⅱ</w:t>
            </w:r>
          </w:p>
        </w:tc>
        <w:tc>
          <w:tcPr>
            <w:tcW w:w="1051" w:type="pct"/>
            <w:tcBorders>
              <w:tl2br w:val="nil"/>
              <w:tr2bl w:val="nil"/>
            </w:tcBorders>
            <w:shd w:val="clear" w:color="auto" w:fill="auto"/>
            <w:vAlign w:val="center"/>
          </w:tcPr>
          <w:p w14:paraId="6AA24E75">
            <w:pPr>
              <w:keepNext w:val="0"/>
              <w:keepLines w:val="0"/>
              <w:widowControl/>
              <w:suppressLineNumbers w:val="0"/>
              <w:spacing w:line="240" w:lineRule="auto"/>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做好汛期警戒工作，对易发生洪水、泥石流、滑坡等灾害部位加强观测</w:t>
            </w:r>
          </w:p>
        </w:tc>
      </w:tr>
    </w:tbl>
    <w:p w14:paraId="7D06C13B">
      <w:pPr>
        <w:pStyle w:val="3"/>
        <w:keepNext/>
        <w:keepLines/>
        <w:pageBreakBefore w:val="0"/>
        <w:widowControl w:val="0"/>
        <w:numPr>
          <w:ilvl w:val="0"/>
          <w:numId w:val="0"/>
        </w:numPr>
        <w:kinsoku/>
        <w:wordWrap/>
        <w:overflowPunct/>
        <w:topLinePunct w:val="0"/>
        <w:autoSpaceDE/>
        <w:autoSpaceDN/>
        <w:bidi w:val="0"/>
        <w:adjustRightInd/>
        <w:snapToGrid/>
        <w:spacing w:line="413" w:lineRule="auto"/>
        <w:textAlignment w:val="auto"/>
        <w:outlineLvl w:val="1"/>
        <w:rPr>
          <w:rFonts w:hint="eastAsia"/>
          <w:highlight w:val="none"/>
        </w:rPr>
      </w:pPr>
      <w:bookmarkStart w:id="386" w:name="_Toc7139"/>
      <w:bookmarkStart w:id="387" w:name="_Toc22149"/>
      <w:r>
        <w:rPr>
          <w:rFonts w:hint="eastAsia"/>
          <w:highlight w:val="none"/>
          <w:lang w:val="en-US" w:eastAsia="zh-CN"/>
        </w:rPr>
        <w:t>9.2</w:t>
      </w:r>
      <w:r>
        <w:rPr>
          <w:rFonts w:hint="eastAsia"/>
          <w:highlight w:val="none"/>
        </w:rPr>
        <w:t>组织</w:t>
      </w:r>
      <w:r>
        <w:rPr>
          <w:rFonts w:hint="eastAsia"/>
          <w:highlight w:val="none"/>
          <w:lang w:val="en-US" w:eastAsia="zh-CN"/>
        </w:rPr>
        <w:t>机</w:t>
      </w:r>
      <w:r>
        <w:rPr>
          <w:rFonts w:hint="eastAsia"/>
          <w:highlight w:val="none"/>
        </w:rPr>
        <w:t>构及职责</w:t>
      </w:r>
      <w:bookmarkEnd w:id="383"/>
      <w:bookmarkEnd w:id="384"/>
      <w:bookmarkEnd w:id="385"/>
      <w:bookmarkEnd w:id="386"/>
      <w:bookmarkEnd w:id="387"/>
    </w:p>
    <w:p w14:paraId="42429EFE">
      <w:pPr>
        <w:pStyle w:val="4"/>
        <w:bidi w:val="0"/>
        <w:rPr>
          <w:rFonts w:hint="eastAsia"/>
          <w:highlight w:val="none"/>
        </w:rPr>
      </w:pPr>
      <w:bookmarkStart w:id="388" w:name="_Toc530055718"/>
      <w:r>
        <w:rPr>
          <w:rFonts w:hint="eastAsia"/>
          <w:highlight w:val="none"/>
          <w:lang w:val="en-US" w:eastAsia="zh-CN"/>
        </w:rPr>
        <w:t>9.2.1</w:t>
      </w:r>
      <w:r>
        <w:rPr>
          <w:rFonts w:hint="eastAsia"/>
          <w:highlight w:val="none"/>
        </w:rPr>
        <w:t>应急处置领导小组</w:t>
      </w:r>
      <w:bookmarkEnd w:id="388"/>
    </w:p>
    <w:p w14:paraId="40BFA608">
      <w:pPr>
        <w:ind w:firstLine="643"/>
        <w:rPr>
          <w:rFonts w:hint="default" w:ascii="Times New Roman" w:hAnsi="Times New Roman" w:eastAsia="宋体" w:cstheme="minorBidi"/>
          <w:szCs w:val="22"/>
          <w:highlight w:val="none"/>
          <w:lang w:val="en-US" w:eastAsia="zh-CN"/>
        </w:rPr>
      </w:pPr>
      <w:bookmarkStart w:id="389" w:name="_Toc530055719"/>
      <w:r>
        <w:rPr>
          <w:rFonts w:hint="default" w:ascii="Times New Roman" w:hAnsi="Times New Roman" w:eastAsia="宋体" w:cstheme="minorBidi"/>
          <w:szCs w:val="22"/>
          <w:highlight w:val="none"/>
          <w:lang w:val="en-US" w:eastAsia="zh-CN"/>
        </w:rPr>
        <w:t>项目部成立以项目经理</w:t>
      </w:r>
      <w:r>
        <w:rPr>
          <w:rFonts w:hint="eastAsia" w:ascii="Times New Roman" w:hAnsi="Times New Roman" w:eastAsia="宋体" w:cstheme="minorBidi"/>
          <w:szCs w:val="22"/>
          <w:highlight w:val="none"/>
          <w:lang w:val="en-US" w:eastAsia="zh-CN"/>
        </w:rPr>
        <w:t>、</w:t>
      </w:r>
      <w:r>
        <w:rPr>
          <w:rFonts w:hint="default" w:ascii="Times New Roman" w:hAnsi="Times New Roman" w:eastAsia="宋体" w:cstheme="minorBidi"/>
          <w:szCs w:val="22"/>
          <w:highlight w:val="none"/>
          <w:lang w:val="en-US" w:eastAsia="zh-CN"/>
        </w:rPr>
        <w:t>项目书记为组长，总工程师、</w:t>
      </w:r>
      <w:r>
        <w:rPr>
          <w:rFonts w:hint="eastAsia" w:ascii="Times New Roman" w:hAnsi="Times New Roman" w:eastAsia="宋体" w:cstheme="minorBidi"/>
          <w:szCs w:val="22"/>
          <w:highlight w:val="none"/>
          <w:lang w:val="en-US" w:eastAsia="zh-CN"/>
        </w:rPr>
        <w:t>副经理、安全总监等其他副职领导</w:t>
      </w:r>
      <w:r>
        <w:rPr>
          <w:rFonts w:hint="default" w:ascii="Times New Roman" w:hAnsi="Times New Roman" w:eastAsia="宋体" w:cstheme="minorBidi"/>
          <w:szCs w:val="22"/>
          <w:highlight w:val="none"/>
          <w:lang w:val="en-US" w:eastAsia="zh-CN"/>
        </w:rPr>
        <w:t>为副组长，各</w:t>
      </w:r>
      <w:r>
        <w:rPr>
          <w:rFonts w:hint="eastAsia" w:ascii="Times New Roman" w:hAnsi="Times New Roman" w:eastAsia="宋体" w:cstheme="minorBidi"/>
          <w:szCs w:val="22"/>
          <w:highlight w:val="none"/>
          <w:lang w:val="en-US" w:eastAsia="zh-CN"/>
        </w:rPr>
        <w:t>职能</w:t>
      </w:r>
      <w:r>
        <w:rPr>
          <w:rFonts w:hint="default" w:ascii="Times New Roman" w:hAnsi="Times New Roman" w:eastAsia="宋体" w:cstheme="minorBidi"/>
          <w:szCs w:val="22"/>
          <w:highlight w:val="none"/>
          <w:lang w:val="en-US" w:eastAsia="zh-CN"/>
        </w:rPr>
        <w:t>部门负责人及各协作队伍负责人为组员的安全应急领导小组</w:t>
      </w:r>
      <w:r>
        <w:rPr>
          <w:rFonts w:hint="eastAsia" w:ascii="Times New Roman" w:hAnsi="Times New Roman" w:eastAsia="宋体" w:cstheme="minorBidi"/>
          <w:szCs w:val="22"/>
          <w:highlight w:val="none"/>
          <w:lang w:val="en-US" w:eastAsia="zh-CN"/>
        </w:rPr>
        <w:t>。</w:t>
      </w:r>
    </w:p>
    <w:p w14:paraId="15B92C34">
      <w:pPr>
        <w:ind w:firstLine="480"/>
        <w:rPr>
          <w:rFonts w:cstheme="minorBidi"/>
          <w:szCs w:val="22"/>
          <w:highlight w:val="none"/>
        </w:rPr>
      </w:pPr>
      <w:r>
        <w:rPr>
          <w:rFonts w:cstheme="minorBidi"/>
          <w:szCs w:val="22"/>
          <w:highlight w:val="none"/>
        </w:rPr>
        <w:t>组  长</w:t>
      </w:r>
      <w:r>
        <w:rPr>
          <w:rFonts w:hint="eastAsia" w:cstheme="minorBidi"/>
          <w:szCs w:val="22"/>
          <w:highlight w:val="none"/>
        </w:rPr>
        <w:t>：</w:t>
      </w:r>
      <w:r>
        <w:rPr>
          <w:rFonts w:hint="eastAsia"/>
          <w:highlight w:val="none"/>
        </w:rPr>
        <w:t>程金平</w:t>
      </w:r>
    </w:p>
    <w:p w14:paraId="02251F65">
      <w:pPr>
        <w:ind w:firstLine="480"/>
        <w:rPr>
          <w:rFonts w:hint="default" w:eastAsia="宋体" w:cstheme="minorBidi"/>
          <w:szCs w:val="22"/>
          <w:highlight w:val="none"/>
          <w:lang w:val="en-US" w:eastAsia="zh-CN"/>
        </w:rPr>
      </w:pPr>
      <w:r>
        <w:rPr>
          <w:rFonts w:cstheme="minorBidi"/>
          <w:szCs w:val="22"/>
          <w:highlight w:val="none"/>
        </w:rPr>
        <w:t>副组长：</w:t>
      </w:r>
      <w:r>
        <w:rPr>
          <w:rFonts w:hint="eastAsia" w:cstheme="minorBidi"/>
          <w:szCs w:val="22"/>
          <w:highlight w:val="none"/>
          <w:lang w:val="en-US" w:eastAsia="zh-CN"/>
        </w:rPr>
        <w:t>赵凯、刘海、刘斌、李野、刘海东、农世好</w:t>
      </w:r>
    </w:p>
    <w:p w14:paraId="225437F3">
      <w:pPr>
        <w:ind w:firstLine="480"/>
        <w:rPr>
          <w:rFonts w:hint="eastAsia"/>
          <w:highlight w:val="none"/>
          <w:lang w:val="en-US" w:eastAsia="zh-CN"/>
        </w:rPr>
      </w:pPr>
      <w:r>
        <w:rPr>
          <w:rFonts w:cstheme="minorBidi"/>
          <w:szCs w:val="22"/>
          <w:highlight w:val="none"/>
        </w:rPr>
        <w:t>组  员：</w:t>
      </w:r>
      <w:r>
        <w:rPr>
          <w:rFonts w:hint="eastAsia"/>
          <w:highlight w:val="none"/>
        </w:rPr>
        <w:t>岳蛟、</w:t>
      </w:r>
      <w:r>
        <w:rPr>
          <w:highlight w:val="none"/>
        </w:rPr>
        <w:t>李萌萌</w:t>
      </w:r>
      <w:r>
        <w:rPr>
          <w:rFonts w:hint="eastAsia"/>
          <w:highlight w:val="none"/>
        </w:rPr>
        <w:t>、刘嘉伟、黄硕、</w:t>
      </w:r>
      <w:r>
        <w:rPr>
          <w:highlight w:val="none"/>
        </w:rPr>
        <w:t>魏小雨</w:t>
      </w:r>
      <w:r>
        <w:rPr>
          <w:rFonts w:hint="eastAsia"/>
          <w:highlight w:val="none"/>
        </w:rPr>
        <w:t>、</w:t>
      </w:r>
      <w:r>
        <w:rPr>
          <w:highlight w:val="none"/>
        </w:rPr>
        <w:t>丁阳</w:t>
      </w:r>
      <w:r>
        <w:rPr>
          <w:rFonts w:hint="eastAsia"/>
          <w:highlight w:val="none"/>
        </w:rPr>
        <w:t>、</w:t>
      </w:r>
      <w:r>
        <w:rPr>
          <w:highlight w:val="none"/>
        </w:rPr>
        <w:t>陈硕</w:t>
      </w:r>
      <w:r>
        <w:rPr>
          <w:rFonts w:hint="eastAsia"/>
          <w:highlight w:val="none"/>
        </w:rPr>
        <w:t>、</w:t>
      </w:r>
      <w:r>
        <w:rPr>
          <w:rFonts w:hint="eastAsia"/>
          <w:highlight w:val="none"/>
          <w:lang w:val="en-US" w:eastAsia="zh-CN"/>
        </w:rPr>
        <w:t>刘慈龙</w:t>
      </w:r>
      <w:r>
        <w:rPr>
          <w:rFonts w:hint="eastAsia"/>
          <w:highlight w:val="none"/>
        </w:rPr>
        <w:t>、</w:t>
      </w:r>
      <w:r>
        <w:rPr>
          <w:rFonts w:hint="eastAsia"/>
          <w:highlight w:val="none"/>
          <w:lang w:val="en-US" w:eastAsia="zh-CN"/>
        </w:rPr>
        <w:t>桂海波</w:t>
      </w:r>
    </w:p>
    <w:p w14:paraId="4299E23B">
      <w:pPr>
        <w:ind w:firstLine="480" w:firstLineChars="200"/>
        <w:rPr>
          <w:highlight w:val="none"/>
        </w:rPr>
      </w:pPr>
      <w:bookmarkStart w:id="390" w:name="_Toc29787"/>
      <w:r>
        <w:rPr>
          <w:rFonts w:hint="eastAsia"/>
          <w:color w:val="000000"/>
          <w:kern w:val="0"/>
          <w:highlight w:val="none"/>
          <w:lang w:bidi="ar"/>
        </w:rPr>
        <w:t>应急救援领导小组办公室</w:t>
      </w:r>
      <w:bookmarkEnd w:id="390"/>
      <w:r>
        <w:rPr>
          <w:rFonts w:hint="eastAsia"/>
          <w:color w:val="000000"/>
          <w:kern w:val="0"/>
          <w:highlight w:val="none"/>
          <w:lang w:bidi="ar"/>
        </w:rPr>
        <w:t xml:space="preserve"> </w:t>
      </w:r>
    </w:p>
    <w:p w14:paraId="4D2BF7A1">
      <w:pPr>
        <w:widowControl/>
        <w:ind w:firstLine="480" w:firstLineChars="200"/>
        <w:jc w:val="left"/>
        <w:rPr>
          <w:highlight w:val="none"/>
        </w:rPr>
      </w:pPr>
      <w:r>
        <w:rPr>
          <w:rFonts w:hint="eastAsia"/>
          <w:color w:val="000000"/>
          <w:kern w:val="0"/>
          <w:highlight w:val="none"/>
          <w:lang w:bidi="ar"/>
        </w:rPr>
        <w:t>主  任：刘斌</w:t>
      </w:r>
    </w:p>
    <w:p w14:paraId="3AD9DCB4">
      <w:pPr>
        <w:widowControl/>
        <w:ind w:firstLine="480" w:firstLineChars="200"/>
        <w:jc w:val="left"/>
        <w:rPr>
          <w:rFonts w:hint="eastAsia"/>
          <w:highlight w:val="none"/>
          <w:lang w:val="en-US" w:eastAsia="zh-CN"/>
        </w:rPr>
      </w:pPr>
      <w:r>
        <w:rPr>
          <w:rFonts w:hint="eastAsia"/>
          <w:color w:val="000000"/>
          <w:kern w:val="0"/>
          <w:highlight w:val="none"/>
          <w:lang w:bidi="ar"/>
        </w:rPr>
        <w:t>成  员：陈硕、</w:t>
      </w:r>
      <w:r>
        <w:rPr>
          <w:rFonts w:hint="eastAsia"/>
          <w:color w:val="000000"/>
          <w:kern w:val="0"/>
          <w:highlight w:val="none"/>
          <w:lang w:val="en-US" w:eastAsia="zh-CN" w:bidi="ar"/>
        </w:rPr>
        <w:t>刘俊臣</w:t>
      </w:r>
      <w:r>
        <w:rPr>
          <w:rFonts w:hint="eastAsia"/>
          <w:color w:val="000000"/>
          <w:kern w:val="0"/>
          <w:highlight w:val="none"/>
          <w:lang w:bidi="ar"/>
        </w:rPr>
        <w:t>、</w:t>
      </w:r>
      <w:r>
        <w:rPr>
          <w:rFonts w:hint="eastAsia"/>
          <w:color w:val="000000"/>
          <w:kern w:val="0"/>
          <w:highlight w:val="none"/>
          <w:lang w:val="en-US" w:eastAsia="zh-CN" w:bidi="ar"/>
        </w:rPr>
        <w:t>苏靖晗</w:t>
      </w:r>
    </w:p>
    <w:p w14:paraId="3986D17E">
      <w:pPr>
        <w:pStyle w:val="4"/>
        <w:bidi w:val="0"/>
        <w:rPr>
          <w:rFonts w:hint="eastAsia" w:ascii="宋体" w:hAnsi="宋体" w:eastAsia="宋体"/>
          <w:highlight w:val="none"/>
          <w:lang w:val="en-US" w:eastAsia="zh-CN"/>
        </w:rPr>
      </w:pPr>
      <w:r>
        <w:rPr>
          <w:rFonts w:hint="eastAsia" w:ascii="宋体" w:hAnsi="宋体" w:eastAsia="宋体"/>
          <w:highlight w:val="none"/>
          <w:lang w:val="en-US" w:eastAsia="zh-CN"/>
        </w:rPr>
        <w:t>9.2.2职责</w:t>
      </w:r>
      <w:bookmarkEnd w:id="389"/>
    </w:p>
    <w:p w14:paraId="02B89FAD">
      <w:pPr>
        <w:ind w:firstLine="480"/>
        <w:rPr>
          <w:rFonts w:hint="default" w:ascii="宋体" w:hAnsi="宋体" w:eastAsia="宋体"/>
          <w:highlight w:val="none"/>
          <w:lang w:val="en-US" w:eastAsia="zh-CN"/>
        </w:rPr>
      </w:pPr>
      <w:r>
        <w:rPr>
          <w:rFonts w:hint="eastAsia"/>
          <w:highlight w:val="none"/>
          <w:lang w:val="en-US" w:eastAsia="zh-CN"/>
        </w:rPr>
        <w:t>1.领导小组职责</w:t>
      </w:r>
    </w:p>
    <w:p w14:paraId="3B3B8E53">
      <w:pPr>
        <w:ind w:firstLine="480"/>
        <w:rPr>
          <w:rFonts w:hint="eastAsia" w:ascii="宋体" w:hAnsi="宋体" w:eastAsia="宋体"/>
          <w:highlight w:val="none"/>
        </w:rPr>
      </w:pPr>
      <w:r>
        <w:rPr>
          <w:rFonts w:hint="eastAsia" w:ascii="宋体" w:hAnsi="宋体" w:eastAsia="宋体"/>
          <w:highlight w:val="none"/>
        </w:rPr>
        <w:t>（1）负责组织和制定应急处置措施；</w:t>
      </w:r>
    </w:p>
    <w:p w14:paraId="63BD38DD">
      <w:pPr>
        <w:ind w:firstLine="480"/>
        <w:rPr>
          <w:rFonts w:hint="eastAsia" w:ascii="宋体" w:hAnsi="宋体" w:eastAsia="宋体"/>
          <w:highlight w:val="none"/>
        </w:rPr>
      </w:pPr>
      <w:r>
        <w:rPr>
          <w:rFonts w:hint="eastAsia" w:ascii="宋体" w:hAnsi="宋体" w:eastAsia="宋体"/>
          <w:highlight w:val="none"/>
        </w:rPr>
        <w:t>（2）按规定的报告程序和时限，逐级上报事故；</w:t>
      </w:r>
    </w:p>
    <w:p w14:paraId="0ECFE6C4">
      <w:pPr>
        <w:ind w:firstLine="480"/>
        <w:rPr>
          <w:rFonts w:hint="eastAsia" w:ascii="宋体" w:hAnsi="宋体" w:eastAsia="宋体"/>
          <w:highlight w:val="none"/>
        </w:rPr>
      </w:pPr>
      <w:r>
        <w:rPr>
          <w:rFonts w:hint="eastAsia" w:ascii="宋体" w:hAnsi="宋体" w:eastAsia="宋体"/>
          <w:highlight w:val="none"/>
        </w:rPr>
        <w:t>（3）检查督促做好各项预防措施及应急资源的落实情况；</w:t>
      </w:r>
    </w:p>
    <w:p w14:paraId="450A8A15">
      <w:pPr>
        <w:ind w:firstLine="480"/>
        <w:rPr>
          <w:rFonts w:hint="eastAsia" w:ascii="宋体" w:hAnsi="宋体" w:eastAsia="宋体"/>
          <w:highlight w:val="none"/>
        </w:rPr>
      </w:pPr>
      <w:r>
        <w:rPr>
          <w:rFonts w:hint="eastAsia" w:ascii="宋体" w:hAnsi="宋体" w:eastAsia="宋体"/>
          <w:highlight w:val="none"/>
        </w:rPr>
        <w:t>（4）应急处置措施的组织与实施；</w:t>
      </w:r>
    </w:p>
    <w:p w14:paraId="4D88D10E">
      <w:pPr>
        <w:ind w:firstLine="480"/>
        <w:rPr>
          <w:rFonts w:hint="eastAsia" w:ascii="宋体" w:hAnsi="宋体" w:eastAsia="宋体"/>
          <w:highlight w:val="none"/>
        </w:rPr>
      </w:pPr>
      <w:r>
        <w:rPr>
          <w:rFonts w:hint="eastAsia" w:ascii="宋体" w:hAnsi="宋体" w:eastAsia="宋体"/>
          <w:highlight w:val="none"/>
        </w:rPr>
        <w:t>（5）当施工现场发生紧急情况时，发布和解除应急救援命令；</w:t>
      </w:r>
    </w:p>
    <w:p w14:paraId="747B9F4A">
      <w:pPr>
        <w:ind w:firstLine="480"/>
        <w:rPr>
          <w:rFonts w:hint="eastAsia" w:ascii="宋体" w:hAnsi="宋体" w:eastAsia="宋体"/>
          <w:highlight w:val="none"/>
        </w:rPr>
      </w:pPr>
      <w:r>
        <w:rPr>
          <w:rFonts w:hint="eastAsia" w:ascii="宋体" w:hAnsi="宋体" w:eastAsia="宋体"/>
          <w:highlight w:val="none"/>
        </w:rPr>
        <w:t>（6）随时了解和掌握处理事故的实际情况，根据情况作出应急对策；</w:t>
      </w:r>
    </w:p>
    <w:p w14:paraId="7890CCA2">
      <w:pPr>
        <w:ind w:firstLine="480"/>
        <w:rPr>
          <w:rFonts w:hint="eastAsia" w:ascii="宋体" w:hAnsi="宋体" w:eastAsia="宋体"/>
          <w:highlight w:val="none"/>
        </w:rPr>
      </w:pPr>
      <w:r>
        <w:rPr>
          <w:rFonts w:hint="eastAsia" w:ascii="宋体" w:hAnsi="宋体" w:eastAsia="宋体"/>
          <w:highlight w:val="none"/>
        </w:rPr>
        <w:t>（7）保护好事故现场，确保内外通讯畅通。</w:t>
      </w:r>
    </w:p>
    <w:p w14:paraId="16428EC1">
      <w:pPr>
        <w:bidi w:val="0"/>
        <w:ind w:firstLine="480" w:firstLineChars="200"/>
        <w:rPr>
          <w:rFonts w:hint="eastAsia"/>
          <w:highlight w:val="none"/>
          <w:lang w:val="en-US" w:eastAsia="zh-CN"/>
        </w:rPr>
      </w:pPr>
      <w:r>
        <w:rPr>
          <w:rFonts w:hint="eastAsia"/>
          <w:highlight w:val="none"/>
          <w:lang w:val="en-US" w:eastAsia="zh-CN"/>
        </w:rPr>
        <w:t>2.</w:t>
      </w:r>
      <w:r>
        <w:rPr>
          <w:rFonts w:hint="eastAsia"/>
          <w:color w:val="000000"/>
          <w:kern w:val="0"/>
          <w:highlight w:val="none"/>
          <w:lang w:bidi="ar"/>
        </w:rPr>
        <w:t>应急救援领导小组办公室</w:t>
      </w:r>
      <w:r>
        <w:rPr>
          <w:rFonts w:hint="eastAsia"/>
          <w:highlight w:val="none"/>
          <w:lang w:val="en-US" w:eastAsia="zh-CN"/>
        </w:rPr>
        <w:t>职责</w:t>
      </w:r>
    </w:p>
    <w:p w14:paraId="5C6AEBDA">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1</w:t>
      </w:r>
      <w:r>
        <w:rPr>
          <w:rFonts w:hint="eastAsia"/>
          <w:color w:val="000000"/>
          <w:kern w:val="0"/>
          <w:highlight w:val="none"/>
          <w:lang w:bidi="ar"/>
        </w:rPr>
        <w:t xml:space="preserve">）服从项目部应急救援领导小组的指挥，实施救援响应； </w:t>
      </w:r>
    </w:p>
    <w:p w14:paraId="52DFE93E">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2</w:t>
      </w:r>
      <w:r>
        <w:rPr>
          <w:rFonts w:hint="eastAsia"/>
          <w:color w:val="000000"/>
          <w:kern w:val="0"/>
          <w:highlight w:val="none"/>
          <w:lang w:bidi="ar"/>
        </w:rPr>
        <w:t xml:space="preserve">）根据组长指示，发布和解除突发事件应急救援命令； </w:t>
      </w:r>
    </w:p>
    <w:p w14:paraId="62B429E0">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3</w:t>
      </w:r>
      <w:r>
        <w:rPr>
          <w:rFonts w:hint="eastAsia"/>
          <w:color w:val="000000"/>
          <w:kern w:val="0"/>
          <w:highlight w:val="none"/>
          <w:lang w:bidi="ar"/>
        </w:rPr>
        <w:t>）织指挥救援队伍实施救援行动；</w:t>
      </w:r>
    </w:p>
    <w:p w14:paraId="5DA114A4">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4</w:t>
      </w:r>
      <w:r>
        <w:rPr>
          <w:rFonts w:hint="eastAsia"/>
          <w:color w:val="000000"/>
          <w:kern w:val="0"/>
          <w:highlight w:val="none"/>
          <w:lang w:bidi="ar"/>
        </w:rPr>
        <w:t xml:space="preserve">）向上级报告事故和事故救援情况，适时发布事故救援报告； </w:t>
      </w:r>
    </w:p>
    <w:p w14:paraId="783617A8">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5</w:t>
      </w:r>
      <w:r>
        <w:rPr>
          <w:rFonts w:hint="eastAsia"/>
          <w:color w:val="000000"/>
          <w:kern w:val="0"/>
          <w:highlight w:val="none"/>
          <w:lang w:bidi="ar"/>
        </w:rPr>
        <w:t xml:space="preserve">）指令有关部门配合上级部门进行事故调查处理； </w:t>
      </w:r>
    </w:p>
    <w:p w14:paraId="4D4109EF">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6</w:t>
      </w:r>
      <w:r>
        <w:rPr>
          <w:rFonts w:hint="eastAsia"/>
          <w:color w:val="000000"/>
          <w:kern w:val="0"/>
          <w:highlight w:val="none"/>
          <w:lang w:bidi="ar"/>
        </w:rPr>
        <w:t xml:space="preserve">）必要时向有关部门发出救援请求； </w:t>
      </w:r>
    </w:p>
    <w:p w14:paraId="3D151FDB">
      <w:pPr>
        <w:widowControl/>
        <w:ind w:firstLine="480" w:firstLineChars="200"/>
        <w:jc w:val="left"/>
        <w:rPr>
          <w:highlight w:val="none"/>
        </w:rPr>
      </w:pPr>
      <w:r>
        <w:rPr>
          <w:rFonts w:hint="eastAsia"/>
          <w:color w:val="000000"/>
          <w:kern w:val="0"/>
          <w:highlight w:val="none"/>
          <w:lang w:bidi="ar"/>
        </w:rPr>
        <w:t>（</w:t>
      </w:r>
      <w:r>
        <w:rPr>
          <w:rFonts w:ascii="Times New Roman" w:hAnsi="Times New Roman" w:cs="Times New Roman"/>
          <w:color w:val="000000"/>
          <w:kern w:val="0"/>
          <w:highlight w:val="none"/>
          <w:lang w:bidi="ar"/>
        </w:rPr>
        <w:t>7</w:t>
      </w:r>
      <w:r>
        <w:rPr>
          <w:rFonts w:hint="eastAsia"/>
          <w:color w:val="000000"/>
          <w:kern w:val="0"/>
          <w:highlight w:val="none"/>
          <w:lang w:bidi="ar"/>
        </w:rPr>
        <w:t xml:space="preserve">）完成领导小组交办的其他事项。 </w:t>
      </w:r>
    </w:p>
    <w:p w14:paraId="4576F001">
      <w:pPr>
        <w:pStyle w:val="4"/>
        <w:bidi w:val="0"/>
        <w:rPr>
          <w:rFonts w:hint="eastAsia"/>
          <w:highlight w:val="none"/>
        </w:rPr>
      </w:pPr>
      <w:bookmarkStart w:id="391" w:name="_Toc530055720"/>
      <w:r>
        <w:rPr>
          <w:rFonts w:hint="eastAsia"/>
          <w:highlight w:val="none"/>
          <w:lang w:val="en-US" w:eastAsia="zh-CN"/>
        </w:rPr>
        <w:t>9</w:t>
      </w:r>
      <w:r>
        <w:rPr>
          <w:rFonts w:hint="eastAsia"/>
          <w:highlight w:val="none"/>
        </w:rPr>
        <w:t>.</w:t>
      </w:r>
      <w:r>
        <w:rPr>
          <w:rFonts w:hint="eastAsia"/>
          <w:highlight w:val="none"/>
          <w:lang w:val="en-US" w:eastAsia="zh-CN"/>
        </w:rPr>
        <w:t>2</w:t>
      </w:r>
      <w:r>
        <w:rPr>
          <w:rFonts w:hint="eastAsia"/>
          <w:highlight w:val="none"/>
        </w:rPr>
        <w:t>.3领导小组人员分工</w:t>
      </w:r>
      <w:bookmarkEnd w:id="391"/>
    </w:p>
    <w:p w14:paraId="14889A10">
      <w:pPr>
        <w:ind w:firstLine="480"/>
        <w:rPr>
          <w:rFonts w:hint="eastAsia" w:ascii="宋体" w:hAnsi="宋体" w:eastAsia="宋体"/>
          <w:highlight w:val="none"/>
        </w:rPr>
      </w:pPr>
      <w:r>
        <w:rPr>
          <w:rFonts w:hint="eastAsia" w:ascii="宋体" w:hAnsi="宋体" w:eastAsia="宋体"/>
          <w:highlight w:val="none"/>
        </w:rPr>
        <w:t>组长</w:t>
      </w:r>
      <w:r>
        <w:rPr>
          <w:rFonts w:hint="eastAsia" w:ascii="宋体" w:hAnsi="宋体" w:eastAsia="宋体"/>
          <w:highlight w:val="none"/>
          <w:lang w:eastAsia="zh-CN"/>
        </w:rPr>
        <w:t>（</w:t>
      </w:r>
      <w:r>
        <w:rPr>
          <w:rFonts w:hint="eastAsia" w:ascii="宋体" w:hAnsi="宋体" w:eastAsia="宋体"/>
          <w:highlight w:val="none"/>
          <w:lang w:val="en-US" w:eastAsia="zh-CN"/>
        </w:rPr>
        <w:t>总指挥</w:t>
      </w:r>
      <w:r>
        <w:rPr>
          <w:rFonts w:hint="eastAsia" w:ascii="宋体" w:hAnsi="宋体" w:eastAsia="宋体"/>
          <w:highlight w:val="none"/>
          <w:lang w:eastAsia="zh-CN"/>
        </w:rPr>
        <w:t>）</w:t>
      </w:r>
      <w:r>
        <w:rPr>
          <w:rFonts w:hint="eastAsia" w:ascii="宋体" w:hAnsi="宋体" w:eastAsia="宋体"/>
          <w:highlight w:val="none"/>
        </w:rPr>
        <w:t>：发生吊装安全事故时，发布和解除应急救援指令；组织指挥应急队伍实施救援行动；向上级汇报和公司通报事故情况，必要时向有关单位发出救援要求；组织事故调查，总结应急救援经验教育等。</w:t>
      </w:r>
    </w:p>
    <w:p w14:paraId="0EC44A98">
      <w:pPr>
        <w:ind w:firstLine="480"/>
        <w:rPr>
          <w:rFonts w:hint="eastAsia" w:ascii="宋体" w:hAnsi="宋体" w:eastAsia="宋体"/>
          <w:highlight w:val="none"/>
        </w:rPr>
      </w:pPr>
      <w:r>
        <w:rPr>
          <w:rFonts w:hint="eastAsia" w:ascii="宋体" w:hAnsi="宋体" w:eastAsia="宋体"/>
          <w:highlight w:val="none"/>
        </w:rPr>
        <w:t>副组长</w:t>
      </w:r>
      <w:r>
        <w:rPr>
          <w:rFonts w:hint="eastAsia" w:ascii="宋体" w:hAnsi="宋体" w:eastAsia="宋体"/>
          <w:highlight w:val="none"/>
          <w:lang w:eastAsia="zh-CN"/>
        </w:rPr>
        <w:t>（</w:t>
      </w:r>
      <w:r>
        <w:rPr>
          <w:rFonts w:hint="eastAsia" w:ascii="宋体" w:hAnsi="宋体" w:eastAsia="宋体"/>
          <w:highlight w:val="none"/>
          <w:lang w:val="en-US" w:eastAsia="zh-CN"/>
        </w:rPr>
        <w:t>副总指挥</w:t>
      </w:r>
      <w:r>
        <w:rPr>
          <w:rFonts w:hint="eastAsia" w:ascii="宋体" w:hAnsi="宋体" w:eastAsia="宋体"/>
          <w:highlight w:val="none"/>
          <w:lang w:eastAsia="zh-CN"/>
        </w:rPr>
        <w:t>）</w:t>
      </w:r>
      <w:r>
        <w:rPr>
          <w:rFonts w:hint="eastAsia" w:ascii="宋体" w:hAnsi="宋体" w:eastAsia="宋体"/>
          <w:highlight w:val="none"/>
        </w:rPr>
        <w:t>：协助组长工作，负责指挥应急处置工作的具体实施。</w:t>
      </w:r>
    </w:p>
    <w:p w14:paraId="5725054B">
      <w:pPr>
        <w:ind w:firstLine="480"/>
        <w:rPr>
          <w:rFonts w:hint="eastAsia" w:ascii="宋体" w:hAnsi="宋体" w:eastAsia="宋体"/>
          <w:highlight w:val="none"/>
        </w:rPr>
      </w:pPr>
      <w:r>
        <w:rPr>
          <w:rFonts w:hint="eastAsia" w:ascii="宋体" w:hAnsi="宋体" w:eastAsia="宋体"/>
          <w:highlight w:val="none"/>
        </w:rPr>
        <w:t>小组成员：</w:t>
      </w:r>
    </w:p>
    <w:p w14:paraId="0692D2FE">
      <w:pPr>
        <w:ind w:firstLine="480"/>
        <w:rPr>
          <w:rFonts w:hint="eastAsia" w:ascii="宋体" w:hAnsi="宋体" w:eastAsia="宋体"/>
          <w:highlight w:val="none"/>
        </w:rPr>
      </w:pPr>
      <w:r>
        <w:rPr>
          <w:rFonts w:hint="eastAsia" w:ascii="宋体" w:hAnsi="宋体" w:eastAsia="宋体"/>
          <w:highlight w:val="none"/>
        </w:rPr>
        <w:t>（1）负责警戒、治安保卫、人员疏散，道路交通管制工作。</w:t>
      </w:r>
    </w:p>
    <w:p w14:paraId="5F4FEB7F">
      <w:pPr>
        <w:ind w:firstLine="480"/>
        <w:rPr>
          <w:rFonts w:hint="eastAsia" w:ascii="宋体" w:hAnsi="宋体" w:eastAsia="宋体"/>
          <w:highlight w:val="none"/>
        </w:rPr>
      </w:pPr>
      <w:r>
        <w:rPr>
          <w:rFonts w:hint="eastAsia" w:ascii="宋体" w:hAnsi="宋体" w:eastAsia="宋体"/>
          <w:highlight w:val="none"/>
        </w:rPr>
        <w:t>（2）协助副组长工作，做好事故报警，情况通报及事故处置工作，负责事故现场的通讯联络、对外联络及事故现场的监测工作。</w:t>
      </w:r>
    </w:p>
    <w:p w14:paraId="7663CFCB">
      <w:pPr>
        <w:ind w:firstLine="480"/>
        <w:rPr>
          <w:rFonts w:hint="eastAsia" w:ascii="宋体" w:hAnsi="宋体" w:eastAsia="宋体"/>
          <w:highlight w:val="none"/>
        </w:rPr>
      </w:pPr>
      <w:r>
        <w:rPr>
          <w:rFonts w:hint="eastAsia" w:ascii="宋体" w:hAnsi="宋体" w:eastAsia="宋体"/>
          <w:highlight w:val="none"/>
        </w:rPr>
        <w:t>（3）负责协助抢险机械设备的调转；负责抢险救援物质的供应和运输工作。</w:t>
      </w:r>
    </w:p>
    <w:p w14:paraId="4F33F013">
      <w:pPr>
        <w:ind w:firstLine="480"/>
        <w:rPr>
          <w:rFonts w:hint="eastAsia" w:ascii="宋体" w:hAnsi="宋体" w:eastAsia="宋体"/>
          <w:highlight w:val="none"/>
        </w:rPr>
      </w:pPr>
      <w:r>
        <w:rPr>
          <w:rFonts w:hint="eastAsia" w:ascii="宋体" w:hAnsi="宋体" w:eastAsia="宋体"/>
          <w:highlight w:val="none"/>
        </w:rPr>
        <w:t>（4）负责抢险车辆调度和现场医疗救护指挥及受伤人员分类抢救和护送医院，受伤人员的生活必需品、抢险救援物资供应，资金保证。</w:t>
      </w:r>
    </w:p>
    <w:p w14:paraId="43F7A73A">
      <w:pPr>
        <w:ind w:firstLine="480"/>
        <w:rPr>
          <w:rFonts w:hint="default" w:eastAsia="宋体"/>
          <w:highlight w:val="none"/>
          <w:lang w:val="en-US" w:eastAsia="zh-CN"/>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color w:val="000000"/>
          <w:kern w:val="0"/>
          <w:highlight w:val="none"/>
          <w:lang w:val="en-US" w:eastAsia="zh-CN" w:bidi="ar"/>
        </w:rPr>
        <w:t>应急联络方式：手机号码（24小时）19142751617</w:t>
      </w:r>
    </w:p>
    <w:p w14:paraId="187F4135">
      <w:pPr>
        <w:pStyle w:val="3"/>
        <w:bidi w:val="0"/>
        <w:rPr>
          <w:highlight w:val="none"/>
        </w:rPr>
      </w:pPr>
      <w:bookmarkStart w:id="392" w:name="_Toc15798"/>
      <w:bookmarkStart w:id="393" w:name="_Toc10409840"/>
      <w:bookmarkStart w:id="394" w:name="_Toc8652"/>
      <w:bookmarkStart w:id="395" w:name="_Toc5495"/>
      <w:bookmarkStart w:id="396" w:name="_Toc29166"/>
      <w:r>
        <w:rPr>
          <w:rFonts w:hint="eastAsia"/>
          <w:highlight w:val="none"/>
          <w:lang w:val="en-US" w:eastAsia="zh-CN"/>
        </w:rPr>
        <w:t xml:space="preserve">9.3 </w:t>
      </w:r>
      <w:r>
        <w:rPr>
          <w:rFonts w:hint="eastAsia"/>
          <w:highlight w:val="none"/>
        </w:rPr>
        <w:t>预防与预警</w:t>
      </w:r>
      <w:bookmarkEnd w:id="392"/>
      <w:bookmarkEnd w:id="393"/>
      <w:bookmarkEnd w:id="394"/>
      <w:bookmarkEnd w:id="395"/>
      <w:bookmarkEnd w:id="396"/>
    </w:p>
    <w:p w14:paraId="3E310D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bookmarkStart w:id="397" w:name="_Toc10409841"/>
      <w:r>
        <w:rPr>
          <w:rFonts w:hint="eastAsia"/>
          <w:highlight w:val="none"/>
        </w:rPr>
        <w:t>（1）施工现场设安全领导小组，负责吊装过程中可能造成的人员 伤亡事故的控制。</w:t>
      </w:r>
    </w:p>
    <w:p w14:paraId="75B650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（2）发生事故时，安全领导小组要立即救人。救人时先排除危险，防止抢救时事故的再发生。</w:t>
      </w:r>
    </w:p>
    <w:p w14:paraId="056172D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3）遇到安全事故较大或人员受伤时，现场人员在组织自救的同时，应及时拨打急救中心电话“120”或公安及生产中心电话“110”求的外部支援；支援时必须讲明地点、基本情况、联系电话等详细情况，并派人到路上接警。  </w:t>
      </w:r>
    </w:p>
    <w:p w14:paraId="04B1D2E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（4）将受伤人员及时转送医院进行紧急救护。</w:t>
      </w:r>
    </w:p>
    <w:p w14:paraId="20DCB8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（5）将信息迅速传递给项目部；传递内容包括发生的时间、地点、部位、简要经过、伤人数和已采取的应急措施等。  </w:t>
      </w:r>
    </w:p>
    <w:p w14:paraId="0326C1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（6）项目部接到应急信息后应立即核实现场的处置情况，组织有关人员或应急队伍赶赴现场。</w:t>
      </w:r>
    </w:p>
    <w:p w14:paraId="49D412F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7）应急队伍到达现场后，应服从现场指挥人员统指挥，按分工要求进行疏散人员，抢救物质，尽可能减少生命财产损失，防止事故蔓延；可能对区域内外人群安全构成威胁时，必须对与事故应急救援无关的人员进行紧急疏散。</w:t>
      </w:r>
    </w:p>
    <w:p w14:paraId="74615B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（8）事故处理完毕后，施工现场应保护好现场，接受事故调查并如实提供事故的情况。</w:t>
      </w:r>
    </w:p>
    <w:p w14:paraId="5EF3147C">
      <w:pPr>
        <w:pStyle w:val="3"/>
        <w:tabs>
          <w:tab w:val="left" w:pos="240"/>
        </w:tabs>
        <w:bidi w:val="0"/>
        <w:rPr>
          <w:rFonts w:hint="eastAsia" w:eastAsia="宋体"/>
          <w:highlight w:val="none"/>
          <w:lang w:val="en-US" w:eastAsia="zh-CN"/>
        </w:rPr>
      </w:pPr>
      <w:bookmarkStart w:id="398" w:name="_Toc8570"/>
      <w:bookmarkStart w:id="399" w:name="_Toc21539"/>
      <w:bookmarkStart w:id="400" w:name="_Toc17271"/>
      <w:bookmarkStart w:id="401" w:name="_Toc14289"/>
      <w:r>
        <w:rPr>
          <w:rFonts w:hint="eastAsia"/>
          <w:highlight w:val="none"/>
          <w:lang w:val="en-US" w:eastAsia="zh-CN"/>
        </w:rPr>
        <w:t xml:space="preserve">9.4 </w:t>
      </w:r>
      <w:bookmarkEnd w:id="397"/>
      <w:bookmarkEnd w:id="398"/>
      <w:bookmarkEnd w:id="399"/>
      <w:bookmarkStart w:id="402" w:name="_Toc40778455"/>
      <w:bookmarkStart w:id="403" w:name="_Toc18740"/>
      <w:bookmarkStart w:id="404" w:name="_Toc941"/>
      <w:bookmarkStart w:id="405" w:name="_Toc31708"/>
      <w:bookmarkStart w:id="406" w:name="_Toc28613979"/>
      <w:bookmarkStart w:id="407" w:name="_Toc55223384"/>
      <w:bookmarkStart w:id="408" w:name="_Toc3771"/>
      <w:bookmarkStart w:id="409" w:name="_Toc9735"/>
      <w:r>
        <w:rPr>
          <w:rFonts w:hint="eastAsia"/>
          <w:highlight w:val="none"/>
        </w:rPr>
        <w:t>处置流程</w:t>
      </w:r>
      <w:bookmarkEnd w:id="400"/>
      <w:bookmarkEnd w:id="401"/>
      <w:bookmarkEnd w:id="402"/>
      <w:bookmarkEnd w:id="403"/>
      <w:bookmarkEnd w:id="404"/>
      <w:bookmarkEnd w:id="405"/>
      <w:bookmarkEnd w:id="406"/>
      <w:bookmarkEnd w:id="407"/>
      <w:bookmarkEnd w:id="408"/>
      <w:bookmarkEnd w:id="409"/>
    </w:p>
    <w:p w14:paraId="32C3D2E6">
      <w:pPr>
        <w:pStyle w:val="4"/>
        <w:bidi w:val="0"/>
        <w:rPr>
          <w:highlight w:val="none"/>
        </w:rPr>
      </w:pPr>
      <w:bookmarkStart w:id="410" w:name="_Toc10409842"/>
      <w:bookmarkStart w:id="411" w:name="_Toc29053"/>
      <w:bookmarkStart w:id="412" w:name="_Toc16079"/>
      <w:r>
        <w:rPr>
          <w:rFonts w:hint="eastAsia"/>
          <w:highlight w:val="none"/>
          <w:lang w:val="en-US" w:eastAsia="zh-CN"/>
        </w:rPr>
        <w:t xml:space="preserve">9.4.1 信息报告与公开 </w:t>
      </w:r>
    </w:p>
    <w:p w14:paraId="755BF96A">
      <w:pPr>
        <w:bidi w:val="0"/>
        <w:jc w:val="center"/>
        <w:rPr>
          <w:highlight w:val="none"/>
        </w:rPr>
      </w:pPr>
      <w:bookmarkStart w:id="413" w:name="_Toc646"/>
      <w:bookmarkStart w:id="414" w:name="_Toc12816"/>
      <w:bookmarkStart w:id="415" w:name="_Toc1726"/>
      <w:r>
        <w:rPr>
          <w:highlight w:val="none"/>
        </w:rPr>
        <w:drawing>
          <wp:inline distT="0" distB="0" distL="114300" distR="114300">
            <wp:extent cx="3441700" cy="4241800"/>
            <wp:effectExtent l="0" t="0" r="0" b="0"/>
            <wp:docPr id="2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2"/>
                    <pic:cNvPicPr>
                      <a:picLocks noChangeAspect="1"/>
                    </pic:cNvPicPr>
                  </pic:nvPicPr>
                  <pic:blipFill>
                    <a:blip r:embed="rId67"/>
                    <a:stretch>
                      <a:fillRect/>
                    </a:stretch>
                  </pic:blipFill>
                  <pic:spPr>
                    <a:xfrm>
                      <a:off x="0" y="0"/>
                      <a:ext cx="3441700" cy="4241800"/>
                    </a:xfrm>
                    <a:prstGeom prst="rect">
                      <a:avLst/>
                    </a:prstGeom>
                    <a:noFill/>
                    <a:ln>
                      <a:noFill/>
                    </a:ln>
                  </pic:spPr>
                </pic:pic>
              </a:graphicData>
            </a:graphic>
          </wp:inline>
        </w:drawing>
      </w:r>
    </w:p>
    <w:p w14:paraId="30D96AA7">
      <w:pPr>
        <w:pStyle w:val="41"/>
        <w:bidi w:val="0"/>
        <w:rPr>
          <w:highlight w:val="none"/>
        </w:rPr>
      </w:pPr>
      <w:r>
        <w:rPr>
          <w:rFonts w:hint="eastAsia"/>
          <w:highlight w:val="none"/>
          <w:lang w:val="en-US" w:eastAsia="zh-CN"/>
        </w:rPr>
        <w:t>图9.4.1-1 信息发布流程图</w:t>
      </w:r>
    </w:p>
    <w:p w14:paraId="7548F674">
      <w:pPr>
        <w:pStyle w:val="4"/>
        <w:bidi w:val="0"/>
        <w:rPr>
          <w:highlight w:val="none"/>
        </w:rPr>
      </w:pPr>
      <w:r>
        <w:rPr>
          <w:rFonts w:hint="eastAsia"/>
          <w:highlight w:val="none"/>
          <w:lang w:val="en-US" w:eastAsia="zh-CN"/>
        </w:rPr>
        <w:t>9.4.2</w:t>
      </w:r>
      <w:bookmarkEnd w:id="413"/>
      <w:bookmarkEnd w:id="414"/>
      <w:bookmarkEnd w:id="415"/>
      <w:r>
        <w:rPr>
          <w:rFonts w:hint="eastAsia"/>
          <w:highlight w:val="none"/>
          <w:lang w:val="en-US" w:eastAsia="zh-CN"/>
        </w:rPr>
        <w:t>响应分级</w:t>
      </w:r>
    </w:p>
    <w:p w14:paraId="1DD75A6E">
      <w:pPr>
        <w:bidi w:val="0"/>
        <w:ind w:firstLine="480" w:firstLineChars="200"/>
        <w:rPr>
          <w:highlight w:val="none"/>
        </w:rPr>
      </w:pPr>
      <w:r>
        <w:rPr>
          <w:rFonts w:hint="eastAsia"/>
          <w:highlight w:val="none"/>
          <w:lang w:val="en-US" w:eastAsia="zh-CN"/>
        </w:rPr>
        <w:t xml:space="preserve">按照事故性质、潜在危险性、严重程度、发展趋势、影响范围及应急处置能力等因素，结合国家及广西桂贺高速公路有限公司相关文件要求，将应急响应分为 I、Ⅱ、Ⅲ、Ⅳ级。 </w:t>
      </w:r>
    </w:p>
    <w:p w14:paraId="0EC19DDB">
      <w:pPr>
        <w:bidi w:val="0"/>
        <w:ind w:firstLine="480" w:firstLineChars="200"/>
        <w:rPr>
          <w:highlight w:val="none"/>
        </w:rPr>
      </w:pPr>
      <w:r>
        <w:rPr>
          <w:rFonts w:hint="eastAsia"/>
          <w:highlight w:val="none"/>
          <w:lang w:val="en-US" w:eastAsia="zh-CN"/>
        </w:rPr>
        <w:t>I级、Ⅱ级、Ⅲ级应急响应行动由广西桂贺高速公路有限公司应急领导小组组织实施。当广西桂贺高速公路有限公司应急领导小组进行应急响应行动时，总承包部应当按照相应的预案在确保救援人员安全的情况下全力以赴组织救援，控制事态发展；如事态有继续扩大可能，应立即撤离周边人员并及时向属地应急管理部门、监管部门、广西桂贺高速公路有限公司以及公司报告救援工作进展情况。</w:t>
      </w:r>
    </w:p>
    <w:p w14:paraId="217B6212">
      <w:pPr>
        <w:bidi w:val="0"/>
        <w:ind w:firstLine="480" w:firstLineChars="200"/>
        <w:rPr>
          <w:highlight w:val="none"/>
        </w:rPr>
      </w:pPr>
      <w:r>
        <w:rPr>
          <w:rFonts w:hint="eastAsia"/>
          <w:highlight w:val="none"/>
          <w:lang w:val="en-US" w:eastAsia="zh-CN"/>
        </w:rPr>
        <w:t>Ⅳ级应急响应行动的组织实施由总承包部应急领导小组决定。总承包部根据事故灾难或险情的严重程度启动相应的应急预案，超出其应急救援处置能力时，及时报请广西桂贺高速公路有限公司或上级公司应急领导小组启动相应应急预案实施救援。</w:t>
      </w:r>
    </w:p>
    <w:p w14:paraId="341B73BF">
      <w:pPr>
        <w:pStyle w:val="4"/>
        <w:bidi w:val="0"/>
        <w:rPr>
          <w:highlight w:val="none"/>
        </w:rPr>
      </w:pPr>
      <w:r>
        <w:rPr>
          <w:rFonts w:hint="eastAsia"/>
          <w:highlight w:val="none"/>
          <w:lang w:val="en-US" w:eastAsia="zh-CN"/>
        </w:rPr>
        <w:t>9.4.3响应程序</w:t>
      </w:r>
    </w:p>
    <w:p w14:paraId="00A893CC">
      <w:pPr>
        <w:bidi w:val="0"/>
        <w:ind w:firstLine="480" w:firstLineChars="200"/>
        <w:rPr>
          <w:highlight w:val="none"/>
        </w:rPr>
      </w:pPr>
      <w:r>
        <w:rPr>
          <w:rFonts w:hint="eastAsia"/>
          <w:highlight w:val="none"/>
          <w:lang w:val="en-US" w:eastAsia="zh-CN"/>
        </w:rPr>
        <w:t xml:space="preserve">（1）经现场发现异常现象或发生事件、事故时现场管理人员根据出现的险情或有可能出现的险情，迅速向应急领导小组上报。应急救援组织机构领导小组成员必须迅速到达指定岗位并立即启动总承包部应急救援预案。由应急领导小组组长主持紧急情况处理会议，协调、派遣和统一指挥所有车辆、设备、人员、物资等实施紧急抢救，并在30分钟内向广西桂贺高速公路有限公司应急领导小组办公室、监理及公司领导报告，主要说明紧急情况性质、地点、发生时间、有无伤亡等现场情况。根据上级领导指示启动更高一级的应急预案。（根据事故大小情况来确定，如果事故特别小，根据上级指示可由总承包部自行直接处理。如果事故较大或总承包部处理不了则由总承包部向广西桂贺高速公路有限公司应急救援领导办公室进行请示，请求启动广西桂贺高速公路有限公司级应急预案，广西桂贺高速公路有限公司的救援预案仍不能进行处理，则由广西桂贺高速公路有限公司向政府部门请示启动上一级救援预案。） </w:t>
      </w:r>
    </w:p>
    <w:p w14:paraId="28952113">
      <w:pPr>
        <w:bidi w:val="0"/>
        <w:ind w:firstLine="480" w:firstLineChars="200"/>
        <w:rPr>
          <w:highlight w:val="none"/>
        </w:rPr>
      </w:pPr>
      <w:r>
        <w:rPr>
          <w:rFonts w:hint="eastAsia"/>
          <w:highlight w:val="none"/>
          <w:lang w:val="en-US" w:eastAsia="zh-CN"/>
        </w:rPr>
        <w:t xml:space="preserve">（2）应急领导小组组长指挥各相应应急救援小组实施救援，各应急救援小组要切实履行自己的应急救援职责，实施救援。根据现场情况拨打120、110、119 等急救电话。 </w:t>
      </w:r>
    </w:p>
    <w:p w14:paraId="4AB5C266">
      <w:pPr>
        <w:bidi w:val="0"/>
        <w:ind w:firstLine="480" w:firstLineChars="200"/>
        <w:rPr>
          <w:highlight w:val="none"/>
        </w:rPr>
      </w:pPr>
      <w:r>
        <w:rPr>
          <w:rFonts w:hint="eastAsia"/>
          <w:highlight w:val="none"/>
          <w:lang w:val="en-US" w:eastAsia="zh-CN"/>
        </w:rPr>
        <w:t>（3）遇到紧急情况，全体职工应特事特办、急事急办，主动积极地投身到紧急情况的处理中去。各种设备、车辆、器材、物资等统一调遣，各类人员必须坚持无条件服从组长或副组长的命令和安排，不得拖延、推诿、阻碍紧急情况的处理。</w:t>
      </w:r>
    </w:p>
    <w:p w14:paraId="57945702">
      <w:pPr>
        <w:bidi w:val="0"/>
        <w:ind w:firstLine="480" w:firstLineChars="200"/>
        <w:rPr>
          <w:highlight w:val="none"/>
        </w:rPr>
      </w:pPr>
      <w:r>
        <w:rPr>
          <w:rFonts w:hint="eastAsia"/>
          <w:highlight w:val="none"/>
          <w:lang w:val="en-US" w:eastAsia="zh-CN"/>
        </w:rPr>
        <w:t>应急领导小组在确认事故现场得以控制，环境符合有关标准，导致次生、诱发事故隐患消除后，按照“谁启动、谁结束”的原则，经事故现场应急指挥机构批准后，现场应急结束</w:t>
      </w:r>
    </w:p>
    <w:p w14:paraId="1A68A341">
      <w:pPr>
        <w:pStyle w:val="4"/>
        <w:bidi w:val="0"/>
        <w:rPr>
          <w:highlight w:val="none"/>
        </w:rPr>
      </w:pPr>
      <w:r>
        <w:rPr>
          <w:rFonts w:hint="eastAsia"/>
          <w:highlight w:val="none"/>
          <w:lang w:val="en-US" w:eastAsia="zh-CN"/>
        </w:rPr>
        <w:t>9.4.4 后期处理</w:t>
      </w:r>
    </w:p>
    <w:p w14:paraId="585DA7A2">
      <w:pPr>
        <w:bidi w:val="0"/>
        <w:rPr>
          <w:highlight w:val="none"/>
        </w:rPr>
      </w:pPr>
      <w:r>
        <w:rPr>
          <w:rFonts w:hint="eastAsia"/>
          <w:highlight w:val="none"/>
          <w:lang w:val="en-US" w:eastAsia="zh-CN"/>
        </w:rPr>
        <w:t xml:space="preserve">（1）应急总结 </w:t>
      </w:r>
    </w:p>
    <w:p w14:paraId="0C0F858A">
      <w:pPr>
        <w:bidi w:val="0"/>
        <w:rPr>
          <w:rFonts w:hint="eastAsia" w:ascii="Times New Roman" w:hAnsi="Times New Roman" w:eastAsia="宋体" w:cs="Times New Roman"/>
          <w:highlight w:val="none"/>
          <w:lang w:val="en-US" w:eastAsia="zh-CN"/>
        </w:rPr>
      </w:pPr>
      <w:r>
        <w:rPr>
          <w:rFonts w:hint="eastAsia"/>
          <w:highlight w:val="none"/>
          <w:lang w:val="en-US" w:eastAsia="zh-CN"/>
        </w:rPr>
        <w:t>抢险救援结束后，由监理单位主持、业主、设计、咨询等相关单位参加的恢复生产会，对生产安全事故发生的原因进行分析，确定下一步恢复生产应采取的安全、文明、质量等施工措施和管理措施。总承包部主要从</w:t>
      </w:r>
      <w:r>
        <w:rPr>
          <w:rFonts w:hint="eastAsia" w:ascii="Times New Roman" w:hAnsi="Times New Roman" w:eastAsia="宋体" w:cs="Times New Roman"/>
          <w:highlight w:val="none"/>
          <w:lang w:val="en-US" w:eastAsia="zh-CN"/>
        </w:rPr>
        <w:t xml:space="preserve">以下几个方面进行恢复生产： </w:t>
      </w:r>
    </w:p>
    <w:p w14:paraId="76330384">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1）做好事故处理和善后工作，对受害人员进行领导慰问或团体慰问。对良性事迹加强报道。 </w:t>
      </w:r>
    </w:p>
    <w:p w14:paraId="76F89553">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2）严格落实公司及广西桂贺高速公路有限公司和地方政府应急管理规定，推行全员应急管理，认真学习应急预案。 </w:t>
      </w:r>
    </w:p>
    <w:p w14:paraId="5A4BD24D">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健全各组织机构，加强人员管理，建立矩阵管理。完善安全、质量保证体系，健全安全、质量管理组织机构，整个项目形成一套严密完整的安全、质量管理体系，各层级充分发挥管理的机能、职能和人的作用。 </w:t>
      </w:r>
    </w:p>
    <w:p w14:paraId="2777BB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4）依据安全、质量体系有关文件，制定安全、质量检查计划制度，形成安全、质量管理依据，做到“有法可依”。严格实施岗位责任制。 </w:t>
      </w:r>
    </w:p>
    <w:p w14:paraId="55D00052">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5）做好技术、试验、测量、机械、施工工艺、后勤等各项保证工作。 </w:t>
      </w:r>
    </w:p>
    <w:p w14:paraId="5F247871">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6）对恢复生产确保资金投入不受阻。 </w:t>
      </w:r>
    </w:p>
    <w:p w14:paraId="3ACEE864">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7）确保设计、施工方案可行，符合现场实际情况，可利用现场存有的机械、设备和材料。 </w:t>
      </w:r>
    </w:p>
    <w:p w14:paraId="5E669531">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8）及时调用后备人员和机械设备，补充到该工区，进行生产恢复，尽快达到生产正常。 </w:t>
      </w:r>
    </w:p>
    <w:p w14:paraId="14753A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抢险结束和生产恢复后，对应急预案的整个过程进行评审、分析和总结，找出预案中存在的不足，并进行评审及修订，使以后的应急预案更加成熟，遇到紧急情况等能处理及时，将安全、财产损失降到最低限度。 </w:t>
      </w:r>
    </w:p>
    <w:p w14:paraId="1F4CC4DE">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（2）事故调查 </w:t>
      </w:r>
    </w:p>
    <w:p w14:paraId="7CF86D72">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按照事故调查组的要求，总承包部如实提供相应资料。 </w:t>
      </w:r>
    </w:p>
    <w:p w14:paraId="6CB75258">
      <w:pPr>
        <w:bidi w:val="0"/>
        <w:ind w:firstLine="480" w:firstLineChars="20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 xml:space="preserve">（3）保险理赔 </w:t>
      </w:r>
    </w:p>
    <w:p w14:paraId="62CE07FF">
      <w:pPr>
        <w:bidi w:val="0"/>
        <w:ind w:firstLine="480" w:firstLineChars="200"/>
        <w:rPr>
          <w:rFonts w:hint="eastAsia"/>
          <w:highlight w:val="none"/>
        </w:rPr>
      </w:pPr>
      <w:r>
        <w:rPr>
          <w:rFonts w:hint="eastAsia" w:ascii="Times New Roman" w:hAnsi="Times New Roman" w:eastAsia="宋体" w:cs="Times New Roman"/>
          <w:highlight w:val="none"/>
          <w:lang w:val="en-US" w:eastAsia="zh-CN"/>
        </w:rPr>
        <w:t>按照保险理赔机构的要求，总承包部如实提供相应资料。</w:t>
      </w:r>
    </w:p>
    <w:p w14:paraId="2D9A1A18">
      <w:pPr>
        <w:pStyle w:val="3"/>
        <w:bidi w:val="0"/>
        <w:rPr>
          <w:rFonts w:hint="eastAsia"/>
          <w:highlight w:val="none"/>
        </w:rPr>
      </w:pPr>
      <w:bookmarkStart w:id="416" w:name="_Toc22178"/>
      <w:bookmarkStart w:id="417" w:name="_Toc31604"/>
      <w:r>
        <w:rPr>
          <w:rFonts w:hint="eastAsia"/>
          <w:highlight w:val="none"/>
          <w:lang w:val="en-US" w:eastAsia="zh-CN"/>
        </w:rPr>
        <w:t xml:space="preserve">9.5 </w:t>
      </w:r>
      <w:r>
        <w:rPr>
          <w:rFonts w:hint="eastAsia"/>
          <w:highlight w:val="none"/>
        </w:rPr>
        <w:t>突发事件应急</w:t>
      </w:r>
      <w:r>
        <w:rPr>
          <w:rFonts w:hint="eastAsia"/>
          <w:highlight w:val="none"/>
          <w:lang w:val="en-US" w:eastAsia="zh-CN"/>
        </w:rPr>
        <w:t>处置措施和</w:t>
      </w:r>
      <w:r>
        <w:rPr>
          <w:rFonts w:hint="eastAsia"/>
          <w:highlight w:val="none"/>
        </w:rPr>
        <w:t>预案</w:t>
      </w:r>
      <w:bookmarkEnd w:id="410"/>
      <w:bookmarkEnd w:id="411"/>
      <w:bookmarkEnd w:id="412"/>
      <w:bookmarkEnd w:id="416"/>
      <w:bookmarkEnd w:id="417"/>
    </w:p>
    <w:p w14:paraId="6C38D89F">
      <w:pPr>
        <w:pStyle w:val="4"/>
        <w:bidi w:val="0"/>
        <w:rPr>
          <w:rFonts w:hint="eastAsia"/>
          <w:highlight w:val="none"/>
        </w:rPr>
      </w:pPr>
      <w:bookmarkStart w:id="418" w:name="_Toc530055723"/>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w:t>
      </w:r>
      <w:r>
        <w:rPr>
          <w:rFonts w:hint="eastAsia"/>
          <w:highlight w:val="none"/>
          <w:lang w:val="en-US" w:eastAsia="zh-CN"/>
        </w:rPr>
        <w:t>1</w:t>
      </w:r>
      <w:r>
        <w:rPr>
          <w:rFonts w:hint="eastAsia"/>
          <w:highlight w:val="none"/>
        </w:rPr>
        <w:t>高空坠落应急处置措施</w:t>
      </w:r>
      <w:bookmarkEnd w:id="418"/>
    </w:p>
    <w:p w14:paraId="75576B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0B76F95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0F5D25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3）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 </w:t>
      </w:r>
    </w:p>
    <w:p w14:paraId="09BF09F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04C7A53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（5）遇有创伤性出血的伤员，应迅速包扎止血，使伤员保持在头底脚高的卧位，并注意保暖。正确的现场止血处理措施：</w:t>
      </w:r>
    </w:p>
    <w:p w14:paraId="4AEB801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a.一般伤口的止血法：先用生理盐水（0.9%Nacl溶液）冲洗伤口，涂上红汞水，然后盖上消毒纱布，用绷带较紧地包扎。</w:t>
      </w:r>
    </w:p>
    <w:p w14:paraId="0761F52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b.加压包扎止血法：用纱布、棉花等作成软件垫，放在伤口上再加包扎，来增强压力而达到止血。</w:t>
      </w:r>
    </w:p>
    <w:p w14:paraId="098E2F5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E22054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（6）动用最快的交通工具或其他措施，及时把伤者送往邻近医院抢救，运送途中应尽量减少颠簸。同时密切注意伤者的呼吸、脉搏、血压及伤口的情况。</w:t>
      </w:r>
    </w:p>
    <w:p w14:paraId="223C4A2A">
      <w:pPr>
        <w:pStyle w:val="4"/>
        <w:bidi w:val="0"/>
        <w:rPr>
          <w:rFonts w:hint="eastAsia"/>
          <w:highlight w:val="none"/>
        </w:rPr>
      </w:pPr>
      <w:bookmarkStart w:id="419" w:name="_Toc530055724"/>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.2物体打击应急处置措施</w:t>
      </w:r>
      <w:bookmarkEnd w:id="419"/>
    </w:p>
    <w:p w14:paraId="37F520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当发生物体打击事故后，抢救的重点放在颅脑损伤、胸部骨折和出血上进行处理。</w:t>
      </w:r>
    </w:p>
    <w:p w14:paraId="3CEA3EF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当施工人员发生物体打击时，急救人员应尽快赶往出事地点，并呼叫周围人员及时通知医疗部门，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10D634C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（2）遇呼吸、心跳停止者，应立即进行人工呼吸，胸外心脏挤压。处于休克状态的伤员要让其安静、保暖、平卧、少动，并将下肢抬高约20度左右，尽快送医院进行抢救治疗。</w:t>
      </w:r>
    </w:p>
    <w:p w14:paraId="111C08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106A562C">
      <w:pPr>
        <w:pStyle w:val="4"/>
        <w:bidi w:val="0"/>
        <w:rPr>
          <w:rFonts w:hint="eastAsia"/>
          <w:highlight w:val="none"/>
        </w:rPr>
      </w:pPr>
      <w:bookmarkStart w:id="420" w:name="_Toc530055725"/>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.3机械伤害应急处置措施</w:t>
      </w:r>
      <w:bookmarkEnd w:id="420"/>
      <w:r>
        <w:rPr>
          <w:rFonts w:hint="eastAsia"/>
          <w:highlight w:val="none"/>
        </w:rPr>
        <w:t xml:space="preserve"> </w:t>
      </w:r>
    </w:p>
    <w:p w14:paraId="6C56A9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当施工人员发生机械伤害事故时，迅速确定事故发生的准确位置、可能波及的范围、设备损坏的程度、人员伤亡等情况，观察伤者的受伤情况、部位、伤害性质，急救人员应尽快赶往出事地点。</w:t>
      </w:r>
    </w:p>
    <w:p w14:paraId="3D0EE8A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（1）休克、昏迷急救</w:t>
      </w:r>
    </w:p>
    <w:p w14:paraId="22C19E0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让休克者平卧、不用枕头，腿部抬高30度。若属于心原性休克同时伴有心力衰竭、气急，不能平卧时，可采用半卧，注意保暖和安静，尽量不要搬动，如必须搬动时，动作要轻。</w:t>
      </w:r>
    </w:p>
    <w:p w14:paraId="2DCA816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（2）骨折急救</w:t>
      </w:r>
    </w:p>
    <w:p w14:paraId="12AFF6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a.固定断骨的材料可就地取材，如棍、木板、拐杖、硬纸板等都可作为固定材料，长短要以能固定住骨折处上下两个关节或不使断骨错动为准。 </w:t>
      </w:r>
    </w:p>
    <w:p w14:paraId="6FB35F1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b.脊柱骨折或骨折或颈部骨折时，除非是特殊情况如室内失火，否则应让伤者留在原地，等待携有医疗器材的医护人员来搬动。  </w:t>
      </w:r>
    </w:p>
    <w:p w14:paraId="085D18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14A49B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（3）严重出血的急救</w:t>
      </w:r>
    </w:p>
    <w:p w14:paraId="1CDAB9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止血的方法：</w:t>
      </w:r>
    </w:p>
    <w:p w14:paraId="3FC3D93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a.一般止血法：一般伤口小的出血，先用生理盐水涂上红汞药水，然后盖上消毒纱布，用绷带较紧地包扎。</w:t>
      </w:r>
    </w:p>
    <w:p w14:paraId="3E9F868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196B178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（4）肢体切断断肢(指)后，有时即刻造成伤者因流血或疼痛而发生休克，所以应设法首先止血，防止伤员休克。其急救要点为：</w:t>
      </w:r>
    </w:p>
    <w:p w14:paraId="18D2FC6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a.让伤者躺下，用一块纱布或清洁布块(如翻出干净手帕的内面)，放在断肢伤口上，再用绷带固定位置。如果找不到绷带，也可用围巾包扎。</w:t>
      </w:r>
    </w:p>
    <w:p w14:paraId="19FCD53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b.如是手臂切断，用绷带把断臂挂在胸前，固定位置；若是一条腿断了，则与另一条腿扎在一起。</w:t>
      </w:r>
    </w:p>
    <w:p w14:paraId="6BA461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c.料理好伤者后，设法找回断肢。倘若离断的伤肢(指)仍在机器中，千万不能将肢体强行拉出，或将机器倒开(转)，以免增加损伤的机会。正确的方法应是拆开机器后取出。</w:t>
      </w:r>
    </w:p>
    <w:p w14:paraId="760798A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d.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3DF83D5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e.离断后的伤肢，如有少许皮肤或其他肌腱相连，不能将其离断，应放在夹板或阔竹片上，然后包扎，立即送到医院作紧急处理。</w:t>
      </w:r>
    </w:p>
    <w:p w14:paraId="4D39FF2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f.严禁在离断伤肢(指)的断端涂抹各种药物及药水(包括消毒剂)，更不能涂抹牙膏、灶灰之类试图止血。</w:t>
      </w:r>
    </w:p>
    <w:p w14:paraId="78DB9C6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（5）一般性外伤</w:t>
      </w:r>
    </w:p>
    <w:p w14:paraId="11FCE3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a.视伤情送往医院，防止破伤风。</w:t>
      </w:r>
    </w:p>
    <w:p w14:paraId="3E64AFA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b.轻微内伤，送医院检查。</w:t>
      </w:r>
    </w:p>
    <w:p w14:paraId="31617DCD">
      <w:pPr>
        <w:pStyle w:val="4"/>
        <w:bidi w:val="0"/>
        <w:rPr>
          <w:rFonts w:hint="eastAsia"/>
          <w:highlight w:val="none"/>
        </w:rPr>
      </w:pPr>
      <w:bookmarkStart w:id="421" w:name="_Toc530055726"/>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.4触电应急处置措施</w:t>
      </w:r>
      <w:bookmarkEnd w:id="421"/>
      <w:r>
        <w:rPr>
          <w:rFonts w:hint="eastAsia"/>
          <w:highlight w:val="none"/>
        </w:rPr>
        <w:t xml:space="preserve"> </w:t>
      </w:r>
    </w:p>
    <w:p w14:paraId="288D47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（1）迅速脱离电源  </w:t>
      </w:r>
    </w:p>
    <w:p w14:paraId="487664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人体触电以后，可能由于痉挛或失去知觉等原因而紧抓带电体，不能自己摆脱电源。抢救触电者的首要步骤就是使触电者尽快脱离电源。 </w:t>
      </w:r>
    </w:p>
    <w:p w14:paraId="4279AD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使触电者脱离电源的方法：  </w:t>
      </w:r>
    </w:p>
    <w:p w14:paraId="52777A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a.立即将闸刀打开或将插头拨掉，切断电源。要注意，普通的电灯开关（如拉线开关）只能关断一根线，有时关断的不是相线，并未真正切断电源。 </w:t>
      </w:r>
    </w:p>
    <w:p w14:paraId="2B73BB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b.找不到开关或插头时，可用绝缘的物体（如干燥的木棒、竹杆、手套等）将电线拨开，使触电者脱离电源。</w:t>
      </w:r>
    </w:p>
    <w:p w14:paraId="6BA1571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c.用绝缘工具（如带绝缘的电工钳、木柄斧头以及锄头等）切断电线来切断电源。</w:t>
      </w:r>
    </w:p>
    <w:p w14:paraId="61EE77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d.遇高压触电事故，立即通过有关部门停电。 </w:t>
      </w:r>
    </w:p>
    <w:p w14:paraId="7ACECCD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总之，要因地制宜，灵活运用各种方法，快速切断电源，防止事故扩大。</w:t>
      </w:r>
    </w:p>
    <w:p w14:paraId="5436D91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（2）现场急救方法</w:t>
      </w:r>
    </w:p>
    <w:p w14:paraId="1B04B01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16FACD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 xml:space="preserve">a.口对口人工呼吸法：是用人工的方法来代替肺的呼吸活动，使空气有节律地进入和排出肺脏，供给体内足够的氧气，充分排出二氧化碳，维持正常的通气功能。 </w:t>
      </w:r>
    </w:p>
    <w:p w14:paraId="4E62B03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b.体外心脏挤压法：是指有节律地对心脏挤压，用人工的方法代替心脏的自然收缩，使心脏恢复搏动功能，维持血液循环。</w:t>
      </w:r>
    </w:p>
    <w:p w14:paraId="7154BD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（3）触电急救方法</w:t>
      </w:r>
    </w:p>
    <w:p w14:paraId="1817DB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触电病人一般有以下四种症状，可分别给予正确的对症救治：</w:t>
      </w:r>
    </w:p>
    <w:p w14:paraId="1FDC4F8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a.神志尚清醒，但心慌力乏，四肢麻木。该类病人一般只需将其扶到清凉通风之处休息，让其自然慢慢恢复。但要派专人照料护理，因为有的病人在几小时后会发生病变而突然死亡。</w:t>
      </w:r>
    </w:p>
    <w:p w14:paraId="6B76189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b.有心跳，但呼吸停止或极微弱。该类病人应该采用口对口人工呼吸法进行急救。人工呼吸法可按下述口诀进行，频率是每分钟约12次：清理口腔防堵塞，鼻孔朝天头后仰；贴嘴吹气胸扩张，放开口鼻换气畅。</w:t>
      </w:r>
    </w:p>
    <w:p w14:paraId="0409F88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c.有呼吸，但心跳停止或极微弱。该类病人应该采用人工胸外心脏挤压法来恢复病人的心跳。一般可以按下述口诀进行，频率是每分钟约60~80次。当胸一手掌，中指对凹膛；掌根用力向下压，压下突然收。</w:t>
      </w:r>
    </w:p>
    <w:p w14:paraId="373B9A4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d.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15332E26">
      <w:pPr>
        <w:pStyle w:val="4"/>
        <w:bidi w:val="0"/>
        <w:rPr>
          <w:rFonts w:hint="eastAsia"/>
          <w:highlight w:val="none"/>
        </w:rPr>
      </w:pPr>
      <w:bookmarkStart w:id="422" w:name="_Toc530055727"/>
      <w:r>
        <w:rPr>
          <w:rFonts w:hint="eastAsia"/>
          <w:highlight w:val="none"/>
          <w:lang w:val="en-US" w:eastAsia="zh-CN"/>
        </w:rPr>
        <w:t>9</w:t>
      </w:r>
      <w:r>
        <w:rPr>
          <w:rFonts w:hint="eastAsia"/>
          <w:highlight w:val="none"/>
        </w:rPr>
        <w:t>.</w:t>
      </w:r>
      <w:r>
        <w:rPr>
          <w:rFonts w:hint="eastAsia"/>
          <w:highlight w:val="none"/>
          <w:lang w:val="en-US" w:eastAsia="zh-CN"/>
        </w:rPr>
        <w:t>5</w:t>
      </w:r>
      <w:r>
        <w:rPr>
          <w:rFonts w:hint="eastAsia"/>
          <w:highlight w:val="none"/>
        </w:rPr>
        <w:t>.5落水人员应急处置措施</w:t>
      </w:r>
      <w:bookmarkEnd w:id="422"/>
    </w:p>
    <w:p w14:paraId="3E5E850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（1）交通船舶必须符合水上航行安全要求，备妥救生工具如救生衣、救生圈、救生竹篙等救生器材。</w:t>
      </w:r>
    </w:p>
    <w:p w14:paraId="4A70D88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（2）水上施工作业及船上流动作业人员应按规定穿着救生衣。符合高处作业条件的，还应按高处作业的规定系好安全带。</w:t>
      </w:r>
    </w:p>
    <w:p w14:paraId="0787E2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（3）交通船必须按定员，不准超载。乘坐人员应听从船员的指挥，船到位后，应待靠稳拴牢方可上、下。不得抢上抢下或船未靠稳就跳船。</w:t>
      </w:r>
    </w:p>
    <w:p w14:paraId="0D7A7AC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（4）乘坐人员应听从船员的指挥，自觉入舱，不得站立和坐骑在船头、船尾和船帮上，遇有风浪时，船上乘坐人员不得来回走动。非本船驾驶人员严禁擅自操作。</w:t>
      </w:r>
    </w:p>
    <w:p w14:paraId="56C5FE9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（5）施工人员应开展游泳培训，加强自救和互救的能力。</w:t>
      </w:r>
    </w:p>
    <w:p w14:paraId="4688F6F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（6）人员上下通道必须设安全网，跳板要固定。作业平台应满铺脚手板，周边必须有栏杆和安全网等可靠的临边维护。</w:t>
      </w:r>
    </w:p>
    <w:p w14:paraId="3F48572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（7）作业平台上应配置足够数量的救生圈等救生设备，并配备一定数量的固定式防水灯，保证夜间足够的照明。</w:t>
      </w:r>
    </w:p>
    <w:p w14:paraId="27E5DFF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rPr>
      </w:pPr>
      <w:r>
        <w:rPr>
          <w:rFonts w:hint="eastAsia"/>
          <w:highlight w:val="none"/>
        </w:rPr>
        <w:t>（8）作业平台上设置多条安全通道，以防不测时人员迅速疏散。</w:t>
      </w:r>
    </w:p>
    <w:p w14:paraId="7347971D">
      <w:pPr>
        <w:pStyle w:val="3"/>
        <w:numPr>
          <w:ilvl w:val="0"/>
          <w:numId w:val="0"/>
        </w:numPr>
        <w:outlineLvl w:val="1"/>
        <w:rPr>
          <w:highlight w:val="none"/>
        </w:rPr>
      </w:pPr>
      <w:bookmarkStart w:id="423" w:name="_Toc27785"/>
      <w:bookmarkStart w:id="424" w:name="_Toc11464"/>
      <w:bookmarkStart w:id="425" w:name="_Toc7406"/>
      <w:bookmarkStart w:id="426" w:name="_Toc26792"/>
      <w:bookmarkStart w:id="427" w:name="_Toc20264"/>
      <w:bookmarkStart w:id="428" w:name="_Toc10409843"/>
      <w:r>
        <w:rPr>
          <w:rFonts w:hint="eastAsia"/>
          <w:highlight w:val="none"/>
          <w:lang w:val="en-US" w:eastAsia="zh-CN"/>
        </w:rPr>
        <w:t xml:space="preserve">9.6 </w:t>
      </w:r>
      <w:r>
        <w:rPr>
          <w:rFonts w:hint="eastAsia"/>
          <w:highlight w:val="none"/>
        </w:rPr>
        <w:t>应急保障</w:t>
      </w:r>
      <w:bookmarkEnd w:id="423"/>
      <w:bookmarkEnd w:id="424"/>
      <w:bookmarkEnd w:id="425"/>
      <w:bookmarkEnd w:id="426"/>
      <w:bookmarkEnd w:id="427"/>
      <w:bookmarkEnd w:id="428"/>
    </w:p>
    <w:p w14:paraId="79FD59CD">
      <w:pPr>
        <w:bidi w:val="0"/>
        <w:ind w:firstLine="480" w:firstLineChars="200"/>
        <w:rPr>
          <w:rFonts w:hint="default"/>
          <w:highlight w:val="none"/>
          <w:lang w:val="en-US" w:eastAsia="zh-CN"/>
        </w:rPr>
      </w:pPr>
      <w:r>
        <w:rPr>
          <w:rFonts w:hint="eastAsia"/>
          <w:highlight w:val="none"/>
          <w:lang w:val="en-US" w:eastAsia="zh-CN"/>
        </w:rPr>
        <w:t>1、应急救援物资</w:t>
      </w:r>
    </w:p>
    <w:p w14:paraId="161CCD62">
      <w:pPr>
        <w:pStyle w:val="41"/>
        <w:bidi w:val="0"/>
        <w:rPr>
          <w:rFonts w:hint="eastAsia"/>
          <w:highlight w:val="none"/>
          <w:lang w:val="en-US" w:eastAsia="zh-CN"/>
        </w:rPr>
      </w:pPr>
      <w:r>
        <w:rPr>
          <w:highlight w:val="none"/>
        </w:rPr>
        <w:t>表</w:t>
      </w:r>
      <w:r>
        <w:rPr>
          <w:rFonts w:hint="eastAsia"/>
          <w:highlight w:val="none"/>
          <w:lang w:val="en-US" w:eastAsia="zh-CN"/>
        </w:rPr>
        <w:t>9.6-1应急物资、机械设备表</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815"/>
        <w:gridCol w:w="2708"/>
        <w:gridCol w:w="1268"/>
        <w:gridCol w:w="1878"/>
        <w:gridCol w:w="1850"/>
      </w:tblGrid>
      <w:tr w14:paraId="61FEB0C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tblHeader/>
          <w:jc w:val="center"/>
        </w:trPr>
        <w:tc>
          <w:tcPr>
            <w:tcW w:w="478" w:type="pct"/>
            <w:tcBorders>
              <w:tl2br w:val="nil"/>
              <w:tr2bl w:val="nil"/>
            </w:tcBorders>
            <w:shd w:val="clear" w:color="auto" w:fill="DAE3F3" w:themeFill="accent5" w:themeFillTint="32"/>
            <w:noWrap w:val="0"/>
            <w:vAlign w:val="center"/>
          </w:tcPr>
          <w:p w14:paraId="03AC62B3">
            <w:pPr>
              <w:pStyle w:val="105"/>
              <w:bidi w:val="0"/>
              <w:rPr>
                <w:rFonts w:hint="eastAsia"/>
                <w:highlight w:val="none"/>
                <w:lang w:val="en-US" w:eastAsia="zh-CN"/>
              </w:rPr>
            </w:pPr>
            <w:r>
              <w:rPr>
                <w:rFonts w:hint="eastAsia"/>
                <w:highlight w:val="none"/>
                <w:lang w:val="en-US" w:eastAsia="zh-CN"/>
              </w:rPr>
              <w:t>编号</w:t>
            </w:r>
          </w:p>
        </w:tc>
        <w:tc>
          <w:tcPr>
            <w:tcW w:w="1589" w:type="pct"/>
            <w:tcBorders>
              <w:tl2br w:val="nil"/>
              <w:tr2bl w:val="nil"/>
            </w:tcBorders>
            <w:shd w:val="clear" w:color="auto" w:fill="DAE3F3" w:themeFill="accent5" w:themeFillTint="32"/>
            <w:noWrap w:val="0"/>
            <w:vAlign w:val="center"/>
          </w:tcPr>
          <w:p w14:paraId="55C38F40">
            <w:pPr>
              <w:pStyle w:val="105"/>
              <w:bidi w:val="0"/>
              <w:rPr>
                <w:rFonts w:hint="eastAsia"/>
                <w:highlight w:val="none"/>
                <w:lang w:val="en-US" w:eastAsia="zh-CN"/>
              </w:rPr>
            </w:pPr>
            <w:r>
              <w:rPr>
                <w:rFonts w:hint="eastAsia"/>
                <w:highlight w:val="none"/>
                <w:lang w:val="en-US" w:eastAsia="zh-CN"/>
              </w:rPr>
              <w:t>机具、材料名称</w:t>
            </w:r>
          </w:p>
        </w:tc>
        <w:tc>
          <w:tcPr>
            <w:tcW w:w="744" w:type="pct"/>
            <w:tcBorders>
              <w:tl2br w:val="nil"/>
              <w:tr2bl w:val="nil"/>
            </w:tcBorders>
            <w:shd w:val="clear" w:color="auto" w:fill="DAE3F3" w:themeFill="accent5" w:themeFillTint="32"/>
            <w:noWrap w:val="0"/>
            <w:vAlign w:val="center"/>
          </w:tcPr>
          <w:p w14:paraId="4F54F2C9">
            <w:pPr>
              <w:pStyle w:val="105"/>
              <w:bidi w:val="0"/>
              <w:rPr>
                <w:rFonts w:hint="eastAsia"/>
                <w:highlight w:val="none"/>
                <w:lang w:val="en-US" w:eastAsia="zh-CN"/>
              </w:rPr>
            </w:pPr>
            <w:r>
              <w:rPr>
                <w:rFonts w:hint="eastAsia"/>
                <w:highlight w:val="none"/>
                <w:lang w:val="en-US" w:eastAsia="zh-CN"/>
              </w:rPr>
              <w:t>单位</w:t>
            </w:r>
          </w:p>
        </w:tc>
        <w:tc>
          <w:tcPr>
            <w:tcW w:w="1102" w:type="pct"/>
            <w:tcBorders>
              <w:tl2br w:val="nil"/>
              <w:tr2bl w:val="nil"/>
            </w:tcBorders>
            <w:shd w:val="clear" w:color="auto" w:fill="DAE3F3" w:themeFill="accent5" w:themeFillTint="32"/>
            <w:noWrap w:val="0"/>
            <w:vAlign w:val="center"/>
          </w:tcPr>
          <w:p w14:paraId="4518FBC0">
            <w:pPr>
              <w:pStyle w:val="105"/>
              <w:bidi w:val="0"/>
              <w:rPr>
                <w:rFonts w:hint="eastAsia"/>
                <w:highlight w:val="none"/>
                <w:lang w:val="en-US" w:eastAsia="zh-CN"/>
              </w:rPr>
            </w:pPr>
            <w:r>
              <w:rPr>
                <w:rFonts w:hint="eastAsia"/>
                <w:highlight w:val="none"/>
                <w:lang w:val="en-US" w:eastAsia="zh-CN"/>
              </w:rPr>
              <w:t>数量</w:t>
            </w:r>
          </w:p>
        </w:tc>
        <w:tc>
          <w:tcPr>
            <w:tcW w:w="1085" w:type="pct"/>
            <w:tcBorders>
              <w:tl2br w:val="nil"/>
              <w:tr2bl w:val="nil"/>
            </w:tcBorders>
            <w:shd w:val="clear" w:color="auto" w:fill="DAE3F3" w:themeFill="accent5" w:themeFillTint="32"/>
            <w:noWrap w:val="0"/>
            <w:vAlign w:val="center"/>
          </w:tcPr>
          <w:p w14:paraId="4D813F3B">
            <w:pPr>
              <w:pStyle w:val="105"/>
              <w:bidi w:val="0"/>
              <w:rPr>
                <w:rFonts w:hint="eastAsia"/>
                <w:highlight w:val="none"/>
                <w:lang w:val="en-US" w:eastAsia="zh-CN"/>
              </w:rPr>
            </w:pPr>
            <w:r>
              <w:rPr>
                <w:rFonts w:hint="eastAsia"/>
                <w:highlight w:val="none"/>
                <w:lang w:val="en-US" w:eastAsia="zh-CN"/>
              </w:rPr>
              <w:t>备注</w:t>
            </w:r>
          </w:p>
        </w:tc>
      </w:tr>
      <w:tr w14:paraId="30C8B55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5E4BE82">
            <w:pPr>
              <w:pStyle w:val="105"/>
              <w:bidi w:val="0"/>
              <w:rPr>
                <w:rFonts w:hint="eastAsia"/>
                <w:highlight w:val="none"/>
                <w:lang w:val="en-US" w:eastAsia="zh-CN"/>
              </w:rPr>
            </w:pPr>
            <w:r>
              <w:rPr>
                <w:rFonts w:hint="eastAsia"/>
                <w:highlight w:val="none"/>
                <w:lang w:val="en-US" w:eastAsia="zh-CN"/>
              </w:rPr>
              <w:t>1</w:t>
            </w:r>
          </w:p>
        </w:tc>
        <w:tc>
          <w:tcPr>
            <w:tcW w:w="1589" w:type="pct"/>
            <w:tcBorders>
              <w:tl2br w:val="nil"/>
              <w:tr2bl w:val="nil"/>
            </w:tcBorders>
            <w:noWrap w:val="0"/>
            <w:vAlign w:val="center"/>
          </w:tcPr>
          <w:p w14:paraId="73750A37">
            <w:pPr>
              <w:pStyle w:val="105"/>
              <w:bidi w:val="0"/>
              <w:rPr>
                <w:rFonts w:hint="eastAsia"/>
                <w:highlight w:val="none"/>
                <w:lang w:val="en-US" w:eastAsia="zh-CN"/>
              </w:rPr>
            </w:pPr>
            <w:r>
              <w:rPr>
                <w:rFonts w:hint="eastAsia"/>
                <w:highlight w:val="none"/>
                <w:lang w:val="en-US" w:eastAsia="zh-CN"/>
              </w:rPr>
              <w:t>挖掘机</w:t>
            </w:r>
          </w:p>
        </w:tc>
        <w:tc>
          <w:tcPr>
            <w:tcW w:w="744" w:type="pct"/>
            <w:tcBorders>
              <w:tl2br w:val="nil"/>
              <w:tr2bl w:val="nil"/>
            </w:tcBorders>
            <w:noWrap w:val="0"/>
            <w:vAlign w:val="center"/>
          </w:tcPr>
          <w:p w14:paraId="746FE5DC">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59627C63">
            <w:pPr>
              <w:pStyle w:val="105"/>
              <w:bidi w:val="0"/>
              <w:rPr>
                <w:rFonts w:hint="default"/>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048356CB">
            <w:pPr>
              <w:pStyle w:val="105"/>
              <w:bidi w:val="0"/>
              <w:rPr>
                <w:rFonts w:hint="eastAsia"/>
                <w:highlight w:val="none"/>
                <w:lang w:val="en-US" w:eastAsia="zh-CN"/>
              </w:rPr>
            </w:pPr>
            <w:r>
              <w:rPr>
                <w:rFonts w:hint="eastAsia"/>
                <w:highlight w:val="none"/>
                <w:lang w:val="en-US" w:eastAsia="zh-CN"/>
              </w:rPr>
              <w:t>220型</w:t>
            </w:r>
          </w:p>
        </w:tc>
      </w:tr>
      <w:tr w14:paraId="1C5073D5">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175A9546">
            <w:pPr>
              <w:pStyle w:val="105"/>
              <w:bidi w:val="0"/>
              <w:rPr>
                <w:rFonts w:hint="eastAsia"/>
                <w:highlight w:val="none"/>
                <w:lang w:val="en-US" w:eastAsia="zh-CN"/>
              </w:rPr>
            </w:pPr>
            <w:r>
              <w:rPr>
                <w:rFonts w:hint="eastAsia"/>
                <w:highlight w:val="none"/>
                <w:lang w:val="en-US" w:eastAsia="zh-CN"/>
              </w:rPr>
              <w:t>2</w:t>
            </w:r>
          </w:p>
        </w:tc>
        <w:tc>
          <w:tcPr>
            <w:tcW w:w="1589" w:type="pct"/>
            <w:tcBorders>
              <w:tl2br w:val="nil"/>
              <w:tr2bl w:val="nil"/>
            </w:tcBorders>
            <w:noWrap w:val="0"/>
            <w:vAlign w:val="center"/>
          </w:tcPr>
          <w:p w14:paraId="41355EE0">
            <w:pPr>
              <w:pStyle w:val="105"/>
              <w:bidi w:val="0"/>
              <w:rPr>
                <w:rFonts w:hint="eastAsia"/>
                <w:highlight w:val="none"/>
                <w:lang w:val="en-US" w:eastAsia="zh-CN"/>
              </w:rPr>
            </w:pPr>
            <w:r>
              <w:rPr>
                <w:rFonts w:hint="eastAsia"/>
                <w:highlight w:val="none"/>
                <w:lang w:val="en-US" w:eastAsia="zh-CN"/>
              </w:rPr>
              <w:t>装载机</w:t>
            </w:r>
          </w:p>
        </w:tc>
        <w:tc>
          <w:tcPr>
            <w:tcW w:w="744" w:type="pct"/>
            <w:tcBorders>
              <w:tl2br w:val="nil"/>
              <w:tr2bl w:val="nil"/>
            </w:tcBorders>
            <w:noWrap w:val="0"/>
            <w:vAlign w:val="center"/>
          </w:tcPr>
          <w:p w14:paraId="772D87D8">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3DBB2160">
            <w:pPr>
              <w:pStyle w:val="105"/>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704429AC">
            <w:pPr>
              <w:pStyle w:val="105"/>
              <w:bidi w:val="0"/>
              <w:rPr>
                <w:rFonts w:hint="eastAsia"/>
                <w:highlight w:val="none"/>
                <w:lang w:val="en-US" w:eastAsia="zh-CN"/>
              </w:rPr>
            </w:pPr>
            <w:r>
              <w:rPr>
                <w:rFonts w:hint="eastAsia"/>
                <w:highlight w:val="none"/>
                <w:lang w:val="en-US" w:eastAsia="zh-CN"/>
              </w:rPr>
              <w:t>50型</w:t>
            </w:r>
          </w:p>
        </w:tc>
      </w:tr>
      <w:tr w14:paraId="1033BC3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BF97530">
            <w:pPr>
              <w:pStyle w:val="105"/>
              <w:bidi w:val="0"/>
              <w:rPr>
                <w:rFonts w:hint="eastAsia"/>
                <w:highlight w:val="none"/>
                <w:lang w:val="en-US" w:eastAsia="zh-CN"/>
              </w:rPr>
            </w:pPr>
            <w:r>
              <w:rPr>
                <w:rFonts w:hint="eastAsia"/>
                <w:highlight w:val="none"/>
                <w:lang w:val="en-US" w:eastAsia="zh-CN"/>
              </w:rPr>
              <w:t>3</w:t>
            </w:r>
          </w:p>
        </w:tc>
        <w:tc>
          <w:tcPr>
            <w:tcW w:w="1589" w:type="pct"/>
            <w:tcBorders>
              <w:tl2br w:val="nil"/>
              <w:tr2bl w:val="nil"/>
            </w:tcBorders>
            <w:noWrap w:val="0"/>
            <w:vAlign w:val="center"/>
          </w:tcPr>
          <w:p w14:paraId="5D1BA242">
            <w:pPr>
              <w:pStyle w:val="105"/>
              <w:bidi w:val="0"/>
              <w:rPr>
                <w:rFonts w:hint="eastAsia"/>
                <w:highlight w:val="none"/>
                <w:lang w:val="en-US" w:eastAsia="zh-CN"/>
              </w:rPr>
            </w:pPr>
            <w:r>
              <w:rPr>
                <w:rFonts w:hint="eastAsia"/>
                <w:highlight w:val="none"/>
                <w:lang w:val="en-US" w:eastAsia="zh-CN"/>
              </w:rPr>
              <w:t>发电机</w:t>
            </w:r>
          </w:p>
        </w:tc>
        <w:tc>
          <w:tcPr>
            <w:tcW w:w="744" w:type="pct"/>
            <w:tcBorders>
              <w:tl2br w:val="nil"/>
              <w:tr2bl w:val="nil"/>
            </w:tcBorders>
            <w:noWrap w:val="0"/>
            <w:vAlign w:val="center"/>
          </w:tcPr>
          <w:p w14:paraId="45EE70B2">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21BC5CA7">
            <w:pPr>
              <w:pStyle w:val="105"/>
              <w:bidi w:val="0"/>
              <w:rPr>
                <w:rFonts w:hint="eastAsia"/>
                <w:highlight w:val="none"/>
                <w:lang w:val="en-US" w:eastAsia="zh-CN"/>
              </w:rPr>
            </w:pPr>
            <w:r>
              <w:rPr>
                <w:rFonts w:hint="eastAsia"/>
                <w:highlight w:val="none"/>
                <w:lang w:val="en-US" w:eastAsia="zh-CN"/>
              </w:rPr>
              <w:t>3</w:t>
            </w:r>
          </w:p>
        </w:tc>
        <w:tc>
          <w:tcPr>
            <w:tcW w:w="1085" w:type="pct"/>
            <w:tcBorders>
              <w:tl2br w:val="nil"/>
              <w:tr2bl w:val="nil"/>
            </w:tcBorders>
            <w:noWrap w:val="0"/>
            <w:vAlign w:val="center"/>
          </w:tcPr>
          <w:p w14:paraId="30F02B58">
            <w:pPr>
              <w:pStyle w:val="105"/>
              <w:bidi w:val="0"/>
              <w:rPr>
                <w:rFonts w:hint="eastAsia"/>
                <w:highlight w:val="none"/>
                <w:lang w:val="en-US" w:eastAsia="zh-CN"/>
              </w:rPr>
            </w:pPr>
            <w:r>
              <w:rPr>
                <w:rFonts w:hint="eastAsia"/>
                <w:highlight w:val="none"/>
                <w:lang w:val="en-US" w:eastAsia="zh-CN"/>
              </w:rPr>
              <w:t>200千瓦</w:t>
            </w:r>
          </w:p>
        </w:tc>
      </w:tr>
      <w:tr w14:paraId="6F5C3DB7">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E93BC18">
            <w:pPr>
              <w:pStyle w:val="105"/>
              <w:bidi w:val="0"/>
              <w:rPr>
                <w:rFonts w:hint="eastAsia"/>
                <w:highlight w:val="none"/>
                <w:lang w:val="en-US" w:eastAsia="zh-CN"/>
              </w:rPr>
            </w:pPr>
            <w:r>
              <w:rPr>
                <w:rFonts w:hint="eastAsia"/>
                <w:highlight w:val="none"/>
                <w:lang w:val="en-US" w:eastAsia="zh-CN"/>
              </w:rPr>
              <w:t>4</w:t>
            </w:r>
          </w:p>
        </w:tc>
        <w:tc>
          <w:tcPr>
            <w:tcW w:w="1589" w:type="pct"/>
            <w:tcBorders>
              <w:tl2br w:val="nil"/>
              <w:tr2bl w:val="nil"/>
            </w:tcBorders>
            <w:noWrap w:val="0"/>
            <w:vAlign w:val="center"/>
          </w:tcPr>
          <w:p w14:paraId="0AAA4765">
            <w:pPr>
              <w:pStyle w:val="105"/>
              <w:bidi w:val="0"/>
              <w:rPr>
                <w:rFonts w:hint="eastAsia"/>
                <w:highlight w:val="none"/>
                <w:lang w:val="en-US" w:eastAsia="zh-CN"/>
              </w:rPr>
            </w:pPr>
            <w:r>
              <w:rPr>
                <w:rFonts w:hint="eastAsia"/>
                <w:highlight w:val="none"/>
                <w:lang w:val="en-US" w:eastAsia="zh-CN"/>
              </w:rPr>
              <w:t>千斤顶</w:t>
            </w:r>
          </w:p>
        </w:tc>
        <w:tc>
          <w:tcPr>
            <w:tcW w:w="744" w:type="pct"/>
            <w:tcBorders>
              <w:tl2br w:val="nil"/>
              <w:tr2bl w:val="nil"/>
            </w:tcBorders>
            <w:noWrap w:val="0"/>
            <w:vAlign w:val="center"/>
          </w:tcPr>
          <w:p w14:paraId="13BDD8C5">
            <w:pPr>
              <w:pStyle w:val="105"/>
              <w:bidi w:val="0"/>
              <w:rPr>
                <w:rFonts w:hint="eastAsia"/>
                <w:highlight w:val="none"/>
                <w:lang w:val="en-US" w:eastAsia="zh-CN"/>
              </w:rPr>
            </w:pPr>
            <w:r>
              <w:rPr>
                <w:rFonts w:hint="eastAsia"/>
                <w:highlight w:val="none"/>
                <w:lang w:val="en-US" w:eastAsia="zh-CN"/>
              </w:rPr>
              <w:t>台</w:t>
            </w:r>
          </w:p>
        </w:tc>
        <w:tc>
          <w:tcPr>
            <w:tcW w:w="1102" w:type="pct"/>
            <w:tcBorders>
              <w:tl2br w:val="nil"/>
              <w:tr2bl w:val="nil"/>
            </w:tcBorders>
            <w:noWrap w:val="0"/>
            <w:vAlign w:val="center"/>
          </w:tcPr>
          <w:p w14:paraId="0FFD560D">
            <w:pPr>
              <w:pStyle w:val="105"/>
              <w:bidi w:val="0"/>
              <w:rPr>
                <w:rFonts w:hint="eastAsia"/>
                <w:highlight w:val="none"/>
                <w:lang w:val="en-US" w:eastAsia="zh-CN"/>
              </w:rPr>
            </w:pPr>
            <w:r>
              <w:rPr>
                <w:rFonts w:hint="eastAsia"/>
                <w:highlight w:val="none"/>
                <w:lang w:val="en-US" w:eastAsia="zh-CN"/>
              </w:rPr>
              <w:t>6</w:t>
            </w:r>
          </w:p>
        </w:tc>
        <w:tc>
          <w:tcPr>
            <w:tcW w:w="1085" w:type="pct"/>
            <w:tcBorders>
              <w:tl2br w:val="nil"/>
              <w:tr2bl w:val="nil"/>
            </w:tcBorders>
            <w:noWrap w:val="0"/>
            <w:vAlign w:val="center"/>
          </w:tcPr>
          <w:p w14:paraId="5CCBA438">
            <w:pPr>
              <w:pStyle w:val="105"/>
              <w:bidi w:val="0"/>
              <w:rPr>
                <w:rFonts w:hint="eastAsia"/>
                <w:highlight w:val="none"/>
                <w:lang w:val="en-US" w:eastAsia="zh-CN"/>
              </w:rPr>
            </w:pPr>
            <w:r>
              <w:rPr>
                <w:rFonts w:hint="eastAsia"/>
                <w:highlight w:val="none"/>
                <w:lang w:val="en-US" w:eastAsia="zh-CN"/>
              </w:rPr>
              <w:t>400吨</w:t>
            </w:r>
          </w:p>
        </w:tc>
      </w:tr>
      <w:tr w14:paraId="2E71712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A43E9FC">
            <w:pPr>
              <w:pStyle w:val="105"/>
              <w:bidi w:val="0"/>
              <w:rPr>
                <w:rFonts w:hint="eastAsia"/>
                <w:highlight w:val="none"/>
                <w:lang w:val="en-US" w:eastAsia="zh-CN"/>
              </w:rPr>
            </w:pPr>
            <w:r>
              <w:rPr>
                <w:rFonts w:hint="eastAsia"/>
                <w:highlight w:val="none"/>
                <w:lang w:val="en-US" w:eastAsia="zh-CN"/>
              </w:rPr>
              <w:t>5</w:t>
            </w:r>
          </w:p>
        </w:tc>
        <w:tc>
          <w:tcPr>
            <w:tcW w:w="1589" w:type="pct"/>
            <w:tcBorders>
              <w:tl2br w:val="nil"/>
              <w:tr2bl w:val="nil"/>
            </w:tcBorders>
            <w:noWrap w:val="0"/>
            <w:vAlign w:val="center"/>
          </w:tcPr>
          <w:p w14:paraId="048DE0B9">
            <w:pPr>
              <w:pStyle w:val="105"/>
              <w:bidi w:val="0"/>
              <w:rPr>
                <w:rFonts w:hint="eastAsia"/>
                <w:highlight w:val="none"/>
                <w:lang w:val="en-US" w:eastAsia="zh-CN"/>
              </w:rPr>
            </w:pPr>
            <w:r>
              <w:rPr>
                <w:rFonts w:hint="eastAsia"/>
                <w:highlight w:val="none"/>
                <w:lang w:val="en-US" w:eastAsia="zh-CN"/>
              </w:rPr>
              <w:t>铁锹</w:t>
            </w:r>
          </w:p>
        </w:tc>
        <w:tc>
          <w:tcPr>
            <w:tcW w:w="744" w:type="pct"/>
            <w:tcBorders>
              <w:tl2br w:val="nil"/>
              <w:tr2bl w:val="nil"/>
            </w:tcBorders>
            <w:noWrap w:val="0"/>
            <w:vAlign w:val="center"/>
          </w:tcPr>
          <w:p w14:paraId="6C4351D8">
            <w:pPr>
              <w:pStyle w:val="105"/>
              <w:bidi w:val="0"/>
              <w:rPr>
                <w:rFonts w:hint="eastAsia"/>
                <w:highlight w:val="none"/>
                <w:lang w:val="en-US" w:eastAsia="zh-CN"/>
              </w:rPr>
            </w:pPr>
            <w:r>
              <w:rPr>
                <w:rFonts w:hint="eastAsia"/>
                <w:highlight w:val="none"/>
                <w:lang w:val="en-US" w:eastAsia="zh-CN"/>
              </w:rPr>
              <w:t>把</w:t>
            </w:r>
          </w:p>
        </w:tc>
        <w:tc>
          <w:tcPr>
            <w:tcW w:w="1102" w:type="pct"/>
            <w:tcBorders>
              <w:tl2br w:val="nil"/>
              <w:tr2bl w:val="nil"/>
            </w:tcBorders>
            <w:noWrap w:val="0"/>
            <w:vAlign w:val="center"/>
          </w:tcPr>
          <w:p w14:paraId="4BB98384">
            <w:pPr>
              <w:pStyle w:val="105"/>
              <w:bidi w:val="0"/>
              <w:rPr>
                <w:rFonts w:hint="eastAsia"/>
                <w:highlight w:val="none"/>
                <w:lang w:val="en-US" w:eastAsia="zh-CN"/>
              </w:rPr>
            </w:pPr>
            <w:r>
              <w:rPr>
                <w:rFonts w:hint="eastAsia"/>
                <w:highlight w:val="none"/>
                <w:lang w:val="en-US" w:eastAsia="zh-CN"/>
              </w:rPr>
              <w:t>30</w:t>
            </w:r>
          </w:p>
        </w:tc>
        <w:tc>
          <w:tcPr>
            <w:tcW w:w="1085" w:type="pct"/>
            <w:tcBorders>
              <w:tl2br w:val="nil"/>
              <w:tr2bl w:val="nil"/>
            </w:tcBorders>
            <w:noWrap w:val="0"/>
            <w:vAlign w:val="center"/>
          </w:tcPr>
          <w:p w14:paraId="5AB91991">
            <w:pPr>
              <w:pStyle w:val="105"/>
              <w:bidi w:val="0"/>
              <w:rPr>
                <w:rFonts w:hint="eastAsia"/>
                <w:highlight w:val="none"/>
                <w:lang w:val="en-US" w:eastAsia="zh-CN"/>
              </w:rPr>
            </w:pPr>
          </w:p>
        </w:tc>
      </w:tr>
      <w:tr w14:paraId="63FE7D1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0F9CC978">
            <w:pPr>
              <w:pStyle w:val="105"/>
              <w:bidi w:val="0"/>
              <w:rPr>
                <w:rFonts w:hint="eastAsia"/>
                <w:highlight w:val="none"/>
                <w:lang w:val="en-US" w:eastAsia="zh-CN"/>
              </w:rPr>
            </w:pPr>
            <w:r>
              <w:rPr>
                <w:rFonts w:hint="eastAsia"/>
                <w:highlight w:val="none"/>
                <w:lang w:val="en-US" w:eastAsia="zh-CN"/>
              </w:rPr>
              <w:t>6</w:t>
            </w:r>
          </w:p>
        </w:tc>
        <w:tc>
          <w:tcPr>
            <w:tcW w:w="1589" w:type="pct"/>
            <w:tcBorders>
              <w:tl2br w:val="nil"/>
              <w:tr2bl w:val="nil"/>
            </w:tcBorders>
            <w:noWrap w:val="0"/>
            <w:vAlign w:val="center"/>
          </w:tcPr>
          <w:p w14:paraId="0A914BEF">
            <w:pPr>
              <w:pStyle w:val="105"/>
              <w:bidi w:val="0"/>
              <w:rPr>
                <w:rFonts w:hint="eastAsia"/>
                <w:highlight w:val="none"/>
                <w:lang w:val="en-US" w:eastAsia="zh-CN"/>
              </w:rPr>
            </w:pPr>
            <w:r>
              <w:rPr>
                <w:rFonts w:hint="eastAsia"/>
                <w:highlight w:val="none"/>
                <w:lang w:val="en-US" w:eastAsia="zh-CN"/>
              </w:rPr>
              <w:t>担架</w:t>
            </w:r>
          </w:p>
        </w:tc>
        <w:tc>
          <w:tcPr>
            <w:tcW w:w="744" w:type="pct"/>
            <w:tcBorders>
              <w:tl2br w:val="nil"/>
              <w:tr2bl w:val="nil"/>
            </w:tcBorders>
            <w:noWrap w:val="0"/>
            <w:vAlign w:val="center"/>
          </w:tcPr>
          <w:p w14:paraId="005D9F76">
            <w:pPr>
              <w:pStyle w:val="105"/>
              <w:bidi w:val="0"/>
              <w:rPr>
                <w:rFonts w:hint="eastAsia"/>
                <w:highlight w:val="none"/>
                <w:lang w:val="en-US" w:eastAsia="zh-CN"/>
              </w:rPr>
            </w:pPr>
            <w:r>
              <w:rPr>
                <w:rFonts w:hint="eastAsia"/>
                <w:highlight w:val="none"/>
                <w:lang w:val="en-US" w:eastAsia="zh-CN"/>
              </w:rPr>
              <w:t>副</w:t>
            </w:r>
          </w:p>
        </w:tc>
        <w:tc>
          <w:tcPr>
            <w:tcW w:w="1102" w:type="pct"/>
            <w:tcBorders>
              <w:tl2br w:val="nil"/>
              <w:tr2bl w:val="nil"/>
            </w:tcBorders>
            <w:noWrap w:val="0"/>
            <w:vAlign w:val="center"/>
          </w:tcPr>
          <w:p w14:paraId="7C700413">
            <w:pPr>
              <w:pStyle w:val="105"/>
              <w:bidi w:val="0"/>
              <w:rPr>
                <w:rFonts w:hint="eastAsia"/>
                <w:highlight w:val="none"/>
                <w:lang w:val="en-US" w:eastAsia="zh-CN"/>
              </w:rPr>
            </w:pPr>
            <w:r>
              <w:rPr>
                <w:rFonts w:hint="eastAsia"/>
                <w:highlight w:val="none"/>
                <w:lang w:val="en-US" w:eastAsia="zh-CN"/>
              </w:rPr>
              <w:t>5</w:t>
            </w:r>
          </w:p>
        </w:tc>
        <w:tc>
          <w:tcPr>
            <w:tcW w:w="1085" w:type="pct"/>
            <w:tcBorders>
              <w:tl2br w:val="nil"/>
              <w:tr2bl w:val="nil"/>
            </w:tcBorders>
            <w:noWrap w:val="0"/>
            <w:vAlign w:val="center"/>
          </w:tcPr>
          <w:p w14:paraId="6DE4CED6">
            <w:pPr>
              <w:pStyle w:val="105"/>
              <w:bidi w:val="0"/>
              <w:rPr>
                <w:rFonts w:hint="eastAsia"/>
                <w:highlight w:val="none"/>
                <w:lang w:val="en-US" w:eastAsia="zh-CN"/>
              </w:rPr>
            </w:pPr>
          </w:p>
        </w:tc>
      </w:tr>
      <w:tr w14:paraId="7F2478E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26A72BB2">
            <w:pPr>
              <w:pStyle w:val="105"/>
              <w:bidi w:val="0"/>
              <w:rPr>
                <w:rFonts w:hint="eastAsia"/>
                <w:highlight w:val="none"/>
                <w:lang w:val="en-US" w:eastAsia="zh-CN"/>
              </w:rPr>
            </w:pPr>
            <w:r>
              <w:rPr>
                <w:rFonts w:hint="eastAsia"/>
                <w:highlight w:val="none"/>
                <w:lang w:val="en-US" w:eastAsia="zh-CN"/>
              </w:rPr>
              <w:t>7</w:t>
            </w:r>
          </w:p>
        </w:tc>
        <w:tc>
          <w:tcPr>
            <w:tcW w:w="1589" w:type="pct"/>
            <w:tcBorders>
              <w:tl2br w:val="nil"/>
              <w:tr2bl w:val="nil"/>
            </w:tcBorders>
            <w:noWrap w:val="0"/>
            <w:vAlign w:val="center"/>
          </w:tcPr>
          <w:p w14:paraId="667F2E95">
            <w:pPr>
              <w:pStyle w:val="105"/>
              <w:bidi w:val="0"/>
              <w:rPr>
                <w:rFonts w:hint="eastAsia"/>
                <w:highlight w:val="none"/>
                <w:lang w:val="en-US" w:eastAsia="zh-CN"/>
              </w:rPr>
            </w:pPr>
            <w:r>
              <w:rPr>
                <w:rFonts w:hint="eastAsia"/>
                <w:highlight w:val="none"/>
                <w:lang w:val="en-US" w:eastAsia="zh-CN"/>
              </w:rPr>
              <w:t>灭火器</w:t>
            </w:r>
          </w:p>
        </w:tc>
        <w:tc>
          <w:tcPr>
            <w:tcW w:w="744" w:type="pct"/>
            <w:tcBorders>
              <w:tl2br w:val="nil"/>
              <w:tr2bl w:val="nil"/>
            </w:tcBorders>
            <w:noWrap w:val="0"/>
            <w:vAlign w:val="center"/>
          </w:tcPr>
          <w:p w14:paraId="07B20F57">
            <w:pPr>
              <w:pStyle w:val="105"/>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4D3FFEF1">
            <w:pPr>
              <w:pStyle w:val="105"/>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529D3456">
            <w:pPr>
              <w:pStyle w:val="105"/>
              <w:bidi w:val="0"/>
              <w:rPr>
                <w:rFonts w:hint="eastAsia"/>
                <w:highlight w:val="none"/>
                <w:lang w:val="en-US" w:eastAsia="zh-CN"/>
              </w:rPr>
            </w:pPr>
            <w:r>
              <w:rPr>
                <w:rFonts w:hint="eastAsia"/>
                <w:highlight w:val="none"/>
                <w:lang w:val="en-US" w:eastAsia="zh-CN"/>
              </w:rPr>
              <w:t>符合规范</w:t>
            </w:r>
          </w:p>
        </w:tc>
      </w:tr>
      <w:tr w14:paraId="70521E6C">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711EC73B">
            <w:pPr>
              <w:pStyle w:val="105"/>
              <w:bidi w:val="0"/>
              <w:rPr>
                <w:rFonts w:hint="eastAsia"/>
                <w:highlight w:val="none"/>
                <w:lang w:val="en-US" w:eastAsia="zh-CN"/>
              </w:rPr>
            </w:pPr>
            <w:r>
              <w:rPr>
                <w:rFonts w:hint="eastAsia"/>
                <w:highlight w:val="none"/>
                <w:lang w:val="en-US" w:eastAsia="zh-CN"/>
              </w:rPr>
              <w:t>8</w:t>
            </w:r>
          </w:p>
        </w:tc>
        <w:tc>
          <w:tcPr>
            <w:tcW w:w="1589" w:type="pct"/>
            <w:tcBorders>
              <w:tl2br w:val="nil"/>
              <w:tr2bl w:val="nil"/>
            </w:tcBorders>
            <w:noWrap w:val="0"/>
            <w:vAlign w:val="center"/>
          </w:tcPr>
          <w:p w14:paraId="123CC337">
            <w:pPr>
              <w:pStyle w:val="105"/>
              <w:bidi w:val="0"/>
              <w:rPr>
                <w:rFonts w:hint="eastAsia"/>
                <w:highlight w:val="none"/>
                <w:lang w:val="en-US" w:eastAsia="zh-CN"/>
              </w:rPr>
            </w:pPr>
            <w:r>
              <w:rPr>
                <w:rFonts w:hint="eastAsia"/>
                <w:highlight w:val="none"/>
                <w:lang w:val="en-US" w:eastAsia="zh-CN"/>
              </w:rPr>
              <w:t>手电筒</w:t>
            </w:r>
          </w:p>
        </w:tc>
        <w:tc>
          <w:tcPr>
            <w:tcW w:w="744" w:type="pct"/>
            <w:tcBorders>
              <w:tl2br w:val="nil"/>
              <w:tr2bl w:val="nil"/>
            </w:tcBorders>
            <w:noWrap w:val="0"/>
            <w:vAlign w:val="center"/>
          </w:tcPr>
          <w:p w14:paraId="272B368B">
            <w:pPr>
              <w:pStyle w:val="105"/>
              <w:bidi w:val="0"/>
              <w:rPr>
                <w:rFonts w:hint="eastAsia"/>
                <w:highlight w:val="none"/>
                <w:lang w:val="en-US" w:eastAsia="zh-CN"/>
              </w:rPr>
            </w:pPr>
            <w:r>
              <w:rPr>
                <w:rFonts w:hint="eastAsia"/>
                <w:highlight w:val="none"/>
                <w:lang w:val="en-US" w:eastAsia="zh-CN"/>
              </w:rPr>
              <w:t>个</w:t>
            </w:r>
          </w:p>
        </w:tc>
        <w:tc>
          <w:tcPr>
            <w:tcW w:w="1102" w:type="pct"/>
            <w:tcBorders>
              <w:tl2br w:val="nil"/>
              <w:tr2bl w:val="nil"/>
            </w:tcBorders>
            <w:noWrap w:val="0"/>
            <w:vAlign w:val="center"/>
          </w:tcPr>
          <w:p w14:paraId="048705B1">
            <w:pPr>
              <w:pStyle w:val="105"/>
              <w:bidi w:val="0"/>
              <w:rPr>
                <w:rFonts w:hint="eastAsia"/>
                <w:highlight w:val="none"/>
                <w:lang w:val="en-US" w:eastAsia="zh-CN"/>
              </w:rPr>
            </w:pPr>
            <w:r>
              <w:rPr>
                <w:rFonts w:hint="eastAsia"/>
                <w:highlight w:val="none"/>
                <w:lang w:val="en-US" w:eastAsia="zh-CN"/>
              </w:rPr>
              <w:t>若干</w:t>
            </w:r>
          </w:p>
        </w:tc>
        <w:tc>
          <w:tcPr>
            <w:tcW w:w="1085" w:type="pct"/>
            <w:tcBorders>
              <w:tl2br w:val="nil"/>
              <w:tr2bl w:val="nil"/>
            </w:tcBorders>
            <w:noWrap w:val="0"/>
            <w:vAlign w:val="center"/>
          </w:tcPr>
          <w:p w14:paraId="16B312FF">
            <w:pPr>
              <w:pStyle w:val="105"/>
              <w:bidi w:val="0"/>
              <w:rPr>
                <w:rFonts w:hint="eastAsia"/>
                <w:highlight w:val="none"/>
                <w:lang w:val="en-US" w:eastAsia="zh-CN"/>
              </w:rPr>
            </w:pPr>
          </w:p>
        </w:tc>
      </w:tr>
      <w:tr w14:paraId="0ED50101">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397" w:hRule="exact"/>
          <w:jc w:val="center"/>
        </w:trPr>
        <w:tc>
          <w:tcPr>
            <w:tcW w:w="478" w:type="pct"/>
            <w:tcBorders>
              <w:tl2br w:val="nil"/>
              <w:tr2bl w:val="nil"/>
            </w:tcBorders>
            <w:noWrap w:val="0"/>
            <w:vAlign w:val="center"/>
          </w:tcPr>
          <w:p w14:paraId="57F93CC7">
            <w:pPr>
              <w:pStyle w:val="105"/>
              <w:bidi w:val="0"/>
              <w:rPr>
                <w:rFonts w:hint="eastAsia"/>
                <w:highlight w:val="none"/>
                <w:lang w:val="en-US" w:eastAsia="zh-CN"/>
              </w:rPr>
            </w:pPr>
            <w:r>
              <w:rPr>
                <w:rFonts w:hint="eastAsia"/>
                <w:highlight w:val="none"/>
                <w:lang w:val="en-US" w:eastAsia="zh-CN"/>
              </w:rPr>
              <w:t>9</w:t>
            </w:r>
          </w:p>
        </w:tc>
        <w:tc>
          <w:tcPr>
            <w:tcW w:w="1589" w:type="pct"/>
            <w:tcBorders>
              <w:tl2br w:val="nil"/>
              <w:tr2bl w:val="nil"/>
            </w:tcBorders>
            <w:noWrap w:val="0"/>
            <w:vAlign w:val="center"/>
          </w:tcPr>
          <w:p w14:paraId="38452813">
            <w:pPr>
              <w:pStyle w:val="105"/>
              <w:bidi w:val="0"/>
              <w:rPr>
                <w:rFonts w:hint="eastAsia"/>
                <w:highlight w:val="none"/>
                <w:lang w:val="en-US" w:eastAsia="zh-CN"/>
              </w:rPr>
            </w:pPr>
            <w:r>
              <w:rPr>
                <w:rFonts w:hint="eastAsia"/>
                <w:highlight w:val="none"/>
                <w:lang w:val="en-US" w:eastAsia="zh-CN"/>
              </w:rPr>
              <w:t>指挥车</w:t>
            </w:r>
          </w:p>
        </w:tc>
        <w:tc>
          <w:tcPr>
            <w:tcW w:w="744" w:type="pct"/>
            <w:tcBorders>
              <w:tl2br w:val="nil"/>
              <w:tr2bl w:val="nil"/>
            </w:tcBorders>
            <w:noWrap w:val="0"/>
            <w:vAlign w:val="center"/>
          </w:tcPr>
          <w:p w14:paraId="2863AF8F">
            <w:pPr>
              <w:pStyle w:val="105"/>
              <w:bidi w:val="0"/>
              <w:rPr>
                <w:rFonts w:hint="eastAsia"/>
                <w:highlight w:val="none"/>
                <w:lang w:val="en-US" w:eastAsia="zh-CN"/>
              </w:rPr>
            </w:pPr>
            <w:r>
              <w:rPr>
                <w:rFonts w:hint="eastAsia"/>
                <w:highlight w:val="none"/>
                <w:lang w:val="en-US" w:eastAsia="zh-CN"/>
              </w:rPr>
              <w:t>辆</w:t>
            </w:r>
          </w:p>
        </w:tc>
        <w:tc>
          <w:tcPr>
            <w:tcW w:w="1102" w:type="pct"/>
            <w:tcBorders>
              <w:tl2br w:val="nil"/>
              <w:tr2bl w:val="nil"/>
            </w:tcBorders>
            <w:noWrap w:val="0"/>
            <w:vAlign w:val="center"/>
          </w:tcPr>
          <w:p w14:paraId="15F6E8E0">
            <w:pPr>
              <w:pStyle w:val="105"/>
              <w:bidi w:val="0"/>
              <w:rPr>
                <w:rFonts w:hint="eastAsia"/>
                <w:highlight w:val="none"/>
                <w:lang w:val="en-US" w:eastAsia="zh-CN"/>
              </w:rPr>
            </w:pPr>
            <w:r>
              <w:rPr>
                <w:rFonts w:hint="eastAsia"/>
                <w:highlight w:val="none"/>
                <w:lang w:val="en-US" w:eastAsia="zh-CN"/>
              </w:rPr>
              <w:t>1</w:t>
            </w:r>
          </w:p>
        </w:tc>
        <w:tc>
          <w:tcPr>
            <w:tcW w:w="1085" w:type="pct"/>
            <w:tcBorders>
              <w:tl2br w:val="nil"/>
              <w:tr2bl w:val="nil"/>
            </w:tcBorders>
            <w:noWrap w:val="0"/>
            <w:vAlign w:val="center"/>
          </w:tcPr>
          <w:p w14:paraId="60C6ECF9">
            <w:pPr>
              <w:pStyle w:val="105"/>
              <w:bidi w:val="0"/>
              <w:rPr>
                <w:rFonts w:hint="eastAsia"/>
                <w:highlight w:val="none"/>
                <w:lang w:val="en-US" w:eastAsia="zh-CN"/>
              </w:rPr>
            </w:pPr>
          </w:p>
        </w:tc>
      </w:tr>
    </w:tbl>
    <w:p w14:paraId="67AD68D1">
      <w:pPr>
        <w:bidi w:val="0"/>
        <w:ind w:firstLine="480" w:firstLineChars="200"/>
        <w:rPr>
          <w:rFonts w:hint="eastAsia" w:ascii="宋体" w:hAnsi="宋体" w:eastAsia="宋体"/>
          <w:highlight w:val="none"/>
          <w:lang w:val="en-US" w:eastAsia="zh-CN"/>
        </w:rPr>
      </w:pPr>
      <w:bookmarkStart w:id="429" w:name="_Toc15656"/>
      <w:r>
        <w:rPr>
          <w:rFonts w:hint="eastAsia" w:ascii="宋体" w:hAnsi="宋体" w:eastAsia="宋体"/>
          <w:highlight w:val="none"/>
          <w:lang w:val="en-US" w:eastAsia="zh-CN"/>
        </w:rPr>
        <w:t>2、应急电话及救援路线图</w:t>
      </w:r>
      <w:bookmarkEnd w:id="429"/>
    </w:p>
    <w:p w14:paraId="1B367387">
      <w:pPr>
        <w:bidi w:val="0"/>
        <w:ind w:firstLine="480" w:firstLineChars="200"/>
        <w:rPr>
          <w:rFonts w:hint="default" w:ascii="宋体" w:hAnsi="宋体" w:eastAsia="宋体"/>
          <w:highlight w:val="none"/>
          <w:lang w:val="en-US" w:eastAsia="zh-CN"/>
        </w:rPr>
      </w:pPr>
      <w:r>
        <w:rPr>
          <w:rFonts w:hint="eastAsia" w:ascii="宋体" w:hAnsi="宋体" w:eastAsia="宋体"/>
          <w:highlight w:val="none"/>
          <w:lang w:val="en-US" w:eastAsia="zh-CN"/>
        </w:rPr>
        <w:t>（1）应急电话及机构</w:t>
      </w:r>
    </w:p>
    <w:p w14:paraId="3161C880">
      <w:pPr>
        <w:pStyle w:val="41"/>
        <w:bidi w:val="0"/>
        <w:rPr>
          <w:rFonts w:hint="eastAsia"/>
          <w:highlight w:val="none"/>
          <w:lang w:val="en-US" w:eastAsia="zh-CN"/>
        </w:rPr>
      </w:pPr>
      <w:r>
        <w:rPr>
          <w:highlight w:val="none"/>
        </w:rPr>
        <w:t>表</w:t>
      </w:r>
      <w:r>
        <w:rPr>
          <w:rFonts w:hint="eastAsia"/>
          <w:highlight w:val="none"/>
          <w:lang w:val="en-US" w:eastAsia="zh-CN"/>
        </w:rPr>
        <w:t>9.6-2项目附近救援机构联系方式及位置</w:t>
      </w:r>
    </w:p>
    <w:tbl>
      <w:tblPr>
        <w:tblStyle w:val="30"/>
        <w:tblW w:w="4998" w:type="pct"/>
        <w:jc w:val="center"/>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Layout w:type="autofit"/>
        <w:tblCellMar>
          <w:top w:w="0" w:type="dxa"/>
          <w:left w:w="108" w:type="dxa"/>
          <w:bottom w:w="0" w:type="dxa"/>
          <w:right w:w="108" w:type="dxa"/>
        </w:tblCellMar>
      </w:tblPr>
      <w:tblGrid>
        <w:gridCol w:w="699"/>
        <w:gridCol w:w="2496"/>
        <w:gridCol w:w="1693"/>
        <w:gridCol w:w="1831"/>
        <w:gridCol w:w="1800"/>
      </w:tblGrid>
      <w:tr w14:paraId="36B7A3CF">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tblHeader/>
          <w:jc w:val="center"/>
        </w:trPr>
        <w:tc>
          <w:tcPr>
            <w:tcW w:w="410" w:type="pct"/>
            <w:tcBorders>
              <w:tl2br w:val="nil"/>
              <w:tr2bl w:val="nil"/>
            </w:tcBorders>
            <w:shd w:val="clear" w:color="auto" w:fill="DAE3F3" w:themeFill="accent5" w:themeFillTint="32"/>
            <w:noWrap w:val="0"/>
            <w:vAlign w:val="center"/>
          </w:tcPr>
          <w:p w14:paraId="1918F4A3">
            <w:pPr>
              <w:pStyle w:val="105"/>
              <w:bidi w:val="0"/>
              <w:rPr>
                <w:rFonts w:hint="eastAsia"/>
                <w:highlight w:val="none"/>
              </w:rPr>
            </w:pPr>
            <w:r>
              <w:rPr>
                <w:rFonts w:hint="eastAsia"/>
                <w:highlight w:val="none"/>
              </w:rPr>
              <w:t>序号</w:t>
            </w:r>
          </w:p>
        </w:tc>
        <w:tc>
          <w:tcPr>
            <w:tcW w:w="1464" w:type="pct"/>
            <w:tcBorders>
              <w:tl2br w:val="nil"/>
              <w:tr2bl w:val="nil"/>
            </w:tcBorders>
            <w:shd w:val="clear" w:color="auto" w:fill="DAE3F3" w:themeFill="accent5" w:themeFillTint="32"/>
            <w:noWrap w:val="0"/>
            <w:vAlign w:val="center"/>
          </w:tcPr>
          <w:p w14:paraId="6AE9834D">
            <w:pPr>
              <w:pStyle w:val="105"/>
              <w:bidi w:val="0"/>
              <w:rPr>
                <w:rFonts w:hint="eastAsia"/>
                <w:highlight w:val="none"/>
              </w:rPr>
            </w:pPr>
            <w:r>
              <w:rPr>
                <w:rFonts w:hint="eastAsia"/>
                <w:highlight w:val="none"/>
              </w:rPr>
              <w:t>周边资源</w:t>
            </w:r>
          </w:p>
        </w:tc>
        <w:tc>
          <w:tcPr>
            <w:tcW w:w="993" w:type="pct"/>
            <w:tcBorders>
              <w:tl2br w:val="nil"/>
              <w:tr2bl w:val="nil"/>
            </w:tcBorders>
            <w:shd w:val="clear" w:color="auto" w:fill="DAE3F3" w:themeFill="accent5" w:themeFillTint="32"/>
            <w:noWrap w:val="0"/>
            <w:vAlign w:val="center"/>
          </w:tcPr>
          <w:p w14:paraId="7971B0E4">
            <w:pPr>
              <w:pStyle w:val="105"/>
              <w:bidi w:val="0"/>
              <w:rPr>
                <w:rFonts w:hint="eastAsia"/>
                <w:highlight w:val="none"/>
              </w:rPr>
            </w:pPr>
            <w:r>
              <w:rPr>
                <w:rFonts w:hint="eastAsia"/>
                <w:highlight w:val="none"/>
              </w:rPr>
              <w:t>联系方式</w:t>
            </w:r>
          </w:p>
        </w:tc>
        <w:tc>
          <w:tcPr>
            <w:tcW w:w="1074" w:type="pct"/>
            <w:tcBorders>
              <w:tl2br w:val="nil"/>
              <w:tr2bl w:val="nil"/>
            </w:tcBorders>
            <w:shd w:val="clear" w:color="auto" w:fill="DAE3F3" w:themeFill="accent5" w:themeFillTint="32"/>
            <w:noWrap w:val="0"/>
            <w:vAlign w:val="center"/>
          </w:tcPr>
          <w:p w14:paraId="7790F91C">
            <w:pPr>
              <w:pStyle w:val="105"/>
              <w:bidi w:val="0"/>
              <w:rPr>
                <w:rFonts w:hint="eastAsia"/>
                <w:highlight w:val="none"/>
              </w:rPr>
            </w:pPr>
            <w:r>
              <w:rPr>
                <w:rFonts w:hint="eastAsia"/>
                <w:highlight w:val="none"/>
              </w:rPr>
              <w:t>位置</w:t>
            </w:r>
          </w:p>
        </w:tc>
        <w:tc>
          <w:tcPr>
            <w:tcW w:w="1056" w:type="pct"/>
            <w:tcBorders>
              <w:tl2br w:val="nil"/>
              <w:tr2bl w:val="nil"/>
            </w:tcBorders>
            <w:shd w:val="clear" w:color="auto" w:fill="DAE3F3" w:themeFill="accent5" w:themeFillTint="32"/>
            <w:noWrap w:val="0"/>
            <w:vAlign w:val="center"/>
          </w:tcPr>
          <w:p w14:paraId="5427F3F5">
            <w:pPr>
              <w:pStyle w:val="105"/>
              <w:bidi w:val="0"/>
              <w:rPr>
                <w:rFonts w:hint="eastAsia"/>
                <w:highlight w:val="none"/>
              </w:rPr>
            </w:pPr>
            <w:r>
              <w:rPr>
                <w:rFonts w:hint="eastAsia"/>
                <w:highlight w:val="none"/>
              </w:rPr>
              <w:t>用途</w:t>
            </w:r>
          </w:p>
        </w:tc>
      </w:tr>
      <w:tr w14:paraId="16E07FA4">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361E3B1B">
            <w:pPr>
              <w:pStyle w:val="105"/>
              <w:bidi w:val="0"/>
              <w:rPr>
                <w:rFonts w:hint="eastAsia"/>
                <w:highlight w:val="none"/>
              </w:rPr>
            </w:pPr>
            <w:r>
              <w:rPr>
                <w:rFonts w:hint="eastAsia"/>
                <w:highlight w:val="none"/>
              </w:rPr>
              <w:t>1</w:t>
            </w:r>
          </w:p>
        </w:tc>
        <w:tc>
          <w:tcPr>
            <w:tcW w:w="1464" w:type="pct"/>
            <w:tcBorders>
              <w:tl2br w:val="nil"/>
              <w:tr2bl w:val="nil"/>
            </w:tcBorders>
            <w:noWrap w:val="0"/>
            <w:vAlign w:val="center"/>
          </w:tcPr>
          <w:p w14:paraId="140EE99A">
            <w:pPr>
              <w:pStyle w:val="105"/>
              <w:bidi w:val="0"/>
              <w:rPr>
                <w:rFonts w:hint="eastAsia"/>
                <w:highlight w:val="none"/>
                <w:lang w:val="en-US" w:eastAsia="zh-CN"/>
              </w:rPr>
            </w:pPr>
            <w:r>
              <w:rPr>
                <w:rFonts w:hint="eastAsia"/>
                <w:highlight w:val="none"/>
              </w:rPr>
              <w:t>火警</w:t>
            </w:r>
          </w:p>
        </w:tc>
        <w:tc>
          <w:tcPr>
            <w:tcW w:w="993" w:type="pct"/>
            <w:tcBorders>
              <w:tl2br w:val="nil"/>
              <w:tr2bl w:val="nil"/>
            </w:tcBorders>
            <w:noWrap w:val="0"/>
            <w:vAlign w:val="center"/>
          </w:tcPr>
          <w:p w14:paraId="428A9795">
            <w:pPr>
              <w:pStyle w:val="105"/>
              <w:bidi w:val="0"/>
              <w:rPr>
                <w:rFonts w:hint="eastAsia"/>
                <w:highlight w:val="none"/>
                <w:lang w:val="en-US" w:eastAsia="zh-CN"/>
              </w:rPr>
            </w:pPr>
            <w:r>
              <w:rPr>
                <w:rFonts w:hint="eastAsia"/>
                <w:highlight w:val="none"/>
              </w:rPr>
              <w:t>119</w:t>
            </w:r>
          </w:p>
        </w:tc>
        <w:tc>
          <w:tcPr>
            <w:tcW w:w="1074" w:type="pct"/>
            <w:tcBorders>
              <w:tl2br w:val="nil"/>
              <w:tr2bl w:val="nil"/>
            </w:tcBorders>
            <w:noWrap w:val="0"/>
            <w:vAlign w:val="center"/>
          </w:tcPr>
          <w:p w14:paraId="493989EF">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71FBEDA1">
            <w:pPr>
              <w:pStyle w:val="105"/>
              <w:bidi w:val="0"/>
              <w:rPr>
                <w:rFonts w:hint="eastAsia"/>
                <w:highlight w:val="none"/>
                <w:lang w:val="en-US" w:eastAsia="zh-CN"/>
              </w:rPr>
            </w:pPr>
            <w:r>
              <w:rPr>
                <w:rFonts w:hint="eastAsia"/>
                <w:highlight w:val="none"/>
              </w:rPr>
              <w:t>火灾报警救援</w:t>
            </w:r>
          </w:p>
        </w:tc>
      </w:tr>
      <w:tr w14:paraId="60448DB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8F1E53C">
            <w:pPr>
              <w:pStyle w:val="105"/>
              <w:bidi w:val="0"/>
              <w:rPr>
                <w:rFonts w:hint="eastAsia"/>
                <w:highlight w:val="none"/>
              </w:rPr>
            </w:pPr>
            <w:r>
              <w:rPr>
                <w:rFonts w:hint="eastAsia"/>
                <w:highlight w:val="none"/>
              </w:rPr>
              <w:t>2</w:t>
            </w:r>
          </w:p>
        </w:tc>
        <w:tc>
          <w:tcPr>
            <w:tcW w:w="1464" w:type="pct"/>
            <w:tcBorders>
              <w:tl2br w:val="nil"/>
              <w:tr2bl w:val="nil"/>
            </w:tcBorders>
            <w:noWrap w:val="0"/>
            <w:vAlign w:val="center"/>
          </w:tcPr>
          <w:p w14:paraId="5F76E0E0">
            <w:pPr>
              <w:pStyle w:val="105"/>
              <w:bidi w:val="0"/>
              <w:rPr>
                <w:rFonts w:hint="eastAsia"/>
                <w:highlight w:val="none"/>
                <w:lang w:val="en-US" w:eastAsia="zh-CN"/>
              </w:rPr>
            </w:pPr>
            <w:r>
              <w:rPr>
                <w:rFonts w:hint="eastAsia"/>
                <w:highlight w:val="none"/>
              </w:rPr>
              <w:t>匪警</w:t>
            </w:r>
          </w:p>
        </w:tc>
        <w:tc>
          <w:tcPr>
            <w:tcW w:w="993" w:type="pct"/>
            <w:tcBorders>
              <w:tl2br w:val="nil"/>
              <w:tr2bl w:val="nil"/>
            </w:tcBorders>
            <w:noWrap w:val="0"/>
            <w:vAlign w:val="center"/>
          </w:tcPr>
          <w:p w14:paraId="0F093DE0">
            <w:pPr>
              <w:pStyle w:val="105"/>
              <w:bidi w:val="0"/>
              <w:rPr>
                <w:rFonts w:hint="eastAsia"/>
                <w:highlight w:val="none"/>
                <w:lang w:val="en-US" w:eastAsia="zh-CN"/>
              </w:rPr>
            </w:pPr>
            <w:r>
              <w:rPr>
                <w:rFonts w:hint="eastAsia"/>
                <w:highlight w:val="none"/>
              </w:rPr>
              <w:t>110</w:t>
            </w:r>
          </w:p>
        </w:tc>
        <w:tc>
          <w:tcPr>
            <w:tcW w:w="1074" w:type="pct"/>
            <w:tcBorders>
              <w:tl2br w:val="nil"/>
              <w:tr2bl w:val="nil"/>
            </w:tcBorders>
            <w:noWrap w:val="0"/>
            <w:vAlign w:val="center"/>
          </w:tcPr>
          <w:p w14:paraId="4A1D87A7">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9AE60A5">
            <w:pPr>
              <w:pStyle w:val="105"/>
              <w:bidi w:val="0"/>
              <w:rPr>
                <w:rFonts w:hint="eastAsia"/>
                <w:highlight w:val="none"/>
                <w:lang w:val="en-US" w:eastAsia="zh-CN"/>
              </w:rPr>
            </w:pPr>
            <w:r>
              <w:rPr>
                <w:rFonts w:hint="eastAsia"/>
                <w:highlight w:val="none"/>
              </w:rPr>
              <w:t>治安事件报警救援</w:t>
            </w:r>
          </w:p>
        </w:tc>
      </w:tr>
      <w:tr w14:paraId="52BAABF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6A783CE">
            <w:pPr>
              <w:pStyle w:val="105"/>
              <w:bidi w:val="0"/>
              <w:rPr>
                <w:rFonts w:hint="eastAsia"/>
                <w:highlight w:val="none"/>
              </w:rPr>
            </w:pPr>
            <w:r>
              <w:rPr>
                <w:rFonts w:hint="eastAsia"/>
                <w:highlight w:val="none"/>
              </w:rPr>
              <w:t>3</w:t>
            </w:r>
          </w:p>
        </w:tc>
        <w:tc>
          <w:tcPr>
            <w:tcW w:w="1464" w:type="pct"/>
            <w:tcBorders>
              <w:tl2br w:val="nil"/>
              <w:tr2bl w:val="nil"/>
            </w:tcBorders>
            <w:noWrap w:val="0"/>
            <w:vAlign w:val="center"/>
          </w:tcPr>
          <w:p w14:paraId="1C94D057">
            <w:pPr>
              <w:pStyle w:val="105"/>
              <w:bidi w:val="0"/>
              <w:rPr>
                <w:rFonts w:hint="eastAsia"/>
                <w:highlight w:val="none"/>
                <w:lang w:val="en-US" w:eastAsia="zh-CN"/>
              </w:rPr>
            </w:pPr>
            <w:r>
              <w:rPr>
                <w:rFonts w:hint="eastAsia"/>
                <w:highlight w:val="none"/>
              </w:rPr>
              <w:t>气象</w:t>
            </w:r>
          </w:p>
        </w:tc>
        <w:tc>
          <w:tcPr>
            <w:tcW w:w="993" w:type="pct"/>
            <w:tcBorders>
              <w:tl2br w:val="nil"/>
              <w:tr2bl w:val="nil"/>
            </w:tcBorders>
            <w:noWrap w:val="0"/>
            <w:vAlign w:val="center"/>
          </w:tcPr>
          <w:p w14:paraId="66FFE489">
            <w:pPr>
              <w:pStyle w:val="105"/>
              <w:bidi w:val="0"/>
              <w:rPr>
                <w:rFonts w:hint="eastAsia"/>
                <w:highlight w:val="none"/>
                <w:lang w:val="en-US" w:eastAsia="zh-CN"/>
              </w:rPr>
            </w:pPr>
            <w:r>
              <w:rPr>
                <w:rFonts w:hint="eastAsia"/>
                <w:highlight w:val="none"/>
              </w:rPr>
              <w:t>121</w:t>
            </w:r>
          </w:p>
        </w:tc>
        <w:tc>
          <w:tcPr>
            <w:tcW w:w="1074" w:type="pct"/>
            <w:tcBorders>
              <w:tl2br w:val="nil"/>
              <w:tr2bl w:val="nil"/>
            </w:tcBorders>
            <w:noWrap w:val="0"/>
            <w:vAlign w:val="center"/>
          </w:tcPr>
          <w:p w14:paraId="3827B03C">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001E100E">
            <w:pPr>
              <w:pStyle w:val="105"/>
              <w:bidi w:val="0"/>
              <w:rPr>
                <w:rFonts w:hint="eastAsia"/>
                <w:highlight w:val="none"/>
                <w:lang w:val="en-US" w:eastAsia="zh-CN"/>
              </w:rPr>
            </w:pPr>
            <w:r>
              <w:rPr>
                <w:rFonts w:hint="eastAsia"/>
                <w:highlight w:val="none"/>
              </w:rPr>
              <w:t>气象信息</w:t>
            </w:r>
          </w:p>
        </w:tc>
      </w:tr>
      <w:tr w14:paraId="7D6CF009">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FF178AE">
            <w:pPr>
              <w:pStyle w:val="105"/>
              <w:bidi w:val="0"/>
              <w:rPr>
                <w:rFonts w:hint="eastAsia"/>
                <w:highlight w:val="none"/>
              </w:rPr>
            </w:pPr>
            <w:r>
              <w:rPr>
                <w:rFonts w:hint="eastAsia"/>
                <w:highlight w:val="none"/>
              </w:rPr>
              <w:t>4</w:t>
            </w:r>
          </w:p>
        </w:tc>
        <w:tc>
          <w:tcPr>
            <w:tcW w:w="1464" w:type="pct"/>
            <w:tcBorders>
              <w:tl2br w:val="nil"/>
              <w:tr2bl w:val="nil"/>
            </w:tcBorders>
            <w:noWrap w:val="0"/>
            <w:vAlign w:val="center"/>
          </w:tcPr>
          <w:p w14:paraId="0546E46A">
            <w:pPr>
              <w:pStyle w:val="105"/>
              <w:bidi w:val="0"/>
              <w:rPr>
                <w:rFonts w:hint="eastAsia"/>
                <w:highlight w:val="none"/>
                <w:lang w:val="en-US" w:eastAsia="zh-CN"/>
              </w:rPr>
            </w:pPr>
            <w:r>
              <w:rPr>
                <w:rFonts w:hint="eastAsia"/>
                <w:highlight w:val="none"/>
              </w:rPr>
              <w:t>查号台</w:t>
            </w:r>
          </w:p>
        </w:tc>
        <w:tc>
          <w:tcPr>
            <w:tcW w:w="993" w:type="pct"/>
            <w:tcBorders>
              <w:tl2br w:val="nil"/>
              <w:tr2bl w:val="nil"/>
            </w:tcBorders>
            <w:noWrap w:val="0"/>
            <w:vAlign w:val="center"/>
          </w:tcPr>
          <w:p w14:paraId="09AC7376">
            <w:pPr>
              <w:pStyle w:val="105"/>
              <w:bidi w:val="0"/>
              <w:rPr>
                <w:rFonts w:hint="eastAsia"/>
                <w:highlight w:val="none"/>
                <w:lang w:val="en-US" w:eastAsia="zh-CN"/>
              </w:rPr>
            </w:pPr>
            <w:r>
              <w:rPr>
                <w:rFonts w:hint="eastAsia"/>
                <w:highlight w:val="none"/>
              </w:rPr>
              <w:t>114</w:t>
            </w:r>
          </w:p>
        </w:tc>
        <w:tc>
          <w:tcPr>
            <w:tcW w:w="1074" w:type="pct"/>
            <w:tcBorders>
              <w:tl2br w:val="nil"/>
              <w:tr2bl w:val="nil"/>
            </w:tcBorders>
            <w:noWrap w:val="0"/>
            <w:vAlign w:val="center"/>
          </w:tcPr>
          <w:p w14:paraId="7E0DF5E4">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FFA8840">
            <w:pPr>
              <w:pStyle w:val="105"/>
              <w:bidi w:val="0"/>
              <w:rPr>
                <w:rFonts w:hint="eastAsia"/>
                <w:highlight w:val="none"/>
                <w:lang w:val="en-US" w:eastAsia="zh-CN"/>
              </w:rPr>
            </w:pPr>
            <w:r>
              <w:rPr>
                <w:rFonts w:hint="eastAsia"/>
                <w:highlight w:val="none"/>
              </w:rPr>
              <w:t>电话号码查询</w:t>
            </w:r>
          </w:p>
        </w:tc>
      </w:tr>
      <w:tr w14:paraId="4CFE6788">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5BE19AFF">
            <w:pPr>
              <w:pStyle w:val="105"/>
              <w:bidi w:val="0"/>
              <w:rPr>
                <w:rFonts w:hint="eastAsia"/>
                <w:highlight w:val="none"/>
                <w:lang w:val="en-US" w:eastAsia="zh-CN"/>
              </w:rPr>
            </w:pPr>
            <w:r>
              <w:rPr>
                <w:rFonts w:hint="eastAsia"/>
                <w:highlight w:val="none"/>
                <w:lang w:val="en-US" w:eastAsia="zh-CN"/>
              </w:rPr>
              <w:t>5</w:t>
            </w:r>
          </w:p>
        </w:tc>
        <w:tc>
          <w:tcPr>
            <w:tcW w:w="1464" w:type="pct"/>
            <w:tcBorders>
              <w:tl2br w:val="nil"/>
              <w:tr2bl w:val="nil"/>
            </w:tcBorders>
            <w:noWrap w:val="0"/>
            <w:vAlign w:val="center"/>
          </w:tcPr>
          <w:p w14:paraId="17BBDBE8">
            <w:pPr>
              <w:pStyle w:val="105"/>
              <w:bidi w:val="0"/>
              <w:rPr>
                <w:rFonts w:hint="eastAsia"/>
                <w:highlight w:val="none"/>
                <w:lang w:val="en-US" w:eastAsia="zh-CN"/>
              </w:rPr>
            </w:pPr>
            <w:r>
              <w:rPr>
                <w:rFonts w:hint="eastAsia"/>
                <w:highlight w:val="none"/>
              </w:rPr>
              <w:t>市急救中心</w:t>
            </w:r>
          </w:p>
        </w:tc>
        <w:tc>
          <w:tcPr>
            <w:tcW w:w="993" w:type="pct"/>
            <w:tcBorders>
              <w:tl2br w:val="nil"/>
              <w:tr2bl w:val="nil"/>
            </w:tcBorders>
            <w:noWrap w:val="0"/>
            <w:vAlign w:val="center"/>
          </w:tcPr>
          <w:p w14:paraId="749555BD">
            <w:pPr>
              <w:pStyle w:val="105"/>
              <w:bidi w:val="0"/>
              <w:rPr>
                <w:rFonts w:hint="eastAsia"/>
                <w:highlight w:val="none"/>
                <w:lang w:val="en-US" w:eastAsia="zh-CN"/>
              </w:rPr>
            </w:pPr>
            <w:r>
              <w:rPr>
                <w:rFonts w:hint="eastAsia"/>
                <w:highlight w:val="none"/>
              </w:rPr>
              <w:t>120</w:t>
            </w:r>
          </w:p>
        </w:tc>
        <w:tc>
          <w:tcPr>
            <w:tcW w:w="1074" w:type="pct"/>
            <w:tcBorders>
              <w:tl2br w:val="nil"/>
              <w:tr2bl w:val="nil"/>
            </w:tcBorders>
            <w:noWrap w:val="0"/>
            <w:vAlign w:val="center"/>
          </w:tcPr>
          <w:p w14:paraId="372AEEF5">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61A3DB57">
            <w:pPr>
              <w:pStyle w:val="105"/>
              <w:bidi w:val="0"/>
              <w:rPr>
                <w:rFonts w:hint="eastAsia"/>
                <w:highlight w:val="none"/>
                <w:lang w:val="en-US" w:eastAsia="zh-CN"/>
              </w:rPr>
            </w:pPr>
            <w:r>
              <w:rPr>
                <w:rFonts w:hint="eastAsia"/>
                <w:highlight w:val="none"/>
              </w:rPr>
              <w:t>人员伤亡急救</w:t>
            </w:r>
          </w:p>
        </w:tc>
      </w:tr>
      <w:tr w14:paraId="0390A4E6">
        <w:tblPrEx>
          <w:tblBorders>
            <w:top w:val="double" w:color="2F5496" w:themeColor="accent5" w:themeShade="BF" w:sz="4" w:space="0"/>
            <w:left w:val="double" w:color="2F5496" w:themeColor="accent5" w:themeShade="BF" w:sz="4" w:space="0"/>
            <w:bottom w:val="double" w:color="2F5496" w:themeColor="accent5" w:themeShade="BF" w:sz="4" w:space="0"/>
            <w:right w:val="double" w:color="2F5496" w:themeColor="accent5" w:themeShade="BF" w:sz="4" w:space="0"/>
            <w:insideH w:val="single" w:color="2F5496" w:themeColor="accent5" w:themeShade="BF" w:sz="4" w:space="0"/>
            <w:insideV w:val="single" w:color="2F5496" w:themeColor="accent5" w:themeShade="BF" w:sz="4" w:space="0"/>
          </w:tblBorders>
          <w:tblCellMar>
            <w:top w:w="0" w:type="dxa"/>
            <w:left w:w="108" w:type="dxa"/>
            <w:bottom w:w="0" w:type="dxa"/>
            <w:right w:w="108" w:type="dxa"/>
          </w:tblCellMar>
        </w:tblPrEx>
        <w:trPr>
          <w:trHeight w:val="454" w:hRule="atLeast"/>
          <w:jc w:val="center"/>
        </w:trPr>
        <w:tc>
          <w:tcPr>
            <w:tcW w:w="410" w:type="pct"/>
            <w:tcBorders>
              <w:tl2br w:val="nil"/>
              <w:tr2bl w:val="nil"/>
            </w:tcBorders>
            <w:noWrap w:val="0"/>
            <w:vAlign w:val="center"/>
          </w:tcPr>
          <w:p w14:paraId="0C04ABBB">
            <w:pPr>
              <w:pStyle w:val="105"/>
              <w:bidi w:val="0"/>
              <w:rPr>
                <w:rFonts w:hint="eastAsia"/>
                <w:highlight w:val="none"/>
                <w:lang w:val="en-US" w:eastAsia="zh-CN"/>
              </w:rPr>
            </w:pPr>
            <w:r>
              <w:rPr>
                <w:rFonts w:hint="eastAsia"/>
                <w:highlight w:val="none"/>
                <w:lang w:val="en-US" w:eastAsia="zh-CN"/>
              </w:rPr>
              <w:t>6</w:t>
            </w:r>
          </w:p>
        </w:tc>
        <w:tc>
          <w:tcPr>
            <w:tcW w:w="1464" w:type="pct"/>
            <w:tcBorders>
              <w:tl2br w:val="nil"/>
              <w:tr2bl w:val="nil"/>
            </w:tcBorders>
            <w:noWrap w:val="0"/>
            <w:vAlign w:val="center"/>
          </w:tcPr>
          <w:p w14:paraId="6E94E596">
            <w:pPr>
              <w:pStyle w:val="105"/>
              <w:bidi w:val="0"/>
              <w:rPr>
                <w:rFonts w:hint="eastAsia"/>
                <w:highlight w:val="none"/>
                <w:lang w:val="en-US" w:eastAsia="zh-CN"/>
              </w:rPr>
            </w:pPr>
            <w:r>
              <w:rPr>
                <w:rFonts w:hint="eastAsia"/>
                <w:highlight w:val="none"/>
              </w:rPr>
              <w:t>道路事故报警</w:t>
            </w:r>
          </w:p>
        </w:tc>
        <w:tc>
          <w:tcPr>
            <w:tcW w:w="993" w:type="pct"/>
            <w:tcBorders>
              <w:tl2br w:val="nil"/>
              <w:tr2bl w:val="nil"/>
            </w:tcBorders>
            <w:noWrap w:val="0"/>
            <w:vAlign w:val="center"/>
          </w:tcPr>
          <w:p w14:paraId="3319EEBC">
            <w:pPr>
              <w:pStyle w:val="105"/>
              <w:bidi w:val="0"/>
              <w:rPr>
                <w:rFonts w:hint="eastAsia"/>
                <w:highlight w:val="none"/>
                <w:lang w:val="en-US" w:eastAsia="zh-CN"/>
              </w:rPr>
            </w:pPr>
            <w:r>
              <w:rPr>
                <w:rFonts w:hint="eastAsia"/>
                <w:highlight w:val="none"/>
              </w:rPr>
              <w:t>122</w:t>
            </w:r>
          </w:p>
        </w:tc>
        <w:tc>
          <w:tcPr>
            <w:tcW w:w="1074" w:type="pct"/>
            <w:tcBorders>
              <w:tl2br w:val="nil"/>
              <w:tr2bl w:val="nil"/>
            </w:tcBorders>
            <w:noWrap w:val="0"/>
            <w:vAlign w:val="center"/>
          </w:tcPr>
          <w:p w14:paraId="5F26F765">
            <w:pPr>
              <w:pStyle w:val="105"/>
              <w:bidi w:val="0"/>
              <w:rPr>
                <w:rFonts w:hint="eastAsia"/>
                <w:highlight w:val="none"/>
                <w:lang w:val="en-US" w:eastAsia="zh-CN"/>
              </w:rPr>
            </w:pPr>
            <w:r>
              <w:rPr>
                <w:rFonts w:hint="eastAsia"/>
                <w:highlight w:val="none"/>
              </w:rPr>
              <w:t>/</w:t>
            </w:r>
          </w:p>
        </w:tc>
        <w:tc>
          <w:tcPr>
            <w:tcW w:w="1056" w:type="pct"/>
            <w:tcBorders>
              <w:tl2br w:val="nil"/>
              <w:tr2bl w:val="nil"/>
            </w:tcBorders>
            <w:noWrap w:val="0"/>
            <w:vAlign w:val="center"/>
          </w:tcPr>
          <w:p w14:paraId="45D9281D">
            <w:pPr>
              <w:pStyle w:val="105"/>
              <w:bidi w:val="0"/>
              <w:rPr>
                <w:rFonts w:hint="eastAsia"/>
                <w:highlight w:val="none"/>
                <w:lang w:val="en-US" w:eastAsia="zh-CN"/>
              </w:rPr>
            </w:pPr>
            <w:r>
              <w:rPr>
                <w:rFonts w:hint="eastAsia"/>
                <w:highlight w:val="none"/>
              </w:rPr>
              <w:t>道路事故报警</w:t>
            </w:r>
          </w:p>
        </w:tc>
      </w:tr>
    </w:tbl>
    <w:p w14:paraId="021B72B1">
      <w:pPr>
        <w:bidi w:val="0"/>
        <w:ind w:firstLine="480" w:firstLineChars="200"/>
        <w:rPr>
          <w:rFonts w:hint="eastAsia" w:ascii="宋体" w:hAnsi="宋体" w:eastAsia="宋体"/>
          <w:highlight w:val="none"/>
          <w:lang w:val="en-US" w:eastAsia="zh-CN"/>
        </w:rPr>
      </w:pPr>
      <w:r>
        <w:rPr>
          <w:rFonts w:hint="eastAsia" w:ascii="宋体" w:hAnsi="宋体" w:eastAsia="宋体"/>
          <w:highlight w:val="none"/>
          <w:lang w:val="en-US" w:eastAsia="zh-CN"/>
        </w:rPr>
        <w:t>（2）应急救援路线</w:t>
      </w:r>
    </w:p>
    <w:p w14:paraId="2B2C97D2">
      <w:pPr>
        <w:keepNext w:val="0"/>
        <w:keepLines w:val="0"/>
        <w:widowControl/>
        <w:suppressLineNumbers w:val="0"/>
        <w:ind w:firstLine="480" w:firstLineChars="200"/>
        <w:jc w:val="left"/>
        <w:rPr>
          <w:highlight w:val="none"/>
        </w:rPr>
      </w:pPr>
      <w:r>
        <w:rPr>
          <w:rFonts w:hint="eastAsia" w:ascii="宋体" w:hAnsi="宋体" w:eastAsia="宋体" w:cs="宋体"/>
          <w:color w:val="000000"/>
          <w:kern w:val="0"/>
          <w:sz w:val="24"/>
          <w:szCs w:val="24"/>
          <w:highlight w:val="none"/>
          <w:lang w:val="en-US" w:eastAsia="zh-CN" w:bidi="ar"/>
        </w:rPr>
        <w:t>为急救医生留出抢救通道，确保安全通道畅通，我部已与恭城县人民医院签订协议，联系电话120、0773-8212298。</w:t>
      </w:r>
    </w:p>
    <w:p w14:paraId="42FC3D16">
      <w:pPr>
        <w:keepNext w:val="0"/>
        <w:keepLines w:val="0"/>
        <w:widowControl/>
        <w:suppressLineNumbers w:val="0"/>
        <w:ind w:firstLine="480" w:firstLineChars="200"/>
        <w:jc w:val="left"/>
        <w:rPr>
          <w:highlight w:val="none"/>
        </w:rPr>
      </w:pPr>
      <w:r>
        <w:rPr>
          <w:rFonts w:hint="eastAsia" w:cs="宋体"/>
          <w:color w:val="000000"/>
          <w:kern w:val="0"/>
          <w:sz w:val="24"/>
          <w:szCs w:val="24"/>
          <w:highlight w:val="none"/>
          <w:lang w:val="en-US" w:eastAsia="zh-CN" w:bidi="ar"/>
        </w:rPr>
        <w:t>应急救援路线：</w:t>
      </w:r>
      <w:r>
        <w:rPr>
          <w:rFonts w:hint="eastAsia" w:ascii="宋体" w:hAnsi="宋体" w:eastAsia="宋体" w:cs="宋体"/>
          <w:color w:val="000000"/>
          <w:kern w:val="0"/>
          <w:sz w:val="24"/>
          <w:szCs w:val="24"/>
          <w:highlight w:val="none"/>
          <w:lang w:val="en-US" w:eastAsia="zh-CN" w:bidi="ar"/>
        </w:rPr>
        <w:t>项目经理部在施工事故应急抢险过程中一旦发生人员伤亡事故或其他紧急情况，除及时采取对应的应急响应处置措施外，恭城县人民医院为主要应急处置地点，现场至恭城县人民医院全程约30分钟。</w:t>
      </w:r>
    </w:p>
    <w:p w14:paraId="2EE47B4C">
      <w:pPr>
        <w:pStyle w:val="13"/>
        <w:ind w:left="0" w:leftChars="0" w:firstLine="0" w:firstLineChars="0"/>
        <w:jc w:val="center"/>
        <w:rPr>
          <w:highlight w:val="none"/>
        </w:rPr>
      </w:pPr>
      <w:r>
        <w:rPr>
          <w:rFonts w:ascii="宋体" w:hAnsi="宋体" w:eastAsia="宋体" w:cs="宋体"/>
          <w:kern w:val="0"/>
          <w:sz w:val="24"/>
          <w:szCs w:val="24"/>
          <w:highlight w:val="none"/>
          <w:lang w:val="en-US" w:eastAsia="zh-CN" w:bidi="ar"/>
        </w:rPr>
        <w:drawing>
          <wp:inline distT="0" distB="0" distL="114300" distR="114300">
            <wp:extent cx="4458335" cy="2416810"/>
            <wp:effectExtent l="0" t="0" r="0" b="0"/>
            <wp:docPr id="38"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IMG_256"/>
                    <pic:cNvPicPr>
                      <a:picLocks noChangeAspect="1"/>
                    </pic:cNvPicPr>
                  </pic:nvPicPr>
                  <pic:blipFill>
                    <a:blip r:embed="rId68"/>
                    <a:srcRect b="6944"/>
                    <a:stretch>
                      <a:fillRect/>
                    </a:stretch>
                  </pic:blipFill>
                  <pic:spPr>
                    <a:xfrm>
                      <a:off x="0" y="0"/>
                      <a:ext cx="4458335" cy="2416810"/>
                    </a:xfrm>
                    <a:prstGeom prst="rect">
                      <a:avLst/>
                    </a:prstGeom>
                    <a:noFill/>
                    <a:ln w="9525">
                      <a:noFill/>
                    </a:ln>
                  </pic:spPr>
                </pic:pic>
              </a:graphicData>
            </a:graphic>
          </wp:inline>
        </w:drawing>
      </w:r>
    </w:p>
    <w:p w14:paraId="741763BE">
      <w:pPr>
        <w:pStyle w:val="41"/>
        <w:bidi w:val="0"/>
        <w:rPr>
          <w:rFonts w:hint="eastAsia"/>
          <w:highlight w:val="none"/>
          <w:lang w:val="en-US" w:eastAsia="zh-CN"/>
        </w:rPr>
      </w:pPr>
      <w:r>
        <w:rPr>
          <w:rFonts w:hint="eastAsia"/>
          <w:highlight w:val="none"/>
          <w:lang w:val="en-US" w:eastAsia="zh-CN"/>
        </w:rPr>
        <w:t>图9.6</w:t>
      </w:r>
      <w:r>
        <w:rPr>
          <w:rFonts w:hint="default"/>
          <w:highlight w:val="none"/>
          <w:lang w:val="en-US" w:eastAsia="zh-CN"/>
        </w:rPr>
        <w:t xml:space="preserve">-1 </w:t>
      </w:r>
      <w:r>
        <w:rPr>
          <w:rFonts w:hint="eastAsia"/>
          <w:highlight w:val="none"/>
          <w:lang w:val="en-US" w:eastAsia="zh-CN"/>
        </w:rPr>
        <w:t>应急路线图</w:t>
      </w:r>
    </w:p>
    <w:p w14:paraId="5160C3FD">
      <w:pPr>
        <w:pStyle w:val="3"/>
        <w:tabs>
          <w:tab w:val="left" w:pos="240"/>
        </w:tabs>
        <w:bidi w:val="0"/>
        <w:rPr>
          <w:rFonts w:hint="eastAsia"/>
          <w:highlight w:val="none"/>
        </w:rPr>
      </w:pPr>
      <w:bookmarkStart w:id="430" w:name="_Toc21709"/>
      <w:bookmarkStart w:id="431" w:name="_Toc25072"/>
      <w:bookmarkStart w:id="432" w:name="_Toc32359"/>
      <w:bookmarkStart w:id="433" w:name="_Toc31758"/>
      <w:bookmarkStart w:id="434" w:name="_Toc23591"/>
      <w:bookmarkStart w:id="435" w:name="_Toc4128"/>
      <w:r>
        <w:rPr>
          <w:rFonts w:hint="eastAsia"/>
          <w:highlight w:val="none"/>
          <w:lang w:val="en-US" w:eastAsia="zh-CN"/>
        </w:rPr>
        <w:t>9.</w:t>
      </w:r>
      <w:bookmarkStart w:id="436" w:name="_Toc55223388"/>
      <w:bookmarkStart w:id="437" w:name="_Toc1146"/>
      <w:bookmarkStart w:id="438" w:name="_Toc40778459"/>
      <w:bookmarkStart w:id="439" w:name="_Toc28123"/>
      <w:r>
        <w:rPr>
          <w:rFonts w:hint="eastAsia"/>
          <w:highlight w:val="none"/>
          <w:lang w:val="en-US" w:eastAsia="zh-CN"/>
        </w:rPr>
        <w:t>7</w:t>
      </w:r>
      <w:r>
        <w:rPr>
          <w:rFonts w:hint="eastAsia"/>
          <w:highlight w:val="none"/>
        </w:rPr>
        <w:t>事故善后及恢复生产</w:t>
      </w:r>
      <w:bookmarkEnd w:id="430"/>
      <w:bookmarkEnd w:id="431"/>
      <w:bookmarkEnd w:id="432"/>
      <w:bookmarkEnd w:id="433"/>
      <w:bookmarkEnd w:id="434"/>
      <w:bookmarkEnd w:id="435"/>
      <w:bookmarkEnd w:id="436"/>
      <w:bookmarkEnd w:id="437"/>
      <w:bookmarkEnd w:id="438"/>
      <w:bookmarkEnd w:id="439"/>
    </w:p>
    <w:p w14:paraId="044B4493">
      <w:pPr>
        <w:bidi w:val="0"/>
        <w:ind w:firstLine="480" w:firstLineChars="200"/>
        <w:rPr>
          <w:highlight w:val="none"/>
        </w:rPr>
      </w:pPr>
      <w:bookmarkStart w:id="440" w:name="_Toc239741315"/>
      <w:r>
        <w:rPr>
          <w:rFonts w:hint="eastAsia"/>
          <w:highlight w:val="none"/>
        </w:rPr>
        <w:t>当事态得到有效控制，危险得以消除时，由项目经理下达终止应急令。</w:t>
      </w:r>
    </w:p>
    <w:p w14:paraId="2292B82F">
      <w:pPr>
        <w:bidi w:val="0"/>
        <w:ind w:firstLine="480" w:firstLineChars="200"/>
        <w:rPr>
          <w:highlight w:val="none"/>
        </w:rPr>
      </w:pPr>
      <w:r>
        <w:rPr>
          <w:rFonts w:hint="eastAsia"/>
          <w:highlight w:val="none"/>
        </w:rPr>
        <w:t>当终止应急救援后，事故现场仍然存在可能的不明隐患时支护结构是否能满足土体应力、是否需要采取加强支护等），现场警戒不予解除，直至经技术部门技术鉴定确认无不明隐患、周边土体、支护结构及周边建筑物等趋于稳定后，告知安保部部长下令解除现场警戒。</w:t>
      </w:r>
    </w:p>
    <w:p w14:paraId="06D3AE3B">
      <w:pPr>
        <w:bidi w:val="0"/>
        <w:ind w:firstLine="480" w:firstLineChars="200"/>
        <w:rPr>
          <w:highlight w:val="none"/>
        </w:rPr>
      </w:pPr>
      <w:r>
        <w:rPr>
          <w:rFonts w:hint="eastAsia"/>
          <w:highlight w:val="none"/>
        </w:rPr>
        <w:t>警戒解除后，由应急救援队伍负责恢复现场。主要清理临时设施、救援过程中产生的废弃物、恢复现场施工条件等。</w:t>
      </w:r>
    </w:p>
    <w:p w14:paraId="6E3F8998">
      <w:pPr>
        <w:bidi w:val="0"/>
        <w:ind w:firstLine="480" w:firstLineChars="200"/>
        <w:rPr>
          <w:highlight w:val="none"/>
        </w:rPr>
      </w:pPr>
      <w:r>
        <w:rPr>
          <w:rFonts w:hint="eastAsia"/>
          <w:highlight w:val="none"/>
        </w:rPr>
        <w:t>事故处理</w:t>
      </w:r>
      <w:bookmarkEnd w:id="440"/>
      <w:r>
        <w:rPr>
          <w:rFonts w:hint="eastAsia"/>
          <w:highlight w:val="none"/>
        </w:rPr>
        <w:t>：事故调查小组在事故得到控制以后，迅速到受到保护的现场调查取证，查明产生事故的原因。项目部在事故处理完毕后，认真总结经验教训。</w:t>
      </w:r>
    </w:p>
    <w:p w14:paraId="229C72D7">
      <w:pPr>
        <w:bidi w:val="0"/>
        <w:ind w:firstLine="480" w:firstLineChars="200"/>
        <w:rPr>
          <w:highlight w:val="none"/>
        </w:rPr>
      </w:pPr>
      <w:bookmarkStart w:id="441" w:name="_Toc239741316"/>
      <w:r>
        <w:rPr>
          <w:rFonts w:hint="eastAsia"/>
          <w:highlight w:val="none"/>
        </w:rPr>
        <w:t>生产恢复</w:t>
      </w:r>
      <w:bookmarkEnd w:id="441"/>
      <w:r>
        <w:rPr>
          <w:rFonts w:hint="eastAsia"/>
          <w:highlight w:val="none"/>
        </w:rPr>
        <w:t>：事故发生后，项目部在处理事故的同时，尽快组织人员恢复生产，避免影响项目部施工生产进度，恢复生产的主要工作包括：</w:t>
      </w:r>
    </w:p>
    <w:p w14:paraId="5E762D68">
      <w:pPr>
        <w:bidi w:val="0"/>
        <w:ind w:firstLine="480" w:firstLineChars="200"/>
        <w:rPr>
          <w:highlight w:val="none"/>
        </w:rPr>
      </w:pPr>
      <w:r>
        <w:rPr>
          <w:rFonts w:hint="eastAsia"/>
          <w:highlight w:val="none"/>
          <w:lang w:val="en-US" w:eastAsia="zh-CN"/>
        </w:rPr>
        <w:t>1、</w:t>
      </w:r>
      <w:r>
        <w:rPr>
          <w:rFonts w:hint="eastAsia"/>
          <w:highlight w:val="none"/>
        </w:rPr>
        <w:t>明确事故处理所需的现场材料，加快对施工现场进行调查和取证，收集相关的资料证据，包括对现场的</w:t>
      </w:r>
      <w:r>
        <w:rPr>
          <w:rFonts w:hint="eastAsia"/>
          <w:highlight w:val="none"/>
          <w:lang w:eastAsia="zh-CN"/>
        </w:rPr>
        <w:t>摄像</w:t>
      </w:r>
      <w:r>
        <w:rPr>
          <w:rFonts w:hint="eastAsia"/>
          <w:highlight w:val="none"/>
        </w:rPr>
        <w:t>，相关人员、机械设备、物资材料在现场的资料照片，详细统计机械设备、物资材料的损失情况，制定维修或报废处理计划。</w:t>
      </w:r>
    </w:p>
    <w:p w14:paraId="5E7ACC6D">
      <w:pPr>
        <w:bidi w:val="0"/>
        <w:ind w:firstLine="480" w:firstLineChars="200"/>
        <w:rPr>
          <w:highlight w:val="none"/>
        </w:rPr>
      </w:pPr>
      <w:r>
        <w:rPr>
          <w:rFonts w:hint="eastAsia"/>
          <w:highlight w:val="none"/>
          <w:lang w:val="en-US" w:eastAsia="zh-CN"/>
        </w:rPr>
        <w:t>2、</w:t>
      </w:r>
      <w:r>
        <w:rPr>
          <w:rFonts w:hint="eastAsia"/>
          <w:highlight w:val="none"/>
        </w:rPr>
        <w:t>现场取证工作完成后，项目部对现场清理行动进行充分论证，认为时机成熟时，调集相关人员和设备对现场进行清理，制定现场清理的计划和措施，落实现场责任人，防止清理过程中事态进一步扩大。</w:t>
      </w:r>
    </w:p>
    <w:p w14:paraId="16A37B33">
      <w:pPr>
        <w:ind w:firstLine="480" w:firstLineChars="200"/>
        <w:rPr>
          <w:rFonts w:hint="eastAsia"/>
          <w:highlight w:val="none"/>
          <w:lang w:val="en-US" w:eastAsia="zh-CN"/>
        </w:rPr>
      </w:pPr>
      <w:r>
        <w:rPr>
          <w:rFonts w:hint="eastAsia"/>
          <w:highlight w:val="none"/>
          <w:lang w:val="en-US" w:eastAsia="zh-CN"/>
        </w:rPr>
        <w:t>3、</w:t>
      </w:r>
      <w:r>
        <w:rPr>
          <w:rFonts w:hint="eastAsia"/>
          <w:highlight w:val="none"/>
        </w:rPr>
        <w:t>现场清理完毕，项目部重新调集生产资源，组织施工生产，组织生产过程中，应吸取事故教训、总结经验、制定切实可靠的安全措施后方可施工。</w:t>
      </w:r>
      <w:r>
        <w:rPr>
          <w:rFonts w:hint="eastAsia"/>
          <w:highlight w:val="none"/>
          <w:lang w:val="en-US" w:eastAsia="zh-CN"/>
        </w:rPr>
        <w:br w:type="page"/>
      </w:r>
    </w:p>
    <w:p w14:paraId="5C5B4B2C">
      <w:pPr>
        <w:pStyle w:val="2"/>
        <w:numPr>
          <w:ilvl w:val="0"/>
          <w:numId w:val="0"/>
        </w:numPr>
        <w:ind w:leftChars="0"/>
        <w:rPr>
          <w:rFonts w:hint="eastAsia"/>
          <w:highlight w:val="none"/>
        </w:rPr>
      </w:pPr>
      <w:bookmarkStart w:id="442" w:name="_Toc5516"/>
      <w:bookmarkStart w:id="443" w:name="_Toc15890"/>
      <w:bookmarkStart w:id="444" w:name="_Toc25052"/>
      <w:bookmarkStart w:id="445" w:name="_Toc17967"/>
      <w:r>
        <w:rPr>
          <w:rFonts w:hint="eastAsia"/>
          <w:highlight w:val="none"/>
          <w:lang w:val="en-US" w:eastAsia="zh-CN"/>
        </w:rPr>
        <w:t>10</w:t>
      </w:r>
      <w:r>
        <w:rPr>
          <w:rFonts w:hint="eastAsia"/>
          <w:highlight w:val="none"/>
        </w:rPr>
        <w:t>绿色及文明施工</w:t>
      </w:r>
      <w:bookmarkEnd w:id="442"/>
      <w:bookmarkEnd w:id="443"/>
      <w:bookmarkEnd w:id="444"/>
      <w:bookmarkEnd w:id="445"/>
    </w:p>
    <w:p w14:paraId="66F9B472">
      <w:pPr>
        <w:pStyle w:val="3"/>
        <w:tabs>
          <w:tab w:val="left" w:pos="240"/>
        </w:tabs>
        <w:bidi w:val="0"/>
        <w:rPr>
          <w:rFonts w:hint="default"/>
          <w:highlight w:val="none"/>
          <w:lang w:val="en-US" w:eastAsia="zh-CN"/>
        </w:rPr>
      </w:pPr>
      <w:bookmarkStart w:id="446" w:name="_Toc30600"/>
      <w:bookmarkStart w:id="447" w:name="_Toc7823"/>
      <w:bookmarkStart w:id="448" w:name="_Toc29067"/>
      <w:bookmarkStart w:id="449" w:name="_Toc32357"/>
      <w:bookmarkStart w:id="450" w:name="_Toc16477"/>
      <w:r>
        <w:rPr>
          <w:rFonts w:hint="eastAsia"/>
          <w:highlight w:val="none"/>
          <w:lang w:val="en-US" w:eastAsia="zh-CN"/>
        </w:rPr>
        <w:t>10.1绿色施工</w:t>
      </w:r>
      <w:bookmarkEnd w:id="446"/>
      <w:bookmarkEnd w:id="447"/>
      <w:bookmarkEnd w:id="448"/>
      <w:bookmarkEnd w:id="449"/>
      <w:bookmarkEnd w:id="450"/>
    </w:p>
    <w:p w14:paraId="39E6F611">
      <w:pPr>
        <w:pStyle w:val="4"/>
        <w:tabs>
          <w:tab w:val="left" w:pos="240"/>
        </w:tabs>
        <w:bidi w:val="0"/>
        <w:rPr>
          <w:rFonts w:hint="default"/>
          <w:highlight w:val="none"/>
          <w:lang w:val="en-US" w:eastAsia="zh-CN"/>
        </w:rPr>
      </w:pPr>
      <w:r>
        <w:rPr>
          <w:rFonts w:hint="eastAsia"/>
          <w:highlight w:val="none"/>
          <w:lang w:val="en-US" w:eastAsia="zh-CN"/>
        </w:rPr>
        <w:t>10.1.1绿色施工</w:t>
      </w:r>
      <w:r>
        <w:rPr>
          <w:rFonts w:hint="eastAsia"/>
          <w:highlight w:val="none"/>
        </w:rPr>
        <w:t>组织机构</w:t>
      </w:r>
    </w:p>
    <w:p w14:paraId="2A5F2AD3">
      <w:pPr>
        <w:bidi w:val="0"/>
        <w:ind w:firstLine="480" w:firstLineChars="200"/>
        <w:rPr>
          <w:rFonts w:hint="eastAsia" w:eastAsia="宋体"/>
          <w:highlight w:val="none"/>
          <w:lang w:eastAsia="zh-CN"/>
        </w:rPr>
      </w:pPr>
      <w:r>
        <w:rPr>
          <w:rFonts w:hint="eastAsia" w:ascii="宋体" w:hAnsi="宋体"/>
          <w:sz w:val="24"/>
          <w:highlight w:val="none"/>
        </w:rPr>
        <w:t>项目部成立节</w:t>
      </w:r>
      <w:r>
        <w:rPr>
          <w:rFonts w:hint="eastAsia" w:ascii="宋体" w:hAnsi="宋体"/>
          <w:sz w:val="24"/>
          <w:highlight w:val="none"/>
          <w:lang w:val="en-US" w:eastAsia="zh-CN"/>
        </w:rPr>
        <w:t>绿色施工</w:t>
      </w:r>
      <w:r>
        <w:rPr>
          <w:rFonts w:hint="eastAsia" w:ascii="宋体" w:hAnsi="宋体"/>
          <w:sz w:val="24"/>
          <w:highlight w:val="none"/>
        </w:rPr>
        <w:t>领导小组，负责项目</w:t>
      </w:r>
      <w:r>
        <w:rPr>
          <w:rFonts w:hint="eastAsia" w:ascii="宋体" w:hAnsi="宋体"/>
          <w:sz w:val="24"/>
          <w:highlight w:val="none"/>
          <w:lang w:val="en-US" w:eastAsia="zh-CN"/>
        </w:rPr>
        <w:t>绿色施工</w:t>
      </w:r>
      <w:r>
        <w:rPr>
          <w:rFonts w:hint="eastAsia" w:ascii="宋体" w:hAnsi="宋体"/>
          <w:sz w:val="24"/>
          <w:highlight w:val="none"/>
        </w:rPr>
        <w:t>的指导工作，指定</w:t>
      </w:r>
      <w:r>
        <w:rPr>
          <w:rFonts w:hint="eastAsia" w:ascii="宋体" w:hAnsi="宋体"/>
          <w:sz w:val="24"/>
          <w:highlight w:val="none"/>
          <w:lang w:val="en-US" w:eastAsia="zh-CN"/>
        </w:rPr>
        <w:t>工程部</w:t>
      </w:r>
      <w:r>
        <w:rPr>
          <w:rFonts w:hint="eastAsia" w:ascii="宋体" w:hAnsi="宋体"/>
          <w:sz w:val="24"/>
          <w:highlight w:val="none"/>
        </w:rPr>
        <w:t>人员具体负责节能减排工作。项目经理是</w:t>
      </w:r>
      <w:r>
        <w:rPr>
          <w:rFonts w:hint="eastAsia" w:ascii="宋体" w:hAnsi="宋体"/>
          <w:sz w:val="24"/>
          <w:highlight w:val="none"/>
          <w:lang w:val="en-US" w:eastAsia="zh-CN"/>
        </w:rPr>
        <w:t>绿色施工</w:t>
      </w:r>
      <w:r>
        <w:rPr>
          <w:rFonts w:hint="eastAsia" w:ascii="宋体" w:hAnsi="宋体"/>
          <w:sz w:val="24"/>
          <w:highlight w:val="none"/>
        </w:rPr>
        <w:t>第一责任人，对此项工作负总责。</w:t>
      </w:r>
    </w:p>
    <w:p w14:paraId="0ABBF6D4">
      <w:pPr>
        <w:bidi w:val="0"/>
        <w:rPr>
          <w:rFonts w:hint="eastAsia" w:eastAsia="宋体"/>
          <w:highlight w:val="none"/>
          <w:lang w:eastAsia="zh-CN"/>
        </w:rPr>
      </w:pPr>
      <w:r>
        <w:rPr>
          <w:rFonts w:hint="eastAsia"/>
          <w:highlight w:val="none"/>
        </w:rPr>
        <w:drawing>
          <wp:inline distT="0" distB="0" distL="114300" distR="114300">
            <wp:extent cx="5269230" cy="4343400"/>
            <wp:effectExtent l="0" t="0" r="0" b="0"/>
            <wp:docPr id="39" name="图片 39" descr="组织流程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组织流程图--(2)(2)"/>
                    <pic:cNvPicPr>
                      <a:picLocks noChangeAspect="1"/>
                    </pic:cNvPicPr>
                  </pic:nvPicPr>
                  <pic:blipFill>
                    <a:blip r:embed="rId69"/>
                    <a:stretch>
                      <a:fillRect/>
                    </a:stretch>
                  </pic:blipFill>
                  <pic:spPr>
                    <a:xfrm>
                      <a:off x="0" y="0"/>
                      <a:ext cx="5269230" cy="4343400"/>
                    </a:xfrm>
                    <a:prstGeom prst="rect">
                      <a:avLst/>
                    </a:prstGeom>
                  </pic:spPr>
                </pic:pic>
              </a:graphicData>
            </a:graphic>
          </wp:inline>
        </w:drawing>
      </w:r>
    </w:p>
    <w:p w14:paraId="02F2B72D">
      <w:pPr>
        <w:pStyle w:val="41"/>
        <w:bidi w:val="0"/>
        <w:rPr>
          <w:rFonts w:hint="default"/>
          <w:highlight w:val="none"/>
          <w:lang w:val="en-US" w:eastAsia="zh-CN"/>
        </w:rPr>
      </w:pPr>
      <w:r>
        <w:rPr>
          <w:rFonts w:hint="eastAsia"/>
          <w:highlight w:val="none"/>
          <w:lang w:val="en-US" w:eastAsia="zh-CN"/>
        </w:rPr>
        <w:t>图10</w:t>
      </w:r>
      <w:r>
        <w:rPr>
          <w:highlight w:val="none"/>
        </w:rPr>
        <w:t>.1.1</w:t>
      </w:r>
      <w:r>
        <w:rPr>
          <w:rFonts w:hint="eastAsia"/>
          <w:highlight w:val="none"/>
          <w:lang w:val="en-US" w:eastAsia="zh-CN"/>
        </w:rPr>
        <w:t xml:space="preserve">-1 </w:t>
      </w:r>
      <w:r>
        <w:rPr>
          <w:rFonts w:hint="eastAsia" w:ascii="宋体" w:hAnsi="宋体"/>
          <w:sz w:val="24"/>
          <w:highlight w:val="none"/>
          <w:lang w:val="en-US" w:eastAsia="zh-CN"/>
        </w:rPr>
        <w:t>绿色施工</w:t>
      </w:r>
      <w:r>
        <w:rPr>
          <w:rFonts w:hint="eastAsia"/>
          <w:highlight w:val="none"/>
        </w:rPr>
        <w:t>管理组织机构</w:t>
      </w:r>
    </w:p>
    <w:p w14:paraId="282FD1E0">
      <w:pPr>
        <w:pStyle w:val="4"/>
        <w:tabs>
          <w:tab w:val="left" w:pos="240"/>
        </w:tabs>
        <w:bidi w:val="0"/>
        <w:rPr>
          <w:rFonts w:hint="eastAsia"/>
          <w:highlight w:val="none"/>
        </w:rPr>
      </w:pPr>
      <w:r>
        <w:rPr>
          <w:rFonts w:hint="eastAsia"/>
          <w:highlight w:val="none"/>
          <w:lang w:val="en-US" w:eastAsia="zh-CN"/>
        </w:rPr>
        <w:t>10.1.2绿色施工</w:t>
      </w:r>
      <w:r>
        <w:rPr>
          <w:rFonts w:hint="eastAsia"/>
          <w:highlight w:val="none"/>
        </w:rPr>
        <w:t>保证体系</w:t>
      </w:r>
    </w:p>
    <w:p w14:paraId="70B5C251">
      <w:pPr>
        <w:pStyle w:val="13"/>
        <w:rPr>
          <w:rFonts w:hint="eastAsia"/>
          <w:highlight w:val="none"/>
          <w:lang w:val="en-US" w:eastAsia="zh-CN"/>
        </w:rPr>
      </w:pPr>
      <w:r>
        <w:rPr>
          <w:rFonts w:hint="eastAsia"/>
          <w:highlight w:val="none"/>
          <w:lang w:val="en-US" w:eastAsia="zh-CN"/>
        </w:rPr>
        <w:t>绿色施工保证体系如图10</w:t>
      </w:r>
      <w:r>
        <w:rPr>
          <w:highlight w:val="none"/>
        </w:rPr>
        <w:t>.1.</w:t>
      </w:r>
      <w:r>
        <w:rPr>
          <w:rFonts w:hint="eastAsia"/>
          <w:highlight w:val="none"/>
          <w:lang w:val="en-US" w:eastAsia="zh-CN"/>
        </w:rPr>
        <w:t>2-1所示。</w:t>
      </w:r>
    </w:p>
    <w:p w14:paraId="27538FB1">
      <w:pPr>
        <w:pStyle w:val="4"/>
        <w:tabs>
          <w:tab w:val="left" w:pos="240"/>
        </w:tabs>
        <w:bidi w:val="0"/>
        <w:rPr>
          <w:rFonts w:hint="eastAsia"/>
          <w:highlight w:val="none"/>
          <w:lang w:val="en-US" w:eastAsia="zh-CN"/>
        </w:rPr>
      </w:pPr>
      <w:r>
        <w:rPr>
          <w:rFonts w:hint="eastAsia"/>
          <w:highlight w:val="none"/>
          <w:lang w:val="en-US" w:eastAsia="zh-CN"/>
        </w:rPr>
        <w:t>10.1.3绿色施工保证措施</w:t>
      </w:r>
    </w:p>
    <w:p w14:paraId="1554C5FD">
      <w:pPr>
        <w:pStyle w:val="5"/>
        <w:bidi w:val="0"/>
        <w:rPr>
          <w:rFonts w:hint="eastAsia"/>
          <w:highlight w:val="none"/>
          <w:lang w:val="en-US" w:eastAsia="zh-CN"/>
        </w:rPr>
      </w:pPr>
      <w:r>
        <w:rPr>
          <w:rFonts w:hint="eastAsia"/>
          <w:highlight w:val="none"/>
          <w:lang w:val="en-US" w:eastAsia="zh-CN"/>
        </w:rPr>
        <w:t>10.1.3.1生态环保和水土保持措施</w:t>
      </w:r>
    </w:p>
    <w:p w14:paraId="79C073F6">
      <w:pPr>
        <w:numPr>
          <w:ilvl w:val="0"/>
          <w:numId w:val="7"/>
        </w:numPr>
        <w:ind w:firstLine="480" w:firstLineChars="200"/>
        <w:rPr>
          <w:highlight w:val="none"/>
        </w:rPr>
      </w:pPr>
      <w:r>
        <w:rPr>
          <w:highlight w:val="none"/>
        </w:rPr>
        <w:t>维护自然生态平衡的措施</w:t>
      </w:r>
    </w:p>
    <w:p w14:paraId="3DEC67E3">
      <w:pPr>
        <w:bidi w:val="0"/>
        <w:ind w:firstLine="480" w:firstLineChars="200"/>
        <w:rPr>
          <w:highlight w:val="none"/>
        </w:rPr>
      </w:pPr>
      <w:r>
        <w:rPr>
          <w:highlight w:val="none"/>
        </w:rPr>
        <w:t>施工现场生产、生活房屋及生活设施、原材料堆放处和材料加工场均在规划 的区域内进行。修建的施工便道，要结合地方乡镇长远规划，选择线路。弃土场 必须做好防护工作，确保不发生水土流失情况，并进行弃土场绿化。</w:t>
      </w:r>
    </w:p>
    <w:p w14:paraId="4B3121E9">
      <w:pPr>
        <w:bidi w:val="0"/>
        <w:ind w:firstLine="480" w:firstLineChars="200"/>
        <w:rPr>
          <w:highlight w:val="none"/>
        </w:rPr>
      </w:pPr>
      <w:r>
        <w:rPr>
          <w:highlight w:val="none"/>
        </w:rPr>
        <w:t>施工期间对施工人员加强保护自然资源及野生动植物的教育，严禁随意砍伐 和偷猎，限制施工人员和车辆的活动范围。</w:t>
      </w:r>
    </w:p>
    <w:p w14:paraId="2901C3BD">
      <w:pPr>
        <w:bidi w:val="0"/>
        <w:ind w:firstLine="480" w:firstLineChars="200"/>
        <w:rPr>
          <w:highlight w:val="none"/>
        </w:rPr>
      </w:pPr>
      <w:r>
        <w:rPr>
          <w:highlight w:val="none"/>
        </w:rPr>
        <w:t>施工便道选线、生活营地、大型临时设施场地选址尽量少占或绕避林地、耕</w:t>
      </w:r>
    </w:p>
    <w:p w14:paraId="7BC889F3">
      <w:pPr>
        <w:bidi w:val="0"/>
        <w:rPr>
          <w:highlight w:val="none"/>
        </w:rPr>
      </w:pPr>
      <w:r>
        <w:rPr>
          <w:highlight w:val="none"/>
        </w:rPr>
        <w:t>地，保护原有植被。</w:t>
      </w:r>
    </w:p>
    <w:p w14:paraId="4895AB92">
      <w:pPr>
        <w:bidi w:val="0"/>
        <w:ind w:firstLine="480" w:firstLineChars="200"/>
        <w:rPr>
          <w:highlight w:val="none"/>
        </w:rPr>
      </w:pPr>
      <w:r>
        <w:rPr>
          <w:highlight w:val="none"/>
        </w:rPr>
        <w:t>对合同规定的施工界限外的植物、树木等尽力维护，严禁超范围砍伐。工程</w:t>
      </w:r>
    </w:p>
    <w:p w14:paraId="0A456FFB">
      <w:pPr>
        <w:bidi w:val="0"/>
        <w:rPr>
          <w:highlight w:val="none"/>
        </w:rPr>
      </w:pPr>
      <w:r>
        <w:rPr>
          <w:highlight w:val="none"/>
        </w:rPr>
        <w:t>完工后及时进行现场清理，复垦或绿化。</w:t>
      </w:r>
    </w:p>
    <w:p w14:paraId="55C70DDD">
      <w:pPr>
        <w:pStyle w:val="13"/>
        <w:rPr>
          <w:highlight w:val="none"/>
        </w:rPr>
      </w:pPr>
      <w:r>
        <w:rPr>
          <w:highlight w:val="none"/>
        </w:rPr>
        <mc:AlternateContent>
          <mc:Choice Requires="wpg">
            <w:drawing>
              <wp:inline distT="0" distB="0" distL="0" distR="0">
                <wp:extent cx="4855210" cy="4525645"/>
                <wp:effectExtent l="6350" t="6350" r="15240" b="14605"/>
                <wp:docPr id="40" name="Group 2503"/>
                <wp:cNvGraphicFramePr/>
                <a:graphic xmlns:a="http://schemas.openxmlformats.org/drawingml/2006/main">
                  <a:graphicData uri="http://schemas.microsoft.com/office/word/2010/wordprocessingGroup">
                    <wpg:wgp>
                      <wpg:cNvGrpSpPr/>
                      <wpg:grpSpPr>
                        <a:xfrm>
                          <a:off x="0" y="0"/>
                          <a:ext cx="4855210" cy="4525645"/>
                          <a:chOff x="0" y="0"/>
                          <a:chExt cx="7901" cy="5079"/>
                        </a:xfrm>
                      </wpg:grpSpPr>
                      <wps:wsp>
                        <wps:cNvPr id="626" name="Text Box 2504"/>
                        <wps:cNvSpPr txBox="1">
                          <a:spLocks noChangeArrowheads="1"/>
                        </wps:cNvSpPr>
                        <wps:spPr bwMode="auto">
                          <a:xfrm>
                            <a:off x="0" y="1142"/>
                            <a:ext cx="804" cy="2272"/>
                          </a:xfrm>
                          <a:prstGeom prst="rect">
                            <a:avLst/>
                          </a:prstGeom>
                          <a:solidFill>
                            <a:schemeClr val="accent6">
                              <a:lumMod val="40000"/>
                              <a:lumOff val="60000"/>
                            </a:schemeClr>
                          </a:solidFill>
                          <a:ln w="12700">
                            <a:solidFill>
                              <a:srgbClr val="0000C8"/>
                            </a:solidFill>
                            <a:miter lim="800000"/>
                          </a:ln>
                        </wps:spPr>
                        <wps:txbx>
                          <w:txbxContent>
                            <w:p w14:paraId="2653F702">
                              <w:pPr>
                                <w:pStyle w:val="55"/>
                                <w:rPr>
                                  <w:rFonts w:hint="eastAsia"/>
                                  <w:lang w:val="en-US" w:eastAsia="zh-CN"/>
                                </w:rPr>
                              </w:pPr>
                              <w:r>
                                <w:rPr>
                                  <w:rFonts w:hint="eastAsia"/>
                                  <w:lang w:val="en-US" w:eastAsia="zh-CN"/>
                                </w:rPr>
                                <w:t>绿色</w:t>
                              </w:r>
                            </w:p>
                            <w:p w14:paraId="2B3EC0DC">
                              <w:pPr>
                                <w:pStyle w:val="55"/>
                              </w:pPr>
                              <w:r>
                                <w:rPr>
                                  <w:rFonts w:hint="eastAsia"/>
                                </w:rPr>
                                <w:t>施工</w:t>
                              </w:r>
                            </w:p>
                            <w:p w14:paraId="39EC98D8">
                              <w:pPr>
                                <w:pStyle w:val="55"/>
                              </w:pPr>
                              <w:r>
                                <w:rPr>
                                  <w:rFonts w:hint="eastAsia"/>
                                </w:rPr>
                                <w:t>保证</w:t>
                              </w:r>
                            </w:p>
                            <w:p w14:paraId="2442F07C">
                              <w:pPr>
                                <w:pStyle w:val="55"/>
                              </w:pPr>
                              <w:r>
                                <w:rPr>
                                  <w:rFonts w:hint="eastAsia"/>
                                </w:rPr>
                                <w:t>体系</w:t>
                              </w:r>
                            </w:p>
                          </w:txbxContent>
                        </wps:txbx>
                        <wps:bodyPr rot="0" vert="horz" wrap="square" lIns="0" tIns="0" rIns="0" bIns="0" anchor="ctr" anchorCtr="0" upright="1">
                          <a:noAutofit/>
                        </wps:bodyPr>
                      </wps:wsp>
                      <wps:wsp>
                        <wps:cNvPr id="627" name="Line 2505"/>
                        <wps:cNvCnPr>
                          <a:cxnSpLocks noChangeShapeType="1"/>
                        </wps:cNvCnPr>
                        <wps:spPr bwMode="auto">
                          <a:xfrm>
                            <a:off x="806" y="2267"/>
                            <a:ext cx="195" cy="0"/>
                          </a:xfrm>
                          <a:prstGeom prst="line">
                            <a:avLst/>
                          </a:prstGeom>
                          <a:noFill/>
                          <a:ln w="12700">
                            <a:solidFill>
                              <a:srgbClr val="0000C8"/>
                            </a:solidFill>
                            <a:round/>
                          </a:ln>
                        </wps:spPr>
                        <wps:bodyPr/>
                      </wps:wsp>
                      <wps:wsp>
                        <wps:cNvPr id="628" name="Line 2506"/>
                        <wps:cNvCnPr>
                          <a:cxnSpLocks noChangeShapeType="1"/>
                        </wps:cNvCnPr>
                        <wps:spPr bwMode="auto">
                          <a:xfrm>
                            <a:off x="1001" y="385"/>
                            <a:ext cx="0" cy="3740"/>
                          </a:xfrm>
                          <a:prstGeom prst="line">
                            <a:avLst/>
                          </a:prstGeom>
                          <a:noFill/>
                          <a:ln w="12700">
                            <a:solidFill>
                              <a:srgbClr val="0000C8"/>
                            </a:solidFill>
                            <a:round/>
                          </a:ln>
                        </wps:spPr>
                        <wps:bodyPr/>
                      </wps:wsp>
                      <wps:wsp>
                        <wps:cNvPr id="629" name="Line 2507"/>
                        <wps:cNvCnPr>
                          <a:cxnSpLocks noChangeShapeType="1"/>
                        </wps:cNvCnPr>
                        <wps:spPr bwMode="auto">
                          <a:xfrm>
                            <a:off x="1001" y="385"/>
                            <a:ext cx="214" cy="0"/>
                          </a:xfrm>
                          <a:prstGeom prst="line">
                            <a:avLst/>
                          </a:prstGeom>
                          <a:noFill/>
                          <a:ln w="12700">
                            <a:solidFill>
                              <a:srgbClr val="0000C8"/>
                            </a:solidFill>
                            <a:round/>
                          </a:ln>
                        </wps:spPr>
                        <wps:bodyPr/>
                      </wps:wsp>
                      <wps:wsp>
                        <wps:cNvPr id="630" name="Text Box 2508"/>
                        <wps:cNvSpPr txBox="1">
                          <a:spLocks noChangeArrowheads="1"/>
                        </wps:cNvSpPr>
                        <wps:spPr bwMode="auto">
                          <a:xfrm>
                            <a:off x="1215" y="233"/>
                            <a:ext cx="1351" cy="303"/>
                          </a:xfrm>
                          <a:prstGeom prst="rect">
                            <a:avLst/>
                          </a:prstGeom>
                          <a:solidFill>
                            <a:schemeClr val="accent6">
                              <a:lumMod val="40000"/>
                              <a:lumOff val="60000"/>
                            </a:schemeClr>
                          </a:solidFill>
                          <a:ln w="12700">
                            <a:solidFill>
                              <a:srgbClr val="0000C8"/>
                            </a:solidFill>
                            <a:miter lim="800000"/>
                          </a:ln>
                        </wps:spPr>
                        <wps:txbx>
                          <w:txbxContent>
                            <w:p w14:paraId="6F2A6A99">
                              <w:pPr>
                                <w:pStyle w:val="55"/>
                              </w:pPr>
                              <w:r>
                                <w:rPr>
                                  <w:rFonts w:hint="eastAsia"/>
                                </w:rPr>
                                <w:t>思想保证</w:t>
                              </w:r>
                            </w:p>
                          </w:txbxContent>
                        </wps:txbx>
                        <wps:bodyPr rot="0" vert="horz" wrap="square" lIns="0" tIns="0" rIns="0" bIns="0" anchor="ctr" anchorCtr="0" upright="1">
                          <a:noAutofit/>
                        </wps:bodyPr>
                      </wps:wsp>
                      <wps:wsp>
                        <wps:cNvPr id="631" name="Line 2509"/>
                        <wps:cNvCnPr>
                          <a:cxnSpLocks noChangeShapeType="1"/>
                        </wps:cNvCnPr>
                        <wps:spPr bwMode="auto">
                          <a:xfrm>
                            <a:off x="1002" y="1142"/>
                            <a:ext cx="214" cy="0"/>
                          </a:xfrm>
                          <a:prstGeom prst="line">
                            <a:avLst/>
                          </a:prstGeom>
                          <a:noFill/>
                          <a:ln w="12700">
                            <a:solidFill>
                              <a:srgbClr val="0000C8"/>
                            </a:solidFill>
                            <a:round/>
                          </a:ln>
                        </wps:spPr>
                        <wps:bodyPr/>
                      </wps:wsp>
                      <wps:wsp>
                        <wps:cNvPr id="632" name="Text Box 2510"/>
                        <wps:cNvSpPr txBox="1">
                          <a:spLocks noChangeArrowheads="1"/>
                        </wps:cNvSpPr>
                        <wps:spPr bwMode="auto">
                          <a:xfrm>
                            <a:off x="1215" y="990"/>
                            <a:ext cx="1351" cy="303"/>
                          </a:xfrm>
                          <a:prstGeom prst="rect">
                            <a:avLst/>
                          </a:prstGeom>
                          <a:solidFill>
                            <a:schemeClr val="accent6">
                              <a:lumMod val="40000"/>
                              <a:lumOff val="60000"/>
                            </a:schemeClr>
                          </a:solidFill>
                          <a:ln w="12700">
                            <a:solidFill>
                              <a:srgbClr val="0000C8"/>
                            </a:solidFill>
                            <a:miter lim="800000"/>
                          </a:ln>
                        </wps:spPr>
                        <wps:txbx>
                          <w:txbxContent>
                            <w:p w14:paraId="60DF620B">
                              <w:pPr>
                                <w:pStyle w:val="55"/>
                              </w:pPr>
                              <w:r>
                                <w:rPr>
                                  <w:rFonts w:hint="eastAsia"/>
                                </w:rPr>
                                <w:t>组织保证</w:t>
                              </w:r>
                            </w:p>
                          </w:txbxContent>
                        </wps:txbx>
                        <wps:bodyPr rot="0" vert="horz" wrap="square" lIns="0" tIns="0" rIns="0" bIns="0" anchor="ctr" anchorCtr="0" upright="1">
                          <a:noAutofit/>
                        </wps:bodyPr>
                      </wps:wsp>
                      <wps:wsp>
                        <wps:cNvPr id="633" name="Line 2511"/>
                        <wps:cNvCnPr>
                          <a:cxnSpLocks noChangeShapeType="1"/>
                        </wps:cNvCnPr>
                        <wps:spPr bwMode="auto">
                          <a:xfrm>
                            <a:off x="2566" y="1142"/>
                            <a:ext cx="479" cy="0"/>
                          </a:xfrm>
                          <a:prstGeom prst="line">
                            <a:avLst/>
                          </a:prstGeom>
                          <a:noFill/>
                          <a:ln w="12700">
                            <a:solidFill>
                              <a:srgbClr val="0000C8"/>
                            </a:solidFill>
                            <a:round/>
                          </a:ln>
                        </wps:spPr>
                        <wps:bodyPr/>
                      </wps:wsp>
                      <wps:wsp>
                        <wps:cNvPr id="634" name="Text Box 2512"/>
                        <wps:cNvSpPr txBox="1">
                          <a:spLocks noChangeArrowheads="1"/>
                        </wps:cNvSpPr>
                        <wps:spPr bwMode="auto">
                          <a:xfrm>
                            <a:off x="3045" y="990"/>
                            <a:ext cx="2533" cy="303"/>
                          </a:xfrm>
                          <a:prstGeom prst="rect">
                            <a:avLst/>
                          </a:prstGeom>
                          <a:solidFill>
                            <a:schemeClr val="accent6">
                              <a:lumMod val="40000"/>
                              <a:lumOff val="60000"/>
                            </a:schemeClr>
                          </a:solidFill>
                          <a:ln w="12700">
                            <a:solidFill>
                              <a:srgbClr val="0000C8"/>
                            </a:solidFill>
                            <a:miter lim="800000"/>
                          </a:ln>
                        </wps:spPr>
                        <wps:txbx>
                          <w:txbxContent>
                            <w:p w14:paraId="5388B81E">
                              <w:pPr>
                                <w:pStyle w:val="55"/>
                              </w:pPr>
                              <w:r>
                                <w:rPr>
                                  <w:rFonts w:hint="eastAsia"/>
                                </w:rPr>
                                <w:t>成立</w:t>
                              </w:r>
                              <w:r>
                                <w:rPr>
                                  <w:rFonts w:hint="eastAsia"/>
                                  <w:lang w:val="en-US" w:eastAsia="zh-CN"/>
                                </w:rPr>
                                <w:t>绿色施工</w:t>
                              </w:r>
                              <w:r>
                                <w:rPr>
                                  <w:rFonts w:hint="eastAsia"/>
                                </w:rPr>
                                <w:t>领导小组</w:t>
                              </w:r>
                            </w:p>
                          </w:txbxContent>
                        </wps:txbx>
                        <wps:bodyPr rot="0" vert="horz" wrap="square" lIns="108000" tIns="0" rIns="0" bIns="0" anchor="ctr" anchorCtr="0" upright="1">
                          <a:noAutofit/>
                        </wps:bodyPr>
                      </wps:wsp>
                      <wps:wsp>
                        <wps:cNvPr id="635" name="Text Box 2513"/>
                        <wps:cNvSpPr txBox="1">
                          <a:spLocks noChangeArrowheads="1"/>
                        </wps:cNvSpPr>
                        <wps:spPr bwMode="auto">
                          <a:xfrm>
                            <a:off x="3045" y="0"/>
                            <a:ext cx="2533" cy="302"/>
                          </a:xfrm>
                          <a:prstGeom prst="rect">
                            <a:avLst/>
                          </a:prstGeom>
                          <a:solidFill>
                            <a:schemeClr val="accent6">
                              <a:lumMod val="40000"/>
                              <a:lumOff val="60000"/>
                            </a:schemeClr>
                          </a:solidFill>
                          <a:ln w="12700">
                            <a:solidFill>
                              <a:srgbClr val="0000C8"/>
                            </a:solidFill>
                            <a:miter lim="800000"/>
                          </a:ln>
                        </wps:spPr>
                        <wps:txbx>
                          <w:txbxContent>
                            <w:p w14:paraId="2F287673">
                              <w:pPr>
                                <w:pStyle w:val="55"/>
                              </w:pPr>
                              <w:r>
                                <w:rPr>
                                  <w:rFonts w:hint="eastAsia"/>
                                  <w:lang w:val="en-US" w:eastAsia="zh-CN"/>
                                </w:rPr>
                                <w:t>环保节能</w:t>
                              </w:r>
                              <w:r>
                                <w:rPr>
                                  <w:rFonts w:hint="eastAsia"/>
                                </w:rPr>
                                <w:t>知识宣传教育</w:t>
                              </w:r>
                            </w:p>
                          </w:txbxContent>
                        </wps:txbx>
                        <wps:bodyPr rot="0" vert="horz" wrap="square" lIns="108000" tIns="0" rIns="0" bIns="0" anchor="ctr" anchorCtr="0" upright="1">
                          <a:noAutofit/>
                        </wps:bodyPr>
                      </wps:wsp>
                      <wps:wsp>
                        <wps:cNvPr id="636" name="Text Box 2514"/>
                        <wps:cNvSpPr txBox="1">
                          <a:spLocks noChangeArrowheads="1"/>
                        </wps:cNvSpPr>
                        <wps:spPr bwMode="auto">
                          <a:xfrm>
                            <a:off x="3045" y="453"/>
                            <a:ext cx="2533" cy="303"/>
                          </a:xfrm>
                          <a:prstGeom prst="rect">
                            <a:avLst/>
                          </a:prstGeom>
                          <a:solidFill>
                            <a:schemeClr val="accent6">
                              <a:lumMod val="40000"/>
                              <a:lumOff val="60000"/>
                            </a:schemeClr>
                          </a:solidFill>
                          <a:ln w="12700">
                            <a:solidFill>
                              <a:srgbClr val="0000C8"/>
                            </a:solidFill>
                            <a:miter lim="800000"/>
                          </a:ln>
                        </wps:spPr>
                        <wps:txbx>
                          <w:txbxContent>
                            <w:p w14:paraId="205954D5">
                              <w:pPr>
                                <w:pStyle w:val="55"/>
                                <w:spacing w:line="240" w:lineRule="auto"/>
                              </w:pPr>
                              <w:r>
                                <w:rPr>
                                  <w:rFonts w:hint="eastAsia"/>
                                </w:rPr>
                                <w:t>制定目标责任制</w:t>
                              </w:r>
                            </w:p>
                            <w:p w14:paraId="41FB3821">
                              <w:pPr>
                                <w:pStyle w:val="55"/>
                              </w:pPr>
                            </w:p>
                          </w:txbxContent>
                        </wps:txbx>
                        <wps:bodyPr rot="0" vert="horz" wrap="square" lIns="108000" tIns="0" rIns="0" bIns="0" anchor="ctr" anchorCtr="0" upright="1">
                          <a:noAutofit/>
                        </wps:bodyPr>
                      </wps:wsp>
                      <wps:wsp>
                        <wps:cNvPr id="637" name="Line 2515"/>
                        <wps:cNvCnPr>
                          <a:cxnSpLocks noChangeShapeType="1"/>
                        </wps:cNvCnPr>
                        <wps:spPr bwMode="auto">
                          <a:xfrm>
                            <a:off x="2707" y="158"/>
                            <a:ext cx="0" cy="447"/>
                          </a:xfrm>
                          <a:prstGeom prst="line">
                            <a:avLst/>
                          </a:prstGeom>
                          <a:noFill/>
                          <a:ln w="12700">
                            <a:solidFill>
                              <a:srgbClr val="0000C8"/>
                            </a:solidFill>
                            <a:round/>
                          </a:ln>
                        </wps:spPr>
                        <wps:bodyPr/>
                      </wps:wsp>
                      <wps:wsp>
                        <wps:cNvPr id="638" name="Line 2516"/>
                        <wps:cNvCnPr>
                          <a:cxnSpLocks noChangeShapeType="1"/>
                        </wps:cNvCnPr>
                        <wps:spPr bwMode="auto">
                          <a:xfrm>
                            <a:off x="2707" y="158"/>
                            <a:ext cx="338" cy="0"/>
                          </a:xfrm>
                          <a:prstGeom prst="line">
                            <a:avLst/>
                          </a:prstGeom>
                          <a:noFill/>
                          <a:ln w="12700">
                            <a:solidFill>
                              <a:srgbClr val="0000C8"/>
                            </a:solidFill>
                            <a:round/>
                          </a:ln>
                        </wps:spPr>
                        <wps:bodyPr/>
                      </wps:wsp>
                      <wps:wsp>
                        <wps:cNvPr id="639" name="Line 2517"/>
                        <wps:cNvCnPr>
                          <a:cxnSpLocks noChangeShapeType="1"/>
                        </wps:cNvCnPr>
                        <wps:spPr bwMode="auto">
                          <a:xfrm>
                            <a:off x="2707" y="605"/>
                            <a:ext cx="338" cy="0"/>
                          </a:xfrm>
                          <a:prstGeom prst="line">
                            <a:avLst/>
                          </a:prstGeom>
                          <a:noFill/>
                          <a:ln w="12700">
                            <a:solidFill>
                              <a:srgbClr val="0000C8"/>
                            </a:solidFill>
                            <a:round/>
                          </a:ln>
                        </wps:spPr>
                        <wps:bodyPr/>
                      </wps:wsp>
                      <wps:wsp>
                        <wps:cNvPr id="640" name="Line 2518"/>
                        <wps:cNvCnPr>
                          <a:cxnSpLocks noChangeShapeType="1"/>
                        </wps:cNvCnPr>
                        <wps:spPr bwMode="auto">
                          <a:xfrm>
                            <a:off x="1001" y="2039"/>
                            <a:ext cx="143" cy="0"/>
                          </a:xfrm>
                          <a:prstGeom prst="line">
                            <a:avLst/>
                          </a:prstGeom>
                          <a:noFill/>
                          <a:ln w="12700">
                            <a:solidFill>
                              <a:srgbClr val="0000C8"/>
                            </a:solidFill>
                            <a:round/>
                          </a:ln>
                        </wps:spPr>
                        <wps:bodyPr/>
                      </wps:wsp>
                      <wps:wsp>
                        <wps:cNvPr id="641" name="Text Box 2519"/>
                        <wps:cNvSpPr txBox="1">
                          <a:spLocks noChangeArrowheads="1"/>
                        </wps:cNvSpPr>
                        <wps:spPr bwMode="auto">
                          <a:xfrm>
                            <a:off x="1144" y="1887"/>
                            <a:ext cx="1352" cy="303"/>
                          </a:xfrm>
                          <a:prstGeom prst="rect">
                            <a:avLst/>
                          </a:prstGeom>
                          <a:solidFill>
                            <a:schemeClr val="accent6">
                              <a:lumMod val="40000"/>
                              <a:lumOff val="60000"/>
                            </a:schemeClr>
                          </a:solidFill>
                          <a:ln w="12700">
                            <a:solidFill>
                              <a:srgbClr val="0000C8"/>
                            </a:solidFill>
                            <a:miter lim="800000"/>
                          </a:ln>
                        </wps:spPr>
                        <wps:txbx>
                          <w:txbxContent>
                            <w:p w14:paraId="3BE9033C">
                              <w:pPr>
                                <w:pStyle w:val="55"/>
                              </w:pPr>
                              <w:r>
                                <w:rPr>
                                  <w:rFonts w:hint="eastAsia"/>
                                </w:rPr>
                                <w:t>技术保证</w:t>
                              </w:r>
                            </w:p>
                          </w:txbxContent>
                        </wps:txbx>
                        <wps:bodyPr rot="0" vert="horz" wrap="square" lIns="0" tIns="0" rIns="0" bIns="0" anchor="ctr" anchorCtr="0" upright="1">
                          <a:noAutofit/>
                        </wps:bodyPr>
                      </wps:wsp>
                      <wps:wsp>
                        <wps:cNvPr id="217" name="Line 2520"/>
                        <wps:cNvCnPr>
                          <a:cxnSpLocks noChangeShapeType="1"/>
                        </wps:cNvCnPr>
                        <wps:spPr bwMode="auto">
                          <a:xfrm>
                            <a:off x="2496" y="2039"/>
                            <a:ext cx="549" cy="0"/>
                          </a:xfrm>
                          <a:prstGeom prst="line">
                            <a:avLst/>
                          </a:prstGeom>
                          <a:noFill/>
                          <a:ln w="12700">
                            <a:solidFill>
                              <a:srgbClr val="0000C8"/>
                            </a:solidFill>
                            <a:round/>
                          </a:ln>
                        </wps:spPr>
                        <wps:bodyPr/>
                      </wps:wsp>
                      <wps:wsp>
                        <wps:cNvPr id="667" name="Text Box 2521"/>
                        <wps:cNvSpPr txBox="1">
                          <a:spLocks noChangeArrowheads="1"/>
                        </wps:cNvSpPr>
                        <wps:spPr bwMode="auto">
                          <a:xfrm>
                            <a:off x="3045" y="1887"/>
                            <a:ext cx="3390" cy="303"/>
                          </a:xfrm>
                          <a:prstGeom prst="rect">
                            <a:avLst/>
                          </a:prstGeom>
                          <a:solidFill>
                            <a:schemeClr val="accent6">
                              <a:lumMod val="40000"/>
                              <a:lumOff val="60000"/>
                            </a:schemeClr>
                          </a:solidFill>
                          <a:ln w="12700">
                            <a:solidFill>
                              <a:srgbClr val="0000C8"/>
                            </a:solidFill>
                            <a:miter lim="800000"/>
                          </a:ln>
                        </wps:spPr>
                        <wps:txbx>
                          <w:txbxContent>
                            <w:p w14:paraId="50C5CED0">
                              <w:pPr>
                                <w:pStyle w:val="55"/>
                                <w:rPr>
                                  <w:rFonts w:hint="eastAsia" w:eastAsia="宋体"/>
                                  <w:lang w:eastAsia="zh-CN"/>
                                </w:rPr>
                              </w:pPr>
                              <w:r>
                                <w:rPr>
                                  <w:rFonts w:hint="eastAsia"/>
                                </w:rPr>
                                <w:t>制定实施</w:t>
                              </w:r>
                              <w:r>
                                <w:rPr>
                                  <w:rFonts w:hint="eastAsia"/>
                                  <w:lang w:val="en-US" w:eastAsia="zh-CN"/>
                                </w:rPr>
                                <w:t>性绿色施工措施</w:t>
                              </w:r>
                            </w:p>
                          </w:txbxContent>
                        </wps:txbx>
                        <wps:bodyPr rot="0" vert="horz" wrap="square" lIns="108000" tIns="0" rIns="0" bIns="0" anchor="ctr" anchorCtr="0" upright="1">
                          <a:noAutofit/>
                        </wps:bodyPr>
                      </wps:wsp>
                      <wps:wsp>
                        <wps:cNvPr id="668" name="Text Box 2522"/>
                        <wps:cNvSpPr txBox="1">
                          <a:spLocks noChangeArrowheads="1"/>
                        </wps:cNvSpPr>
                        <wps:spPr bwMode="auto">
                          <a:xfrm>
                            <a:off x="3045" y="1510"/>
                            <a:ext cx="3390" cy="303"/>
                          </a:xfrm>
                          <a:prstGeom prst="rect">
                            <a:avLst/>
                          </a:prstGeom>
                          <a:solidFill>
                            <a:schemeClr val="accent6">
                              <a:lumMod val="40000"/>
                              <a:lumOff val="60000"/>
                            </a:schemeClr>
                          </a:solidFill>
                          <a:ln w="12700">
                            <a:solidFill>
                              <a:srgbClr val="0000C8"/>
                            </a:solidFill>
                            <a:miter lim="800000"/>
                          </a:ln>
                        </wps:spPr>
                        <wps:txbx>
                          <w:txbxContent>
                            <w:p w14:paraId="728CD31B">
                              <w:pPr>
                                <w:pStyle w:val="55"/>
                              </w:pPr>
                              <w:r>
                                <w:rPr>
                                  <w:rFonts w:hint="eastAsia"/>
                                  <w:lang w:val="en-US" w:eastAsia="zh-CN"/>
                                </w:rPr>
                                <w:t>组织</w:t>
                              </w:r>
                              <w:r>
                                <w:rPr>
                                  <w:rFonts w:hint="eastAsia"/>
                                </w:rPr>
                                <w:t>员工培训</w:t>
                              </w:r>
                            </w:p>
                          </w:txbxContent>
                        </wps:txbx>
                        <wps:bodyPr rot="0" vert="horz" wrap="square" lIns="108000" tIns="0" rIns="0" bIns="0" anchor="ctr" anchorCtr="0" upright="1">
                          <a:noAutofit/>
                        </wps:bodyPr>
                      </wps:wsp>
                      <wps:wsp>
                        <wps:cNvPr id="669" name="Line 2523"/>
                        <wps:cNvCnPr>
                          <a:cxnSpLocks noChangeShapeType="1"/>
                        </wps:cNvCnPr>
                        <wps:spPr bwMode="auto">
                          <a:xfrm>
                            <a:off x="2707" y="1659"/>
                            <a:ext cx="0" cy="767"/>
                          </a:xfrm>
                          <a:prstGeom prst="line">
                            <a:avLst/>
                          </a:prstGeom>
                          <a:noFill/>
                          <a:ln w="12700">
                            <a:solidFill>
                              <a:srgbClr val="0000C8"/>
                            </a:solidFill>
                            <a:round/>
                          </a:ln>
                        </wps:spPr>
                        <wps:bodyPr/>
                      </wps:wsp>
                      <wps:wsp>
                        <wps:cNvPr id="670" name="Line 2524"/>
                        <wps:cNvCnPr>
                          <a:cxnSpLocks noChangeShapeType="1"/>
                        </wps:cNvCnPr>
                        <wps:spPr bwMode="auto">
                          <a:xfrm>
                            <a:off x="2707" y="1659"/>
                            <a:ext cx="338" cy="0"/>
                          </a:xfrm>
                          <a:prstGeom prst="line">
                            <a:avLst/>
                          </a:prstGeom>
                          <a:noFill/>
                          <a:ln w="12700">
                            <a:solidFill>
                              <a:srgbClr val="0000C8"/>
                            </a:solidFill>
                            <a:round/>
                          </a:ln>
                        </wps:spPr>
                        <wps:bodyPr/>
                      </wps:wsp>
                      <wps:wsp>
                        <wps:cNvPr id="671" name="Line 2525"/>
                        <wps:cNvCnPr>
                          <a:cxnSpLocks noChangeShapeType="1"/>
                        </wps:cNvCnPr>
                        <wps:spPr bwMode="auto">
                          <a:xfrm>
                            <a:off x="1001" y="3110"/>
                            <a:ext cx="143" cy="0"/>
                          </a:xfrm>
                          <a:prstGeom prst="line">
                            <a:avLst/>
                          </a:prstGeom>
                          <a:noFill/>
                          <a:ln w="12700">
                            <a:solidFill>
                              <a:srgbClr val="0000C8"/>
                            </a:solidFill>
                            <a:round/>
                          </a:ln>
                        </wps:spPr>
                        <wps:bodyPr/>
                      </wps:wsp>
                      <wps:wsp>
                        <wps:cNvPr id="672" name="Text Box 2526"/>
                        <wps:cNvSpPr txBox="1">
                          <a:spLocks noChangeArrowheads="1"/>
                        </wps:cNvSpPr>
                        <wps:spPr bwMode="auto">
                          <a:xfrm>
                            <a:off x="1144" y="2959"/>
                            <a:ext cx="1352" cy="303"/>
                          </a:xfrm>
                          <a:prstGeom prst="rect">
                            <a:avLst/>
                          </a:prstGeom>
                          <a:solidFill>
                            <a:schemeClr val="accent6">
                              <a:lumMod val="40000"/>
                              <a:lumOff val="60000"/>
                            </a:schemeClr>
                          </a:solidFill>
                          <a:ln w="12700">
                            <a:solidFill>
                              <a:srgbClr val="0000C8"/>
                            </a:solidFill>
                            <a:miter lim="800000"/>
                          </a:ln>
                        </wps:spPr>
                        <wps:txbx>
                          <w:txbxContent>
                            <w:p w14:paraId="3BA69FC5">
                              <w:pPr>
                                <w:pStyle w:val="55"/>
                              </w:pPr>
                              <w:r>
                                <w:rPr>
                                  <w:rFonts w:hint="eastAsia"/>
                                </w:rPr>
                                <w:t>制度保证</w:t>
                              </w:r>
                            </w:p>
                          </w:txbxContent>
                        </wps:txbx>
                        <wps:bodyPr rot="0" vert="horz" wrap="square" lIns="0" tIns="0" rIns="0" bIns="0" anchor="ctr" anchorCtr="0" upright="1">
                          <a:noAutofit/>
                        </wps:bodyPr>
                      </wps:wsp>
                      <wps:wsp>
                        <wps:cNvPr id="673" name="Text Box 2527"/>
                        <wps:cNvSpPr txBox="1">
                          <a:spLocks noChangeArrowheads="1"/>
                        </wps:cNvSpPr>
                        <wps:spPr bwMode="auto">
                          <a:xfrm>
                            <a:off x="3045" y="3111"/>
                            <a:ext cx="3390" cy="303"/>
                          </a:xfrm>
                          <a:prstGeom prst="rect">
                            <a:avLst/>
                          </a:prstGeom>
                          <a:solidFill>
                            <a:schemeClr val="accent6">
                              <a:lumMod val="40000"/>
                              <a:lumOff val="60000"/>
                            </a:schemeClr>
                          </a:solidFill>
                          <a:ln w="12700">
                            <a:solidFill>
                              <a:srgbClr val="0000C8"/>
                            </a:solidFill>
                            <a:miter lim="800000"/>
                          </a:ln>
                        </wps:spPr>
                        <wps:txbx>
                          <w:txbxContent>
                            <w:p w14:paraId="192F0B52">
                              <w:pPr>
                                <w:pStyle w:val="55"/>
                              </w:pPr>
                              <w:r>
                                <w:rPr>
                                  <w:rFonts w:hint="eastAsia"/>
                                </w:rPr>
                                <w:t>公司、项目部相关规章制度</w:t>
                              </w:r>
                            </w:p>
                          </w:txbxContent>
                        </wps:txbx>
                        <wps:bodyPr rot="0" vert="horz" wrap="square" lIns="108000" tIns="0" rIns="0" bIns="0" anchor="ctr" anchorCtr="0" upright="1">
                          <a:noAutofit/>
                        </wps:bodyPr>
                      </wps:wsp>
                      <wps:wsp>
                        <wps:cNvPr id="674" name="Text Box 2528"/>
                        <wps:cNvSpPr txBox="1">
                          <a:spLocks noChangeArrowheads="1"/>
                        </wps:cNvSpPr>
                        <wps:spPr bwMode="auto">
                          <a:xfrm>
                            <a:off x="3045" y="2734"/>
                            <a:ext cx="3390" cy="303"/>
                          </a:xfrm>
                          <a:prstGeom prst="rect">
                            <a:avLst/>
                          </a:prstGeom>
                          <a:solidFill>
                            <a:schemeClr val="accent6">
                              <a:lumMod val="40000"/>
                              <a:lumOff val="60000"/>
                            </a:schemeClr>
                          </a:solidFill>
                          <a:ln w="12700">
                            <a:solidFill>
                              <a:srgbClr val="0000C8"/>
                            </a:solidFill>
                            <a:miter lim="800000"/>
                          </a:ln>
                        </wps:spPr>
                        <wps:txbx>
                          <w:txbxContent>
                            <w:p w14:paraId="2FC5EA5F">
                              <w:pPr>
                                <w:pStyle w:val="55"/>
                              </w:pPr>
                              <w:r>
                                <w:rPr>
                                  <w:rFonts w:hint="eastAsia"/>
                                </w:rPr>
                                <w:t>国家、相关部委相关法律、法规</w:t>
                              </w:r>
                            </w:p>
                          </w:txbxContent>
                        </wps:txbx>
                        <wps:bodyPr rot="0" vert="horz" wrap="square" lIns="108000" tIns="0" rIns="0" bIns="0" anchor="ctr" anchorCtr="0" upright="1">
                          <a:noAutofit/>
                        </wps:bodyPr>
                      </wps:wsp>
                      <wps:wsp>
                        <wps:cNvPr id="697" name="Line 2529"/>
                        <wps:cNvCnPr>
                          <a:cxnSpLocks noChangeShapeType="1"/>
                        </wps:cNvCnPr>
                        <wps:spPr bwMode="auto">
                          <a:xfrm>
                            <a:off x="2707" y="2883"/>
                            <a:ext cx="0" cy="379"/>
                          </a:xfrm>
                          <a:prstGeom prst="line">
                            <a:avLst/>
                          </a:prstGeom>
                          <a:noFill/>
                          <a:ln w="12700">
                            <a:solidFill>
                              <a:srgbClr val="0000C8"/>
                            </a:solidFill>
                            <a:round/>
                          </a:ln>
                        </wps:spPr>
                        <wps:bodyPr/>
                      </wps:wsp>
                      <wps:wsp>
                        <wps:cNvPr id="702" name="Line 2530"/>
                        <wps:cNvCnPr>
                          <a:cxnSpLocks noChangeShapeType="1"/>
                        </wps:cNvCnPr>
                        <wps:spPr bwMode="auto">
                          <a:xfrm>
                            <a:off x="2707" y="2883"/>
                            <a:ext cx="338" cy="0"/>
                          </a:xfrm>
                          <a:prstGeom prst="line">
                            <a:avLst/>
                          </a:prstGeom>
                          <a:noFill/>
                          <a:ln w="12700">
                            <a:solidFill>
                              <a:srgbClr val="0000C8"/>
                            </a:solidFill>
                            <a:round/>
                          </a:ln>
                        </wps:spPr>
                        <wps:bodyPr/>
                      </wps:wsp>
                      <wps:wsp>
                        <wps:cNvPr id="703" name="Line 2531"/>
                        <wps:cNvCnPr>
                          <a:cxnSpLocks noChangeShapeType="1"/>
                        </wps:cNvCnPr>
                        <wps:spPr bwMode="auto">
                          <a:xfrm>
                            <a:off x="1001" y="4125"/>
                            <a:ext cx="143" cy="0"/>
                          </a:xfrm>
                          <a:prstGeom prst="line">
                            <a:avLst/>
                          </a:prstGeom>
                          <a:noFill/>
                          <a:ln w="12700">
                            <a:solidFill>
                              <a:srgbClr val="0000C8"/>
                            </a:solidFill>
                            <a:round/>
                          </a:ln>
                        </wps:spPr>
                        <wps:bodyPr/>
                      </wps:wsp>
                      <wps:wsp>
                        <wps:cNvPr id="286927" name="Text Box 2532"/>
                        <wps:cNvSpPr txBox="1">
                          <a:spLocks noChangeArrowheads="1"/>
                        </wps:cNvSpPr>
                        <wps:spPr bwMode="auto">
                          <a:xfrm>
                            <a:off x="1144" y="3973"/>
                            <a:ext cx="1352" cy="304"/>
                          </a:xfrm>
                          <a:prstGeom prst="rect">
                            <a:avLst/>
                          </a:prstGeom>
                          <a:solidFill>
                            <a:schemeClr val="accent6">
                              <a:lumMod val="40000"/>
                              <a:lumOff val="60000"/>
                            </a:schemeClr>
                          </a:solidFill>
                          <a:ln w="12700">
                            <a:solidFill>
                              <a:srgbClr val="0000C8"/>
                            </a:solidFill>
                            <a:miter lim="800000"/>
                          </a:ln>
                        </wps:spPr>
                        <wps:txbx>
                          <w:txbxContent>
                            <w:p w14:paraId="72B0B6B3">
                              <w:pPr>
                                <w:pStyle w:val="55"/>
                              </w:pPr>
                              <w:r>
                                <w:rPr>
                                  <w:rFonts w:hint="eastAsia"/>
                                </w:rPr>
                                <w:t>施工保证</w:t>
                              </w:r>
                            </w:p>
                          </w:txbxContent>
                        </wps:txbx>
                        <wps:bodyPr rot="0" vert="horz" wrap="square" lIns="0" tIns="0" rIns="0" bIns="0" anchor="ctr" anchorCtr="0" upright="1">
                          <a:noAutofit/>
                        </wps:bodyPr>
                      </wps:wsp>
                      <wps:wsp>
                        <wps:cNvPr id="286928" name="Line 2533"/>
                        <wps:cNvCnPr>
                          <a:cxnSpLocks noChangeShapeType="1"/>
                        </wps:cNvCnPr>
                        <wps:spPr bwMode="auto">
                          <a:xfrm>
                            <a:off x="2496" y="4125"/>
                            <a:ext cx="549" cy="0"/>
                          </a:xfrm>
                          <a:prstGeom prst="line">
                            <a:avLst/>
                          </a:prstGeom>
                          <a:noFill/>
                          <a:ln w="12700">
                            <a:solidFill>
                              <a:srgbClr val="0000C8"/>
                            </a:solidFill>
                            <a:round/>
                          </a:ln>
                        </wps:spPr>
                        <wps:bodyPr/>
                      </wps:wsp>
                      <wps:wsp>
                        <wps:cNvPr id="286929" name="Text Box 2534"/>
                        <wps:cNvSpPr txBox="1">
                          <a:spLocks noChangeArrowheads="1"/>
                        </wps:cNvSpPr>
                        <wps:spPr bwMode="auto">
                          <a:xfrm>
                            <a:off x="3045" y="3973"/>
                            <a:ext cx="3040" cy="304"/>
                          </a:xfrm>
                          <a:prstGeom prst="rect">
                            <a:avLst/>
                          </a:prstGeom>
                          <a:solidFill>
                            <a:schemeClr val="accent6">
                              <a:lumMod val="40000"/>
                              <a:lumOff val="60000"/>
                            </a:schemeClr>
                          </a:solidFill>
                          <a:ln w="12700">
                            <a:solidFill>
                              <a:srgbClr val="0000C8"/>
                            </a:solidFill>
                            <a:miter lim="800000"/>
                          </a:ln>
                        </wps:spPr>
                        <wps:txbx>
                          <w:txbxContent>
                            <w:p w14:paraId="498948D0">
                              <w:pPr>
                                <w:pStyle w:val="55"/>
                              </w:pPr>
                              <w:r>
                                <w:rPr>
                                  <w:rFonts w:hint="eastAsia"/>
                                  <w:lang w:val="en-US" w:eastAsia="zh-CN"/>
                                </w:rPr>
                                <w:t>绿色</w:t>
                              </w:r>
                              <w:r>
                                <w:rPr>
                                  <w:rFonts w:hint="eastAsia"/>
                                </w:rPr>
                                <w:t>施工工艺保证</w:t>
                              </w:r>
                            </w:p>
                          </w:txbxContent>
                        </wps:txbx>
                        <wps:bodyPr rot="0" vert="horz" wrap="square" lIns="108000" tIns="0" rIns="0" bIns="0" anchor="ctr" anchorCtr="0" upright="1">
                          <a:noAutofit/>
                        </wps:bodyPr>
                      </wps:wsp>
                      <wps:wsp>
                        <wps:cNvPr id="286930" name="Text Box 2535"/>
                        <wps:cNvSpPr txBox="1">
                          <a:spLocks noChangeArrowheads="1"/>
                        </wps:cNvSpPr>
                        <wps:spPr bwMode="auto">
                          <a:xfrm>
                            <a:off x="3045" y="3596"/>
                            <a:ext cx="3040" cy="303"/>
                          </a:xfrm>
                          <a:prstGeom prst="rect">
                            <a:avLst/>
                          </a:prstGeom>
                          <a:solidFill>
                            <a:schemeClr val="accent6">
                              <a:lumMod val="40000"/>
                              <a:lumOff val="60000"/>
                            </a:schemeClr>
                          </a:solidFill>
                          <a:ln w="12700">
                            <a:solidFill>
                              <a:srgbClr val="0000C8"/>
                            </a:solidFill>
                            <a:miter lim="800000"/>
                          </a:ln>
                        </wps:spPr>
                        <wps:txbx>
                          <w:txbxContent>
                            <w:p w14:paraId="26605DA4">
                              <w:pPr>
                                <w:pStyle w:val="55"/>
                              </w:pPr>
                              <w:r>
                                <w:rPr>
                                  <w:rFonts w:hint="eastAsia"/>
                                </w:rPr>
                                <w:t>落实岗位责任制</w:t>
                              </w:r>
                            </w:p>
                          </w:txbxContent>
                        </wps:txbx>
                        <wps:bodyPr rot="0" vert="horz" wrap="square" lIns="108000" tIns="0" rIns="0" bIns="0" anchor="ctr" anchorCtr="0" upright="1">
                          <a:noAutofit/>
                        </wps:bodyPr>
                      </wps:wsp>
                      <wps:wsp>
                        <wps:cNvPr id="286931" name="Text Box 2536"/>
                        <wps:cNvSpPr txBox="1">
                          <a:spLocks noChangeArrowheads="1"/>
                        </wps:cNvSpPr>
                        <wps:spPr bwMode="auto">
                          <a:xfrm>
                            <a:off x="3045" y="4353"/>
                            <a:ext cx="3040" cy="302"/>
                          </a:xfrm>
                          <a:prstGeom prst="rect">
                            <a:avLst/>
                          </a:prstGeom>
                          <a:solidFill>
                            <a:schemeClr val="accent6">
                              <a:lumMod val="40000"/>
                              <a:lumOff val="60000"/>
                            </a:schemeClr>
                          </a:solidFill>
                          <a:ln w="12700">
                            <a:solidFill>
                              <a:srgbClr val="0000C8"/>
                            </a:solidFill>
                            <a:miter lim="800000"/>
                          </a:ln>
                        </wps:spPr>
                        <wps:txbx>
                          <w:txbxContent>
                            <w:p w14:paraId="59662101">
                              <w:pPr>
                                <w:pStyle w:val="55"/>
                              </w:pPr>
                              <w:r>
                                <w:rPr>
                                  <w:rFonts w:hint="eastAsia"/>
                                </w:rPr>
                                <w:t>物资设备保证</w:t>
                              </w:r>
                            </w:p>
                          </w:txbxContent>
                        </wps:txbx>
                        <wps:bodyPr rot="0" vert="horz" wrap="square" lIns="108000" tIns="0" rIns="0" bIns="0" anchor="ctr" anchorCtr="0" upright="1">
                          <a:noAutofit/>
                        </wps:bodyPr>
                      </wps:wsp>
                      <wps:wsp>
                        <wps:cNvPr id="286932" name="Line 2537"/>
                        <wps:cNvCnPr>
                          <a:cxnSpLocks noChangeShapeType="1"/>
                        </wps:cNvCnPr>
                        <wps:spPr bwMode="auto">
                          <a:xfrm>
                            <a:off x="2707" y="3747"/>
                            <a:ext cx="0" cy="1180"/>
                          </a:xfrm>
                          <a:prstGeom prst="line">
                            <a:avLst/>
                          </a:prstGeom>
                          <a:noFill/>
                          <a:ln w="12700">
                            <a:solidFill>
                              <a:srgbClr val="0000C8"/>
                            </a:solidFill>
                            <a:round/>
                          </a:ln>
                        </wps:spPr>
                        <wps:bodyPr/>
                      </wps:wsp>
                      <wps:wsp>
                        <wps:cNvPr id="286933" name="Line 2538"/>
                        <wps:cNvCnPr>
                          <a:cxnSpLocks noChangeShapeType="1"/>
                        </wps:cNvCnPr>
                        <wps:spPr bwMode="auto">
                          <a:xfrm>
                            <a:off x="2707" y="3747"/>
                            <a:ext cx="338" cy="0"/>
                          </a:xfrm>
                          <a:prstGeom prst="line">
                            <a:avLst/>
                          </a:prstGeom>
                          <a:noFill/>
                          <a:ln w="12700">
                            <a:solidFill>
                              <a:srgbClr val="0000C8"/>
                            </a:solidFill>
                            <a:round/>
                          </a:ln>
                        </wps:spPr>
                        <wps:bodyPr/>
                      </wps:wsp>
                      <wps:wsp>
                        <wps:cNvPr id="286934" name="Line 2539"/>
                        <wps:cNvCnPr>
                          <a:cxnSpLocks noChangeShapeType="1"/>
                        </wps:cNvCnPr>
                        <wps:spPr bwMode="auto">
                          <a:xfrm>
                            <a:off x="2707" y="4504"/>
                            <a:ext cx="338" cy="0"/>
                          </a:xfrm>
                          <a:prstGeom prst="line">
                            <a:avLst/>
                          </a:prstGeom>
                          <a:noFill/>
                          <a:ln w="12700">
                            <a:solidFill>
                              <a:srgbClr val="0000C8"/>
                            </a:solidFill>
                            <a:round/>
                          </a:ln>
                        </wps:spPr>
                        <wps:bodyPr/>
                      </wps:wsp>
                      <wps:wsp>
                        <wps:cNvPr id="286935" name="Line 2540"/>
                        <wps:cNvCnPr>
                          <a:cxnSpLocks noChangeShapeType="1"/>
                        </wps:cNvCnPr>
                        <wps:spPr bwMode="auto">
                          <a:xfrm>
                            <a:off x="2566" y="358"/>
                            <a:ext cx="141" cy="0"/>
                          </a:xfrm>
                          <a:prstGeom prst="line">
                            <a:avLst/>
                          </a:prstGeom>
                          <a:noFill/>
                          <a:ln w="12700">
                            <a:solidFill>
                              <a:srgbClr val="0000C8"/>
                            </a:solidFill>
                            <a:round/>
                          </a:ln>
                        </wps:spPr>
                        <wps:bodyPr/>
                      </wps:wsp>
                      <wps:wsp>
                        <wps:cNvPr id="286936" name="Text Box 2541"/>
                        <wps:cNvSpPr txBox="1">
                          <a:spLocks noChangeArrowheads="1"/>
                        </wps:cNvSpPr>
                        <wps:spPr bwMode="auto">
                          <a:xfrm>
                            <a:off x="3045" y="2276"/>
                            <a:ext cx="3390" cy="303"/>
                          </a:xfrm>
                          <a:prstGeom prst="rect">
                            <a:avLst/>
                          </a:prstGeom>
                          <a:solidFill>
                            <a:schemeClr val="accent6">
                              <a:lumMod val="40000"/>
                              <a:lumOff val="60000"/>
                            </a:schemeClr>
                          </a:solidFill>
                          <a:ln w="12700">
                            <a:solidFill>
                              <a:srgbClr val="0000C8"/>
                            </a:solidFill>
                            <a:miter lim="800000"/>
                          </a:ln>
                        </wps:spPr>
                        <wps:txbx>
                          <w:txbxContent>
                            <w:p w14:paraId="0136C8F0">
                              <w:pPr>
                                <w:pStyle w:val="55"/>
                                <w:rPr>
                                  <w:rFonts w:hint="default" w:eastAsia="宋体"/>
                                  <w:lang w:val="en-US" w:eastAsia="zh-CN"/>
                                </w:rPr>
                              </w:pPr>
                              <w:r>
                                <w:rPr>
                                  <w:rFonts w:hint="eastAsia"/>
                                  <w:lang w:val="en-US" w:eastAsia="zh-CN"/>
                                </w:rPr>
                                <w:t>按照设计和施组内容进行落实</w:t>
                              </w:r>
                            </w:p>
                          </w:txbxContent>
                        </wps:txbx>
                        <wps:bodyPr rot="0" vert="horz" wrap="square" lIns="108000" tIns="0" rIns="0" bIns="0" anchor="ctr" anchorCtr="0" upright="1">
                          <a:noAutofit/>
                        </wps:bodyPr>
                      </wps:wsp>
                      <wps:wsp>
                        <wps:cNvPr id="286937" name="Line 2542"/>
                        <wps:cNvCnPr>
                          <a:cxnSpLocks noChangeShapeType="1"/>
                        </wps:cNvCnPr>
                        <wps:spPr bwMode="auto">
                          <a:xfrm>
                            <a:off x="2707" y="2426"/>
                            <a:ext cx="338" cy="0"/>
                          </a:xfrm>
                          <a:prstGeom prst="line">
                            <a:avLst/>
                          </a:prstGeom>
                          <a:noFill/>
                          <a:ln w="12700">
                            <a:solidFill>
                              <a:srgbClr val="0000C8"/>
                            </a:solidFill>
                            <a:round/>
                          </a:ln>
                        </wps:spPr>
                        <wps:bodyPr/>
                      </wps:wsp>
                      <wps:wsp>
                        <wps:cNvPr id="286938" name="Text Box 2543"/>
                        <wps:cNvSpPr txBox="1">
                          <a:spLocks noChangeArrowheads="1"/>
                        </wps:cNvSpPr>
                        <wps:spPr bwMode="auto">
                          <a:xfrm>
                            <a:off x="3045" y="4776"/>
                            <a:ext cx="3040" cy="303"/>
                          </a:xfrm>
                          <a:prstGeom prst="rect">
                            <a:avLst/>
                          </a:prstGeom>
                          <a:solidFill>
                            <a:schemeClr val="accent6">
                              <a:lumMod val="40000"/>
                              <a:lumOff val="60000"/>
                            </a:schemeClr>
                          </a:solidFill>
                          <a:ln w="12700">
                            <a:solidFill>
                              <a:srgbClr val="0000C8"/>
                            </a:solidFill>
                            <a:miter lim="800000"/>
                          </a:ln>
                        </wps:spPr>
                        <wps:txbx>
                          <w:txbxContent>
                            <w:p w14:paraId="6D1F5B1C">
                              <w:pPr>
                                <w:pStyle w:val="55"/>
                              </w:pPr>
                              <w:r>
                                <w:rPr>
                                  <w:rFonts w:hint="eastAsia"/>
                                </w:rPr>
                                <w:t>监督、检查、改进</w:t>
                              </w:r>
                            </w:p>
                          </w:txbxContent>
                        </wps:txbx>
                        <wps:bodyPr rot="0" vert="horz" wrap="square" lIns="108000" tIns="0" rIns="0" bIns="0" anchor="ctr" anchorCtr="0" upright="1">
                          <a:noAutofit/>
                        </wps:bodyPr>
                      </wps:wsp>
                      <wps:wsp>
                        <wps:cNvPr id="286939" name="Line 2544"/>
                        <wps:cNvCnPr>
                          <a:cxnSpLocks noChangeShapeType="1"/>
                        </wps:cNvCnPr>
                        <wps:spPr bwMode="auto">
                          <a:xfrm>
                            <a:off x="2707" y="4927"/>
                            <a:ext cx="338" cy="0"/>
                          </a:xfrm>
                          <a:prstGeom prst="line">
                            <a:avLst/>
                          </a:prstGeom>
                          <a:noFill/>
                          <a:ln w="12700">
                            <a:solidFill>
                              <a:srgbClr val="0000C8"/>
                            </a:solidFill>
                            <a:round/>
                          </a:ln>
                        </wps:spPr>
                        <wps:bodyPr/>
                      </wps:wsp>
                      <wps:wsp>
                        <wps:cNvPr id="286940" name="Line 2545"/>
                        <wps:cNvCnPr>
                          <a:cxnSpLocks noChangeShapeType="1"/>
                        </wps:cNvCnPr>
                        <wps:spPr bwMode="auto">
                          <a:xfrm>
                            <a:off x="2707" y="3262"/>
                            <a:ext cx="338" cy="0"/>
                          </a:xfrm>
                          <a:prstGeom prst="line">
                            <a:avLst/>
                          </a:prstGeom>
                          <a:noFill/>
                          <a:ln w="12700">
                            <a:solidFill>
                              <a:srgbClr val="0000C8"/>
                            </a:solidFill>
                            <a:round/>
                          </a:ln>
                        </wps:spPr>
                        <wps:bodyPr/>
                      </wps:wsp>
                      <wps:wsp>
                        <wps:cNvPr id="286941" name="Line 2546"/>
                        <wps:cNvCnPr>
                          <a:cxnSpLocks noChangeShapeType="1"/>
                        </wps:cNvCnPr>
                        <wps:spPr bwMode="auto">
                          <a:xfrm flipV="1">
                            <a:off x="2496" y="3111"/>
                            <a:ext cx="211" cy="0"/>
                          </a:xfrm>
                          <a:prstGeom prst="line">
                            <a:avLst/>
                          </a:prstGeom>
                          <a:noFill/>
                          <a:ln w="12700">
                            <a:solidFill>
                              <a:srgbClr val="0000C8"/>
                            </a:solidFill>
                            <a:round/>
                          </a:ln>
                        </wps:spPr>
                        <wps:bodyPr/>
                      </wps:wsp>
                      <wps:wsp>
                        <wps:cNvPr id="286942" name="Line 2547"/>
                        <wps:cNvCnPr>
                          <a:cxnSpLocks noChangeShapeType="1"/>
                        </wps:cNvCnPr>
                        <wps:spPr bwMode="auto">
                          <a:xfrm flipV="1">
                            <a:off x="5578" y="171"/>
                            <a:ext cx="1200" cy="0"/>
                          </a:xfrm>
                          <a:prstGeom prst="line">
                            <a:avLst/>
                          </a:prstGeom>
                          <a:noFill/>
                          <a:ln w="12700">
                            <a:solidFill>
                              <a:srgbClr val="0000C8"/>
                            </a:solidFill>
                            <a:round/>
                          </a:ln>
                        </wps:spPr>
                        <wps:bodyPr/>
                      </wps:wsp>
                      <wps:wsp>
                        <wps:cNvPr id="286943" name="Line 2548"/>
                        <wps:cNvCnPr>
                          <a:cxnSpLocks noChangeShapeType="1"/>
                        </wps:cNvCnPr>
                        <wps:spPr bwMode="auto">
                          <a:xfrm>
                            <a:off x="5578" y="605"/>
                            <a:ext cx="1205" cy="0"/>
                          </a:xfrm>
                          <a:prstGeom prst="line">
                            <a:avLst/>
                          </a:prstGeom>
                          <a:noFill/>
                          <a:ln w="12700">
                            <a:solidFill>
                              <a:srgbClr val="0000C8"/>
                            </a:solidFill>
                            <a:round/>
                          </a:ln>
                        </wps:spPr>
                        <wps:bodyPr/>
                      </wps:wsp>
                      <wps:wsp>
                        <wps:cNvPr id="286944" name="Line 2549"/>
                        <wps:cNvCnPr>
                          <a:cxnSpLocks noChangeShapeType="1"/>
                        </wps:cNvCnPr>
                        <wps:spPr bwMode="auto">
                          <a:xfrm>
                            <a:off x="5573" y="1142"/>
                            <a:ext cx="1372" cy="0"/>
                          </a:xfrm>
                          <a:prstGeom prst="line">
                            <a:avLst/>
                          </a:prstGeom>
                          <a:noFill/>
                          <a:ln w="12700">
                            <a:solidFill>
                              <a:srgbClr val="0000C8"/>
                            </a:solidFill>
                            <a:round/>
                          </a:ln>
                        </wps:spPr>
                        <wps:bodyPr/>
                      </wps:wsp>
                      <wps:wsp>
                        <wps:cNvPr id="286945" name="Line 2550"/>
                        <wps:cNvCnPr>
                          <a:cxnSpLocks noChangeShapeType="1"/>
                        </wps:cNvCnPr>
                        <wps:spPr bwMode="auto">
                          <a:xfrm>
                            <a:off x="6435" y="1659"/>
                            <a:ext cx="338" cy="0"/>
                          </a:xfrm>
                          <a:prstGeom prst="line">
                            <a:avLst/>
                          </a:prstGeom>
                          <a:noFill/>
                          <a:ln w="12700">
                            <a:solidFill>
                              <a:srgbClr val="0000C8"/>
                            </a:solidFill>
                            <a:round/>
                          </a:ln>
                        </wps:spPr>
                        <wps:bodyPr/>
                      </wps:wsp>
                      <wps:wsp>
                        <wps:cNvPr id="286946" name="Line 2551"/>
                        <wps:cNvCnPr>
                          <a:cxnSpLocks noChangeShapeType="1"/>
                        </wps:cNvCnPr>
                        <wps:spPr bwMode="auto">
                          <a:xfrm>
                            <a:off x="6440" y="2039"/>
                            <a:ext cx="495" cy="0"/>
                          </a:xfrm>
                          <a:prstGeom prst="line">
                            <a:avLst/>
                          </a:prstGeom>
                          <a:noFill/>
                          <a:ln w="12700">
                            <a:solidFill>
                              <a:srgbClr val="0000C8"/>
                            </a:solidFill>
                            <a:round/>
                          </a:ln>
                        </wps:spPr>
                        <wps:bodyPr/>
                      </wps:wsp>
                      <wps:wsp>
                        <wps:cNvPr id="286947" name="Line 2552"/>
                        <wps:cNvCnPr>
                          <a:cxnSpLocks noChangeShapeType="1"/>
                        </wps:cNvCnPr>
                        <wps:spPr bwMode="auto">
                          <a:xfrm>
                            <a:off x="6435" y="2438"/>
                            <a:ext cx="338" cy="0"/>
                          </a:xfrm>
                          <a:prstGeom prst="line">
                            <a:avLst/>
                          </a:prstGeom>
                          <a:noFill/>
                          <a:ln w="12700">
                            <a:solidFill>
                              <a:srgbClr val="0000C8"/>
                            </a:solidFill>
                            <a:round/>
                          </a:ln>
                        </wps:spPr>
                        <wps:bodyPr/>
                      </wps:wsp>
                      <wps:wsp>
                        <wps:cNvPr id="286948" name="Line 2553"/>
                        <wps:cNvCnPr>
                          <a:cxnSpLocks noChangeShapeType="1"/>
                        </wps:cNvCnPr>
                        <wps:spPr bwMode="auto">
                          <a:xfrm>
                            <a:off x="6773" y="1659"/>
                            <a:ext cx="0" cy="779"/>
                          </a:xfrm>
                          <a:prstGeom prst="line">
                            <a:avLst/>
                          </a:prstGeom>
                          <a:noFill/>
                          <a:ln w="12700">
                            <a:solidFill>
                              <a:srgbClr val="0000C8"/>
                            </a:solidFill>
                            <a:round/>
                          </a:ln>
                        </wps:spPr>
                        <wps:bodyPr/>
                      </wps:wsp>
                      <wps:wsp>
                        <wps:cNvPr id="286949" name="Line 2554"/>
                        <wps:cNvCnPr>
                          <a:cxnSpLocks noChangeShapeType="1"/>
                        </wps:cNvCnPr>
                        <wps:spPr bwMode="auto">
                          <a:xfrm>
                            <a:off x="6435" y="2883"/>
                            <a:ext cx="338" cy="0"/>
                          </a:xfrm>
                          <a:prstGeom prst="line">
                            <a:avLst/>
                          </a:prstGeom>
                          <a:noFill/>
                          <a:ln w="12700">
                            <a:solidFill>
                              <a:srgbClr val="0000C8"/>
                            </a:solidFill>
                            <a:round/>
                          </a:ln>
                        </wps:spPr>
                        <wps:bodyPr/>
                      </wps:wsp>
                      <wps:wsp>
                        <wps:cNvPr id="286950" name="Line 2555"/>
                        <wps:cNvCnPr>
                          <a:cxnSpLocks noChangeShapeType="1"/>
                        </wps:cNvCnPr>
                        <wps:spPr bwMode="auto">
                          <a:xfrm>
                            <a:off x="6440" y="3262"/>
                            <a:ext cx="338" cy="0"/>
                          </a:xfrm>
                          <a:prstGeom prst="line">
                            <a:avLst/>
                          </a:prstGeom>
                          <a:noFill/>
                          <a:ln w="12700">
                            <a:solidFill>
                              <a:srgbClr val="0000C8"/>
                            </a:solidFill>
                            <a:round/>
                          </a:ln>
                        </wps:spPr>
                        <wps:bodyPr/>
                      </wps:wsp>
                      <wps:wsp>
                        <wps:cNvPr id="286951" name="Line 2556"/>
                        <wps:cNvCnPr>
                          <a:cxnSpLocks noChangeShapeType="1"/>
                        </wps:cNvCnPr>
                        <wps:spPr bwMode="auto">
                          <a:xfrm>
                            <a:off x="6783" y="2883"/>
                            <a:ext cx="0" cy="379"/>
                          </a:xfrm>
                          <a:prstGeom prst="line">
                            <a:avLst/>
                          </a:prstGeom>
                          <a:noFill/>
                          <a:ln w="12700">
                            <a:solidFill>
                              <a:srgbClr val="0000C8"/>
                            </a:solidFill>
                            <a:round/>
                          </a:ln>
                        </wps:spPr>
                        <wps:bodyPr/>
                      </wps:wsp>
                      <wps:wsp>
                        <wps:cNvPr id="286952" name="Line 2557"/>
                        <wps:cNvCnPr>
                          <a:cxnSpLocks noChangeShapeType="1"/>
                        </wps:cNvCnPr>
                        <wps:spPr bwMode="auto">
                          <a:xfrm>
                            <a:off x="6783" y="3057"/>
                            <a:ext cx="152" cy="0"/>
                          </a:xfrm>
                          <a:prstGeom prst="line">
                            <a:avLst/>
                          </a:prstGeom>
                          <a:noFill/>
                          <a:ln w="12700">
                            <a:solidFill>
                              <a:srgbClr val="0000C8"/>
                            </a:solidFill>
                            <a:round/>
                          </a:ln>
                        </wps:spPr>
                        <wps:bodyPr/>
                      </wps:wsp>
                      <wps:wsp>
                        <wps:cNvPr id="286953" name="Line 2558"/>
                        <wps:cNvCnPr>
                          <a:cxnSpLocks noChangeShapeType="1"/>
                        </wps:cNvCnPr>
                        <wps:spPr bwMode="auto">
                          <a:xfrm>
                            <a:off x="6783" y="171"/>
                            <a:ext cx="0" cy="434"/>
                          </a:xfrm>
                          <a:prstGeom prst="line">
                            <a:avLst/>
                          </a:prstGeom>
                          <a:noFill/>
                          <a:ln w="12700">
                            <a:solidFill>
                              <a:srgbClr val="0000C8"/>
                            </a:solidFill>
                            <a:round/>
                          </a:ln>
                        </wps:spPr>
                        <wps:bodyPr/>
                      </wps:wsp>
                      <wps:wsp>
                        <wps:cNvPr id="286954" name="Line 2559"/>
                        <wps:cNvCnPr>
                          <a:cxnSpLocks noChangeShapeType="1"/>
                        </wps:cNvCnPr>
                        <wps:spPr bwMode="auto">
                          <a:xfrm>
                            <a:off x="6783" y="407"/>
                            <a:ext cx="162" cy="0"/>
                          </a:xfrm>
                          <a:prstGeom prst="line">
                            <a:avLst/>
                          </a:prstGeom>
                          <a:noFill/>
                          <a:ln w="12700">
                            <a:solidFill>
                              <a:srgbClr val="0000C8"/>
                            </a:solidFill>
                            <a:round/>
                          </a:ln>
                        </wps:spPr>
                        <wps:bodyPr/>
                      </wps:wsp>
                      <wps:wsp>
                        <wps:cNvPr id="286955" name="Line 2560"/>
                        <wps:cNvCnPr>
                          <a:cxnSpLocks noChangeShapeType="1"/>
                        </wps:cNvCnPr>
                        <wps:spPr bwMode="auto">
                          <a:xfrm>
                            <a:off x="6102" y="3747"/>
                            <a:ext cx="654" cy="0"/>
                          </a:xfrm>
                          <a:prstGeom prst="line">
                            <a:avLst/>
                          </a:prstGeom>
                          <a:noFill/>
                          <a:ln w="12700">
                            <a:solidFill>
                              <a:srgbClr val="0000C8"/>
                            </a:solidFill>
                            <a:round/>
                          </a:ln>
                        </wps:spPr>
                        <wps:bodyPr/>
                      </wps:wsp>
                      <wps:wsp>
                        <wps:cNvPr id="286956" name="Line 2561"/>
                        <wps:cNvCnPr>
                          <a:cxnSpLocks noChangeShapeType="1"/>
                        </wps:cNvCnPr>
                        <wps:spPr bwMode="auto">
                          <a:xfrm>
                            <a:off x="6085" y="4125"/>
                            <a:ext cx="671" cy="0"/>
                          </a:xfrm>
                          <a:prstGeom prst="line">
                            <a:avLst/>
                          </a:prstGeom>
                          <a:noFill/>
                          <a:ln w="12700">
                            <a:solidFill>
                              <a:srgbClr val="0000C8"/>
                            </a:solidFill>
                            <a:round/>
                          </a:ln>
                        </wps:spPr>
                        <wps:bodyPr/>
                      </wps:wsp>
                      <wps:wsp>
                        <wps:cNvPr id="286957" name="Line 2562"/>
                        <wps:cNvCnPr>
                          <a:cxnSpLocks noChangeShapeType="1"/>
                        </wps:cNvCnPr>
                        <wps:spPr bwMode="auto">
                          <a:xfrm>
                            <a:off x="6085" y="4504"/>
                            <a:ext cx="671" cy="0"/>
                          </a:xfrm>
                          <a:prstGeom prst="line">
                            <a:avLst/>
                          </a:prstGeom>
                          <a:noFill/>
                          <a:ln w="12700">
                            <a:solidFill>
                              <a:srgbClr val="0000C8"/>
                            </a:solidFill>
                            <a:round/>
                          </a:ln>
                        </wps:spPr>
                        <wps:bodyPr/>
                      </wps:wsp>
                      <wps:wsp>
                        <wps:cNvPr id="286958" name="Line 2563"/>
                        <wps:cNvCnPr>
                          <a:cxnSpLocks noChangeShapeType="1"/>
                        </wps:cNvCnPr>
                        <wps:spPr bwMode="auto">
                          <a:xfrm>
                            <a:off x="6085" y="4927"/>
                            <a:ext cx="671" cy="0"/>
                          </a:xfrm>
                          <a:prstGeom prst="line">
                            <a:avLst/>
                          </a:prstGeom>
                          <a:noFill/>
                          <a:ln w="12700">
                            <a:solidFill>
                              <a:srgbClr val="0000C8"/>
                            </a:solidFill>
                            <a:round/>
                          </a:ln>
                        </wps:spPr>
                        <wps:bodyPr/>
                      </wps:wsp>
                      <wps:wsp>
                        <wps:cNvPr id="286959" name="Line 2564"/>
                        <wps:cNvCnPr>
                          <a:cxnSpLocks noChangeShapeType="1"/>
                        </wps:cNvCnPr>
                        <wps:spPr bwMode="auto">
                          <a:xfrm>
                            <a:off x="6756" y="3747"/>
                            <a:ext cx="0" cy="1180"/>
                          </a:xfrm>
                          <a:prstGeom prst="line">
                            <a:avLst/>
                          </a:prstGeom>
                          <a:noFill/>
                          <a:ln w="12700">
                            <a:solidFill>
                              <a:srgbClr val="0000C8"/>
                            </a:solidFill>
                            <a:round/>
                          </a:ln>
                        </wps:spPr>
                        <wps:bodyPr/>
                      </wps:wsp>
                      <wps:wsp>
                        <wps:cNvPr id="286960" name="Line 2565"/>
                        <wps:cNvCnPr>
                          <a:cxnSpLocks noChangeShapeType="1"/>
                        </wps:cNvCnPr>
                        <wps:spPr bwMode="auto">
                          <a:xfrm>
                            <a:off x="6756" y="4353"/>
                            <a:ext cx="189" cy="0"/>
                          </a:xfrm>
                          <a:prstGeom prst="line">
                            <a:avLst/>
                          </a:prstGeom>
                          <a:noFill/>
                          <a:ln w="12700">
                            <a:solidFill>
                              <a:srgbClr val="0000C8"/>
                            </a:solidFill>
                            <a:round/>
                          </a:ln>
                        </wps:spPr>
                        <wps:bodyPr/>
                      </wps:wsp>
                      <wps:wsp>
                        <wps:cNvPr id="286961" name="Line 2566"/>
                        <wps:cNvCnPr>
                          <a:cxnSpLocks noChangeShapeType="1"/>
                        </wps:cNvCnPr>
                        <wps:spPr bwMode="auto">
                          <a:xfrm>
                            <a:off x="6945" y="407"/>
                            <a:ext cx="0" cy="3946"/>
                          </a:xfrm>
                          <a:prstGeom prst="line">
                            <a:avLst/>
                          </a:prstGeom>
                          <a:noFill/>
                          <a:ln w="12700">
                            <a:solidFill>
                              <a:srgbClr val="0000C8"/>
                            </a:solidFill>
                            <a:round/>
                          </a:ln>
                        </wps:spPr>
                        <wps:bodyPr/>
                      </wps:wsp>
                      <wps:wsp>
                        <wps:cNvPr id="286962" name="Line 2567"/>
                        <wps:cNvCnPr>
                          <a:cxnSpLocks noChangeShapeType="1"/>
                        </wps:cNvCnPr>
                        <wps:spPr bwMode="auto">
                          <a:xfrm>
                            <a:off x="6945" y="2438"/>
                            <a:ext cx="152" cy="0"/>
                          </a:xfrm>
                          <a:prstGeom prst="line">
                            <a:avLst/>
                          </a:prstGeom>
                          <a:noFill/>
                          <a:ln w="12700">
                            <a:solidFill>
                              <a:srgbClr val="0000C8"/>
                            </a:solidFill>
                            <a:round/>
                          </a:ln>
                        </wps:spPr>
                        <wps:bodyPr/>
                      </wps:wsp>
                      <wps:wsp>
                        <wps:cNvPr id="286963" name="Text Box 2568"/>
                        <wps:cNvSpPr txBox="1">
                          <a:spLocks noChangeArrowheads="1"/>
                        </wps:cNvSpPr>
                        <wps:spPr bwMode="auto">
                          <a:xfrm>
                            <a:off x="7097" y="1324"/>
                            <a:ext cx="804" cy="2272"/>
                          </a:xfrm>
                          <a:prstGeom prst="rect">
                            <a:avLst/>
                          </a:prstGeom>
                          <a:solidFill>
                            <a:schemeClr val="accent6">
                              <a:lumMod val="40000"/>
                              <a:lumOff val="60000"/>
                            </a:schemeClr>
                          </a:solidFill>
                          <a:ln w="12700">
                            <a:solidFill>
                              <a:srgbClr val="0000C8"/>
                            </a:solidFill>
                            <a:miter lim="800000"/>
                          </a:ln>
                        </wps:spPr>
                        <wps:txbx>
                          <w:txbxContent>
                            <w:p w14:paraId="7C4CBD63">
                              <w:pPr>
                                <w:pStyle w:val="55"/>
                                <w:rPr>
                                  <w:rFonts w:hint="eastAsia"/>
                                  <w:lang w:val="en-US" w:eastAsia="zh-CN"/>
                                </w:rPr>
                              </w:pPr>
                              <w:r>
                                <w:rPr>
                                  <w:rFonts w:hint="eastAsia"/>
                                  <w:lang w:val="en-US" w:eastAsia="zh-CN"/>
                                </w:rPr>
                                <w:t>绿色</w:t>
                              </w:r>
                            </w:p>
                            <w:p w14:paraId="746D668F">
                              <w:pPr>
                                <w:pStyle w:val="55"/>
                                <w:rPr>
                                  <w:rFonts w:hint="eastAsia"/>
                                </w:rPr>
                              </w:pPr>
                              <w:r>
                                <w:rPr>
                                  <w:rFonts w:hint="eastAsia"/>
                                </w:rPr>
                                <w:t>施工</w:t>
                              </w:r>
                            </w:p>
                            <w:p w14:paraId="7BD70BA3">
                              <w:pPr>
                                <w:pStyle w:val="55"/>
                              </w:pPr>
                              <w:r>
                                <w:rPr>
                                  <w:rFonts w:hint="eastAsia"/>
                                </w:rPr>
                                <w:t>达标</w:t>
                              </w:r>
                            </w:p>
                          </w:txbxContent>
                        </wps:txbx>
                        <wps:bodyPr rot="0" vert="horz" wrap="square" lIns="0" tIns="0" rIns="0" bIns="0" anchor="ctr" anchorCtr="0" upright="1">
                          <a:noAutofit/>
                        </wps:bodyPr>
                      </wps:wsp>
                    </wpg:wgp>
                  </a:graphicData>
                </a:graphic>
              </wp:inline>
            </w:drawing>
          </mc:Choice>
          <mc:Fallback>
            <w:pict>
              <v:group id="Group 2503" o:spid="_x0000_s1026" o:spt="203" style="height:356.35pt;width:382.3pt;" coordsize="7901,5079" o:gfxdata="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">
                <o:lock v:ext="edit" aspectratio="f"/>
                <v:shape id="Text Box 2504" o:spid="_x0000_s1026" o:spt="202" type="#_x0000_t202" style="position:absolute;left:0;top:1142;height:2272;width:804;v-text-anchor:middle;" fillcolor="#C5E0B4 [1305]" filled="t" stroked="t" coordsize="21600,21600" o:gfxdata="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Zt7k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653F702">
                        <w:pPr>
                          <w:pStyle w:val="55"/>
                          <w:rPr>
                            <w:rFonts w:hint="eastAsia"/>
                            <w:lang w:val="en-US" w:eastAsia="zh-CN"/>
                          </w:rPr>
                        </w:pPr>
                        <w:r>
                          <w:rPr>
                            <w:rFonts w:hint="eastAsia"/>
                            <w:lang w:val="en-US" w:eastAsia="zh-CN"/>
                          </w:rPr>
                          <w:t>绿色</w:t>
                        </w:r>
                      </w:p>
                      <w:p w14:paraId="2B3EC0DC">
                        <w:pPr>
                          <w:pStyle w:val="55"/>
                        </w:pPr>
                        <w:r>
                          <w:rPr>
                            <w:rFonts w:hint="eastAsia"/>
                          </w:rPr>
                          <w:t>施工</w:t>
                        </w:r>
                      </w:p>
                      <w:p w14:paraId="39EC98D8">
                        <w:pPr>
                          <w:pStyle w:val="55"/>
                        </w:pPr>
                        <w:r>
                          <w:rPr>
                            <w:rFonts w:hint="eastAsia"/>
                          </w:rPr>
                          <w:t>保证</w:t>
                        </w:r>
                      </w:p>
                      <w:p w14:paraId="2442F07C">
                        <w:pPr>
                          <w:pStyle w:val="55"/>
                        </w:pPr>
                        <w:r>
                          <w:rPr>
                            <w:rFonts w:hint="eastAsia"/>
                          </w:rPr>
                          <w:t>体系</w:t>
                        </w:r>
                      </w:p>
                    </w:txbxContent>
                  </v:textbox>
                </v:shape>
                <v:line id="Line 2505" o:spid="_x0000_s1026" o:spt="20" style="position:absolute;left:806;top:2267;height:0;width:195;" filled="f" stroked="t" coordsize="21600,21600" o:gfxdata="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42OO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06" o:spid="_x0000_s1026" o:spt="20" style="position:absolute;left:1001;top:385;height:3740;width:0;" filled="f" stroked="t" coordsize="21600,21600" o:gfxdata="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ydMkbgAAADcAAAA&#10;DwAAAAAAAAABACAAAAAiAAAAZHJzL2Rvd25yZXYueG1sUEsBAhQAFAAAAAgAh07iQDMvBZ47AAAA&#10;OQAAABAAAAAAAAAAAQAgAAAABwEAAGRycy9zaGFwZXhtbC54bWxQSwUGAAAAAAYABgBbAQAAsQMA&#10;AAAA&#10;">
                  <v:fill on="f" focussize="0,0"/>
                  <v:stroke weight="1pt" color="#0000C8" joinstyle="round"/>
                  <v:imagedata o:title=""/>
                  <o:lock v:ext="edit" aspectratio="f"/>
                </v:line>
                <v:line id="Line 2507" o:spid="_x0000_s1026" o:spt="20" style="position:absolute;left:1001;top:385;height:0;width:214;" filled="f" stroked="t" coordsize="21600,21600" o:gfxdata="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r6Qq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08" o:spid="_x0000_s1026" o:spt="202" type="#_x0000_t202" style="position:absolute;left:1215;top:233;height:303;width:1351;v-text-anchor:middle;" fillcolor="#C5E0B4 [1305]" filled="t" stroked="t" coordsize="21600,21600" o:gfxdata="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11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6F2A6A99">
                        <w:pPr>
                          <w:pStyle w:val="55"/>
                        </w:pPr>
                        <w:r>
                          <w:rPr>
                            <w:rFonts w:hint="eastAsia"/>
                          </w:rPr>
                          <w:t>思想保证</w:t>
                        </w:r>
                      </w:p>
                    </w:txbxContent>
                  </v:textbox>
                </v:shape>
                <v:line id="Line 2509" o:spid="_x0000_s1026" o:spt="20" style="position:absolute;left:1002;top:1142;height:0;width:214;" filled="f" stroked="t" coordsize="21600,21600" o:gfxdata="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Ec9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10" o:spid="_x0000_s1026" o:spt="202" type="#_x0000_t202" style="position:absolute;left:1215;top:990;height:303;width:1351;v-text-anchor:middle;" fillcolor="#C5E0B4 [1305]" filled="t" stroked="t" coordsize="21600,21600" o:gfxdata="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E46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60DF620B">
                        <w:pPr>
                          <w:pStyle w:val="55"/>
                        </w:pPr>
                        <w:r>
                          <w:rPr>
                            <w:rFonts w:hint="eastAsia"/>
                          </w:rPr>
                          <w:t>组织保证</w:t>
                        </w:r>
                      </w:p>
                    </w:txbxContent>
                  </v:textbox>
                </v:shape>
                <v:line id="Line 2511" o:spid="_x0000_s1026" o:spt="20" style="position:absolute;left:2566;top:1142;height:0;width:479;" filled="f" stroked="t" coordsize="21600,21600" o:gfxdata="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aSD2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12" o:spid="_x0000_s1026" o:spt="202" type="#_x0000_t202" style="position:absolute;left:3045;top:990;height:303;width:2533;v-text-anchor:middle;" fillcolor="#C5E0B4 [1305]" filled="t" stroked="t" coordsize="21600,21600" o:gfxdata="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0aG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5388B81E">
                        <w:pPr>
                          <w:pStyle w:val="55"/>
                        </w:pPr>
                        <w:r>
                          <w:rPr>
                            <w:rFonts w:hint="eastAsia"/>
                          </w:rPr>
                          <w:t>成立</w:t>
                        </w:r>
                        <w:r>
                          <w:rPr>
                            <w:rFonts w:hint="eastAsia"/>
                            <w:lang w:val="en-US" w:eastAsia="zh-CN"/>
                          </w:rPr>
                          <w:t>绿色施工</w:t>
                        </w:r>
                        <w:r>
                          <w:rPr>
                            <w:rFonts w:hint="eastAsia"/>
                          </w:rPr>
                          <w:t>领导小组</w:t>
                        </w:r>
                      </w:p>
                    </w:txbxContent>
                  </v:textbox>
                </v:shape>
                <v:shape id="Text Box 2513" o:spid="_x0000_s1026" o:spt="202" type="#_x0000_t202" style="position:absolute;left:3045;top:0;height:302;width:2533;v-text-anchor:middle;" fillcolor="#C5E0B4 [1305]" filled="t" stroked="t" coordsize="21600,21600" o:gfxdata="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eM3x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3mm,0mm,0mm,0mm">
                    <w:txbxContent>
                      <w:p w14:paraId="2F287673">
                        <w:pPr>
                          <w:pStyle w:val="55"/>
                        </w:pPr>
                        <w:r>
                          <w:rPr>
                            <w:rFonts w:hint="eastAsia"/>
                            <w:lang w:val="en-US" w:eastAsia="zh-CN"/>
                          </w:rPr>
                          <w:t>环保节能</w:t>
                        </w:r>
                        <w:r>
                          <w:rPr>
                            <w:rFonts w:hint="eastAsia"/>
                          </w:rPr>
                          <w:t>知识宣传教育</w:t>
                        </w:r>
                      </w:p>
                    </w:txbxContent>
                  </v:textbox>
                </v:shape>
                <v:shape id="Text Box 2514" o:spid="_x0000_s1026" o:spt="202" type="#_x0000_t202" style="position:absolute;left:3045;top:453;height:303;width:2533;v-text-anchor:middle;" fillcolor="#C5E0B4 [1305]" filled="t" stroked="t" coordsize="21600,21600" o:gfxdata="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qU4a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205954D5">
                        <w:pPr>
                          <w:pStyle w:val="55"/>
                          <w:spacing w:line="240" w:lineRule="auto"/>
                        </w:pPr>
                        <w:r>
                          <w:rPr>
                            <w:rFonts w:hint="eastAsia"/>
                          </w:rPr>
                          <w:t>制定目标责任制</w:t>
                        </w:r>
                      </w:p>
                      <w:p w14:paraId="41FB3821">
                        <w:pPr>
                          <w:pStyle w:val="55"/>
                        </w:pPr>
                      </w:p>
                    </w:txbxContent>
                  </v:textbox>
                </v:shape>
                <v:line id="Line 2515" o:spid="_x0000_s1026" o:spt="20" style="position:absolute;left:2707;top:158;height:447;width:0;" filled="f" stroked="t" coordsize="21600,21600" o:gfxdata="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hTj6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16" o:spid="_x0000_s1026" o:spt="20" style="position:absolute;left:2707;top:158;height:0;width:338;" filled="f" stroked="t" coordsize="21600,21600" o:gfxdata="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2ky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7" o:spid="_x0000_s1026" o:spt="20" style="position:absolute;left:2707;top:605;height:0;width:338;" filled="f" stroked="t" coordsize="21600,21600" o:gfxdata="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yf9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18" o:spid="_x0000_s1026" o:spt="20" style="position:absolute;left:1001;top:2039;height:0;width:143;" filled="f" stroked="t" coordsize="21600,21600" o:gfxdata="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OpT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19" o:spid="_x0000_s1026" o:spt="202" type="#_x0000_t202" style="position:absolute;left:1144;top:1887;height:303;width:1352;v-text-anchor:middle;" fillcolor="#C5E0B4 [1305]" filled="t" stroked="t" coordsize="21600,21600" o:gfxdata="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KMw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3BE9033C">
                        <w:pPr>
                          <w:pStyle w:val="55"/>
                        </w:pPr>
                        <w:r>
                          <w:rPr>
                            <w:rFonts w:hint="eastAsia"/>
                          </w:rPr>
                          <w:t>技术保证</w:t>
                        </w:r>
                      </w:p>
                    </w:txbxContent>
                  </v:textbox>
                </v:shape>
                <v:line id="Line 2520" o:spid="_x0000_s1026" o:spt="20" style="position:absolute;left:2496;top:2039;height:0;width:549;" filled="f" stroked="t" coordsize="21600,21600" o:gfxdata="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bvke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21" o:spid="_x0000_s1026" o:spt="202" type="#_x0000_t202" style="position:absolute;left:3045;top:1887;height:303;width:3390;v-text-anchor:middle;" fillcolor="#C5E0B4 [1305]" filled="t" stroked="t" coordsize="21600,21600" o:gfxdata="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V2QC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50C5CED0">
                        <w:pPr>
                          <w:pStyle w:val="55"/>
                          <w:rPr>
                            <w:rFonts w:hint="eastAsia" w:eastAsia="宋体"/>
                            <w:lang w:eastAsia="zh-CN"/>
                          </w:rPr>
                        </w:pPr>
                        <w:r>
                          <w:rPr>
                            <w:rFonts w:hint="eastAsia"/>
                          </w:rPr>
                          <w:t>制定实施</w:t>
                        </w:r>
                        <w:r>
                          <w:rPr>
                            <w:rFonts w:hint="eastAsia"/>
                            <w:lang w:val="en-US" w:eastAsia="zh-CN"/>
                          </w:rPr>
                          <w:t>性绿色施工措施</w:t>
                        </w:r>
                      </w:p>
                    </w:txbxContent>
                  </v:textbox>
                </v:shape>
                <v:shape id="Text Box 2522" o:spid="_x0000_s1026" o:spt="202" type="#_x0000_t202" style="position:absolute;left:3045;top:1510;height:303;width:3390;v-text-anchor:middle;" fillcolor="#C5E0B4 [1305]" filled="t" stroked="t" coordsize="21600,21600" o:gfxdata="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8pNcrgAAADc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3mm,0mm,0mm,0mm">
                    <w:txbxContent>
                      <w:p w14:paraId="728CD31B">
                        <w:pPr>
                          <w:pStyle w:val="55"/>
                        </w:pPr>
                        <w:r>
                          <w:rPr>
                            <w:rFonts w:hint="eastAsia"/>
                            <w:lang w:val="en-US" w:eastAsia="zh-CN"/>
                          </w:rPr>
                          <w:t>组织</w:t>
                        </w:r>
                        <w:r>
                          <w:rPr>
                            <w:rFonts w:hint="eastAsia"/>
                          </w:rPr>
                          <w:t>员工培训</w:t>
                        </w:r>
                      </w:p>
                    </w:txbxContent>
                  </v:textbox>
                </v:shape>
                <v:line id="Line 2523" o:spid="_x0000_s1026" o:spt="20" style="position:absolute;left:2707;top:1659;height:767;width:0;" filled="f" stroked="t" coordsize="21600,21600" o:gfxdata="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AVDK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24" o:spid="_x0000_s1026" o:spt="20" style="position:absolute;left:2707;top:1659;height:0;width:338;" filled="f" stroked="t" coordsize="21600,21600" o:gfxdata="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Lib4q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5" o:spid="_x0000_s1026" o:spt="20" style="position:absolute;left:1001;top:3110;height:0;width:143;" filled="f" stroked="t" coordsize="21600,21600" o:gfxdata="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uyhG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26" o:spid="_x0000_s1026" o:spt="202" type="#_x0000_t202" style="position:absolute;left:1144;top:2959;height:303;width:1352;v-text-anchor:middle;" fillcolor="#C5E0B4 [1305]" filled="t" stroked="t" coordsize="21600,21600" o:gfxdata="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7vf6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3BA69FC5">
                        <w:pPr>
                          <w:pStyle w:val="55"/>
                        </w:pPr>
                        <w:r>
                          <w:rPr>
                            <w:rFonts w:hint="eastAsia"/>
                          </w:rPr>
                          <w:t>制度保证</w:t>
                        </w:r>
                      </w:p>
                    </w:txbxContent>
                  </v:textbox>
                </v:shape>
                <v:shape id="Text Box 2527" o:spid="_x0000_s1026" o:spt="202" type="#_x0000_t202" style="position:absolute;left:3045;top:3111;height:303;width:3390;v-text-anchor:middle;" fillcolor="#C5E0B4 [1305]" filled="t" stroked="t" coordsize="21600,21600" o:gfxdata="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3Sd6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192F0B52">
                        <w:pPr>
                          <w:pStyle w:val="55"/>
                        </w:pPr>
                        <w:r>
                          <w:rPr>
                            <w:rFonts w:hint="eastAsia"/>
                          </w:rPr>
                          <w:t>公司、项目部相关规章制度</w:t>
                        </w:r>
                      </w:p>
                    </w:txbxContent>
                  </v:textbox>
                </v:shape>
                <v:shape id="Text Box 2528" o:spid="_x0000_s1026" o:spt="202" type="#_x0000_t202" style="position:absolute;left:3045;top:2734;height:303;width:3390;v-text-anchor:middle;" fillcolor="#C5E0B4 [1305]" filled="t" stroked="t" coordsize="21600,21600" o:gfxdata="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e0a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2FC5EA5F">
                        <w:pPr>
                          <w:pStyle w:val="55"/>
                        </w:pPr>
                        <w:r>
                          <w:rPr>
                            <w:rFonts w:hint="eastAsia"/>
                          </w:rPr>
                          <w:t>国家、相关部委相关法律、法规</w:t>
                        </w:r>
                      </w:p>
                    </w:txbxContent>
                  </v:textbox>
                </v:shape>
                <v:line id="Line 2529" o:spid="_x0000_s1026" o:spt="20" style="position:absolute;left:2707;top:2883;height:379;width:0;" filled="f" stroked="t" coordsize="21600,21600" o:gfxdata="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BxEE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0" o:spid="_x0000_s1026" o:spt="20" style="position:absolute;left:2707;top:2883;height:0;width:338;" filled="f" stroked="t" coordsize="21600,21600" o:gfxdata="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yiG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1" o:spid="_x0000_s1026" o:spt="20" style="position:absolute;left:1001;top:4125;height:0;width:143;" filled="f" stroked="t" coordsize="21600,21600" o:gfxdata="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140d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32" o:spid="_x0000_s1026" o:spt="202" type="#_x0000_t202" style="position:absolute;left:1144;top:3973;height:304;width:1352;v-text-anchor:middle;" fillcolor="#C5E0B4 [1305]" filled="t" stroked="t" coordsize="21600,21600" o:gfxdata="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Qh9&#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0mm,0mm,0mm,0mm">
                    <w:txbxContent>
                      <w:p w14:paraId="72B0B6B3">
                        <w:pPr>
                          <w:pStyle w:val="55"/>
                        </w:pPr>
                        <w:r>
                          <w:rPr>
                            <w:rFonts w:hint="eastAsia"/>
                          </w:rPr>
                          <w:t>施工保证</w:t>
                        </w:r>
                      </w:p>
                    </w:txbxContent>
                  </v:textbox>
                </v:shape>
                <v:line id="Line 2533" o:spid="_x0000_s1026" o:spt="20" style="position:absolute;left:2496;top:4125;height:0;width:549;" filled="f" stroked="t" coordsize="21600,21600" o:gfxdata="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indW8AAAA&#10;3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34" o:spid="_x0000_s1026" o:spt="202" type="#_x0000_t202" style="position:absolute;left:3045;top:3973;height:304;width:3040;v-text-anchor:middle;" fillcolor="#C5E0B4 [1305]" filled="t" stroked="t" coordsize="21600,21600" o:gfxdata="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CXGX&#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3mm,0mm,0mm,0mm">
                    <w:txbxContent>
                      <w:p w14:paraId="498948D0">
                        <w:pPr>
                          <w:pStyle w:val="55"/>
                        </w:pPr>
                        <w:r>
                          <w:rPr>
                            <w:rFonts w:hint="eastAsia"/>
                            <w:lang w:val="en-US" w:eastAsia="zh-CN"/>
                          </w:rPr>
                          <w:t>绿色</w:t>
                        </w:r>
                        <w:r>
                          <w:rPr>
                            <w:rFonts w:hint="eastAsia"/>
                          </w:rPr>
                          <w:t>施工工艺保证</w:t>
                        </w:r>
                      </w:p>
                    </w:txbxContent>
                  </v:textbox>
                </v:shape>
                <v:shape id="Text Box 2535" o:spid="_x0000_s1026" o:spt="202" type="#_x0000_t202" style="position:absolute;left:3045;top:3596;height:303;width:3040;v-text-anchor:middle;" fillcolor="#C5E0B4 [1305]" filled="t" stroked="t" coordsize="21600,21600" o:gfxdata="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pO174A&#10;AADfAAAADwAAAAAAAAABACAAAAAiAAAAZHJzL2Rvd25yZXYueG1sUEsBAhQAFAAAAAgAh07iQDMv&#10;BZ47AAAAOQAAABAAAAAAAAAAAQAgAAAADQEAAGRycy9zaGFwZXhtbC54bWxQSwUGAAAAAAYABgBb&#10;AQAAtwMAAAAA&#10;">
                  <v:fill on="t" focussize="0,0"/>
                  <v:stroke weight="1pt" color="#0000C8" miterlimit="8" joinstyle="miter"/>
                  <v:imagedata o:title=""/>
                  <o:lock v:ext="edit" aspectratio="f"/>
                  <v:textbox inset="3mm,0mm,0mm,0mm">
                    <w:txbxContent>
                      <w:p w14:paraId="26605DA4">
                        <w:pPr>
                          <w:pStyle w:val="55"/>
                        </w:pPr>
                        <w:r>
                          <w:rPr>
                            <w:rFonts w:hint="eastAsia"/>
                          </w:rPr>
                          <w:t>落实岗位责任制</w:t>
                        </w:r>
                      </w:p>
                    </w:txbxContent>
                  </v:textbox>
                </v:shape>
                <v:shape id="Text Box 2536" o:spid="_x0000_s1026" o:spt="202" type="#_x0000_t202" style="position:absolute;left:3045;top:4353;height:302;width:3040;v-text-anchor:middle;" fillcolor="#C5E0B4 [1305]" filled="t" stroked="t" coordsize="21600,21600" o:gfxdata="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m60y/&#10;AAAA3wAAAA8AAAAAAAAAAQAgAAAAIgAAAGRycy9kb3ducmV2LnhtbFBLAQIUABQAAAAIAIdO4kAz&#10;LwWeOwAAADkAAAAQAAAAAAAAAAEAIAAAAA4BAABkcnMvc2hhcGV4bWwueG1sUEsFBgAAAAAGAAYA&#10;WwEAALgDAAAAAA==&#10;">
                  <v:fill on="t" focussize="0,0"/>
                  <v:stroke weight="1pt" color="#0000C8" miterlimit="8" joinstyle="miter"/>
                  <v:imagedata o:title=""/>
                  <o:lock v:ext="edit" aspectratio="f"/>
                  <v:textbox inset="3mm,0mm,0mm,0mm">
                    <w:txbxContent>
                      <w:p w14:paraId="59662101">
                        <w:pPr>
                          <w:pStyle w:val="55"/>
                        </w:pPr>
                        <w:r>
                          <w:rPr>
                            <w:rFonts w:hint="eastAsia"/>
                          </w:rPr>
                          <w:t>物资设备保证</w:t>
                        </w:r>
                      </w:p>
                    </w:txbxContent>
                  </v:textbox>
                </v:shape>
                <v:line id="Line 2537" o:spid="_x0000_s1026" o:spt="20" style="position:absolute;left:2707;top:3747;height:1180;width:0;" filled="f" stroked="t" coordsize="21600,21600" o:gfxdata="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TPOK/&#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38" o:spid="_x0000_s1026" o:spt="20" style="position:absolute;left:2707;top:3747;height:0;width:338;" filled="f" stroked="t" coordsize="21600,21600" o:gfxdata="UEsDBAoAAAAAAIdO4kAAAAAAAAAAAAAAAAAEAAAAZHJzL1BLAwQUAAAACACHTuJAUV+Zeb8AAADf&#10;AAAADwAAAGRycy9kb3ducmV2LnhtbEWPQWsCMRSE70L/Q3iF3jS7K4j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fmXm/&#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39" o:spid="_x0000_s1026" o:spt="20" style="position:absolute;left:2707;top:4504;height:0;width:338;" filled="f" stroked="t" coordsize="21600,21600" o:gfxdata="UEsDBAoAAAAAAIdO4kAAAAAAAAAAAAAAAAAEAAAAZHJzL1BLAwQUAAAACACHTuJA3rYBDcAAAADf&#10;AAAADwAAAGRycy9kb3ducmV2LnhtbEWPQWsCMRSE70L/Q3iF3jS72yJ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tgEN&#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0" o:spid="_x0000_s1026" o:spt="20" style="position:absolute;left:2566;top:358;height:0;width:141;" filled="f" stroked="t" coordsize="21600,21600" o:gfxdata="UEsDBAoAAAAAAIdO4kAAAAAAAAAAAAAAAAAEAAAAZHJzL1BLAwQUAAAACACHTuJAsfqklsAAAADf&#10;AAAADwAAAGRycy9kb3ducmV2LnhtbEWPQWsCMRSE70L/Q3iF3jS7Wyp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qSW&#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shape id="Text Box 2541" o:spid="_x0000_s1026" o:spt="202" type="#_x0000_t202" style="position:absolute;left:3045;top:2276;height:303;width:3390;v-text-anchor:middle;" fillcolor="#C5E0B4 [1305]" filled="t" stroked="t" coordsize="21600,21600" o:gfxdata="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T3M4&#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3mm,0mm,0mm,0mm">
                    <w:txbxContent>
                      <w:p w14:paraId="0136C8F0">
                        <w:pPr>
                          <w:pStyle w:val="55"/>
                          <w:rPr>
                            <w:rFonts w:hint="default" w:eastAsia="宋体"/>
                            <w:lang w:val="en-US" w:eastAsia="zh-CN"/>
                          </w:rPr>
                        </w:pPr>
                        <w:r>
                          <w:rPr>
                            <w:rFonts w:hint="eastAsia"/>
                            <w:lang w:val="en-US" w:eastAsia="zh-CN"/>
                          </w:rPr>
                          <w:t>按照设计和施组内容进行落实</w:t>
                        </w:r>
                      </w:p>
                    </w:txbxContent>
                  </v:textbox>
                </v:shape>
                <v:line id="Line 2542" o:spid="_x0000_s1026" o:spt="20" style="position:absolute;left:2707;top:2426;height:0;width:338;" filled="f" stroked="t" coordsize="21600,21600" o:gfxdata="UEsDBAoAAAAAAIdO4kAAAAAAAAAAAAAAAAAEAAAAZHJzL1BLAwQUAAAACACHTuJALmSfesAAAADf&#10;AAAADwAAAGRycy9kb3ducmV2LnhtbEWPQWsCMRSE70L/Q3iF3jS7W1C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ZJ96&#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shape id="Text Box 2543" o:spid="_x0000_s1026" o:spt="202" type="#_x0000_t202" style="position:absolute;left:3045;top:4776;height:303;width:3040;v-text-anchor:middle;" fillcolor="#C5E0B4 [1305]" filled="t" stroked="t" coordsize="21600,21600" o:gfxdata="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cQtG8AAAA&#10;3w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6D1F5B1C">
                        <w:pPr>
                          <w:pStyle w:val="55"/>
                        </w:pPr>
                        <w:r>
                          <w:rPr>
                            <w:rFonts w:hint="eastAsia"/>
                          </w:rPr>
                          <w:t>监督、检查、改进</w:t>
                        </w:r>
                      </w:p>
                    </w:txbxContent>
                  </v:textbox>
                </v:shape>
                <v:line id="Line 2544" o:spid="_x0000_s1026" o:spt="20" style="position:absolute;left:2707;top:4927;height:0;width:338;" filled="f" stroked="t" coordsize="21600,21600" o:gfxdata="UEsDBAoAAAAAAIdO4kAAAAAAAAAAAAAAAAAEAAAAZHJzL1BLAwQUAAAACACHTuJAMLeuk78AAADf&#10;AAAADwAAAGRycy9kb3ducmV2LnhtbEWPQWsCMRSE74L/ITyhN83uFkR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3rp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45" o:spid="_x0000_s1026" o:spt="20" style="position:absolute;left:2707;top:3262;height:0;width:338;" filled="f" stroked="t" coordsize="21600,21600" o:gfxdata="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LdH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46" o:spid="_x0000_s1026" o:spt="20" style="position:absolute;left:2496;top:3111;flip:y;height:0;width:211;" filled="f" stroked="t" coordsize="21600,21600" o:gfxdata="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8NNc&#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7" o:spid="_x0000_s1026" o:spt="20" style="position:absolute;left:5578;top:171;flip:y;height:0;width:1200;" filled="f" stroked="t" coordsize="21600,21600" o:gfxdata="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Ik0r&#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8" o:spid="_x0000_s1026" o:spt="20" style="position:absolute;left:5578;top:605;height:0;width:1205;" filled="f" stroked="t" coordsize="21600,21600" o:gfxdata="UEsDBAoAAAAAAIdO4kAAAAAAAAAAAAAAAAAEAAAAZHJzL1BLAwQUAAAACACHTuJACVnqBMAAAADf&#10;AAAADwAAAGRycy9kb3ducmV2LnhtbEWPQWsCMRSE70L/Q3iF3jS72yJ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eoE&#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49" o:spid="_x0000_s1026" o:spt="20" style="position:absolute;left:5573;top:1142;height:0;width:1372;" filled="f" stroked="t" coordsize="21600,21600" o:gfxdata="UEsDBAoAAAAAAIdO4kAAAAAAAAAAAAAAAAAEAAAAZHJzL1BLAwQUAAAACACHTuJAhrBycL8AAADf&#10;AAAADwAAAGRycy9kb3ducmV2LnhtbEWPQWsCMRSE70L/Q3iF3jS7i4j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wcnC/&#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0" o:spid="_x0000_s1026" o:spt="20" style="position:absolute;left:6435;top:1659;height:0;width:338;" filled="f" stroked="t" coordsize="21600,21600" o:gfxdata="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Nfr&#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1" o:spid="_x0000_s1026" o:spt="20" style="position:absolute;left:6440;top:2039;height:0;width:495;" filled="f" stroked="t" coordsize="21600,21600" o:gfxdata="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Lkmc&#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2" o:spid="_x0000_s1026" o:spt="20" style="position:absolute;left:6435;top:2438;height:0;width:338;" filled="f" stroked="t" coordsize="21600,21600" o:gfxdata="UEsDBAoAAAAAAIdO4kAAAAAAAAAAAAAAAAAEAAAAZHJzL1BLAwQUAAAACACHTuJAdmLsB8AAAADf&#10;AAAADwAAAGRycy9kb3ducmV2LnhtbEWPQWsCMRSE70L/Q3iF3jS7S1G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YuwH&#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3" o:spid="_x0000_s1026" o:spt="20" style="position:absolute;left:6773;top:1659;height:779;width:0;" filled="f" stroked="t" coordsize="21600,21600" o:gfxdata="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Xh1vQAA&#10;AN8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54" o:spid="_x0000_s1026" o:spt="20" style="position:absolute;left:6435;top:2883;height:0;width:338;" filled="f" stroked="t" coordsize="21600,21600" o:gfxdata="UEsDBAoAAAAAAIdO4kAAAAAAAAAAAAAAAAAEAAAAZHJzL1BLAwQUAAAACACHTuJAaLHd7r8AAADf&#10;AAAADwAAAGRycy9kb3ducmV2LnhtbEWPQWsCMRSE74L/ITyhN83uUkR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x3e6/&#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5" o:spid="_x0000_s1026" o:spt="20" style="position:absolute;left:6440;top:3262;height:0;width:338;" filled="f" stroked="t" coordsize="21600,21600" o:gfxdata="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S4q6/&#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6" o:spid="_x0000_s1026" o:spt="20" style="position:absolute;left:6783;top:2883;height:379;width:0;" filled="f" stroked="t" coordsize="21600,21600" o:gfxdata="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eRzW/&#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7" o:spid="_x0000_s1026" o:spt="20" style="position:absolute;left:6783;top:3057;height:0;width:152;" filled="f" stroked="t" coordsize="21600,21600" o:gfxdata="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M2UK/&#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58" o:spid="_x0000_s1026" o:spt="20" style="position:absolute;left:6783;top:171;height:434;width:0;" filled="f" stroked="t" coordsize="21600,21600" o:gfxdata="UEsDBAoAAAAAAIdO4kAAAAAAAAAAAAAAAAAEAAAAZHJzL1BLAwQUAAAACACHTuJAjIB82cAAAADf&#10;AAAADwAAAGRycy9kb3ducmV2LnhtbEWPQWsCMRSE70L/Q3iF3jS7Wyp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HzZ&#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59" o:spid="_x0000_s1026" o:spt="20" style="position:absolute;left:6783;top:407;height:0;width:162;" filled="f" stroked="t" coordsize="21600,21600" o:gfxdata="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aeSt&#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0" o:spid="_x0000_s1026" o:spt="20" style="position:absolute;left:6102;top:3747;height:0;width:654;" filled="f" stroked="t" coordsize="21600,21600" o:gfxdata="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lQTa/&#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1" o:spid="_x0000_s1026" o:spt="20" style="position:absolute;left:6085;top:4125;height:0;width:671;" filled="f" stroked="t" coordsize="21600,21600" o:gfxdata="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999B&#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2" o:spid="_x0000_s1026" o:spt="20" style="position:absolute;left:6085;top:4504;height:0;width:671;" filled="f" stroked="t" coordsize="21600,21600" o:gfxdata="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u3ra&#10;wAAAAN8AAAAPAAAAAAAAAAEAIAAAACIAAABkcnMvZG93bnJldi54bWxQSwECFAAUAAAACACHTuJA&#10;My8FnjsAAAA5AAAAEAAAAAAAAAABACAAAAAPAQAAZHJzL3NoYXBleG1sLnhtbFBLBQYAAAAABgAG&#10;AFsBAAC5AwAAAAA=&#10;">
                  <v:fill on="f" focussize="0,0"/>
                  <v:stroke weight="1pt" color="#0000C8" joinstyle="round"/>
                  <v:imagedata o:title=""/>
                  <o:lock v:ext="edit" aspectratio="f"/>
                </v:line>
                <v:line id="Line 2563" o:spid="_x0000_s1026" o:spt="20" style="position:absolute;left:6085;top:4927;height:0;width:671;" filled="f" stroked="t" coordsize="21600,21600" o:gfxdata="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O6ovQAA&#10;AN8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4" o:spid="_x0000_s1026" o:spt="20" style="position:absolute;left:6756;top:3747;height:1180;width:0;" filled="f" stroked="t" coordsize="21600,21600" o:gfxdata="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1oSzO/&#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5" o:spid="_x0000_s1026" o:spt="20" style="position:absolute;left:6756;top:4353;height:0;width:189;" filled="f" stroked="t" coordsize="21600,21600" o:gfxdata="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4oE74A&#10;AADfAAAADwAAAAAAAAABACAAAAAiAAAAZHJzL2Rvd25yZXYueG1sUEsBAhQAFAAAAAgAh07iQDMv&#10;BZ47AAAAOQAAABAAAAAAAAAAAQAgAAAADQEAAGRycy9zaGFwZXhtbC54bWxQSwUGAAAAAAYABgBb&#10;AQAAtwMAAAAA&#10;">
                  <v:fill on="f" focussize="0,0"/>
                  <v:stroke weight="1pt" color="#0000C8" joinstyle="round"/>
                  <v:imagedata o:title=""/>
                  <o:lock v:ext="edit" aspectratio="f"/>
                </v:line>
                <v:line id="Line 2566" o:spid="_x0000_s1026" o:spt="20" style="position:absolute;left:6945;top:407;height:3946;width:0;" filled="f" stroked="t" coordsize="21600,21600" o:gfxdata="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yjYi/&#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line id="Line 2567" o:spid="_x0000_s1026" o:spt="20" style="position:absolute;left:6945;top:2438;height:0;width:152;" filled="f" stroked="t" coordsize="21600,21600" o:gfxdata="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gE/+/&#10;AAAA3wAAAA8AAAAAAAAAAQAgAAAAIgAAAGRycy9kb3ducmV2LnhtbFBLAQIUABQAAAAIAIdO4kAz&#10;LwWeOwAAADkAAAAQAAAAAAAAAAEAIAAAAA4BAABkcnMvc2hhcGV4bWwueG1sUEsFBgAAAAAGAAYA&#10;WwEAALgDAAAAAA==&#10;">
                  <v:fill on="f" focussize="0,0"/>
                  <v:stroke weight="1pt" color="#0000C8" joinstyle="round"/>
                  <v:imagedata o:title=""/>
                  <o:lock v:ext="edit" aspectratio="f"/>
                </v:line>
                <v:shape id="Text Box 2568" o:spid="_x0000_s1026" o:spt="202" type="#_x0000_t202" style="position:absolute;left:7097;top:1324;height:2272;width:804;v-text-anchor:middle;" fillcolor="#C5E0B4 [1305]" filled="t" stroked="t" coordsize="21600,21600" o:gfxdata="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kLe+&#10;wAAAAN8AAAAPAAAAAAAAAAEAIAAAACIAAABkcnMvZG93bnJldi54bWxQSwECFAAUAAAACACHTuJA&#10;My8FnjsAAAA5AAAAEAAAAAAAAAABACAAAAAPAQAAZHJzL3NoYXBleG1sLnhtbFBLBQYAAAAABgAG&#10;AFsBAAC5AwAAAAA=&#10;">
                  <v:fill on="t" focussize="0,0"/>
                  <v:stroke weight="1pt" color="#0000C8" miterlimit="8" joinstyle="miter"/>
                  <v:imagedata o:title=""/>
                  <o:lock v:ext="edit" aspectratio="f"/>
                  <v:textbox inset="0mm,0mm,0mm,0mm">
                    <w:txbxContent>
                      <w:p w14:paraId="7C4CBD63">
                        <w:pPr>
                          <w:pStyle w:val="55"/>
                          <w:rPr>
                            <w:rFonts w:hint="eastAsia"/>
                            <w:lang w:val="en-US" w:eastAsia="zh-CN"/>
                          </w:rPr>
                        </w:pPr>
                        <w:r>
                          <w:rPr>
                            <w:rFonts w:hint="eastAsia"/>
                            <w:lang w:val="en-US" w:eastAsia="zh-CN"/>
                          </w:rPr>
                          <w:t>绿色</w:t>
                        </w:r>
                      </w:p>
                      <w:p w14:paraId="746D668F">
                        <w:pPr>
                          <w:pStyle w:val="55"/>
                          <w:rPr>
                            <w:rFonts w:hint="eastAsia"/>
                          </w:rPr>
                        </w:pPr>
                        <w:r>
                          <w:rPr>
                            <w:rFonts w:hint="eastAsia"/>
                          </w:rPr>
                          <w:t>施工</w:t>
                        </w:r>
                      </w:p>
                      <w:p w14:paraId="7BD70BA3">
                        <w:pPr>
                          <w:pStyle w:val="55"/>
                        </w:pPr>
                        <w:r>
                          <w:rPr>
                            <w:rFonts w:hint="eastAsia"/>
                          </w:rPr>
                          <w:t>达标</w:t>
                        </w:r>
                      </w:p>
                    </w:txbxContent>
                  </v:textbox>
                </v:shape>
                <w10:wrap type="none"/>
                <w10:anchorlock/>
              </v:group>
            </w:pict>
          </mc:Fallback>
        </mc:AlternateContent>
      </w:r>
    </w:p>
    <w:p w14:paraId="60CD81EA">
      <w:pPr>
        <w:pStyle w:val="41"/>
        <w:bidi w:val="0"/>
        <w:rPr>
          <w:rFonts w:hint="eastAsia"/>
          <w:highlight w:val="none"/>
        </w:rPr>
      </w:pPr>
      <w:r>
        <w:rPr>
          <w:rFonts w:hint="eastAsia"/>
          <w:highlight w:val="none"/>
          <w:lang w:val="en-US" w:eastAsia="zh-CN"/>
        </w:rPr>
        <w:t>图10</w:t>
      </w:r>
      <w:r>
        <w:rPr>
          <w:highlight w:val="none"/>
        </w:rPr>
        <w:t>.1.</w:t>
      </w:r>
      <w:r>
        <w:rPr>
          <w:rFonts w:hint="eastAsia"/>
          <w:highlight w:val="none"/>
          <w:lang w:val="en-US" w:eastAsia="zh-CN"/>
        </w:rPr>
        <w:t>2-1 绿色施工</w:t>
      </w:r>
      <w:r>
        <w:rPr>
          <w:rFonts w:hint="eastAsia"/>
          <w:highlight w:val="none"/>
        </w:rPr>
        <w:t>保证体系图</w:t>
      </w:r>
    </w:p>
    <w:p w14:paraId="3B646797">
      <w:pPr>
        <w:bidi w:val="0"/>
        <w:ind w:firstLine="480" w:firstLineChars="200"/>
        <w:rPr>
          <w:rFonts w:hint="eastAsia"/>
          <w:highlight w:val="none"/>
          <w:lang w:val="en-US" w:eastAsia="zh-CN"/>
        </w:rPr>
      </w:pPr>
      <w:r>
        <w:rPr>
          <w:rFonts w:hint="eastAsia"/>
          <w:highlight w:val="none"/>
          <w:lang w:val="en-US" w:eastAsia="zh-CN"/>
        </w:rPr>
        <w:t>（2）</w:t>
      </w:r>
      <w:r>
        <w:rPr>
          <w:highlight w:val="none"/>
        </w:rPr>
        <w:t>临时设施环境保护</w:t>
      </w:r>
      <w:r>
        <w:rPr>
          <w:rFonts w:hint="eastAsia"/>
          <w:highlight w:val="none"/>
          <w:lang w:val="en-US" w:eastAsia="zh-CN"/>
        </w:rPr>
        <w:t>措施</w:t>
      </w:r>
    </w:p>
    <w:p w14:paraId="7EF81F60">
      <w:pPr>
        <w:bidi w:val="0"/>
        <w:ind w:firstLine="480" w:firstLineChars="200"/>
        <w:rPr>
          <w:highlight w:val="none"/>
        </w:rPr>
      </w:pPr>
      <w:r>
        <w:rPr>
          <w:highlight w:val="none"/>
        </w:rPr>
        <w:t>便道、砼搅拌站、</w:t>
      </w:r>
      <w:r>
        <w:rPr>
          <w:rFonts w:hint="eastAsia"/>
          <w:highlight w:val="none"/>
          <w:lang w:val="en-US" w:eastAsia="zh-CN"/>
        </w:rPr>
        <w:t>钢筋加工场</w:t>
      </w:r>
      <w:r>
        <w:rPr>
          <w:highlight w:val="none"/>
        </w:rPr>
        <w:t>及施工营地的设置，要合理、紧凑，严禁随意搭建，尽量减少对植被的损坏，不占用乡村道路、阻碍交通。搅拌站等高</w:t>
      </w:r>
      <w:r>
        <w:rPr>
          <w:rFonts w:hint="eastAsia"/>
          <w:highlight w:val="none"/>
          <w:lang w:eastAsia="zh-CN"/>
        </w:rPr>
        <w:t>噪声</w:t>
      </w:r>
      <w:r>
        <w:rPr>
          <w:highlight w:val="none"/>
        </w:rPr>
        <w:t>生产设施 尽可能远离居民区或采取限时作业措施。施工场地周围预先开挖排水沟，做到排 水畅通，场内不得积水、积污，应充分考虑其对原地面排水的影响，以免阻挡地 表径流的排泄，影响当地居民的生产生活。</w:t>
      </w:r>
    </w:p>
    <w:p w14:paraId="0E06D3A8">
      <w:pPr>
        <w:bidi w:val="0"/>
        <w:ind w:firstLine="480" w:firstLineChars="200"/>
        <w:rPr>
          <w:rFonts w:hint="eastAsia"/>
          <w:highlight w:val="none"/>
          <w:lang w:val="en-US" w:eastAsia="zh-CN"/>
        </w:rPr>
      </w:pPr>
      <w:r>
        <w:rPr>
          <w:rFonts w:hint="eastAsia"/>
          <w:highlight w:val="none"/>
          <w:lang w:val="en-US" w:eastAsia="zh-CN"/>
        </w:rPr>
        <w:t>（3）</w:t>
      </w:r>
      <w:r>
        <w:rPr>
          <w:highlight w:val="none"/>
        </w:rPr>
        <w:t>施工中的环保措施</w:t>
      </w:r>
    </w:p>
    <w:p w14:paraId="38AC6365">
      <w:pPr>
        <w:bidi w:val="0"/>
        <w:ind w:firstLine="480" w:firstLineChars="200"/>
        <w:rPr>
          <w:highlight w:val="none"/>
        </w:rPr>
      </w:pPr>
      <w:r>
        <w:rPr>
          <w:highlight w:val="none"/>
        </w:rPr>
        <w:t>做好当地水系、植被的保护工作，在施工时对路基边坡及时进行防护与植被 绿化，施工车辆不得越界行驶，以免碾坏植被、庄稼、乡村道路等。</w:t>
      </w:r>
    </w:p>
    <w:p w14:paraId="5BD22C41">
      <w:pPr>
        <w:bidi w:val="0"/>
        <w:rPr>
          <w:rFonts w:hint="eastAsia"/>
          <w:highlight w:val="none"/>
          <w:lang w:val="en-US" w:eastAsia="zh-CN"/>
        </w:rPr>
      </w:pPr>
      <w:r>
        <w:rPr>
          <w:highlight w:val="none"/>
        </w:rPr>
        <w:t>场地</w:t>
      </w:r>
      <w:r>
        <w:rPr>
          <w:rFonts w:hint="eastAsia"/>
          <w:highlight w:val="none"/>
          <w:lang w:eastAsia="zh-CN"/>
        </w:rPr>
        <w:t>及时</w:t>
      </w:r>
      <w:r>
        <w:rPr>
          <w:highlight w:val="none"/>
        </w:rPr>
        <w:t>进行清扫，以防粉尘被风吹扬。凡对环境有污染的废物,如挖方弃 土、建筑垃圾、生产垃圾、废弃材料等，</w:t>
      </w:r>
      <w:r>
        <w:rPr>
          <w:rFonts w:hint="eastAsia"/>
          <w:highlight w:val="none"/>
          <w:lang w:eastAsia="zh-CN"/>
        </w:rPr>
        <w:t>并</w:t>
      </w:r>
      <w:r>
        <w:rPr>
          <w:highlight w:val="none"/>
        </w:rPr>
        <w:t>在指定地点处理。在桥涵施工时各种 材料、机械不得随意堆放，破坏植被。</w:t>
      </w:r>
    </w:p>
    <w:p w14:paraId="64670EBE">
      <w:pPr>
        <w:bidi w:val="0"/>
        <w:ind w:firstLine="480" w:firstLineChars="200"/>
        <w:rPr>
          <w:rFonts w:hint="eastAsia"/>
          <w:highlight w:val="none"/>
          <w:lang w:val="en-US" w:eastAsia="zh-CN"/>
        </w:rPr>
      </w:pPr>
      <w:r>
        <w:rPr>
          <w:rFonts w:hint="eastAsia"/>
          <w:highlight w:val="none"/>
          <w:lang w:val="en-US" w:eastAsia="zh-CN"/>
        </w:rPr>
        <w:t>（4）</w:t>
      </w:r>
      <w:r>
        <w:rPr>
          <w:highlight w:val="none"/>
        </w:rPr>
        <w:t>防止大气、噪声、水污染的措施</w:t>
      </w:r>
    </w:p>
    <w:p w14:paraId="19CDFCD5">
      <w:pPr>
        <w:bidi w:val="0"/>
        <w:ind w:firstLine="480" w:firstLineChars="200"/>
        <w:rPr>
          <w:highlight w:val="none"/>
        </w:rPr>
      </w:pPr>
      <w:r>
        <w:rPr>
          <w:rFonts w:hint="eastAsia"/>
          <w:highlight w:val="none"/>
          <w:lang w:val="en-US" w:eastAsia="zh-CN"/>
        </w:rPr>
        <w:t>1）</w:t>
      </w:r>
      <w:r>
        <w:rPr>
          <w:highlight w:val="none"/>
        </w:rPr>
        <w:t>防止大气污染措施</w:t>
      </w:r>
    </w:p>
    <w:p w14:paraId="3E6ED31B">
      <w:pPr>
        <w:bidi w:val="0"/>
        <w:ind w:firstLine="480" w:firstLineChars="200"/>
        <w:rPr>
          <w:highlight w:val="none"/>
        </w:rPr>
      </w:pPr>
      <w:r>
        <w:rPr>
          <w:highlight w:val="none"/>
        </w:rPr>
        <w:t>临时运输道路经常洒水湿润，减少道路扬尘。对产生尘埃运输车辆加以覆盖，</w:t>
      </w:r>
    </w:p>
    <w:p w14:paraId="33869607">
      <w:pPr>
        <w:bidi w:val="0"/>
        <w:rPr>
          <w:highlight w:val="none"/>
        </w:rPr>
      </w:pPr>
      <w:r>
        <w:rPr>
          <w:highlight w:val="none"/>
        </w:rPr>
        <w:t>减少对空气污染，生产及生活垃圾定期、专人处理。严禁焚烧有毒废料。</w:t>
      </w:r>
    </w:p>
    <w:p w14:paraId="5A856372">
      <w:pPr>
        <w:bidi w:val="0"/>
        <w:ind w:firstLine="480" w:firstLineChars="200"/>
        <w:rPr>
          <w:highlight w:val="none"/>
        </w:rPr>
      </w:pPr>
      <w:r>
        <w:rPr>
          <w:rFonts w:hint="eastAsia"/>
          <w:highlight w:val="none"/>
          <w:lang w:val="en-US" w:eastAsia="zh-CN"/>
        </w:rPr>
        <w:t>2）</w:t>
      </w:r>
      <w:r>
        <w:rPr>
          <w:highlight w:val="none"/>
        </w:rPr>
        <w:t>防止噪声的措施</w:t>
      </w:r>
    </w:p>
    <w:p w14:paraId="1A0C1DBD">
      <w:pPr>
        <w:bidi w:val="0"/>
        <w:ind w:firstLine="480" w:firstLineChars="200"/>
        <w:rPr>
          <w:highlight w:val="none"/>
        </w:rPr>
      </w:pPr>
      <w:r>
        <w:rPr>
          <w:highlight w:val="none"/>
        </w:rPr>
        <w:t>施工噪声主要包括施工现场、机械作业时和车辆运输时产生的噪声。为减少 噪声影响，机械设备选型配套时优先考虑低噪声设备，尽可能采取液压设备和摩 擦设备代替振动式设备，并采取消声、隔音、安装防震底座等措施。加强机械设 备的维修保养，保证机械设备的完好率，确保施工噪声达到环境保护标准要求。</w:t>
      </w:r>
    </w:p>
    <w:p w14:paraId="656FD694">
      <w:pPr>
        <w:bidi w:val="0"/>
        <w:ind w:firstLine="480" w:firstLineChars="200"/>
        <w:rPr>
          <w:highlight w:val="none"/>
        </w:rPr>
      </w:pPr>
      <w:r>
        <w:rPr>
          <w:highlight w:val="none"/>
        </w:rPr>
        <w:t>合理布置施工和生活区域。进入施工现场的机械车辆少鸣笛、不急刹、不带故障运行，减少噪声。</w:t>
      </w:r>
    </w:p>
    <w:p w14:paraId="544157AD">
      <w:pPr>
        <w:bidi w:val="0"/>
        <w:ind w:firstLine="480" w:firstLineChars="200"/>
        <w:rPr>
          <w:highlight w:val="none"/>
        </w:rPr>
      </w:pPr>
      <w:r>
        <w:rPr>
          <w:rFonts w:hint="eastAsia"/>
          <w:highlight w:val="none"/>
          <w:lang w:val="en-US" w:eastAsia="zh-CN"/>
        </w:rPr>
        <w:t>3）</w:t>
      </w:r>
      <w:r>
        <w:rPr>
          <w:highlight w:val="none"/>
        </w:rPr>
        <w:t>防止水污染的措施</w:t>
      </w:r>
    </w:p>
    <w:p w14:paraId="68D67A74">
      <w:pPr>
        <w:bidi w:val="0"/>
        <w:ind w:firstLine="480" w:firstLineChars="200"/>
        <w:rPr>
          <w:highlight w:val="none"/>
        </w:rPr>
      </w:pPr>
      <w:r>
        <w:rPr>
          <w:highlight w:val="none"/>
        </w:rPr>
        <w:t>施工及生活废水的排放遵循清污分流、雨污分流的原则，各种施工废油、废 液集中储积，集中处理，严禁乱流乱淌，防止污染水源，破坏环境。</w:t>
      </w:r>
    </w:p>
    <w:p w14:paraId="77E4D46D">
      <w:pPr>
        <w:bidi w:val="0"/>
        <w:ind w:firstLine="480" w:firstLineChars="200"/>
        <w:rPr>
          <w:highlight w:val="none"/>
        </w:rPr>
      </w:pPr>
      <w:r>
        <w:rPr>
          <w:highlight w:val="none"/>
        </w:rPr>
        <w:t>施工作业产生的污水必须经过沉淀池沉淀，并经净化处理，符合要求后排放。</w:t>
      </w:r>
    </w:p>
    <w:p w14:paraId="1D9E2253">
      <w:pPr>
        <w:bidi w:val="0"/>
        <w:ind w:firstLine="480" w:firstLineChars="200"/>
        <w:rPr>
          <w:highlight w:val="none"/>
        </w:rPr>
      </w:pPr>
      <w:r>
        <w:rPr>
          <w:highlight w:val="none"/>
        </w:rPr>
        <w:t>食堂的废水处理应设置隔油池，定期清理油污，污水经过必要的处理后排入 污水管道，施工、生活污水严禁排入农田和水源。</w:t>
      </w:r>
    </w:p>
    <w:p w14:paraId="3983D840">
      <w:pPr>
        <w:bidi w:val="0"/>
        <w:ind w:firstLine="480" w:firstLineChars="200"/>
        <w:rPr>
          <w:rFonts w:hint="eastAsia"/>
          <w:highlight w:val="none"/>
          <w:lang w:val="en-US" w:eastAsia="zh-CN"/>
        </w:rPr>
      </w:pPr>
      <w:r>
        <w:rPr>
          <w:highlight w:val="none"/>
        </w:rPr>
        <w:t>废弃物中不得含有有毒有害物质，避免雨水冲刷后对地表、地下水造成污染。</w:t>
      </w:r>
    </w:p>
    <w:p w14:paraId="725FCD51">
      <w:pPr>
        <w:pStyle w:val="5"/>
        <w:bidi w:val="0"/>
        <w:rPr>
          <w:rFonts w:hint="default"/>
          <w:highlight w:val="none"/>
          <w:lang w:val="en-US" w:eastAsia="zh-CN"/>
        </w:rPr>
      </w:pPr>
      <w:r>
        <w:rPr>
          <w:rFonts w:hint="eastAsia"/>
          <w:highlight w:val="none"/>
          <w:lang w:val="en-US" w:eastAsia="zh-CN"/>
        </w:rPr>
        <w:t>10.1.3.2节能减排措施</w:t>
      </w:r>
    </w:p>
    <w:p w14:paraId="302846B7">
      <w:pPr>
        <w:bidi w:val="0"/>
        <w:ind w:firstLine="480" w:firstLineChars="200"/>
        <w:rPr>
          <w:highlight w:val="none"/>
        </w:rPr>
      </w:pPr>
      <w:r>
        <w:rPr>
          <w:rFonts w:hint="eastAsia"/>
          <w:highlight w:val="none"/>
          <w:lang w:val="en-US" w:eastAsia="zh-CN"/>
        </w:rPr>
        <w:t>（1）</w:t>
      </w:r>
      <w:r>
        <w:rPr>
          <w:rFonts w:hint="eastAsia"/>
          <w:highlight w:val="none"/>
        </w:rPr>
        <w:t>节材措施</w:t>
      </w:r>
    </w:p>
    <w:p w14:paraId="6C70AE3F">
      <w:pPr>
        <w:bidi w:val="0"/>
        <w:ind w:firstLine="480" w:firstLineChars="200"/>
        <w:rPr>
          <w:highlight w:val="none"/>
        </w:rPr>
      </w:pPr>
      <w:r>
        <w:rPr>
          <w:highlight w:val="none"/>
          <w:lang w:val="en-US" w:eastAsia="zh-CN"/>
        </w:rPr>
        <w:t>1）加强混凝土浇筑过程中方量的动态复核，每一次混凝土浇筑尽可能做到不超</w:t>
      </w:r>
      <w:r>
        <w:rPr>
          <w:rFonts w:hint="default"/>
          <w:highlight w:val="none"/>
          <w:lang w:val="en-US" w:eastAsia="zh-CN"/>
        </w:rPr>
        <w:t xml:space="preserve">方，若出现超方现象，则多余混凝土用于便道修筑或者其他临时结构施工，减少资源消耗。 </w:t>
      </w:r>
    </w:p>
    <w:p w14:paraId="01D58740">
      <w:pPr>
        <w:bidi w:val="0"/>
        <w:ind w:firstLine="480" w:firstLineChars="200"/>
        <w:rPr>
          <w:highlight w:val="none"/>
        </w:rPr>
      </w:pPr>
      <w:r>
        <w:rPr>
          <w:rFonts w:hint="default"/>
          <w:highlight w:val="none"/>
          <w:lang w:val="en-US" w:eastAsia="zh-CN"/>
        </w:rPr>
        <w:t>2）推广钢筋专业化加工和配送，钢筋制作前应对下料单及样品进行复核，无误后方可批量下料。</w:t>
      </w:r>
    </w:p>
    <w:p w14:paraId="7A8C8E1C">
      <w:pPr>
        <w:bidi w:val="0"/>
        <w:ind w:firstLine="480" w:firstLineChars="200"/>
        <w:rPr>
          <w:rFonts w:hint="eastAsia"/>
          <w:highlight w:val="none"/>
        </w:rPr>
      </w:pPr>
      <w:r>
        <w:rPr>
          <w:rFonts w:hint="eastAsia"/>
          <w:highlight w:val="none"/>
          <w:lang w:val="en-US" w:eastAsia="zh-CN"/>
        </w:rPr>
        <w:t>（2）</w:t>
      </w:r>
      <w:r>
        <w:rPr>
          <w:rFonts w:hint="eastAsia"/>
          <w:highlight w:val="none"/>
        </w:rPr>
        <w:t>节水措施</w:t>
      </w:r>
    </w:p>
    <w:p w14:paraId="4D39B6C9">
      <w:pPr>
        <w:pStyle w:val="159"/>
        <w:ind w:firstLine="480"/>
        <w:rPr>
          <w:rFonts w:hint="eastAsia"/>
          <w:highlight w:val="none"/>
        </w:rPr>
      </w:pPr>
      <w:bookmarkStart w:id="451" w:name="bookMark940"/>
      <w:bookmarkEnd w:id="451"/>
      <w:r>
        <w:rPr>
          <w:rFonts w:hint="eastAsia"/>
          <w:highlight w:val="none"/>
        </w:rPr>
        <w:t>1）现场搅拌用水、养护用水采取有效的节水措施，严禁无措施浇水养护混凝土。</w:t>
      </w:r>
    </w:p>
    <w:p w14:paraId="043D543A">
      <w:pPr>
        <w:pStyle w:val="159"/>
        <w:ind w:firstLine="480"/>
        <w:rPr>
          <w:rFonts w:hint="eastAsia" w:ascii="宋体"/>
          <w:szCs w:val="24"/>
          <w:highlight w:val="none"/>
        </w:rPr>
      </w:pPr>
      <w:r>
        <w:rPr>
          <w:rFonts w:hint="eastAsia" w:ascii="宋体"/>
          <w:szCs w:val="24"/>
          <w:highlight w:val="none"/>
        </w:rPr>
        <w:t>2）现场机具、设备、车辆冲洗用水设立循环用水装置。施工现场办公区、生活区的生活用水采用节水系统和节水器具，提高节水器具配置比率。</w:t>
      </w:r>
    </w:p>
    <w:p w14:paraId="1DC61E23">
      <w:pPr>
        <w:pStyle w:val="159"/>
        <w:ind w:firstLine="480"/>
        <w:rPr>
          <w:rFonts w:hint="eastAsia" w:ascii="宋体"/>
          <w:szCs w:val="24"/>
          <w:highlight w:val="none"/>
        </w:rPr>
      </w:pPr>
      <w:r>
        <w:rPr>
          <w:rFonts w:hint="eastAsia" w:ascii="宋体"/>
          <w:szCs w:val="24"/>
          <w:highlight w:val="none"/>
        </w:rPr>
        <w:t>3）施工现场建立可再利用水的收集处理系统，使水资源得到梯级循环利用。</w:t>
      </w:r>
    </w:p>
    <w:p w14:paraId="58295841">
      <w:pPr>
        <w:pStyle w:val="159"/>
        <w:ind w:firstLine="480"/>
        <w:rPr>
          <w:rFonts w:hint="eastAsia" w:ascii="宋体"/>
          <w:szCs w:val="24"/>
          <w:highlight w:val="none"/>
        </w:rPr>
      </w:pPr>
      <w:r>
        <w:rPr>
          <w:rFonts w:hint="eastAsia" w:ascii="宋体"/>
          <w:szCs w:val="24"/>
          <w:highlight w:val="none"/>
        </w:rPr>
        <w:t>4）施工现场分别对生活用水与工程用水确定用水定额指标，并分别计量管理。</w:t>
      </w:r>
    </w:p>
    <w:p w14:paraId="5EEF93BD">
      <w:pPr>
        <w:bidi w:val="0"/>
        <w:ind w:firstLine="480" w:firstLineChars="200"/>
        <w:rPr>
          <w:rFonts w:hint="eastAsia"/>
          <w:highlight w:val="none"/>
          <w:lang w:val="en-US" w:eastAsia="zh-CN"/>
        </w:rPr>
      </w:pPr>
      <w:r>
        <w:rPr>
          <w:rFonts w:hint="eastAsia" w:ascii="宋体"/>
          <w:szCs w:val="24"/>
          <w:highlight w:val="none"/>
          <w:lang w:val="en-US" w:eastAsia="zh-CN"/>
        </w:rPr>
        <w:t>5</w:t>
      </w:r>
      <w:r>
        <w:rPr>
          <w:rFonts w:hint="eastAsia" w:ascii="宋体"/>
          <w:szCs w:val="24"/>
          <w:highlight w:val="none"/>
        </w:rPr>
        <w:t>）对混凝土搅拌站点等用水集中的区域和工艺点进行专项计量考核。</w:t>
      </w:r>
    </w:p>
    <w:p w14:paraId="506BF31D">
      <w:pPr>
        <w:bidi w:val="0"/>
        <w:ind w:firstLine="480" w:firstLineChars="200"/>
        <w:rPr>
          <w:highlight w:val="none"/>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节能措施</w:t>
      </w:r>
    </w:p>
    <w:p w14:paraId="1B04CCDD">
      <w:pPr>
        <w:bidi w:val="0"/>
        <w:ind w:firstLine="480" w:firstLineChars="200"/>
        <w:rPr>
          <w:highlight w:val="none"/>
        </w:rPr>
      </w:pPr>
      <w:r>
        <w:rPr>
          <w:highlight w:val="none"/>
          <w:lang w:val="en-US" w:eastAsia="zh-CN"/>
        </w:rPr>
        <w:t>1）建立施工机械设备管理制度，开展用电、用油计量，完善设备档案，及时做</w:t>
      </w:r>
      <w:r>
        <w:rPr>
          <w:rFonts w:hint="default"/>
          <w:highlight w:val="none"/>
          <w:lang w:val="en-US" w:eastAsia="zh-CN"/>
        </w:rPr>
        <w:t xml:space="preserve">好维修保养工作，使机械设备保持低耗、高效的状态。 </w:t>
      </w:r>
    </w:p>
    <w:p w14:paraId="050BFDC2">
      <w:pPr>
        <w:bidi w:val="0"/>
        <w:ind w:firstLine="480" w:firstLineChars="200"/>
        <w:rPr>
          <w:highlight w:val="none"/>
        </w:rPr>
      </w:pPr>
      <w:r>
        <w:rPr>
          <w:rFonts w:hint="default"/>
          <w:highlight w:val="none"/>
          <w:lang w:val="en-US" w:eastAsia="zh-CN"/>
        </w:rPr>
        <w:t xml:space="preserve">2）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 </w:t>
      </w:r>
    </w:p>
    <w:p w14:paraId="346E463B">
      <w:pPr>
        <w:bidi w:val="0"/>
        <w:ind w:firstLine="480" w:firstLineChars="200"/>
        <w:rPr>
          <w:highlight w:val="none"/>
        </w:rPr>
      </w:pPr>
      <w:r>
        <w:rPr>
          <w:rFonts w:hint="default"/>
          <w:highlight w:val="none"/>
          <w:lang w:val="en-US" w:eastAsia="zh-CN"/>
        </w:rPr>
        <w:t>3）合理安排工序，提高各种机械的使用率和满载率，降低各种设备的单位耗能。</w:t>
      </w:r>
    </w:p>
    <w:p w14:paraId="4E60704A">
      <w:pPr>
        <w:bidi w:val="0"/>
        <w:ind w:firstLine="480" w:firstLineChars="200"/>
        <w:rPr>
          <w:rFonts w:hint="eastAsia"/>
          <w:highlight w:val="none"/>
        </w:rPr>
      </w:pPr>
      <w:r>
        <w:rPr>
          <w:rFonts w:hint="eastAsia"/>
          <w:highlight w:val="none"/>
          <w:lang w:val="en-US" w:eastAsia="zh-CN"/>
        </w:rPr>
        <w:t>（4）</w:t>
      </w:r>
      <w:r>
        <w:rPr>
          <w:rFonts w:hint="eastAsia"/>
          <w:highlight w:val="none"/>
        </w:rPr>
        <w:t>节地与施工用地保护措施</w:t>
      </w:r>
    </w:p>
    <w:p w14:paraId="582F4229">
      <w:pPr>
        <w:keepNext w:val="0"/>
        <w:keepLines w:val="0"/>
        <w:widowControl/>
        <w:suppressLineNumbers w:val="0"/>
        <w:ind w:firstLine="480" w:firstLineChars="200"/>
        <w:jc w:val="left"/>
        <w:rPr>
          <w:rFonts w:hint="default" w:ascii="CIDFont" w:hAnsi="CIDFont" w:eastAsia="CIDFont" w:cs="CIDFont"/>
          <w:color w:val="000000"/>
          <w:kern w:val="0"/>
          <w:sz w:val="24"/>
          <w:szCs w:val="24"/>
          <w:highlight w:val="none"/>
          <w:lang w:val="en-US" w:eastAsia="zh-CN" w:bidi="ar"/>
        </w:rPr>
      </w:pPr>
      <w:bookmarkStart w:id="452" w:name="bookMark944"/>
      <w:bookmarkEnd w:id="452"/>
      <w:bookmarkStart w:id="453" w:name="_Toc16925"/>
      <w:r>
        <w:rPr>
          <w:rFonts w:ascii="CIDFont" w:hAnsi="CIDFont" w:eastAsia="CIDFont" w:cs="CIDFont"/>
          <w:color w:val="000000"/>
          <w:kern w:val="0"/>
          <w:sz w:val="24"/>
          <w:szCs w:val="24"/>
          <w:highlight w:val="none"/>
          <w:lang w:val="en-US" w:eastAsia="zh-CN" w:bidi="ar"/>
        </w:rPr>
        <w:t>挡土墙施工所需要的材料、设备均放置在红线范围内，减少临时用地使用，红线外</w:t>
      </w:r>
      <w:r>
        <w:rPr>
          <w:rFonts w:hint="default" w:ascii="CIDFont" w:hAnsi="CIDFont" w:eastAsia="CIDFont" w:cs="CIDFont"/>
          <w:color w:val="000000"/>
          <w:kern w:val="0"/>
          <w:sz w:val="24"/>
          <w:szCs w:val="24"/>
          <w:highlight w:val="none"/>
          <w:lang w:val="en-US" w:eastAsia="zh-CN" w:bidi="ar"/>
        </w:rPr>
        <w:t>临时占地应尽量使用荒地、废地，少占用农田和耕地，工程完工后，及时对红线外占地恢复原地形、地貌，使施工活动对周边环境的影响降至最低。</w:t>
      </w:r>
    </w:p>
    <w:p w14:paraId="5C0AFC14">
      <w:pPr>
        <w:pStyle w:val="5"/>
        <w:bidi w:val="0"/>
        <w:rPr>
          <w:rFonts w:hint="default"/>
          <w:highlight w:val="none"/>
          <w:lang w:val="en-US" w:eastAsia="zh-CN"/>
        </w:rPr>
      </w:pPr>
      <w:bookmarkStart w:id="454" w:name="_Toc17202"/>
      <w:bookmarkStart w:id="455" w:name="_Toc24092"/>
      <w:bookmarkStart w:id="456" w:name="_Toc19095"/>
      <w:bookmarkStart w:id="457" w:name="_Toc10077"/>
      <w:bookmarkStart w:id="458" w:name="_Toc1240"/>
      <w:bookmarkStart w:id="459" w:name="_Toc17393"/>
      <w:r>
        <w:rPr>
          <w:rFonts w:hint="eastAsia"/>
          <w:highlight w:val="none"/>
          <w:lang w:val="en-US" w:eastAsia="zh-CN"/>
        </w:rPr>
        <w:t>10.1.3.3</w:t>
      </w:r>
      <w:r>
        <w:rPr>
          <w:rFonts w:hint="default"/>
          <w:highlight w:val="none"/>
          <w:lang w:val="en-US" w:eastAsia="zh-CN"/>
        </w:rPr>
        <w:t>环境保护管理</w:t>
      </w:r>
      <w:bookmarkEnd w:id="454"/>
      <w:bookmarkEnd w:id="455"/>
      <w:bookmarkEnd w:id="456"/>
      <w:bookmarkEnd w:id="457"/>
      <w:bookmarkEnd w:id="458"/>
      <w:bookmarkEnd w:id="459"/>
    </w:p>
    <w:p w14:paraId="3F939F41">
      <w:pPr>
        <w:rPr>
          <w:rFonts w:hint="default"/>
          <w:b/>
          <w:bCs/>
          <w:highlight w:val="none"/>
          <w:lang w:val="en-US" w:eastAsia="zh-CN"/>
        </w:rPr>
      </w:pPr>
      <w:r>
        <w:rPr>
          <w:rFonts w:hint="default"/>
          <w:b/>
          <w:bCs/>
          <w:highlight w:val="none"/>
          <w:lang w:val="en-US" w:eastAsia="zh-CN"/>
        </w:rPr>
        <w:t>1、自然生态环境保护措施</w:t>
      </w:r>
    </w:p>
    <w:p w14:paraId="23D779F1">
      <w:pPr>
        <w:rPr>
          <w:rFonts w:hint="default"/>
          <w:highlight w:val="none"/>
          <w:lang w:val="en-US" w:eastAsia="zh-CN"/>
        </w:rPr>
      </w:pPr>
      <w:r>
        <w:rPr>
          <w:rFonts w:hint="default"/>
          <w:highlight w:val="none"/>
          <w:lang w:val="en-US" w:eastAsia="zh-CN"/>
        </w:rPr>
        <w:t>（1）施工现场保护</w:t>
      </w:r>
    </w:p>
    <w:p w14:paraId="0706C11F">
      <w:pPr>
        <w:rPr>
          <w:rFonts w:hint="default"/>
          <w:highlight w:val="none"/>
          <w:lang w:val="en-US" w:eastAsia="zh-CN"/>
        </w:rPr>
      </w:pPr>
      <w:r>
        <w:rPr>
          <w:rFonts w:hint="default"/>
          <w:highlight w:val="none"/>
          <w:lang w:val="en-US" w:eastAsia="zh-CN"/>
        </w:rPr>
        <w:t>施工现场生产、生活房屋及生活设施、原材料堆放处和材料加工场均在规划的区域内进行。修建的施工便道，要结合地方长远规划，选择线路。弃土场必须做好防护工作，确保不发生水土流失情况，并进行弃土场绿化。</w:t>
      </w:r>
    </w:p>
    <w:p w14:paraId="4A67F175">
      <w:pPr>
        <w:rPr>
          <w:rFonts w:hint="default"/>
          <w:highlight w:val="none"/>
          <w:lang w:val="en-US" w:eastAsia="zh-CN"/>
        </w:rPr>
      </w:pPr>
      <w:r>
        <w:rPr>
          <w:rFonts w:hint="default"/>
          <w:highlight w:val="none"/>
          <w:lang w:val="en-US" w:eastAsia="zh-CN"/>
        </w:rPr>
        <w:t>（2）施工期间保护</w:t>
      </w:r>
    </w:p>
    <w:p w14:paraId="2263C97E">
      <w:pPr>
        <w:rPr>
          <w:rFonts w:hint="default"/>
          <w:highlight w:val="none"/>
          <w:lang w:val="en-US" w:eastAsia="zh-CN"/>
        </w:rPr>
      </w:pPr>
      <w:r>
        <w:rPr>
          <w:rFonts w:hint="default"/>
          <w:highlight w:val="none"/>
          <w:lang w:val="en-US" w:eastAsia="zh-CN"/>
        </w:rPr>
        <w:t>施工期间对施工人员加强保护自然资源及野生动植物的教育，严禁随意砍伐和偷猎，限制施工人员和车辆的活动范围。</w:t>
      </w:r>
    </w:p>
    <w:p w14:paraId="67F3379F">
      <w:pPr>
        <w:rPr>
          <w:rFonts w:hint="default"/>
          <w:highlight w:val="none"/>
          <w:lang w:val="en-US" w:eastAsia="zh-CN"/>
        </w:rPr>
      </w:pPr>
      <w:r>
        <w:rPr>
          <w:rFonts w:hint="default"/>
          <w:highlight w:val="none"/>
          <w:lang w:val="en-US" w:eastAsia="zh-CN"/>
        </w:rPr>
        <w:t>（3）临建选址保护</w:t>
      </w:r>
    </w:p>
    <w:p w14:paraId="2B3BBD78">
      <w:pPr>
        <w:rPr>
          <w:rFonts w:hint="default"/>
          <w:highlight w:val="none"/>
          <w:lang w:val="en-US" w:eastAsia="zh-CN"/>
        </w:rPr>
      </w:pPr>
      <w:r>
        <w:rPr>
          <w:rFonts w:hint="default"/>
          <w:highlight w:val="none"/>
          <w:lang w:val="en-US" w:eastAsia="zh-CN"/>
        </w:rPr>
        <w:t>施工便道选线、生活营地、大型临时设施场地选址尽量少占或绕避林地、耕地，保护原有植被。对合同规定的施工界限外的植物、树木等尽力维护，严禁超范围砍伐。工程完工后及时进行现场清理，复垦或绿化。</w:t>
      </w:r>
    </w:p>
    <w:p w14:paraId="359F86B1">
      <w:pPr>
        <w:rPr>
          <w:rFonts w:hint="default"/>
          <w:b/>
          <w:bCs/>
          <w:highlight w:val="none"/>
          <w:lang w:val="en-US" w:eastAsia="zh-CN"/>
        </w:rPr>
      </w:pPr>
      <w:bookmarkStart w:id="460" w:name="_Toc61441675"/>
      <w:bookmarkStart w:id="461" w:name="_Toc56438292"/>
      <w:r>
        <w:rPr>
          <w:rFonts w:hint="default"/>
          <w:b/>
          <w:bCs/>
          <w:highlight w:val="none"/>
          <w:lang w:val="en-US" w:eastAsia="zh-CN"/>
        </w:rPr>
        <w:t>2、防止大气污染措施</w:t>
      </w:r>
      <w:bookmarkEnd w:id="460"/>
      <w:bookmarkEnd w:id="461"/>
    </w:p>
    <w:p w14:paraId="569DD3DB">
      <w:pPr>
        <w:rPr>
          <w:rFonts w:hint="default"/>
          <w:highlight w:val="none"/>
          <w:lang w:val="en-US" w:eastAsia="zh-CN"/>
        </w:rPr>
      </w:pPr>
      <w:r>
        <w:rPr>
          <w:rFonts w:hint="default"/>
          <w:highlight w:val="none"/>
          <w:lang w:val="en-US" w:eastAsia="zh-CN"/>
        </w:rPr>
        <w:t>（1）洒水降尘</w:t>
      </w:r>
    </w:p>
    <w:p w14:paraId="5E82B1FB">
      <w:pPr>
        <w:rPr>
          <w:rFonts w:hint="default"/>
          <w:highlight w:val="none"/>
          <w:lang w:val="en-US" w:eastAsia="zh-CN"/>
        </w:rPr>
      </w:pPr>
      <w:r>
        <w:rPr>
          <w:rFonts w:hint="default"/>
          <w:highlight w:val="none"/>
          <w:lang w:val="en-US" w:eastAsia="zh-CN"/>
        </w:rPr>
        <w:t>临时运输道路经常洒水湿润，减少道路扬尘。对产生尘埃运输车辆加以覆盖，在居民区等人员密集区域附近采取喷雾降尘措施、配备降尘雾炮以有效避免周边大气的污染。</w:t>
      </w:r>
    </w:p>
    <w:p w14:paraId="0763EDC8">
      <w:pPr>
        <w:rPr>
          <w:rFonts w:hint="default"/>
          <w:highlight w:val="none"/>
          <w:lang w:val="en-US" w:eastAsia="zh-CN"/>
        </w:rPr>
      </w:pPr>
      <w:r>
        <w:rPr>
          <w:rFonts w:hint="default"/>
          <w:highlight w:val="none"/>
          <w:lang w:val="en-US" w:eastAsia="zh-CN"/>
        </w:rPr>
        <w:t>控制现场的各种粉尘、废气对环境的污染和危害，施工区域内的场内道路原则上应硬化处理，对不能进行硬化处理的临时施工便道，在晴天干燥环境时，应经常洒水予以养护和保护。</w:t>
      </w:r>
    </w:p>
    <w:p w14:paraId="5A95EDFC">
      <w:pPr>
        <w:rPr>
          <w:rFonts w:hint="default"/>
          <w:highlight w:val="none"/>
          <w:lang w:val="en-US" w:eastAsia="zh-CN"/>
        </w:rPr>
      </w:pPr>
      <w:r>
        <w:rPr>
          <w:rFonts w:hint="default"/>
          <w:highlight w:val="none"/>
          <w:lang w:val="en-US" w:eastAsia="zh-CN"/>
        </w:rPr>
        <w:t>（2）覆盖防尘</w:t>
      </w:r>
    </w:p>
    <w:p w14:paraId="78277D01">
      <w:pPr>
        <w:rPr>
          <w:rFonts w:hint="default"/>
          <w:highlight w:val="none"/>
          <w:lang w:val="en-US" w:eastAsia="zh-CN"/>
        </w:rPr>
      </w:pPr>
      <w:r>
        <w:rPr>
          <w:rFonts w:hint="default"/>
          <w:highlight w:val="none"/>
          <w:lang w:val="en-US" w:eastAsia="zh-CN"/>
        </w:rPr>
        <w:t>对施工现场裸露时间较长的土体进行绿化、对裸露时间较短的土体利用土工织物进行覆盖，避免在风力的作用下造成项目周边的空气扬尘。</w:t>
      </w:r>
    </w:p>
    <w:p w14:paraId="56264EBA">
      <w:pPr>
        <w:rPr>
          <w:rFonts w:hint="default"/>
          <w:highlight w:val="none"/>
          <w:lang w:val="en-US" w:eastAsia="zh-CN"/>
        </w:rPr>
      </w:pPr>
      <w:r>
        <w:rPr>
          <w:rFonts w:hint="default"/>
          <w:highlight w:val="none"/>
          <w:lang w:val="en-US" w:eastAsia="zh-CN"/>
        </w:rPr>
        <w:t>（3）材料运输防污染</w:t>
      </w:r>
    </w:p>
    <w:p w14:paraId="1A18D5BA">
      <w:pPr>
        <w:rPr>
          <w:rFonts w:hint="default"/>
          <w:highlight w:val="none"/>
          <w:lang w:val="en-US" w:eastAsia="zh-CN"/>
        </w:rPr>
      </w:pPr>
      <w:r>
        <w:rPr>
          <w:rFonts w:hint="default"/>
          <w:highlight w:val="none"/>
          <w:lang w:val="en-US" w:eastAsia="zh-CN"/>
        </w:rPr>
        <w:t>尽量缩短土石料的运输距离，汽车运输砂土、水泥、碎石等易起尘的物料要加盖蓬布、控制车速，防止物料洒落和产生扬尘，卸车时尽量减小落差。</w:t>
      </w:r>
    </w:p>
    <w:p w14:paraId="424A1E49">
      <w:pPr>
        <w:rPr>
          <w:rFonts w:hint="default"/>
          <w:b/>
          <w:bCs/>
          <w:highlight w:val="none"/>
          <w:lang w:val="en-US" w:eastAsia="zh-CN"/>
        </w:rPr>
      </w:pPr>
      <w:bookmarkStart w:id="462" w:name="_Toc61441676"/>
      <w:bookmarkStart w:id="463" w:name="_Toc56438293"/>
      <w:r>
        <w:rPr>
          <w:rFonts w:hint="default"/>
          <w:b/>
          <w:bCs/>
          <w:highlight w:val="none"/>
          <w:lang w:val="en-US" w:eastAsia="zh-CN"/>
        </w:rPr>
        <w:t>3、防止噪声的措施</w:t>
      </w:r>
      <w:bookmarkEnd w:id="462"/>
      <w:bookmarkEnd w:id="463"/>
    </w:p>
    <w:p w14:paraId="231A9EFF">
      <w:pPr>
        <w:rPr>
          <w:rFonts w:hint="default"/>
          <w:highlight w:val="none"/>
          <w:lang w:val="en-US" w:eastAsia="zh-CN"/>
        </w:rPr>
      </w:pPr>
      <w:r>
        <w:rPr>
          <w:rFonts w:hint="default"/>
          <w:highlight w:val="none"/>
          <w:lang w:val="en-US" w:eastAsia="zh-CN"/>
        </w:rPr>
        <w:t>施工噪声主要包括施工现场、机械作业时和车辆运输时产生的噪声。</w:t>
      </w:r>
    </w:p>
    <w:p w14:paraId="591B7930">
      <w:pPr>
        <w:rPr>
          <w:rFonts w:hint="default"/>
          <w:highlight w:val="none"/>
          <w:lang w:val="en-US" w:eastAsia="zh-CN"/>
        </w:rPr>
      </w:pPr>
      <w:r>
        <w:rPr>
          <w:rFonts w:hint="default"/>
          <w:highlight w:val="none"/>
          <w:lang w:val="en-US" w:eastAsia="zh-CN"/>
        </w:rPr>
        <w:t>（1）建立制度、提高意识</w:t>
      </w:r>
    </w:p>
    <w:p w14:paraId="60949270">
      <w:pPr>
        <w:rPr>
          <w:rFonts w:hint="default"/>
          <w:highlight w:val="none"/>
          <w:lang w:val="en-US" w:eastAsia="zh-CN"/>
        </w:rPr>
      </w:pPr>
      <w:r>
        <w:rPr>
          <w:rFonts w:hint="default"/>
          <w:highlight w:val="none"/>
          <w:lang w:val="en-US" w:eastAsia="zh-CN"/>
        </w:rPr>
        <w:t>施工现场提倡文明施工，建立健全控制人为噪声的管理制度。尽量减少人为的大声喧哗，增加全体施工人员防噪声扰民的自觉意识。</w:t>
      </w:r>
    </w:p>
    <w:p w14:paraId="1034ECC5">
      <w:pPr>
        <w:rPr>
          <w:rFonts w:hint="default"/>
          <w:highlight w:val="none"/>
          <w:lang w:val="en-US" w:eastAsia="zh-CN"/>
        </w:rPr>
      </w:pPr>
      <w:r>
        <w:rPr>
          <w:rFonts w:hint="default"/>
          <w:highlight w:val="none"/>
          <w:lang w:val="en-US" w:eastAsia="zh-CN"/>
        </w:rPr>
        <w:t>（2）选择低噪声机械</w:t>
      </w:r>
    </w:p>
    <w:p w14:paraId="5E3CC073">
      <w:pPr>
        <w:rPr>
          <w:rFonts w:hint="default"/>
          <w:highlight w:val="none"/>
          <w:lang w:val="en-US" w:eastAsia="zh-CN"/>
        </w:rPr>
      </w:pPr>
      <w:r>
        <w:rPr>
          <w:rFonts w:hint="default"/>
          <w:highlight w:val="none"/>
          <w:lang w:val="en-US" w:eastAsia="zh-CN"/>
        </w:rPr>
        <w:t>为减少噪声影响，机械设备选型配套时优先考虑低噪声设备，尽可能采取液压设备和摩擦设备代替振动式设备，并采取消声、隔音、安装防震底座等措施。加强机械设备的维修保养，保证机械设备的完好率，确保施工噪声达到环境保护标准要求。</w:t>
      </w:r>
    </w:p>
    <w:p w14:paraId="04BE98FE">
      <w:pPr>
        <w:rPr>
          <w:rFonts w:hint="default"/>
          <w:highlight w:val="none"/>
          <w:lang w:val="en-US" w:eastAsia="zh-CN"/>
        </w:rPr>
      </w:pPr>
      <w:r>
        <w:rPr>
          <w:rFonts w:hint="default"/>
          <w:highlight w:val="none"/>
          <w:lang w:val="en-US" w:eastAsia="zh-CN"/>
        </w:rPr>
        <w:t>（3）夜间施工降噪</w:t>
      </w:r>
    </w:p>
    <w:p w14:paraId="56BECE4B">
      <w:pPr>
        <w:rPr>
          <w:rFonts w:hint="default"/>
          <w:highlight w:val="none"/>
          <w:lang w:val="en-US" w:eastAsia="zh-CN"/>
        </w:rPr>
      </w:pPr>
      <w:r>
        <w:rPr>
          <w:rFonts w:hint="default"/>
          <w:highlight w:val="none"/>
          <w:lang w:val="en-US" w:eastAsia="zh-CN"/>
        </w:rPr>
        <w:t>进行强噪声作业的，严格控制作业时间，晚间作业不超过22时，早晨作业不早于6时，特殊情况需连续作业（或夜间作业）的，采取降噪措施，事先做好周围群众的工作，并报相关环保部门备案方可施工。</w:t>
      </w:r>
    </w:p>
    <w:p w14:paraId="73E7F520">
      <w:pPr>
        <w:rPr>
          <w:rFonts w:hint="default"/>
          <w:highlight w:val="none"/>
          <w:lang w:val="en-US" w:eastAsia="zh-CN"/>
        </w:rPr>
      </w:pPr>
      <w:r>
        <w:rPr>
          <w:rFonts w:hint="default"/>
          <w:highlight w:val="none"/>
          <w:lang w:val="en-US" w:eastAsia="zh-CN"/>
        </w:rPr>
        <w:t>（4）机械降噪措施</w:t>
      </w:r>
    </w:p>
    <w:p w14:paraId="469C18E4">
      <w:pPr>
        <w:rPr>
          <w:rFonts w:hint="default"/>
          <w:highlight w:val="none"/>
          <w:lang w:val="en-US" w:eastAsia="zh-CN"/>
        </w:rPr>
      </w:pPr>
      <w:r>
        <w:rPr>
          <w:rFonts w:hint="default"/>
          <w:highlight w:val="none"/>
          <w:lang w:val="en-US" w:eastAsia="zh-CN"/>
        </w:rPr>
        <w:t>①产生强噪声的成品、半成品加工、制作作业，应尽量在加工场区完成，减少因施工现场加工制作产生的噪声。</w:t>
      </w:r>
    </w:p>
    <w:p w14:paraId="090A728C">
      <w:pPr>
        <w:rPr>
          <w:rFonts w:hint="default"/>
          <w:highlight w:val="none"/>
          <w:lang w:val="en-US" w:eastAsia="zh-CN"/>
        </w:rPr>
      </w:pPr>
      <w:r>
        <w:rPr>
          <w:rFonts w:hint="default"/>
          <w:highlight w:val="none"/>
          <w:lang w:val="en-US" w:eastAsia="zh-CN"/>
        </w:rPr>
        <w:t>②尽量选用低噪声或备有消声降噪的机械棚，以减少强噪声的扩散。</w:t>
      </w:r>
    </w:p>
    <w:p w14:paraId="03543C0F">
      <w:pPr>
        <w:rPr>
          <w:rFonts w:hint="default"/>
          <w:b/>
          <w:bCs/>
          <w:highlight w:val="none"/>
          <w:lang w:val="en-US" w:eastAsia="zh-CN"/>
        </w:rPr>
      </w:pPr>
      <w:bookmarkStart w:id="464" w:name="_Toc56438294"/>
      <w:bookmarkStart w:id="465" w:name="_Toc61441677"/>
      <w:r>
        <w:rPr>
          <w:rFonts w:hint="default"/>
          <w:b/>
          <w:bCs/>
          <w:highlight w:val="none"/>
          <w:lang w:val="en-US" w:eastAsia="zh-CN"/>
        </w:rPr>
        <w:t>4、防止水污染的措施</w:t>
      </w:r>
      <w:bookmarkEnd w:id="464"/>
      <w:bookmarkEnd w:id="465"/>
    </w:p>
    <w:p w14:paraId="07D99D80">
      <w:pPr>
        <w:rPr>
          <w:rFonts w:hint="default"/>
          <w:highlight w:val="none"/>
          <w:lang w:val="en-US" w:eastAsia="zh-CN"/>
        </w:rPr>
      </w:pPr>
      <w:r>
        <w:rPr>
          <w:rFonts w:hint="default"/>
          <w:highlight w:val="none"/>
          <w:lang w:val="en-US" w:eastAsia="zh-CN"/>
        </w:rPr>
        <w:t>（1）施工过程当中对产生的裸土进行绿化或土工织物覆盖，以免在雨天造成水土流失，将土体冲入河流。</w:t>
      </w:r>
    </w:p>
    <w:p w14:paraId="1354BCBC">
      <w:pPr>
        <w:rPr>
          <w:rFonts w:hint="default"/>
          <w:highlight w:val="none"/>
          <w:lang w:val="en-US" w:eastAsia="zh-CN"/>
        </w:rPr>
      </w:pPr>
      <w:r>
        <w:rPr>
          <w:rFonts w:hint="default"/>
          <w:highlight w:val="none"/>
          <w:lang w:val="en-US" w:eastAsia="zh-CN"/>
        </w:rPr>
        <w:t>（2）施工作业产生的污水必须经过沉淀池沉淀，并经净化处理，符合要求后排放。</w:t>
      </w:r>
    </w:p>
    <w:p w14:paraId="02AE4344">
      <w:pPr>
        <w:rPr>
          <w:rFonts w:hint="default"/>
          <w:highlight w:val="none"/>
          <w:lang w:val="en-US" w:eastAsia="zh-CN"/>
        </w:rPr>
      </w:pPr>
      <w:r>
        <w:rPr>
          <w:rFonts w:hint="default"/>
          <w:highlight w:val="none"/>
          <w:lang w:val="en-US" w:eastAsia="zh-CN"/>
        </w:rPr>
        <w:t>（3）施工现场土方内利用土工织物或防水彩条布进行覆盖，避免造成周边的泥土对水体的污染。</w:t>
      </w:r>
    </w:p>
    <w:p w14:paraId="75BD7FB1">
      <w:pPr>
        <w:rPr>
          <w:rFonts w:hint="default"/>
          <w:b/>
          <w:bCs/>
          <w:highlight w:val="none"/>
          <w:lang w:val="en-US" w:eastAsia="zh-CN"/>
        </w:rPr>
      </w:pPr>
      <w:bookmarkStart w:id="466" w:name="_Toc61441678"/>
      <w:bookmarkStart w:id="467" w:name="_Toc56438295"/>
      <w:r>
        <w:rPr>
          <w:rFonts w:hint="default"/>
          <w:b/>
          <w:bCs/>
          <w:highlight w:val="none"/>
          <w:lang w:val="en-US" w:eastAsia="zh-CN"/>
        </w:rPr>
        <w:t>5、土壤防污染措施</w:t>
      </w:r>
      <w:bookmarkEnd w:id="466"/>
      <w:bookmarkEnd w:id="467"/>
    </w:p>
    <w:p w14:paraId="278C5AEF">
      <w:pPr>
        <w:rPr>
          <w:rFonts w:hint="default"/>
          <w:highlight w:val="none"/>
          <w:lang w:val="en-US" w:eastAsia="zh-CN"/>
        </w:rPr>
      </w:pPr>
      <w:r>
        <w:rPr>
          <w:rFonts w:hint="eastAsia"/>
          <w:highlight w:val="none"/>
          <w:lang w:val="en-US" w:eastAsia="zh-CN"/>
        </w:rPr>
        <w:t>（1）</w:t>
      </w:r>
      <w:r>
        <w:rPr>
          <w:rFonts w:hint="default"/>
          <w:highlight w:val="none"/>
          <w:lang w:val="en-US" w:eastAsia="zh-CN"/>
        </w:rPr>
        <w:t>尽量做到对施工过程中产生的建筑垃圾进行再利用，入无法利用，则要进行无害化处理后按照当地环保部门的批示在指定地点掩埋。</w:t>
      </w:r>
    </w:p>
    <w:p w14:paraId="7550B177">
      <w:pPr>
        <w:rPr>
          <w:rFonts w:hint="default"/>
          <w:highlight w:val="none"/>
          <w:lang w:val="en-US" w:eastAsia="zh-CN"/>
        </w:rPr>
      </w:pPr>
      <w:r>
        <w:rPr>
          <w:rFonts w:hint="eastAsia"/>
          <w:highlight w:val="none"/>
          <w:lang w:val="en-US" w:eastAsia="zh-CN"/>
        </w:rPr>
        <w:t>（2）</w:t>
      </w:r>
      <w:r>
        <w:rPr>
          <w:rFonts w:hint="default"/>
          <w:highlight w:val="none"/>
          <w:lang w:val="en-US" w:eastAsia="zh-CN"/>
        </w:rPr>
        <w:t>施工现场修建的油料存放场地需进行防渗、方漏处理，避免油料等的渗漏对周边土壤造成污染。若发生意外而导致对周边土壤造成污染时需要对被污染土壤进行清理。</w:t>
      </w:r>
    </w:p>
    <w:p w14:paraId="53D2703D">
      <w:pPr>
        <w:rPr>
          <w:rFonts w:hint="default"/>
          <w:highlight w:val="none"/>
          <w:lang w:val="en-US" w:eastAsia="zh-CN"/>
        </w:rPr>
      </w:pPr>
      <w:r>
        <w:rPr>
          <w:rFonts w:hint="eastAsia"/>
          <w:highlight w:val="none"/>
          <w:lang w:val="en-US" w:eastAsia="zh-CN"/>
        </w:rPr>
        <w:t>（3）</w:t>
      </w:r>
      <w:r>
        <w:rPr>
          <w:rFonts w:hint="default"/>
          <w:highlight w:val="none"/>
          <w:lang w:val="en-US" w:eastAsia="zh-CN"/>
        </w:rPr>
        <w:t>在驻地设垃圾池，分类收集，进行集中处理，可降解的实行降解措施，不可降解的集中掩埋，防止污染环境。</w:t>
      </w:r>
    </w:p>
    <w:p w14:paraId="482E518A">
      <w:pPr>
        <w:rPr>
          <w:rFonts w:hint="default"/>
          <w:highlight w:val="none"/>
          <w:lang w:val="en-US" w:eastAsia="zh-CN"/>
        </w:rPr>
      </w:pPr>
      <w:r>
        <w:rPr>
          <w:rFonts w:hint="eastAsia"/>
          <w:highlight w:val="none"/>
          <w:lang w:val="en-US" w:eastAsia="zh-CN"/>
        </w:rPr>
        <w:t>（4）</w:t>
      </w:r>
      <w:r>
        <w:rPr>
          <w:rFonts w:hint="default"/>
          <w:highlight w:val="none"/>
          <w:lang w:val="en-US" w:eastAsia="zh-CN"/>
        </w:rPr>
        <w:t>工程施工完成后，根据环保及设计要求，要对所有生活区、生产区临时设施所占用地进行复耕，拆除建筑物、铲除硬化地面及建筑垃圾。</w:t>
      </w:r>
    </w:p>
    <w:p w14:paraId="0E4EB05C">
      <w:pPr>
        <w:keepNext w:val="0"/>
        <w:keepLines w:val="0"/>
        <w:widowControl/>
        <w:suppressLineNumbers w:val="0"/>
        <w:ind w:firstLine="480" w:firstLineChars="200"/>
        <w:jc w:val="left"/>
        <w:rPr>
          <w:rFonts w:hint="default" w:ascii="CIDFont" w:hAnsi="CIDFont" w:eastAsia="CIDFont" w:cs="CIDFont"/>
          <w:color w:val="000000"/>
          <w:kern w:val="0"/>
          <w:sz w:val="24"/>
          <w:szCs w:val="24"/>
          <w:highlight w:val="none"/>
          <w:lang w:val="en-US" w:eastAsia="zh-CN" w:bidi="ar"/>
        </w:rPr>
      </w:pPr>
    </w:p>
    <w:p w14:paraId="0AAD9C7E">
      <w:pPr>
        <w:pStyle w:val="3"/>
        <w:tabs>
          <w:tab w:val="left" w:pos="240"/>
        </w:tabs>
        <w:bidi w:val="0"/>
        <w:rPr>
          <w:rFonts w:hint="default"/>
          <w:highlight w:val="none"/>
          <w:lang w:val="en-US" w:eastAsia="zh-CN"/>
        </w:rPr>
      </w:pPr>
      <w:bookmarkStart w:id="468" w:name="_Toc19984"/>
      <w:bookmarkStart w:id="469" w:name="_Toc2611"/>
      <w:bookmarkStart w:id="470" w:name="_Toc15877"/>
      <w:bookmarkStart w:id="471" w:name="_Toc11178"/>
      <w:r>
        <w:rPr>
          <w:rFonts w:hint="eastAsia"/>
          <w:highlight w:val="none"/>
          <w:lang w:val="en-US" w:eastAsia="zh-CN"/>
        </w:rPr>
        <w:t>10.2文明施工</w:t>
      </w:r>
      <w:bookmarkEnd w:id="453"/>
      <w:bookmarkEnd w:id="468"/>
      <w:bookmarkEnd w:id="469"/>
      <w:bookmarkEnd w:id="470"/>
      <w:bookmarkEnd w:id="471"/>
    </w:p>
    <w:p w14:paraId="09F3AC96">
      <w:pPr>
        <w:pStyle w:val="4"/>
        <w:tabs>
          <w:tab w:val="left" w:pos="240"/>
        </w:tabs>
        <w:bidi w:val="0"/>
        <w:rPr>
          <w:rFonts w:hint="default"/>
          <w:highlight w:val="none"/>
          <w:lang w:val="en-US" w:eastAsia="zh-CN"/>
        </w:rPr>
      </w:pPr>
      <w:r>
        <w:rPr>
          <w:rFonts w:hint="eastAsia"/>
          <w:highlight w:val="none"/>
          <w:lang w:val="en-US" w:eastAsia="zh-CN"/>
        </w:rPr>
        <w:t>10.2.1文明施工组织机构</w:t>
      </w:r>
    </w:p>
    <w:p w14:paraId="4DBA950F">
      <w:pPr>
        <w:bidi w:val="0"/>
        <w:ind w:firstLine="480" w:firstLineChars="200"/>
        <w:rPr>
          <w:rFonts w:hint="eastAsia" w:eastAsia="宋体"/>
          <w:highlight w:val="none"/>
          <w:lang w:eastAsia="zh-CN"/>
        </w:rPr>
      </w:pPr>
      <w:r>
        <w:rPr>
          <w:rFonts w:hint="eastAsia" w:ascii="仿宋" w:hAnsi="仿宋"/>
          <w:bCs/>
          <w:kern w:val="44"/>
          <w:szCs w:val="32"/>
          <w:highlight w:val="none"/>
          <w:lang w:val="en-US" w:eastAsia="zh-CN"/>
        </w:rPr>
        <w:t>为</w:t>
      </w:r>
      <w:r>
        <w:rPr>
          <w:rFonts w:hint="eastAsia" w:ascii="仿宋" w:hAnsi="仿宋"/>
          <w:bCs/>
          <w:kern w:val="44"/>
          <w:szCs w:val="32"/>
          <w:highlight w:val="none"/>
        </w:rPr>
        <w:t>实现项目施工标准化管理，规范现场管理，保障安全生产，促进文明施工，按照标准化建设要求，结合项目建设实际，特成立文明</w:t>
      </w:r>
      <w:r>
        <w:rPr>
          <w:rFonts w:hint="eastAsia" w:ascii="仿宋" w:hAnsi="仿宋"/>
          <w:bCs/>
          <w:kern w:val="44"/>
          <w:szCs w:val="32"/>
          <w:highlight w:val="none"/>
          <w:lang w:val="en-US" w:eastAsia="zh-CN"/>
        </w:rPr>
        <w:t>施工</w:t>
      </w:r>
      <w:r>
        <w:rPr>
          <w:rFonts w:hint="eastAsia" w:ascii="仿宋" w:hAnsi="仿宋"/>
          <w:bCs/>
          <w:kern w:val="44"/>
          <w:szCs w:val="32"/>
          <w:highlight w:val="none"/>
        </w:rPr>
        <w:t>领导小组</w:t>
      </w:r>
      <w:r>
        <w:rPr>
          <w:rFonts w:hint="eastAsia" w:ascii="仿宋" w:hAnsi="仿宋"/>
          <w:bCs/>
          <w:kern w:val="44"/>
          <w:szCs w:val="32"/>
          <w:highlight w:val="none"/>
          <w:lang w:eastAsia="zh-CN"/>
        </w:rPr>
        <w:t>。</w:t>
      </w:r>
    </w:p>
    <w:p w14:paraId="2741D9F9">
      <w:pPr>
        <w:bidi w:val="0"/>
        <w:jc w:val="center"/>
        <w:rPr>
          <w:rFonts w:hint="eastAsia" w:eastAsia="宋体"/>
          <w:highlight w:val="none"/>
          <w:lang w:eastAsia="zh-CN"/>
        </w:rPr>
      </w:pPr>
      <w:r>
        <w:rPr>
          <w:rFonts w:hint="eastAsia"/>
          <w:highlight w:val="none"/>
        </w:rPr>
        <w:drawing>
          <wp:inline distT="0" distB="0" distL="114300" distR="114300">
            <wp:extent cx="4884420" cy="3716655"/>
            <wp:effectExtent l="0" t="0" r="0" b="0"/>
            <wp:docPr id="41" name="图片 41" descr="组织流程图--(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组织流程图--(2)(3)"/>
                    <pic:cNvPicPr>
                      <a:picLocks noChangeAspect="1"/>
                    </pic:cNvPicPr>
                  </pic:nvPicPr>
                  <pic:blipFill>
                    <a:blip r:embed="rId70"/>
                    <a:stretch>
                      <a:fillRect/>
                    </a:stretch>
                  </pic:blipFill>
                  <pic:spPr>
                    <a:xfrm>
                      <a:off x="0" y="0"/>
                      <a:ext cx="4884420" cy="3716655"/>
                    </a:xfrm>
                    <a:prstGeom prst="rect">
                      <a:avLst/>
                    </a:prstGeom>
                  </pic:spPr>
                </pic:pic>
              </a:graphicData>
            </a:graphic>
          </wp:inline>
        </w:drawing>
      </w:r>
    </w:p>
    <w:p w14:paraId="4F7ADBA8">
      <w:pPr>
        <w:pStyle w:val="41"/>
        <w:bidi w:val="0"/>
        <w:rPr>
          <w:rFonts w:hint="default"/>
          <w:highlight w:val="none"/>
          <w:lang w:val="en-US" w:eastAsia="zh-CN"/>
        </w:rPr>
      </w:pPr>
      <w:r>
        <w:rPr>
          <w:rFonts w:hint="eastAsia"/>
          <w:highlight w:val="none"/>
          <w:lang w:val="en-US" w:eastAsia="zh-CN"/>
        </w:rPr>
        <w:t>图10</w:t>
      </w:r>
      <w:r>
        <w:rPr>
          <w:highlight w:val="none"/>
        </w:rPr>
        <w:t>.</w:t>
      </w:r>
      <w:r>
        <w:rPr>
          <w:rFonts w:hint="eastAsia"/>
          <w:highlight w:val="none"/>
          <w:lang w:val="en-US" w:eastAsia="zh-CN"/>
        </w:rPr>
        <w:t>2</w:t>
      </w:r>
      <w:r>
        <w:rPr>
          <w:highlight w:val="none"/>
        </w:rPr>
        <w:t>.1</w:t>
      </w:r>
      <w:r>
        <w:rPr>
          <w:rFonts w:hint="eastAsia"/>
          <w:highlight w:val="none"/>
          <w:lang w:val="en-US" w:eastAsia="zh-CN"/>
        </w:rPr>
        <w:t xml:space="preserve">-1 </w:t>
      </w:r>
      <w:r>
        <w:rPr>
          <w:rFonts w:hint="eastAsia"/>
          <w:highlight w:val="none"/>
        </w:rPr>
        <w:t>文明施工管理组织机构</w:t>
      </w:r>
    </w:p>
    <w:p w14:paraId="06D99A1C">
      <w:pPr>
        <w:pStyle w:val="4"/>
        <w:tabs>
          <w:tab w:val="left" w:pos="240"/>
        </w:tabs>
        <w:bidi w:val="0"/>
        <w:rPr>
          <w:rFonts w:hint="default"/>
          <w:highlight w:val="none"/>
          <w:lang w:val="en-US" w:eastAsia="zh-CN"/>
        </w:rPr>
      </w:pPr>
      <w:r>
        <w:rPr>
          <w:rFonts w:hint="eastAsia"/>
          <w:highlight w:val="none"/>
          <w:lang w:val="en-US" w:eastAsia="zh-CN"/>
        </w:rPr>
        <w:t>10.2.2</w:t>
      </w:r>
      <w:r>
        <w:rPr>
          <w:rFonts w:hint="eastAsia"/>
          <w:highlight w:val="none"/>
        </w:rPr>
        <w:t>文明施工保证体系</w:t>
      </w:r>
    </w:p>
    <w:p w14:paraId="39896CCA">
      <w:pPr>
        <w:pStyle w:val="43"/>
        <w:rPr>
          <w:highlight w:val="none"/>
        </w:rPr>
      </w:pPr>
      <w:r>
        <w:rPr>
          <w:highlight w:val="none"/>
        </w:rPr>
        <mc:AlternateContent>
          <mc:Choice Requires="wpg">
            <w:drawing>
              <wp:inline distT="0" distB="0" distL="0" distR="0">
                <wp:extent cx="4109085" cy="3856355"/>
                <wp:effectExtent l="6350" t="6350" r="12065" b="10795"/>
                <wp:docPr id="42" name="Group 2503"/>
                <wp:cNvGraphicFramePr/>
                <a:graphic xmlns:a="http://schemas.openxmlformats.org/drawingml/2006/main">
                  <a:graphicData uri="http://schemas.microsoft.com/office/word/2010/wordprocessingGroup">
                    <wpg:wgp>
                      <wpg:cNvGrpSpPr/>
                      <wpg:grpSpPr>
                        <a:xfrm>
                          <a:off x="0" y="0"/>
                          <a:ext cx="4109085" cy="3856355"/>
                          <a:chOff x="0" y="0"/>
                          <a:chExt cx="7901" cy="5079"/>
                        </a:xfrm>
                      </wpg:grpSpPr>
                      <wps:wsp>
                        <wps:cNvPr id="43" name="Text Box 2504"/>
                        <wps:cNvSpPr txBox="1">
                          <a:spLocks noChangeArrowheads="1"/>
                        </wps:cNvSpPr>
                        <wps:spPr bwMode="auto">
                          <a:xfrm>
                            <a:off x="0" y="1142"/>
                            <a:ext cx="804" cy="2272"/>
                          </a:xfrm>
                          <a:prstGeom prst="rect">
                            <a:avLst/>
                          </a:prstGeom>
                          <a:solidFill>
                            <a:schemeClr val="accent6">
                              <a:lumMod val="40000"/>
                              <a:lumOff val="60000"/>
                            </a:schemeClr>
                          </a:solidFill>
                          <a:ln w="12700">
                            <a:solidFill>
                              <a:srgbClr val="0000C8"/>
                            </a:solidFill>
                            <a:miter lim="800000"/>
                          </a:ln>
                        </wps:spPr>
                        <wps:txbx>
                          <w:txbxContent>
                            <w:p w14:paraId="209F85CE">
                              <w:pPr>
                                <w:pStyle w:val="55"/>
                              </w:pPr>
                              <w:r>
                                <w:rPr>
                                  <w:rFonts w:hint="eastAsia"/>
                                </w:rPr>
                                <w:t>文明</w:t>
                              </w:r>
                            </w:p>
                            <w:p w14:paraId="53BA0AD4">
                              <w:pPr>
                                <w:pStyle w:val="55"/>
                              </w:pPr>
                              <w:r>
                                <w:rPr>
                                  <w:rFonts w:hint="eastAsia"/>
                                </w:rPr>
                                <w:t>施工</w:t>
                              </w:r>
                            </w:p>
                            <w:p w14:paraId="77B72A2D">
                              <w:pPr>
                                <w:pStyle w:val="55"/>
                              </w:pPr>
                              <w:r>
                                <w:rPr>
                                  <w:rFonts w:hint="eastAsia"/>
                                </w:rPr>
                                <w:t>保证</w:t>
                              </w:r>
                            </w:p>
                            <w:p w14:paraId="519B8397">
                              <w:pPr>
                                <w:pStyle w:val="55"/>
                              </w:pPr>
                              <w:r>
                                <w:rPr>
                                  <w:rFonts w:hint="eastAsia"/>
                                </w:rPr>
                                <w:t>体系</w:t>
                              </w:r>
                            </w:p>
                          </w:txbxContent>
                        </wps:txbx>
                        <wps:bodyPr rot="0" vert="horz" wrap="square" lIns="0" tIns="0" rIns="0" bIns="0" anchor="ctr" anchorCtr="0" upright="1">
                          <a:noAutofit/>
                        </wps:bodyPr>
                      </wps:wsp>
                      <wps:wsp>
                        <wps:cNvPr id="45" name="Line 2505"/>
                        <wps:cNvCnPr>
                          <a:cxnSpLocks noChangeShapeType="1"/>
                        </wps:cNvCnPr>
                        <wps:spPr bwMode="auto">
                          <a:xfrm>
                            <a:off x="806" y="2267"/>
                            <a:ext cx="195" cy="0"/>
                          </a:xfrm>
                          <a:prstGeom prst="line">
                            <a:avLst/>
                          </a:prstGeom>
                          <a:noFill/>
                          <a:ln w="12700">
                            <a:solidFill>
                              <a:srgbClr val="0000C8"/>
                            </a:solidFill>
                            <a:round/>
                          </a:ln>
                        </wps:spPr>
                        <wps:bodyPr/>
                      </wps:wsp>
                      <wps:wsp>
                        <wps:cNvPr id="46" name="Line 2506"/>
                        <wps:cNvCnPr>
                          <a:cxnSpLocks noChangeShapeType="1"/>
                        </wps:cNvCnPr>
                        <wps:spPr bwMode="auto">
                          <a:xfrm>
                            <a:off x="1001" y="385"/>
                            <a:ext cx="0" cy="3740"/>
                          </a:xfrm>
                          <a:prstGeom prst="line">
                            <a:avLst/>
                          </a:prstGeom>
                          <a:noFill/>
                          <a:ln w="12700">
                            <a:solidFill>
                              <a:srgbClr val="0000C8"/>
                            </a:solidFill>
                            <a:round/>
                          </a:ln>
                        </wps:spPr>
                        <wps:bodyPr/>
                      </wps:wsp>
                      <wps:wsp>
                        <wps:cNvPr id="47" name="Line 2507"/>
                        <wps:cNvCnPr>
                          <a:cxnSpLocks noChangeShapeType="1"/>
                        </wps:cNvCnPr>
                        <wps:spPr bwMode="auto">
                          <a:xfrm>
                            <a:off x="1001" y="385"/>
                            <a:ext cx="214" cy="0"/>
                          </a:xfrm>
                          <a:prstGeom prst="line">
                            <a:avLst/>
                          </a:prstGeom>
                          <a:noFill/>
                          <a:ln w="12700">
                            <a:solidFill>
                              <a:srgbClr val="0000C8"/>
                            </a:solidFill>
                            <a:round/>
                          </a:ln>
                        </wps:spPr>
                        <wps:bodyPr/>
                      </wps:wsp>
                      <wps:wsp>
                        <wps:cNvPr id="60" name="Text Box 2508"/>
                        <wps:cNvSpPr txBox="1">
                          <a:spLocks noChangeArrowheads="1"/>
                        </wps:cNvSpPr>
                        <wps:spPr bwMode="auto">
                          <a:xfrm>
                            <a:off x="1215" y="233"/>
                            <a:ext cx="1351" cy="303"/>
                          </a:xfrm>
                          <a:prstGeom prst="rect">
                            <a:avLst/>
                          </a:prstGeom>
                          <a:solidFill>
                            <a:schemeClr val="accent6">
                              <a:lumMod val="40000"/>
                              <a:lumOff val="60000"/>
                            </a:schemeClr>
                          </a:solidFill>
                          <a:ln w="12700">
                            <a:solidFill>
                              <a:srgbClr val="0000C8"/>
                            </a:solidFill>
                            <a:miter lim="800000"/>
                          </a:ln>
                        </wps:spPr>
                        <wps:txbx>
                          <w:txbxContent>
                            <w:p w14:paraId="4EFF3C13">
                              <w:pPr>
                                <w:pStyle w:val="55"/>
                              </w:pPr>
                              <w:r>
                                <w:rPr>
                                  <w:rFonts w:hint="eastAsia"/>
                                </w:rPr>
                                <w:t>思想保证</w:t>
                              </w:r>
                            </w:p>
                          </w:txbxContent>
                        </wps:txbx>
                        <wps:bodyPr rot="0" vert="horz" wrap="square" lIns="0" tIns="0" rIns="0" bIns="0" anchor="ctr" anchorCtr="0" upright="1">
                          <a:noAutofit/>
                        </wps:bodyPr>
                      </wps:wsp>
                      <wps:wsp>
                        <wps:cNvPr id="61" name="Line 2509"/>
                        <wps:cNvCnPr>
                          <a:cxnSpLocks noChangeShapeType="1"/>
                        </wps:cNvCnPr>
                        <wps:spPr bwMode="auto">
                          <a:xfrm>
                            <a:off x="1002" y="1142"/>
                            <a:ext cx="214" cy="0"/>
                          </a:xfrm>
                          <a:prstGeom prst="line">
                            <a:avLst/>
                          </a:prstGeom>
                          <a:noFill/>
                          <a:ln w="12700">
                            <a:solidFill>
                              <a:srgbClr val="0000C8"/>
                            </a:solidFill>
                            <a:round/>
                          </a:ln>
                        </wps:spPr>
                        <wps:bodyPr/>
                      </wps:wsp>
                      <wps:wsp>
                        <wps:cNvPr id="111" name="Text Box 2510"/>
                        <wps:cNvSpPr txBox="1">
                          <a:spLocks noChangeArrowheads="1"/>
                        </wps:cNvSpPr>
                        <wps:spPr bwMode="auto">
                          <a:xfrm>
                            <a:off x="1215" y="990"/>
                            <a:ext cx="1351" cy="303"/>
                          </a:xfrm>
                          <a:prstGeom prst="rect">
                            <a:avLst/>
                          </a:prstGeom>
                          <a:solidFill>
                            <a:schemeClr val="accent6">
                              <a:lumMod val="40000"/>
                              <a:lumOff val="60000"/>
                            </a:schemeClr>
                          </a:solidFill>
                          <a:ln w="12700">
                            <a:solidFill>
                              <a:srgbClr val="0000C8"/>
                            </a:solidFill>
                            <a:miter lim="800000"/>
                          </a:ln>
                        </wps:spPr>
                        <wps:txbx>
                          <w:txbxContent>
                            <w:p w14:paraId="15F6CE71">
                              <w:pPr>
                                <w:pStyle w:val="55"/>
                              </w:pPr>
                              <w:r>
                                <w:rPr>
                                  <w:rFonts w:hint="eastAsia"/>
                                </w:rPr>
                                <w:t>组织保证</w:t>
                              </w:r>
                            </w:p>
                          </w:txbxContent>
                        </wps:txbx>
                        <wps:bodyPr rot="0" vert="horz" wrap="square" lIns="0" tIns="0" rIns="0" bIns="0" anchor="ctr" anchorCtr="0" upright="1">
                          <a:noAutofit/>
                        </wps:bodyPr>
                      </wps:wsp>
                      <wps:wsp>
                        <wps:cNvPr id="62" name="Line 2511"/>
                        <wps:cNvCnPr>
                          <a:cxnSpLocks noChangeShapeType="1"/>
                        </wps:cNvCnPr>
                        <wps:spPr bwMode="auto">
                          <a:xfrm>
                            <a:off x="2566" y="1142"/>
                            <a:ext cx="479" cy="0"/>
                          </a:xfrm>
                          <a:prstGeom prst="line">
                            <a:avLst/>
                          </a:prstGeom>
                          <a:noFill/>
                          <a:ln w="12700">
                            <a:solidFill>
                              <a:srgbClr val="0000C8"/>
                            </a:solidFill>
                            <a:round/>
                          </a:ln>
                        </wps:spPr>
                        <wps:bodyPr/>
                      </wps:wsp>
                      <wps:wsp>
                        <wps:cNvPr id="63" name="Text Box 2512"/>
                        <wps:cNvSpPr txBox="1">
                          <a:spLocks noChangeArrowheads="1"/>
                        </wps:cNvSpPr>
                        <wps:spPr bwMode="auto">
                          <a:xfrm>
                            <a:off x="3045" y="990"/>
                            <a:ext cx="2533" cy="303"/>
                          </a:xfrm>
                          <a:prstGeom prst="rect">
                            <a:avLst/>
                          </a:prstGeom>
                          <a:solidFill>
                            <a:schemeClr val="accent6">
                              <a:lumMod val="40000"/>
                              <a:lumOff val="60000"/>
                            </a:schemeClr>
                          </a:solidFill>
                          <a:ln w="12700">
                            <a:solidFill>
                              <a:srgbClr val="0000C8"/>
                            </a:solidFill>
                            <a:miter lim="800000"/>
                          </a:ln>
                        </wps:spPr>
                        <wps:txbx>
                          <w:txbxContent>
                            <w:p w14:paraId="4A0724CE">
                              <w:pPr>
                                <w:pStyle w:val="55"/>
                              </w:pPr>
                              <w:r>
                                <w:rPr>
                                  <w:rFonts w:hint="eastAsia"/>
                                </w:rPr>
                                <w:t>成立</w:t>
                              </w:r>
                              <w:r>
                                <w:rPr>
                                  <w:rFonts w:hint="eastAsia"/>
                                  <w:lang w:val="en-US" w:eastAsia="zh-CN"/>
                                </w:rPr>
                                <w:t>文明施工</w:t>
                              </w:r>
                              <w:r>
                                <w:rPr>
                                  <w:rFonts w:hint="eastAsia"/>
                                </w:rPr>
                                <w:t>领导小组</w:t>
                              </w:r>
                            </w:p>
                          </w:txbxContent>
                        </wps:txbx>
                        <wps:bodyPr rot="0" vert="horz" wrap="square" lIns="108000" tIns="0" rIns="0" bIns="0" anchor="ctr" anchorCtr="0" upright="1">
                          <a:noAutofit/>
                        </wps:bodyPr>
                      </wps:wsp>
                      <wps:wsp>
                        <wps:cNvPr id="66" name="Text Box 2513"/>
                        <wps:cNvSpPr txBox="1">
                          <a:spLocks noChangeArrowheads="1"/>
                        </wps:cNvSpPr>
                        <wps:spPr bwMode="auto">
                          <a:xfrm>
                            <a:off x="3045" y="0"/>
                            <a:ext cx="2533" cy="302"/>
                          </a:xfrm>
                          <a:prstGeom prst="rect">
                            <a:avLst/>
                          </a:prstGeom>
                          <a:solidFill>
                            <a:schemeClr val="accent6">
                              <a:lumMod val="40000"/>
                              <a:lumOff val="60000"/>
                            </a:schemeClr>
                          </a:solidFill>
                          <a:ln w="12700">
                            <a:solidFill>
                              <a:srgbClr val="0000C8"/>
                            </a:solidFill>
                            <a:miter lim="800000"/>
                          </a:ln>
                        </wps:spPr>
                        <wps:txbx>
                          <w:txbxContent>
                            <w:p w14:paraId="37ABD7C1">
                              <w:pPr>
                                <w:pStyle w:val="55"/>
                              </w:pPr>
                              <w:r>
                                <w:rPr>
                                  <w:rFonts w:hint="eastAsia"/>
                                  <w:lang w:val="en-US" w:eastAsia="zh-CN"/>
                                </w:rPr>
                                <w:t>文明施工</w:t>
                              </w:r>
                              <w:r>
                                <w:rPr>
                                  <w:rFonts w:hint="eastAsia"/>
                                </w:rPr>
                                <w:t>知识宣传教育</w:t>
                              </w:r>
                            </w:p>
                          </w:txbxContent>
                        </wps:txbx>
                        <wps:bodyPr rot="0" vert="horz" wrap="square" lIns="108000" tIns="0" rIns="0" bIns="0" anchor="ctr" anchorCtr="0" upright="1">
                          <a:noAutofit/>
                        </wps:bodyPr>
                      </wps:wsp>
                      <wps:wsp>
                        <wps:cNvPr id="85" name="Text Box 2514"/>
                        <wps:cNvSpPr txBox="1">
                          <a:spLocks noChangeArrowheads="1"/>
                        </wps:cNvSpPr>
                        <wps:spPr bwMode="auto">
                          <a:xfrm>
                            <a:off x="3045" y="453"/>
                            <a:ext cx="2533" cy="303"/>
                          </a:xfrm>
                          <a:prstGeom prst="rect">
                            <a:avLst/>
                          </a:prstGeom>
                          <a:solidFill>
                            <a:schemeClr val="accent6">
                              <a:lumMod val="40000"/>
                              <a:lumOff val="60000"/>
                            </a:schemeClr>
                          </a:solidFill>
                          <a:ln w="12700">
                            <a:solidFill>
                              <a:srgbClr val="0000C8"/>
                            </a:solidFill>
                            <a:miter lim="800000"/>
                          </a:ln>
                        </wps:spPr>
                        <wps:txbx>
                          <w:txbxContent>
                            <w:p w14:paraId="0F55C4E5">
                              <w:pPr>
                                <w:pStyle w:val="55"/>
                              </w:pPr>
                              <w:r>
                                <w:rPr>
                                  <w:rFonts w:hint="eastAsia"/>
                                </w:rPr>
                                <w:t>制定目标责任制</w:t>
                              </w:r>
                            </w:p>
                            <w:p w14:paraId="5E4A9E50">
                              <w:pPr>
                                <w:pStyle w:val="55"/>
                              </w:pPr>
                            </w:p>
                          </w:txbxContent>
                        </wps:txbx>
                        <wps:bodyPr rot="0" vert="horz" wrap="square" lIns="108000" tIns="0" rIns="0" bIns="0" anchor="ctr" anchorCtr="0" upright="1">
                          <a:noAutofit/>
                        </wps:bodyPr>
                      </wps:wsp>
                      <wps:wsp>
                        <wps:cNvPr id="117" name="Line 2515"/>
                        <wps:cNvCnPr>
                          <a:cxnSpLocks noChangeShapeType="1"/>
                        </wps:cNvCnPr>
                        <wps:spPr bwMode="auto">
                          <a:xfrm>
                            <a:off x="2707" y="158"/>
                            <a:ext cx="0" cy="447"/>
                          </a:xfrm>
                          <a:prstGeom prst="line">
                            <a:avLst/>
                          </a:prstGeom>
                          <a:noFill/>
                          <a:ln w="12700">
                            <a:solidFill>
                              <a:srgbClr val="0000C8"/>
                            </a:solidFill>
                            <a:round/>
                          </a:ln>
                        </wps:spPr>
                        <wps:bodyPr/>
                      </wps:wsp>
                      <wps:wsp>
                        <wps:cNvPr id="86" name="Line 2516"/>
                        <wps:cNvCnPr>
                          <a:cxnSpLocks noChangeShapeType="1"/>
                        </wps:cNvCnPr>
                        <wps:spPr bwMode="auto">
                          <a:xfrm>
                            <a:off x="2707" y="158"/>
                            <a:ext cx="338" cy="0"/>
                          </a:xfrm>
                          <a:prstGeom prst="line">
                            <a:avLst/>
                          </a:prstGeom>
                          <a:noFill/>
                          <a:ln w="12700">
                            <a:solidFill>
                              <a:srgbClr val="0000C8"/>
                            </a:solidFill>
                            <a:round/>
                          </a:ln>
                        </wps:spPr>
                        <wps:bodyPr/>
                      </wps:wsp>
                      <wps:wsp>
                        <wps:cNvPr id="119" name="Line 2517"/>
                        <wps:cNvCnPr>
                          <a:cxnSpLocks noChangeShapeType="1"/>
                        </wps:cNvCnPr>
                        <wps:spPr bwMode="auto">
                          <a:xfrm>
                            <a:off x="2707" y="605"/>
                            <a:ext cx="338" cy="0"/>
                          </a:xfrm>
                          <a:prstGeom prst="line">
                            <a:avLst/>
                          </a:prstGeom>
                          <a:noFill/>
                          <a:ln w="12700">
                            <a:solidFill>
                              <a:srgbClr val="0000C8"/>
                            </a:solidFill>
                            <a:round/>
                          </a:ln>
                        </wps:spPr>
                        <wps:bodyPr/>
                      </wps:wsp>
                      <wps:wsp>
                        <wps:cNvPr id="87" name="Line 2518"/>
                        <wps:cNvCnPr>
                          <a:cxnSpLocks noChangeShapeType="1"/>
                        </wps:cNvCnPr>
                        <wps:spPr bwMode="auto">
                          <a:xfrm>
                            <a:off x="1001" y="2039"/>
                            <a:ext cx="143" cy="0"/>
                          </a:xfrm>
                          <a:prstGeom prst="line">
                            <a:avLst/>
                          </a:prstGeom>
                          <a:noFill/>
                          <a:ln w="12700">
                            <a:solidFill>
                              <a:srgbClr val="0000C8"/>
                            </a:solidFill>
                            <a:round/>
                          </a:ln>
                        </wps:spPr>
                        <wps:bodyPr/>
                      </wps:wsp>
                      <wps:wsp>
                        <wps:cNvPr id="122" name="Text Box 2519"/>
                        <wps:cNvSpPr txBox="1">
                          <a:spLocks noChangeArrowheads="1"/>
                        </wps:cNvSpPr>
                        <wps:spPr bwMode="auto">
                          <a:xfrm>
                            <a:off x="1144" y="1887"/>
                            <a:ext cx="1352" cy="303"/>
                          </a:xfrm>
                          <a:prstGeom prst="rect">
                            <a:avLst/>
                          </a:prstGeom>
                          <a:solidFill>
                            <a:schemeClr val="accent6">
                              <a:lumMod val="40000"/>
                              <a:lumOff val="60000"/>
                            </a:schemeClr>
                          </a:solidFill>
                          <a:ln w="12700">
                            <a:solidFill>
                              <a:srgbClr val="0000C8"/>
                            </a:solidFill>
                            <a:miter lim="800000"/>
                          </a:ln>
                        </wps:spPr>
                        <wps:txbx>
                          <w:txbxContent>
                            <w:p w14:paraId="7225D39B">
                              <w:pPr>
                                <w:pStyle w:val="55"/>
                              </w:pPr>
                              <w:r>
                                <w:rPr>
                                  <w:rFonts w:hint="eastAsia"/>
                                </w:rPr>
                                <w:t>技术保证</w:t>
                              </w:r>
                            </w:p>
                          </w:txbxContent>
                        </wps:txbx>
                        <wps:bodyPr rot="0" vert="horz" wrap="square" lIns="0" tIns="0" rIns="0" bIns="0" anchor="ctr" anchorCtr="0" upright="1">
                          <a:noAutofit/>
                        </wps:bodyPr>
                      </wps:wsp>
                      <wps:wsp>
                        <wps:cNvPr id="123" name="Line 2520"/>
                        <wps:cNvCnPr>
                          <a:cxnSpLocks noChangeShapeType="1"/>
                        </wps:cNvCnPr>
                        <wps:spPr bwMode="auto">
                          <a:xfrm>
                            <a:off x="2496" y="2039"/>
                            <a:ext cx="549" cy="0"/>
                          </a:xfrm>
                          <a:prstGeom prst="line">
                            <a:avLst/>
                          </a:prstGeom>
                          <a:noFill/>
                          <a:ln w="12700">
                            <a:solidFill>
                              <a:srgbClr val="0000C8"/>
                            </a:solidFill>
                            <a:round/>
                          </a:ln>
                        </wps:spPr>
                        <wps:bodyPr/>
                      </wps:wsp>
                      <wps:wsp>
                        <wps:cNvPr id="125" name="Text Box 2521"/>
                        <wps:cNvSpPr txBox="1">
                          <a:spLocks noChangeArrowheads="1"/>
                        </wps:cNvSpPr>
                        <wps:spPr bwMode="auto">
                          <a:xfrm>
                            <a:off x="3045" y="1887"/>
                            <a:ext cx="3390" cy="303"/>
                          </a:xfrm>
                          <a:prstGeom prst="rect">
                            <a:avLst/>
                          </a:prstGeom>
                          <a:solidFill>
                            <a:schemeClr val="accent6">
                              <a:lumMod val="40000"/>
                              <a:lumOff val="60000"/>
                            </a:schemeClr>
                          </a:solidFill>
                          <a:ln w="12700">
                            <a:solidFill>
                              <a:srgbClr val="0000C8"/>
                            </a:solidFill>
                            <a:miter lim="800000"/>
                          </a:ln>
                        </wps:spPr>
                        <wps:txbx>
                          <w:txbxContent>
                            <w:p w14:paraId="2133FD85">
                              <w:pPr>
                                <w:pStyle w:val="55"/>
                              </w:pPr>
                              <w:r>
                                <w:rPr>
                                  <w:rFonts w:hint="eastAsia"/>
                                </w:rPr>
                                <w:t>制定</w:t>
                              </w:r>
                              <w:r>
                                <w:rPr>
                                  <w:rFonts w:hint="eastAsia"/>
                                  <w:lang w:val="en-US" w:eastAsia="zh-CN"/>
                                </w:rPr>
                                <w:t>文明施工</w:t>
                              </w:r>
                              <w:r>
                                <w:rPr>
                                  <w:rFonts w:hint="eastAsia"/>
                                </w:rPr>
                                <w:t>实施方案</w:t>
                              </w:r>
                            </w:p>
                          </w:txbxContent>
                        </wps:txbx>
                        <wps:bodyPr rot="0" vert="horz" wrap="square" lIns="108000" tIns="0" rIns="0" bIns="0" anchor="ctr" anchorCtr="0" upright="1">
                          <a:noAutofit/>
                        </wps:bodyPr>
                      </wps:wsp>
                      <wps:wsp>
                        <wps:cNvPr id="129" name="Text Box 2522"/>
                        <wps:cNvSpPr txBox="1">
                          <a:spLocks noChangeArrowheads="1"/>
                        </wps:cNvSpPr>
                        <wps:spPr bwMode="auto">
                          <a:xfrm>
                            <a:off x="3045" y="1510"/>
                            <a:ext cx="3390" cy="303"/>
                          </a:xfrm>
                          <a:prstGeom prst="rect">
                            <a:avLst/>
                          </a:prstGeom>
                          <a:solidFill>
                            <a:schemeClr val="accent6">
                              <a:lumMod val="40000"/>
                              <a:lumOff val="60000"/>
                            </a:schemeClr>
                          </a:solidFill>
                          <a:ln w="12700">
                            <a:solidFill>
                              <a:srgbClr val="0000C8"/>
                            </a:solidFill>
                            <a:miter lim="800000"/>
                          </a:ln>
                        </wps:spPr>
                        <wps:txbx>
                          <w:txbxContent>
                            <w:p w14:paraId="576668E2">
                              <w:pPr>
                                <w:pStyle w:val="55"/>
                              </w:pPr>
                              <w:r>
                                <w:rPr>
                                  <w:rFonts w:hint="eastAsia"/>
                                  <w:lang w:val="en-US" w:eastAsia="zh-CN"/>
                                </w:rPr>
                                <w:t>组织</w:t>
                              </w:r>
                              <w:r>
                                <w:rPr>
                                  <w:rFonts w:hint="eastAsia"/>
                                </w:rPr>
                                <w:t>员工培训</w:t>
                              </w:r>
                            </w:p>
                          </w:txbxContent>
                        </wps:txbx>
                        <wps:bodyPr rot="0" vert="horz" wrap="square" lIns="108000" tIns="0" rIns="0" bIns="0" anchor="ctr" anchorCtr="0" upright="1">
                          <a:noAutofit/>
                        </wps:bodyPr>
                      </wps:wsp>
                      <wps:wsp>
                        <wps:cNvPr id="131" name="Line 2523"/>
                        <wps:cNvCnPr>
                          <a:cxnSpLocks noChangeShapeType="1"/>
                        </wps:cNvCnPr>
                        <wps:spPr bwMode="auto">
                          <a:xfrm>
                            <a:off x="2707" y="1659"/>
                            <a:ext cx="0" cy="767"/>
                          </a:xfrm>
                          <a:prstGeom prst="line">
                            <a:avLst/>
                          </a:prstGeom>
                          <a:noFill/>
                          <a:ln w="12700">
                            <a:solidFill>
                              <a:srgbClr val="0000C8"/>
                            </a:solidFill>
                            <a:round/>
                          </a:ln>
                        </wps:spPr>
                        <wps:bodyPr/>
                      </wps:wsp>
                      <wps:wsp>
                        <wps:cNvPr id="133" name="Line 2524"/>
                        <wps:cNvCnPr>
                          <a:cxnSpLocks noChangeShapeType="1"/>
                        </wps:cNvCnPr>
                        <wps:spPr bwMode="auto">
                          <a:xfrm>
                            <a:off x="2707" y="1659"/>
                            <a:ext cx="338" cy="0"/>
                          </a:xfrm>
                          <a:prstGeom prst="line">
                            <a:avLst/>
                          </a:prstGeom>
                          <a:noFill/>
                          <a:ln w="12700">
                            <a:solidFill>
                              <a:srgbClr val="0000C8"/>
                            </a:solidFill>
                            <a:round/>
                          </a:ln>
                        </wps:spPr>
                        <wps:bodyPr/>
                      </wps:wsp>
                      <wps:wsp>
                        <wps:cNvPr id="134" name="Line 2525"/>
                        <wps:cNvCnPr>
                          <a:cxnSpLocks noChangeShapeType="1"/>
                        </wps:cNvCnPr>
                        <wps:spPr bwMode="auto">
                          <a:xfrm>
                            <a:off x="1001" y="3110"/>
                            <a:ext cx="143" cy="0"/>
                          </a:xfrm>
                          <a:prstGeom prst="line">
                            <a:avLst/>
                          </a:prstGeom>
                          <a:noFill/>
                          <a:ln w="12700">
                            <a:solidFill>
                              <a:srgbClr val="0000C8"/>
                            </a:solidFill>
                            <a:round/>
                          </a:ln>
                        </wps:spPr>
                        <wps:bodyPr/>
                      </wps:wsp>
                      <wps:wsp>
                        <wps:cNvPr id="135" name="Text Box 2526"/>
                        <wps:cNvSpPr txBox="1">
                          <a:spLocks noChangeArrowheads="1"/>
                        </wps:cNvSpPr>
                        <wps:spPr bwMode="auto">
                          <a:xfrm>
                            <a:off x="1144" y="2959"/>
                            <a:ext cx="1352" cy="303"/>
                          </a:xfrm>
                          <a:prstGeom prst="rect">
                            <a:avLst/>
                          </a:prstGeom>
                          <a:solidFill>
                            <a:schemeClr val="accent6">
                              <a:lumMod val="40000"/>
                              <a:lumOff val="60000"/>
                            </a:schemeClr>
                          </a:solidFill>
                          <a:ln w="12700">
                            <a:solidFill>
                              <a:srgbClr val="0000C8"/>
                            </a:solidFill>
                            <a:miter lim="800000"/>
                          </a:ln>
                        </wps:spPr>
                        <wps:txbx>
                          <w:txbxContent>
                            <w:p w14:paraId="1AE9498B">
                              <w:pPr>
                                <w:pStyle w:val="55"/>
                              </w:pPr>
                              <w:r>
                                <w:rPr>
                                  <w:rFonts w:hint="eastAsia"/>
                                </w:rPr>
                                <w:t>制度保证</w:t>
                              </w:r>
                            </w:p>
                          </w:txbxContent>
                        </wps:txbx>
                        <wps:bodyPr rot="0" vert="horz" wrap="square" lIns="0" tIns="0" rIns="0" bIns="0" anchor="ctr" anchorCtr="0" upright="1">
                          <a:noAutofit/>
                        </wps:bodyPr>
                      </wps:wsp>
                      <wps:wsp>
                        <wps:cNvPr id="136" name="Text Box 2527"/>
                        <wps:cNvSpPr txBox="1">
                          <a:spLocks noChangeArrowheads="1"/>
                        </wps:cNvSpPr>
                        <wps:spPr bwMode="auto">
                          <a:xfrm>
                            <a:off x="3045" y="3111"/>
                            <a:ext cx="3390" cy="303"/>
                          </a:xfrm>
                          <a:prstGeom prst="rect">
                            <a:avLst/>
                          </a:prstGeom>
                          <a:solidFill>
                            <a:schemeClr val="accent6">
                              <a:lumMod val="40000"/>
                              <a:lumOff val="60000"/>
                            </a:schemeClr>
                          </a:solidFill>
                          <a:ln w="12700">
                            <a:solidFill>
                              <a:srgbClr val="0000C8"/>
                            </a:solidFill>
                            <a:miter lim="800000"/>
                          </a:ln>
                        </wps:spPr>
                        <wps:txbx>
                          <w:txbxContent>
                            <w:p w14:paraId="165EE4CD">
                              <w:pPr>
                                <w:pStyle w:val="55"/>
                              </w:pPr>
                              <w:r>
                                <w:rPr>
                                  <w:rFonts w:hint="eastAsia"/>
                                </w:rPr>
                                <w:t>公司、项目部相关规章制度</w:t>
                              </w:r>
                            </w:p>
                          </w:txbxContent>
                        </wps:txbx>
                        <wps:bodyPr rot="0" vert="horz" wrap="square" lIns="108000" tIns="0" rIns="0" bIns="0" anchor="ctr" anchorCtr="0" upright="1">
                          <a:noAutofit/>
                        </wps:bodyPr>
                      </wps:wsp>
                      <wps:wsp>
                        <wps:cNvPr id="137" name="Text Box 2528"/>
                        <wps:cNvSpPr txBox="1">
                          <a:spLocks noChangeArrowheads="1"/>
                        </wps:cNvSpPr>
                        <wps:spPr bwMode="auto">
                          <a:xfrm>
                            <a:off x="3045" y="2734"/>
                            <a:ext cx="3390" cy="303"/>
                          </a:xfrm>
                          <a:prstGeom prst="rect">
                            <a:avLst/>
                          </a:prstGeom>
                          <a:solidFill>
                            <a:schemeClr val="accent6">
                              <a:lumMod val="40000"/>
                              <a:lumOff val="60000"/>
                            </a:schemeClr>
                          </a:solidFill>
                          <a:ln w="12700">
                            <a:solidFill>
                              <a:srgbClr val="0000C8"/>
                            </a:solidFill>
                            <a:miter lim="800000"/>
                          </a:ln>
                        </wps:spPr>
                        <wps:txbx>
                          <w:txbxContent>
                            <w:p w14:paraId="7D045E22">
                              <w:pPr>
                                <w:pStyle w:val="55"/>
                              </w:pPr>
                              <w:r>
                                <w:rPr>
                                  <w:rFonts w:hint="eastAsia"/>
                                </w:rPr>
                                <w:t>国家、相关部委相关法律、法规</w:t>
                              </w:r>
                            </w:p>
                          </w:txbxContent>
                        </wps:txbx>
                        <wps:bodyPr rot="0" vert="horz" wrap="square" lIns="108000" tIns="0" rIns="0" bIns="0" anchor="ctr" anchorCtr="0" upright="1">
                          <a:noAutofit/>
                        </wps:bodyPr>
                      </wps:wsp>
                      <wps:wsp>
                        <wps:cNvPr id="138" name="Line 2529"/>
                        <wps:cNvCnPr>
                          <a:cxnSpLocks noChangeShapeType="1"/>
                        </wps:cNvCnPr>
                        <wps:spPr bwMode="auto">
                          <a:xfrm>
                            <a:off x="2707" y="2883"/>
                            <a:ext cx="0" cy="379"/>
                          </a:xfrm>
                          <a:prstGeom prst="line">
                            <a:avLst/>
                          </a:prstGeom>
                          <a:noFill/>
                          <a:ln w="12700">
                            <a:solidFill>
                              <a:srgbClr val="0000C8"/>
                            </a:solidFill>
                            <a:round/>
                          </a:ln>
                        </wps:spPr>
                        <wps:bodyPr/>
                      </wps:wsp>
                      <wps:wsp>
                        <wps:cNvPr id="139" name="Line 2530"/>
                        <wps:cNvCnPr>
                          <a:cxnSpLocks noChangeShapeType="1"/>
                        </wps:cNvCnPr>
                        <wps:spPr bwMode="auto">
                          <a:xfrm>
                            <a:off x="2707" y="2883"/>
                            <a:ext cx="338" cy="0"/>
                          </a:xfrm>
                          <a:prstGeom prst="line">
                            <a:avLst/>
                          </a:prstGeom>
                          <a:noFill/>
                          <a:ln w="12700">
                            <a:solidFill>
                              <a:srgbClr val="0000C8"/>
                            </a:solidFill>
                            <a:round/>
                          </a:ln>
                        </wps:spPr>
                        <wps:bodyPr/>
                      </wps:wsp>
                      <wps:wsp>
                        <wps:cNvPr id="140" name="Line 2531"/>
                        <wps:cNvCnPr>
                          <a:cxnSpLocks noChangeShapeType="1"/>
                        </wps:cNvCnPr>
                        <wps:spPr bwMode="auto">
                          <a:xfrm>
                            <a:off x="1001" y="4125"/>
                            <a:ext cx="143" cy="0"/>
                          </a:xfrm>
                          <a:prstGeom prst="line">
                            <a:avLst/>
                          </a:prstGeom>
                          <a:noFill/>
                          <a:ln w="12700">
                            <a:solidFill>
                              <a:srgbClr val="0000C8"/>
                            </a:solidFill>
                            <a:round/>
                          </a:ln>
                        </wps:spPr>
                        <wps:bodyPr/>
                      </wps:wsp>
                      <wps:wsp>
                        <wps:cNvPr id="145" name="Text Box 2532"/>
                        <wps:cNvSpPr txBox="1">
                          <a:spLocks noChangeArrowheads="1"/>
                        </wps:cNvSpPr>
                        <wps:spPr bwMode="auto">
                          <a:xfrm>
                            <a:off x="1144" y="3973"/>
                            <a:ext cx="1352" cy="304"/>
                          </a:xfrm>
                          <a:prstGeom prst="rect">
                            <a:avLst/>
                          </a:prstGeom>
                          <a:solidFill>
                            <a:schemeClr val="accent6">
                              <a:lumMod val="40000"/>
                              <a:lumOff val="60000"/>
                            </a:schemeClr>
                          </a:solidFill>
                          <a:ln w="12700">
                            <a:solidFill>
                              <a:srgbClr val="0000C8"/>
                            </a:solidFill>
                            <a:miter lim="800000"/>
                          </a:ln>
                        </wps:spPr>
                        <wps:txbx>
                          <w:txbxContent>
                            <w:p w14:paraId="1F87DEFE">
                              <w:pPr>
                                <w:pStyle w:val="55"/>
                              </w:pPr>
                              <w:r>
                                <w:rPr>
                                  <w:rFonts w:hint="eastAsia"/>
                                </w:rPr>
                                <w:t>施工保证</w:t>
                              </w:r>
                            </w:p>
                          </w:txbxContent>
                        </wps:txbx>
                        <wps:bodyPr rot="0" vert="horz" wrap="square" lIns="0" tIns="0" rIns="0" bIns="0" anchor="ctr" anchorCtr="0" upright="1">
                          <a:noAutofit/>
                        </wps:bodyPr>
                      </wps:wsp>
                      <wps:wsp>
                        <wps:cNvPr id="141" name="Line 2533"/>
                        <wps:cNvCnPr>
                          <a:cxnSpLocks noChangeShapeType="1"/>
                        </wps:cNvCnPr>
                        <wps:spPr bwMode="auto">
                          <a:xfrm>
                            <a:off x="2496" y="4125"/>
                            <a:ext cx="549" cy="0"/>
                          </a:xfrm>
                          <a:prstGeom prst="line">
                            <a:avLst/>
                          </a:prstGeom>
                          <a:noFill/>
                          <a:ln w="12700">
                            <a:solidFill>
                              <a:srgbClr val="0000C8"/>
                            </a:solidFill>
                            <a:round/>
                          </a:ln>
                        </wps:spPr>
                        <wps:bodyPr/>
                      </wps:wsp>
                      <wps:wsp>
                        <wps:cNvPr id="149" name="Text Box 2534"/>
                        <wps:cNvSpPr txBox="1">
                          <a:spLocks noChangeArrowheads="1"/>
                        </wps:cNvSpPr>
                        <wps:spPr bwMode="auto">
                          <a:xfrm>
                            <a:off x="3045" y="3973"/>
                            <a:ext cx="3040" cy="304"/>
                          </a:xfrm>
                          <a:prstGeom prst="rect">
                            <a:avLst/>
                          </a:prstGeom>
                          <a:solidFill>
                            <a:schemeClr val="accent6">
                              <a:lumMod val="40000"/>
                              <a:lumOff val="60000"/>
                            </a:schemeClr>
                          </a:solidFill>
                          <a:ln w="12700">
                            <a:solidFill>
                              <a:srgbClr val="0000C8"/>
                            </a:solidFill>
                            <a:miter lim="800000"/>
                          </a:ln>
                        </wps:spPr>
                        <wps:txbx>
                          <w:txbxContent>
                            <w:p w14:paraId="682983E1">
                              <w:pPr>
                                <w:pStyle w:val="55"/>
                              </w:pPr>
                              <w:r>
                                <w:rPr>
                                  <w:rFonts w:hint="eastAsia"/>
                                  <w:lang w:val="en-US" w:eastAsia="zh-CN"/>
                                </w:rPr>
                                <w:t>文明</w:t>
                              </w:r>
                              <w:r>
                                <w:rPr>
                                  <w:rFonts w:hint="eastAsia"/>
                                </w:rPr>
                                <w:t>施工工艺保证</w:t>
                              </w:r>
                            </w:p>
                          </w:txbxContent>
                        </wps:txbx>
                        <wps:bodyPr rot="0" vert="horz" wrap="square" lIns="108000" tIns="0" rIns="0" bIns="0" anchor="ctr" anchorCtr="0" upright="1">
                          <a:noAutofit/>
                        </wps:bodyPr>
                      </wps:wsp>
                      <wps:wsp>
                        <wps:cNvPr id="150" name="Text Box 2535"/>
                        <wps:cNvSpPr txBox="1">
                          <a:spLocks noChangeArrowheads="1"/>
                        </wps:cNvSpPr>
                        <wps:spPr bwMode="auto">
                          <a:xfrm>
                            <a:off x="3045" y="3596"/>
                            <a:ext cx="3040" cy="303"/>
                          </a:xfrm>
                          <a:prstGeom prst="rect">
                            <a:avLst/>
                          </a:prstGeom>
                          <a:solidFill>
                            <a:schemeClr val="accent6">
                              <a:lumMod val="40000"/>
                              <a:lumOff val="60000"/>
                            </a:schemeClr>
                          </a:solidFill>
                          <a:ln w="12700">
                            <a:solidFill>
                              <a:srgbClr val="0000C8"/>
                            </a:solidFill>
                            <a:miter lim="800000"/>
                          </a:ln>
                        </wps:spPr>
                        <wps:txbx>
                          <w:txbxContent>
                            <w:p w14:paraId="4ADEEA52">
                              <w:pPr>
                                <w:pStyle w:val="55"/>
                              </w:pPr>
                              <w:r>
                                <w:rPr>
                                  <w:rFonts w:hint="eastAsia"/>
                                </w:rPr>
                                <w:t>落实岗位责任制</w:t>
                              </w:r>
                            </w:p>
                          </w:txbxContent>
                        </wps:txbx>
                        <wps:bodyPr rot="0" vert="horz" wrap="square" lIns="108000" tIns="0" rIns="0" bIns="0" anchor="ctr" anchorCtr="0" upright="1">
                          <a:noAutofit/>
                        </wps:bodyPr>
                      </wps:wsp>
                      <wps:wsp>
                        <wps:cNvPr id="151" name="Text Box 2536"/>
                        <wps:cNvSpPr txBox="1">
                          <a:spLocks noChangeArrowheads="1"/>
                        </wps:cNvSpPr>
                        <wps:spPr bwMode="auto">
                          <a:xfrm>
                            <a:off x="3045" y="4342"/>
                            <a:ext cx="3040" cy="302"/>
                          </a:xfrm>
                          <a:prstGeom prst="rect">
                            <a:avLst/>
                          </a:prstGeom>
                          <a:solidFill>
                            <a:schemeClr val="accent6">
                              <a:lumMod val="40000"/>
                              <a:lumOff val="60000"/>
                            </a:schemeClr>
                          </a:solidFill>
                          <a:ln w="12700">
                            <a:solidFill>
                              <a:srgbClr val="0000C8"/>
                            </a:solidFill>
                            <a:miter lim="800000"/>
                          </a:ln>
                        </wps:spPr>
                        <wps:txbx>
                          <w:txbxContent>
                            <w:p w14:paraId="2B6A1FF6">
                              <w:pPr>
                                <w:pStyle w:val="55"/>
                              </w:pPr>
                              <w:r>
                                <w:rPr>
                                  <w:rFonts w:hint="eastAsia"/>
                                </w:rPr>
                                <w:t>物资设备保证</w:t>
                              </w:r>
                            </w:p>
                          </w:txbxContent>
                        </wps:txbx>
                        <wps:bodyPr rot="0" vert="horz" wrap="square" lIns="108000" tIns="0" rIns="0" bIns="0" anchor="ctr" anchorCtr="0" upright="1">
                          <a:noAutofit/>
                        </wps:bodyPr>
                      </wps:wsp>
                      <wps:wsp>
                        <wps:cNvPr id="152" name="Line 2537"/>
                        <wps:cNvCnPr>
                          <a:cxnSpLocks noChangeShapeType="1"/>
                        </wps:cNvCnPr>
                        <wps:spPr bwMode="auto">
                          <a:xfrm>
                            <a:off x="2707" y="3747"/>
                            <a:ext cx="0" cy="1180"/>
                          </a:xfrm>
                          <a:prstGeom prst="line">
                            <a:avLst/>
                          </a:prstGeom>
                          <a:noFill/>
                          <a:ln w="12700">
                            <a:solidFill>
                              <a:srgbClr val="0000C8"/>
                            </a:solidFill>
                            <a:round/>
                          </a:ln>
                        </wps:spPr>
                        <wps:bodyPr/>
                      </wps:wsp>
                      <wps:wsp>
                        <wps:cNvPr id="153" name="Line 2538"/>
                        <wps:cNvCnPr>
                          <a:cxnSpLocks noChangeShapeType="1"/>
                        </wps:cNvCnPr>
                        <wps:spPr bwMode="auto">
                          <a:xfrm>
                            <a:off x="2707" y="3747"/>
                            <a:ext cx="338" cy="0"/>
                          </a:xfrm>
                          <a:prstGeom prst="line">
                            <a:avLst/>
                          </a:prstGeom>
                          <a:noFill/>
                          <a:ln w="12700">
                            <a:solidFill>
                              <a:srgbClr val="0000C8"/>
                            </a:solidFill>
                            <a:round/>
                          </a:ln>
                        </wps:spPr>
                        <wps:bodyPr/>
                      </wps:wsp>
                      <wps:wsp>
                        <wps:cNvPr id="154" name="Line 2539"/>
                        <wps:cNvCnPr>
                          <a:cxnSpLocks noChangeShapeType="1"/>
                        </wps:cNvCnPr>
                        <wps:spPr bwMode="auto">
                          <a:xfrm>
                            <a:off x="2707" y="4504"/>
                            <a:ext cx="338" cy="0"/>
                          </a:xfrm>
                          <a:prstGeom prst="line">
                            <a:avLst/>
                          </a:prstGeom>
                          <a:noFill/>
                          <a:ln w="12700">
                            <a:solidFill>
                              <a:srgbClr val="0000C8"/>
                            </a:solidFill>
                            <a:round/>
                          </a:ln>
                        </wps:spPr>
                        <wps:bodyPr/>
                      </wps:wsp>
                      <wps:wsp>
                        <wps:cNvPr id="155" name="Line 2540"/>
                        <wps:cNvCnPr>
                          <a:cxnSpLocks noChangeShapeType="1"/>
                        </wps:cNvCnPr>
                        <wps:spPr bwMode="auto">
                          <a:xfrm>
                            <a:off x="2566" y="358"/>
                            <a:ext cx="141" cy="0"/>
                          </a:xfrm>
                          <a:prstGeom prst="line">
                            <a:avLst/>
                          </a:prstGeom>
                          <a:noFill/>
                          <a:ln w="12700">
                            <a:solidFill>
                              <a:srgbClr val="0000C8"/>
                            </a:solidFill>
                            <a:round/>
                          </a:ln>
                        </wps:spPr>
                        <wps:bodyPr/>
                      </wps:wsp>
                      <wps:wsp>
                        <wps:cNvPr id="156" name="Text Box 2541"/>
                        <wps:cNvSpPr txBox="1">
                          <a:spLocks noChangeArrowheads="1"/>
                        </wps:cNvSpPr>
                        <wps:spPr bwMode="auto">
                          <a:xfrm>
                            <a:off x="3045" y="2276"/>
                            <a:ext cx="3390" cy="303"/>
                          </a:xfrm>
                          <a:prstGeom prst="rect">
                            <a:avLst/>
                          </a:prstGeom>
                          <a:solidFill>
                            <a:schemeClr val="accent6">
                              <a:lumMod val="40000"/>
                              <a:lumOff val="60000"/>
                            </a:schemeClr>
                          </a:solidFill>
                          <a:ln w="12700">
                            <a:solidFill>
                              <a:srgbClr val="0000C8"/>
                            </a:solidFill>
                            <a:miter lim="800000"/>
                          </a:ln>
                        </wps:spPr>
                        <wps:txbx>
                          <w:txbxContent>
                            <w:p w14:paraId="06439A43">
                              <w:pPr>
                                <w:pStyle w:val="55"/>
                              </w:pPr>
                              <w:r>
                                <w:rPr>
                                  <w:rFonts w:hint="eastAsia"/>
                                </w:rPr>
                                <w:t>制定</w:t>
                              </w:r>
                              <w:r>
                                <w:rPr>
                                  <w:rFonts w:hint="eastAsia"/>
                                  <w:lang w:val="en-US" w:eastAsia="zh-CN"/>
                                </w:rPr>
                                <w:t>文明施工</w:t>
                              </w:r>
                              <w:r>
                                <w:rPr>
                                  <w:rFonts w:hint="eastAsia"/>
                                </w:rPr>
                                <w:t>技术措施</w:t>
                              </w:r>
                            </w:p>
                          </w:txbxContent>
                        </wps:txbx>
                        <wps:bodyPr rot="0" vert="horz" wrap="square" lIns="108000" tIns="0" rIns="0" bIns="0" anchor="ctr" anchorCtr="0" upright="1">
                          <a:noAutofit/>
                        </wps:bodyPr>
                      </wps:wsp>
                      <wps:wsp>
                        <wps:cNvPr id="157" name="Line 2542"/>
                        <wps:cNvCnPr>
                          <a:cxnSpLocks noChangeShapeType="1"/>
                        </wps:cNvCnPr>
                        <wps:spPr bwMode="auto">
                          <a:xfrm>
                            <a:off x="2707" y="2426"/>
                            <a:ext cx="338" cy="0"/>
                          </a:xfrm>
                          <a:prstGeom prst="line">
                            <a:avLst/>
                          </a:prstGeom>
                          <a:noFill/>
                          <a:ln w="12700">
                            <a:solidFill>
                              <a:srgbClr val="0000C8"/>
                            </a:solidFill>
                            <a:round/>
                          </a:ln>
                        </wps:spPr>
                        <wps:bodyPr/>
                      </wps:wsp>
                      <wps:wsp>
                        <wps:cNvPr id="158" name="Text Box 2543"/>
                        <wps:cNvSpPr txBox="1">
                          <a:spLocks noChangeArrowheads="1"/>
                        </wps:cNvSpPr>
                        <wps:spPr bwMode="auto">
                          <a:xfrm>
                            <a:off x="3045" y="4776"/>
                            <a:ext cx="3040" cy="303"/>
                          </a:xfrm>
                          <a:prstGeom prst="rect">
                            <a:avLst/>
                          </a:prstGeom>
                          <a:solidFill>
                            <a:schemeClr val="accent6">
                              <a:lumMod val="40000"/>
                              <a:lumOff val="60000"/>
                            </a:schemeClr>
                          </a:solidFill>
                          <a:ln w="12700">
                            <a:solidFill>
                              <a:srgbClr val="0000C8"/>
                            </a:solidFill>
                            <a:miter lim="800000"/>
                          </a:ln>
                        </wps:spPr>
                        <wps:txbx>
                          <w:txbxContent>
                            <w:p w14:paraId="60F04E3E">
                              <w:pPr>
                                <w:pStyle w:val="55"/>
                              </w:pPr>
                              <w:r>
                                <w:rPr>
                                  <w:rFonts w:hint="eastAsia"/>
                                </w:rPr>
                                <w:t>监督、检查、改进</w:t>
                              </w:r>
                            </w:p>
                          </w:txbxContent>
                        </wps:txbx>
                        <wps:bodyPr rot="0" vert="horz" wrap="square" lIns="108000" tIns="0" rIns="0" bIns="0" anchor="ctr" anchorCtr="0" upright="1">
                          <a:noAutofit/>
                        </wps:bodyPr>
                      </wps:wsp>
                      <wps:wsp>
                        <wps:cNvPr id="142" name="Line 2544"/>
                        <wps:cNvCnPr>
                          <a:cxnSpLocks noChangeShapeType="1"/>
                        </wps:cNvCnPr>
                        <wps:spPr bwMode="auto">
                          <a:xfrm>
                            <a:off x="2707" y="4927"/>
                            <a:ext cx="338" cy="0"/>
                          </a:xfrm>
                          <a:prstGeom prst="line">
                            <a:avLst/>
                          </a:prstGeom>
                          <a:noFill/>
                          <a:ln w="12700">
                            <a:solidFill>
                              <a:srgbClr val="0000C8"/>
                            </a:solidFill>
                            <a:round/>
                          </a:ln>
                        </wps:spPr>
                        <wps:bodyPr/>
                      </wps:wsp>
                      <wps:wsp>
                        <wps:cNvPr id="143" name="Line 2545"/>
                        <wps:cNvCnPr>
                          <a:cxnSpLocks noChangeShapeType="1"/>
                        </wps:cNvCnPr>
                        <wps:spPr bwMode="auto">
                          <a:xfrm>
                            <a:off x="2707" y="3262"/>
                            <a:ext cx="338" cy="0"/>
                          </a:xfrm>
                          <a:prstGeom prst="line">
                            <a:avLst/>
                          </a:prstGeom>
                          <a:noFill/>
                          <a:ln w="12700">
                            <a:solidFill>
                              <a:srgbClr val="0000C8"/>
                            </a:solidFill>
                            <a:round/>
                          </a:ln>
                        </wps:spPr>
                        <wps:bodyPr/>
                      </wps:wsp>
                      <wps:wsp>
                        <wps:cNvPr id="144" name="Line 2546"/>
                        <wps:cNvCnPr>
                          <a:cxnSpLocks noChangeShapeType="1"/>
                        </wps:cNvCnPr>
                        <wps:spPr bwMode="auto">
                          <a:xfrm flipV="1">
                            <a:off x="2496" y="3111"/>
                            <a:ext cx="211" cy="0"/>
                          </a:xfrm>
                          <a:prstGeom prst="line">
                            <a:avLst/>
                          </a:prstGeom>
                          <a:noFill/>
                          <a:ln w="12700">
                            <a:solidFill>
                              <a:srgbClr val="0000C8"/>
                            </a:solidFill>
                            <a:round/>
                          </a:ln>
                        </wps:spPr>
                        <wps:bodyPr/>
                      </wps:wsp>
                      <wps:wsp>
                        <wps:cNvPr id="146" name="Line 2547"/>
                        <wps:cNvCnPr>
                          <a:cxnSpLocks noChangeShapeType="1"/>
                        </wps:cNvCnPr>
                        <wps:spPr bwMode="auto">
                          <a:xfrm flipV="1">
                            <a:off x="5578" y="171"/>
                            <a:ext cx="1200" cy="0"/>
                          </a:xfrm>
                          <a:prstGeom prst="line">
                            <a:avLst/>
                          </a:prstGeom>
                          <a:noFill/>
                          <a:ln w="12700">
                            <a:solidFill>
                              <a:srgbClr val="0000C8"/>
                            </a:solidFill>
                            <a:round/>
                          </a:ln>
                        </wps:spPr>
                        <wps:bodyPr/>
                      </wps:wsp>
                      <wps:wsp>
                        <wps:cNvPr id="163" name="Line 2548"/>
                        <wps:cNvCnPr>
                          <a:cxnSpLocks noChangeShapeType="1"/>
                        </wps:cNvCnPr>
                        <wps:spPr bwMode="auto">
                          <a:xfrm>
                            <a:off x="5578" y="605"/>
                            <a:ext cx="1205" cy="0"/>
                          </a:xfrm>
                          <a:prstGeom prst="line">
                            <a:avLst/>
                          </a:prstGeom>
                          <a:noFill/>
                          <a:ln w="12700">
                            <a:solidFill>
                              <a:srgbClr val="0000C8"/>
                            </a:solidFill>
                            <a:round/>
                          </a:ln>
                        </wps:spPr>
                        <wps:bodyPr/>
                      </wps:wsp>
                      <wps:wsp>
                        <wps:cNvPr id="164" name="Line 2549"/>
                        <wps:cNvCnPr>
                          <a:cxnSpLocks noChangeShapeType="1"/>
                        </wps:cNvCnPr>
                        <wps:spPr bwMode="auto">
                          <a:xfrm>
                            <a:off x="5573" y="1142"/>
                            <a:ext cx="1372" cy="0"/>
                          </a:xfrm>
                          <a:prstGeom prst="line">
                            <a:avLst/>
                          </a:prstGeom>
                          <a:noFill/>
                          <a:ln w="12700">
                            <a:solidFill>
                              <a:srgbClr val="0000C8"/>
                            </a:solidFill>
                            <a:round/>
                          </a:ln>
                        </wps:spPr>
                        <wps:bodyPr/>
                      </wps:wsp>
                      <wps:wsp>
                        <wps:cNvPr id="165" name="Line 2550"/>
                        <wps:cNvCnPr>
                          <a:cxnSpLocks noChangeShapeType="1"/>
                        </wps:cNvCnPr>
                        <wps:spPr bwMode="auto">
                          <a:xfrm>
                            <a:off x="6435" y="1659"/>
                            <a:ext cx="338" cy="0"/>
                          </a:xfrm>
                          <a:prstGeom prst="line">
                            <a:avLst/>
                          </a:prstGeom>
                          <a:noFill/>
                          <a:ln w="12700">
                            <a:solidFill>
                              <a:srgbClr val="0000C8"/>
                            </a:solidFill>
                            <a:round/>
                          </a:ln>
                        </wps:spPr>
                        <wps:bodyPr/>
                      </wps:wsp>
                      <wps:wsp>
                        <wps:cNvPr id="147" name="Line 2551"/>
                        <wps:cNvCnPr>
                          <a:cxnSpLocks noChangeShapeType="1"/>
                        </wps:cNvCnPr>
                        <wps:spPr bwMode="auto">
                          <a:xfrm>
                            <a:off x="6440" y="2039"/>
                            <a:ext cx="495" cy="0"/>
                          </a:xfrm>
                          <a:prstGeom prst="line">
                            <a:avLst/>
                          </a:prstGeom>
                          <a:noFill/>
                          <a:ln w="12700">
                            <a:solidFill>
                              <a:srgbClr val="0000C8"/>
                            </a:solidFill>
                            <a:round/>
                          </a:ln>
                        </wps:spPr>
                        <wps:bodyPr/>
                      </wps:wsp>
                      <wps:wsp>
                        <wps:cNvPr id="148" name="Line 2552"/>
                        <wps:cNvCnPr>
                          <a:cxnSpLocks noChangeShapeType="1"/>
                        </wps:cNvCnPr>
                        <wps:spPr bwMode="auto">
                          <a:xfrm>
                            <a:off x="6435" y="2438"/>
                            <a:ext cx="338" cy="0"/>
                          </a:xfrm>
                          <a:prstGeom prst="line">
                            <a:avLst/>
                          </a:prstGeom>
                          <a:noFill/>
                          <a:ln w="12700">
                            <a:solidFill>
                              <a:srgbClr val="0000C8"/>
                            </a:solidFill>
                            <a:round/>
                          </a:ln>
                        </wps:spPr>
                        <wps:bodyPr/>
                      </wps:wsp>
                      <wps:wsp>
                        <wps:cNvPr id="171" name="Line 2553"/>
                        <wps:cNvCnPr>
                          <a:cxnSpLocks noChangeShapeType="1"/>
                        </wps:cNvCnPr>
                        <wps:spPr bwMode="auto">
                          <a:xfrm>
                            <a:off x="6773" y="1659"/>
                            <a:ext cx="0" cy="779"/>
                          </a:xfrm>
                          <a:prstGeom prst="line">
                            <a:avLst/>
                          </a:prstGeom>
                          <a:noFill/>
                          <a:ln w="12700">
                            <a:solidFill>
                              <a:srgbClr val="0000C8"/>
                            </a:solidFill>
                            <a:round/>
                          </a:ln>
                        </wps:spPr>
                        <wps:bodyPr/>
                      </wps:wsp>
                      <wps:wsp>
                        <wps:cNvPr id="172" name="Line 2554"/>
                        <wps:cNvCnPr>
                          <a:cxnSpLocks noChangeShapeType="1"/>
                        </wps:cNvCnPr>
                        <wps:spPr bwMode="auto">
                          <a:xfrm>
                            <a:off x="6435" y="2883"/>
                            <a:ext cx="338" cy="0"/>
                          </a:xfrm>
                          <a:prstGeom prst="line">
                            <a:avLst/>
                          </a:prstGeom>
                          <a:noFill/>
                          <a:ln w="12700">
                            <a:solidFill>
                              <a:srgbClr val="0000C8"/>
                            </a:solidFill>
                            <a:round/>
                          </a:ln>
                        </wps:spPr>
                        <wps:bodyPr/>
                      </wps:wsp>
                      <wps:wsp>
                        <wps:cNvPr id="173" name="Line 2555"/>
                        <wps:cNvCnPr>
                          <a:cxnSpLocks noChangeShapeType="1"/>
                        </wps:cNvCnPr>
                        <wps:spPr bwMode="auto">
                          <a:xfrm>
                            <a:off x="6440" y="3262"/>
                            <a:ext cx="338" cy="0"/>
                          </a:xfrm>
                          <a:prstGeom prst="line">
                            <a:avLst/>
                          </a:prstGeom>
                          <a:noFill/>
                          <a:ln w="12700">
                            <a:solidFill>
                              <a:srgbClr val="0000C8"/>
                            </a:solidFill>
                            <a:round/>
                          </a:ln>
                        </wps:spPr>
                        <wps:bodyPr/>
                      </wps:wsp>
                      <wps:wsp>
                        <wps:cNvPr id="174" name="Line 2556"/>
                        <wps:cNvCnPr>
                          <a:cxnSpLocks noChangeShapeType="1"/>
                        </wps:cNvCnPr>
                        <wps:spPr bwMode="auto">
                          <a:xfrm>
                            <a:off x="6783" y="2883"/>
                            <a:ext cx="0" cy="379"/>
                          </a:xfrm>
                          <a:prstGeom prst="line">
                            <a:avLst/>
                          </a:prstGeom>
                          <a:noFill/>
                          <a:ln w="12700">
                            <a:solidFill>
                              <a:srgbClr val="0000C8"/>
                            </a:solidFill>
                            <a:round/>
                          </a:ln>
                        </wps:spPr>
                        <wps:bodyPr/>
                      </wps:wsp>
                      <wps:wsp>
                        <wps:cNvPr id="175" name="Line 2557"/>
                        <wps:cNvCnPr>
                          <a:cxnSpLocks noChangeShapeType="1"/>
                        </wps:cNvCnPr>
                        <wps:spPr bwMode="auto">
                          <a:xfrm>
                            <a:off x="6783" y="3057"/>
                            <a:ext cx="152" cy="0"/>
                          </a:xfrm>
                          <a:prstGeom prst="line">
                            <a:avLst/>
                          </a:prstGeom>
                          <a:noFill/>
                          <a:ln w="12700">
                            <a:solidFill>
                              <a:srgbClr val="0000C8"/>
                            </a:solidFill>
                            <a:round/>
                          </a:ln>
                        </wps:spPr>
                        <wps:bodyPr/>
                      </wps:wsp>
                      <wps:wsp>
                        <wps:cNvPr id="176" name="Line 2558"/>
                        <wps:cNvCnPr>
                          <a:cxnSpLocks noChangeShapeType="1"/>
                        </wps:cNvCnPr>
                        <wps:spPr bwMode="auto">
                          <a:xfrm>
                            <a:off x="6783" y="171"/>
                            <a:ext cx="0" cy="434"/>
                          </a:xfrm>
                          <a:prstGeom prst="line">
                            <a:avLst/>
                          </a:prstGeom>
                          <a:noFill/>
                          <a:ln w="12700">
                            <a:solidFill>
                              <a:srgbClr val="0000C8"/>
                            </a:solidFill>
                            <a:round/>
                          </a:ln>
                        </wps:spPr>
                        <wps:bodyPr/>
                      </wps:wsp>
                      <wps:wsp>
                        <wps:cNvPr id="177" name="Line 2559"/>
                        <wps:cNvCnPr>
                          <a:cxnSpLocks noChangeShapeType="1"/>
                        </wps:cNvCnPr>
                        <wps:spPr bwMode="auto">
                          <a:xfrm>
                            <a:off x="6783" y="407"/>
                            <a:ext cx="162" cy="0"/>
                          </a:xfrm>
                          <a:prstGeom prst="line">
                            <a:avLst/>
                          </a:prstGeom>
                          <a:noFill/>
                          <a:ln w="12700">
                            <a:solidFill>
                              <a:srgbClr val="0000C8"/>
                            </a:solidFill>
                            <a:round/>
                          </a:ln>
                        </wps:spPr>
                        <wps:bodyPr/>
                      </wps:wsp>
                      <wps:wsp>
                        <wps:cNvPr id="178" name="Line 2560"/>
                        <wps:cNvCnPr>
                          <a:cxnSpLocks noChangeShapeType="1"/>
                        </wps:cNvCnPr>
                        <wps:spPr bwMode="auto">
                          <a:xfrm>
                            <a:off x="6102" y="3747"/>
                            <a:ext cx="654" cy="0"/>
                          </a:xfrm>
                          <a:prstGeom prst="line">
                            <a:avLst/>
                          </a:prstGeom>
                          <a:noFill/>
                          <a:ln w="12700">
                            <a:solidFill>
                              <a:srgbClr val="0000C8"/>
                            </a:solidFill>
                            <a:round/>
                          </a:ln>
                        </wps:spPr>
                        <wps:bodyPr/>
                      </wps:wsp>
                      <wps:wsp>
                        <wps:cNvPr id="179" name="Line 2561"/>
                        <wps:cNvCnPr>
                          <a:cxnSpLocks noChangeShapeType="1"/>
                        </wps:cNvCnPr>
                        <wps:spPr bwMode="auto">
                          <a:xfrm>
                            <a:off x="6085" y="4125"/>
                            <a:ext cx="671" cy="0"/>
                          </a:xfrm>
                          <a:prstGeom prst="line">
                            <a:avLst/>
                          </a:prstGeom>
                          <a:noFill/>
                          <a:ln w="12700">
                            <a:solidFill>
                              <a:srgbClr val="0000C8"/>
                            </a:solidFill>
                            <a:round/>
                          </a:ln>
                        </wps:spPr>
                        <wps:bodyPr/>
                      </wps:wsp>
                      <wps:wsp>
                        <wps:cNvPr id="182" name="Line 2562"/>
                        <wps:cNvCnPr>
                          <a:cxnSpLocks noChangeShapeType="1"/>
                        </wps:cNvCnPr>
                        <wps:spPr bwMode="auto">
                          <a:xfrm>
                            <a:off x="6085" y="4504"/>
                            <a:ext cx="671" cy="0"/>
                          </a:xfrm>
                          <a:prstGeom prst="line">
                            <a:avLst/>
                          </a:prstGeom>
                          <a:noFill/>
                          <a:ln w="12700">
                            <a:solidFill>
                              <a:srgbClr val="0000C8"/>
                            </a:solidFill>
                            <a:round/>
                          </a:ln>
                        </wps:spPr>
                        <wps:bodyPr/>
                      </wps:wsp>
                      <wps:wsp>
                        <wps:cNvPr id="183" name="Line 2563"/>
                        <wps:cNvCnPr>
                          <a:cxnSpLocks noChangeShapeType="1"/>
                        </wps:cNvCnPr>
                        <wps:spPr bwMode="auto">
                          <a:xfrm>
                            <a:off x="6085" y="4927"/>
                            <a:ext cx="671" cy="0"/>
                          </a:xfrm>
                          <a:prstGeom prst="line">
                            <a:avLst/>
                          </a:prstGeom>
                          <a:noFill/>
                          <a:ln w="12700">
                            <a:solidFill>
                              <a:srgbClr val="0000C8"/>
                            </a:solidFill>
                            <a:round/>
                          </a:ln>
                        </wps:spPr>
                        <wps:bodyPr/>
                      </wps:wsp>
                      <wps:wsp>
                        <wps:cNvPr id="184" name="Line 2564"/>
                        <wps:cNvCnPr>
                          <a:cxnSpLocks noChangeShapeType="1"/>
                        </wps:cNvCnPr>
                        <wps:spPr bwMode="auto">
                          <a:xfrm>
                            <a:off x="6756" y="3747"/>
                            <a:ext cx="0" cy="1180"/>
                          </a:xfrm>
                          <a:prstGeom prst="line">
                            <a:avLst/>
                          </a:prstGeom>
                          <a:noFill/>
                          <a:ln w="12700">
                            <a:solidFill>
                              <a:srgbClr val="0000C8"/>
                            </a:solidFill>
                            <a:round/>
                          </a:ln>
                        </wps:spPr>
                        <wps:bodyPr/>
                      </wps:wsp>
                      <wps:wsp>
                        <wps:cNvPr id="180" name="Line 2565"/>
                        <wps:cNvCnPr>
                          <a:cxnSpLocks noChangeShapeType="1"/>
                        </wps:cNvCnPr>
                        <wps:spPr bwMode="auto">
                          <a:xfrm>
                            <a:off x="6756" y="4353"/>
                            <a:ext cx="189" cy="0"/>
                          </a:xfrm>
                          <a:prstGeom prst="line">
                            <a:avLst/>
                          </a:prstGeom>
                          <a:noFill/>
                          <a:ln w="12700">
                            <a:solidFill>
                              <a:srgbClr val="0000C8"/>
                            </a:solidFill>
                            <a:round/>
                          </a:ln>
                        </wps:spPr>
                        <wps:bodyPr/>
                      </wps:wsp>
                      <wps:wsp>
                        <wps:cNvPr id="186" name="Line 2566"/>
                        <wps:cNvCnPr>
                          <a:cxnSpLocks noChangeShapeType="1"/>
                        </wps:cNvCnPr>
                        <wps:spPr bwMode="auto">
                          <a:xfrm>
                            <a:off x="6945" y="407"/>
                            <a:ext cx="0" cy="3946"/>
                          </a:xfrm>
                          <a:prstGeom prst="line">
                            <a:avLst/>
                          </a:prstGeom>
                          <a:noFill/>
                          <a:ln w="12700">
                            <a:solidFill>
                              <a:srgbClr val="0000C8"/>
                            </a:solidFill>
                            <a:round/>
                          </a:ln>
                        </wps:spPr>
                        <wps:bodyPr/>
                      </wps:wsp>
                      <wps:wsp>
                        <wps:cNvPr id="185" name="Line 2567"/>
                        <wps:cNvCnPr>
                          <a:cxnSpLocks noChangeShapeType="1"/>
                        </wps:cNvCnPr>
                        <wps:spPr bwMode="auto">
                          <a:xfrm>
                            <a:off x="6945" y="2438"/>
                            <a:ext cx="152" cy="0"/>
                          </a:xfrm>
                          <a:prstGeom prst="line">
                            <a:avLst/>
                          </a:prstGeom>
                          <a:noFill/>
                          <a:ln w="12700">
                            <a:solidFill>
                              <a:srgbClr val="0000C8"/>
                            </a:solidFill>
                            <a:round/>
                          </a:ln>
                        </wps:spPr>
                        <wps:bodyPr/>
                      </wps:wsp>
                      <wps:wsp>
                        <wps:cNvPr id="188" name="Text Box 2568"/>
                        <wps:cNvSpPr txBox="1">
                          <a:spLocks noChangeArrowheads="1"/>
                        </wps:cNvSpPr>
                        <wps:spPr bwMode="auto">
                          <a:xfrm>
                            <a:off x="7097" y="1324"/>
                            <a:ext cx="804" cy="2272"/>
                          </a:xfrm>
                          <a:prstGeom prst="rect">
                            <a:avLst/>
                          </a:prstGeom>
                          <a:solidFill>
                            <a:schemeClr val="accent6">
                              <a:lumMod val="40000"/>
                              <a:lumOff val="60000"/>
                            </a:schemeClr>
                          </a:solidFill>
                          <a:ln w="12700">
                            <a:solidFill>
                              <a:srgbClr val="0000C8"/>
                            </a:solidFill>
                            <a:miter lim="800000"/>
                          </a:ln>
                        </wps:spPr>
                        <wps:txbx>
                          <w:txbxContent>
                            <w:p w14:paraId="1D013502">
                              <w:pPr>
                                <w:pStyle w:val="55"/>
                              </w:pPr>
                              <w:r>
                                <w:rPr>
                                  <w:rFonts w:hint="eastAsia"/>
                                </w:rPr>
                                <w:t>文明</w:t>
                              </w:r>
                            </w:p>
                            <w:p w14:paraId="773A69BC">
                              <w:pPr>
                                <w:pStyle w:val="55"/>
                              </w:pPr>
                              <w:r>
                                <w:rPr>
                                  <w:rFonts w:hint="eastAsia"/>
                                </w:rPr>
                                <w:t>施工</w:t>
                              </w:r>
                            </w:p>
                            <w:p w14:paraId="14511A43">
                              <w:pPr>
                                <w:pStyle w:val="55"/>
                              </w:pPr>
                              <w:r>
                                <w:rPr>
                                  <w:rFonts w:hint="eastAsia"/>
                                </w:rPr>
                                <w:t>达标</w:t>
                              </w:r>
                            </w:p>
                          </w:txbxContent>
                        </wps:txbx>
                        <wps:bodyPr rot="0" vert="horz" wrap="square" lIns="0" tIns="0" rIns="0" bIns="0" anchor="ctr" anchorCtr="0" upright="1">
                          <a:noAutofit/>
                        </wps:bodyPr>
                      </wps:wsp>
                    </wpg:wgp>
                  </a:graphicData>
                </a:graphic>
              </wp:inline>
            </w:drawing>
          </mc:Choice>
          <mc:Fallback>
            <w:pict>
              <v:group id="Group 2503" o:spid="_x0000_s1026" o:spt="203" style="height:303.65pt;width:323.55pt;" coordsize="7901,5079" o:gfxdata="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">
                <o:lock v:ext="edit" aspectratio="f"/>
                <v:shape id="Text Box 2504" o:spid="_x0000_s1026" o:spt="202" type="#_x0000_t202" style="position:absolute;left:0;top:1142;height:2272;width:804;v-text-anchor:middle;" fillcolor="#C5E0B4 [1305]" filled="t" stroked="t" coordsize="21600,21600" o:gfxdata="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0onwvQAA&#10;ANs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209F85CE">
                        <w:pPr>
                          <w:pStyle w:val="55"/>
                        </w:pPr>
                        <w:r>
                          <w:rPr>
                            <w:rFonts w:hint="eastAsia"/>
                          </w:rPr>
                          <w:t>文明</w:t>
                        </w:r>
                      </w:p>
                      <w:p w14:paraId="53BA0AD4">
                        <w:pPr>
                          <w:pStyle w:val="55"/>
                        </w:pPr>
                        <w:r>
                          <w:rPr>
                            <w:rFonts w:hint="eastAsia"/>
                          </w:rPr>
                          <w:t>施工</w:t>
                        </w:r>
                      </w:p>
                      <w:p w14:paraId="77B72A2D">
                        <w:pPr>
                          <w:pStyle w:val="55"/>
                        </w:pPr>
                        <w:r>
                          <w:rPr>
                            <w:rFonts w:hint="eastAsia"/>
                          </w:rPr>
                          <w:t>保证</w:t>
                        </w:r>
                      </w:p>
                      <w:p w14:paraId="519B8397">
                        <w:pPr>
                          <w:pStyle w:val="55"/>
                        </w:pPr>
                        <w:r>
                          <w:rPr>
                            <w:rFonts w:hint="eastAsia"/>
                          </w:rPr>
                          <w:t>体系</w:t>
                        </w:r>
                      </w:p>
                    </w:txbxContent>
                  </v:textbox>
                </v:shape>
                <v:line id="Line 2505" o:spid="_x0000_s1026" o:spt="20" style="position:absolute;left:806;top:2267;height:0;width:195;" filled="f" stroked="t" coordsize="21600,21600" o:gfxdata="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3ILW8AAAA&#10;2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06" o:spid="_x0000_s1026" o:spt="20" style="position:absolute;left:1001;top:385;height:3740;width:0;" filled="f" stroked="t" coordsize="21600,21600" o:gfxdata="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aW+wr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07" o:spid="_x0000_s1026" o:spt="20" style="position:absolute;left:1001;top:385;height:0;width:214;" filled="f" stroked="t" coordsize="21600,21600" o:gfxdata="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pG1m8AAAA&#10;2w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shape id="Text Box 2508" o:spid="_x0000_s1026" o:spt="202" type="#_x0000_t202" style="position:absolute;left:1215;top:233;height:303;width:1351;v-text-anchor:middle;" fillcolor="#C5E0B4 [1305]" filled="t" stroked="t" coordsize="21600,21600" o:gfxdata="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rVL57gAAADbAAAA&#10;DwAAAAAAAAABACAAAAAiAAAAZHJzL2Rvd25yZXYueG1sUEsBAhQAFAAAAAgAh07iQDMvBZ47AAAA&#10;OQAAABAAAAAAAAAAAQAgAAAABwEAAGRycy9zaGFwZXhtbC54bWxQSwUGAAAAAAYABgBbAQAAsQMA&#10;AAAA&#10;">
                  <v:fill on="t" focussize="0,0"/>
                  <v:stroke weight="1pt" color="#0000C8" miterlimit="8" joinstyle="miter"/>
                  <v:imagedata o:title=""/>
                  <o:lock v:ext="edit" aspectratio="f"/>
                  <v:textbox inset="0mm,0mm,0mm,0mm">
                    <w:txbxContent>
                      <w:p w14:paraId="4EFF3C13">
                        <w:pPr>
                          <w:pStyle w:val="55"/>
                        </w:pPr>
                        <w:r>
                          <w:rPr>
                            <w:rFonts w:hint="eastAsia"/>
                          </w:rPr>
                          <w:t>思想保证</w:t>
                        </w:r>
                      </w:p>
                    </w:txbxContent>
                  </v:textbox>
                </v:shape>
                <v:line id="Line 2509" o:spid="_x0000_s1026" o:spt="20" style="position:absolute;left:1002;top:1142;height:0;width:214;" filled="f" stroked="t" coordsize="21600,21600" o:gfxdata="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l61r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0" o:spid="_x0000_s1026" o:spt="202" type="#_x0000_t202" style="position:absolute;left:1215;top:990;height:303;width:1351;v-text-anchor:middle;" fillcolor="#C5E0B4 [1305]" filled="t" stroked="t" coordsize="21600,21600" o:gfxdata="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lBS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5F6CE71">
                        <w:pPr>
                          <w:pStyle w:val="55"/>
                        </w:pPr>
                        <w:r>
                          <w:rPr>
                            <w:rFonts w:hint="eastAsia"/>
                          </w:rPr>
                          <w:t>组织保证</w:t>
                        </w:r>
                      </w:p>
                    </w:txbxContent>
                  </v:textbox>
                </v:shape>
                <v:line id="Line 2511" o:spid="_x0000_s1026" o:spt="20" style="position:absolute;left:2566;top:1142;height:0;width:479;" filled="f" stroked="t" coordsize="21600,21600" o:gfxdata="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vkob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2" o:spid="_x0000_s1026" o:spt="202" type="#_x0000_t202" style="position:absolute;left:3045;top:990;height:303;width:2533;v-text-anchor:middle;" fillcolor="#C5E0B4 [1305]" filled="t" stroked="t" coordsize="21600,21600" o:gfxdata="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OoVu8AAAA&#10;2w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4A0724CE">
                        <w:pPr>
                          <w:pStyle w:val="55"/>
                        </w:pPr>
                        <w:r>
                          <w:rPr>
                            <w:rFonts w:hint="eastAsia"/>
                          </w:rPr>
                          <w:t>成立</w:t>
                        </w:r>
                        <w:r>
                          <w:rPr>
                            <w:rFonts w:hint="eastAsia"/>
                            <w:lang w:val="en-US" w:eastAsia="zh-CN"/>
                          </w:rPr>
                          <w:t>文明施工</w:t>
                        </w:r>
                        <w:r>
                          <w:rPr>
                            <w:rFonts w:hint="eastAsia"/>
                          </w:rPr>
                          <w:t>领导小组</w:t>
                        </w:r>
                      </w:p>
                    </w:txbxContent>
                  </v:textbox>
                </v:shape>
                <v:shape id="Text Box 2513" o:spid="_x0000_s1026" o:spt="202" type="#_x0000_t202" style="position:absolute;left:3045;top:0;height:302;width:2533;v-text-anchor:middle;" fillcolor="#C5E0B4 [1305]" filled="t" stroked="t" coordsize="21600,21600" o:gfxdata="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fkCw7sAAADb&#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37ABD7C1">
                        <w:pPr>
                          <w:pStyle w:val="55"/>
                        </w:pPr>
                        <w:r>
                          <w:rPr>
                            <w:rFonts w:hint="eastAsia"/>
                            <w:lang w:val="en-US" w:eastAsia="zh-CN"/>
                          </w:rPr>
                          <w:t>文明施工</w:t>
                        </w:r>
                        <w:r>
                          <w:rPr>
                            <w:rFonts w:hint="eastAsia"/>
                          </w:rPr>
                          <w:t>知识宣传教育</w:t>
                        </w:r>
                      </w:p>
                    </w:txbxContent>
                  </v:textbox>
                </v:shape>
                <v:shape id="Text Box 2514" o:spid="_x0000_s1026" o:spt="202" type="#_x0000_t202" style="position:absolute;left:3045;top:453;height:303;width:2533;v-text-anchor:middle;" fillcolor="#C5E0B4 [1305]" filled="t" stroked="t" coordsize="21600,21600" o:gfxdata="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d6TrsAAADb&#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0F55C4E5">
                        <w:pPr>
                          <w:pStyle w:val="55"/>
                        </w:pPr>
                        <w:r>
                          <w:rPr>
                            <w:rFonts w:hint="eastAsia"/>
                          </w:rPr>
                          <w:t>制定目标责任制</w:t>
                        </w:r>
                      </w:p>
                      <w:p w14:paraId="5E4A9E50">
                        <w:pPr>
                          <w:pStyle w:val="55"/>
                        </w:pPr>
                      </w:p>
                    </w:txbxContent>
                  </v:textbox>
                </v:shape>
                <v:line id="Line 2515" o:spid="_x0000_s1026" o:spt="20" style="position:absolute;left:2707;top:158;height:447;width:0;" filled="f" stroked="t" coordsize="21600,21600" o:gfxdata="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3z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6" o:spid="_x0000_s1026" o:spt="20" style="position:absolute;left:2707;top:158;height:0;width:338;" filled="f" stroked="t" coordsize="21600,21600" o:gfxdata="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wEWL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17" o:spid="_x0000_s1026" o:spt="20" style="position:absolute;left:2707;top:605;height:0;width:338;" filled="f" stroked="t" coordsize="21600,21600" o:gfxdata="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t7tK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18" o:spid="_x0000_s1026" o:spt="20" style="position:absolute;left:1001;top:2039;height:0;width:143;" filled="f" stroked="t" coordsize="21600,21600" o:gfxdata="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hw7sAAADb&#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19" o:spid="_x0000_s1026" o:spt="202" type="#_x0000_t202" style="position:absolute;left:1144;top:1887;height:303;width:1352;v-text-anchor:middle;" fillcolor="#C5E0B4 [1305]" filled="t" stroked="t" coordsize="21600,21600" o:gfxdata="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9xWC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0mm,0mm,0mm,0mm">
                    <w:txbxContent>
                      <w:p w14:paraId="7225D39B">
                        <w:pPr>
                          <w:pStyle w:val="55"/>
                        </w:pPr>
                        <w:r>
                          <w:rPr>
                            <w:rFonts w:hint="eastAsia"/>
                          </w:rPr>
                          <w:t>技术保证</w:t>
                        </w:r>
                      </w:p>
                    </w:txbxContent>
                  </v:textbox>
                </v:shape>
                <v:line id="Line 2520" o:spid="_x0000_s1026" o:spt="20" style="position:absolute;left:2496;top:2039;height:0;width:549;" filled="f" stroked="t" coordsize="21600,21600" o:gfxdata="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KROF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shape id="Text Box 2521" o:spid="_x0000_s1026" o:spt="202" type="#_x0000_t202" style="position:absolute;left:3045;top:1887;height:303;width:3390;v-text-anchor:middle;" fillcolor="#C5E0B4 [1305]" filled="t" stroked="t" coordsize="21600,21600" o:gfxdata="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C5ZJ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2133FD85">
                        <w:pPr>
                          <w:pStyle w:val="55"/>
                        </w:pPr>
                        <w:r>
                          <w:rPr>
                            <w:rFonts w:hint="eastAsia"/>
                          </w:rPr>
                          <w:t>制定</w:t>
                        </w:r>
                        <w:r>
                          <w:rPr>
                            <w:rFonts w:hint="eastAsia"/>
                            <w:lang w:val="en-US" w:eastAsia="zh-CN"/>
                          </w:rPr>
                          <w:t>文明施工</w:t>
                        </w:r>
                        <w:r>
                          <w:rPr>
                            <w:rFonts w:hint="eastAsia"/>
                          </w:rPr>
                          <w:t>实施方案</w:t>
                        </w:r>
                      </w:p>
                    </w:txbxContent>
                  </v:textbox>
                </v:shape>
                <v:shape id="Text Box 2522" o:spid="_x0000_s1026" o:spt="202" type="#_x0000_t202" style="position:absolute;left:3045;top:1510;height:303;width:3390;v-text-anchor:middle;" fillcolor="#C5E0B4 [1305]" filled="t" stroked="t" coordsize="21600,21600" o:gfxdata="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RpxM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576668E2">
                        <w:pPr>
                          <w:pStyle w:val="55"/>
                        </w:pPr>
                        <w:r>
                          <w:rPr>
                            <w:rFonts w:hint="eastAsia"/>
                            <w:lang w:val="en-US" w:eastAsia="zh-CN"/>
                          </w:rPr>
                          <w:t>组织</w:t>
                        </w:r>
                        <w:r>
                          <w:rPr>
                            <w:rFonts w:hint="eastAsia"/>
                          </w:rPr>
                          <w:t>员工培训</w:t>
                        </w:r>
                      </w:p>
                    </w:txbxContent>
                  </v:textbox>
                </v:shape>
                <v:line id="Line 2523" o:spid="_x0000_s1026" o:spt="20" style="position:absolute;left:2707;top:1659;height:767;width:0;" filled="f" stroked="t" coordsize="21600,21600" o:gfxdata="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uvr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4" o:spid="_x0000_s1026" o:spt="20" style="position:absolute;left:2707;top:1659;height:0;width:338;" filled="f" stroked="t" coordsize="21600,21600" o:gfxdata="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whVi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25" o:spid="_x0000_s1026" o:spt="20" style="position:absolute;left:1001;top:3110;height:0;width:143;" filled="f" stroked="t" coordsize="21600,21600" o:gfxdata="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kdL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26" o:spid="_x0000_s1026" o:spt="202" type="#_x0000_t202" style="position:absolute;left:1144;top:2959;height:303;width:1352;v-text-anchor:middle;" fillcolor="#C5E0B4 [1305]" filled="t" stroked="t" coordsize="21600,21600" o:gfxdata="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cbK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AE9498B">
                        <w:pPr>
                          <w:pStyle w:val="55"/>
                        </w:pPr>
                        <w:r>
                          <w:rPr>
                            <w:rFonts w:hint="eastAsia"/>
                          </w:rPr>
                          <w:t>制度保证</w:t>
                        </w:r>
                      </w:p>
                    </w:txbxContent>
                  </v:textbox>
                </v:shape>
                <v:shape id="Text Box 2527" o:spid="_x0000_s1026" o:spt="202" type="#_x0000_t202" style="position:absolute;left:3045;top:3111;height:303;width:3390;v-text-anchor:middle;" fillcolor="#C5E0B4 [1305]" filled="t" stroked="t" coordsize="21600,21600" o:gfxdata="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Ce47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165EE4CD">
                        <w:pPr>
                          <w:pStyle w:val="55"/>
                        </w:pPr>
                        <w:r>
                          <w:rPr>
                            <w:rFonts w:hint="eastAsia"/>
                          </w:rPr>
                          <w:t>公司、项目部相关规章制度</w:t>
                        </w:r>
                      </w:p>
                    </w:txbxContent>
                  </v:textbox>
                </v:shape>
                <v:shape id="Text Box 2528" o:spid="_x0000_s1026" o:spt="202" type="#_x0000_t202" style="position:absolute;left:3045;top:2734;height:303;width:3390;v-text-anchor:middle;" fillcolor="#C5E0B4 [1305]" filled="t" stroked="t" coordsize="21600,21600" o:gfxdata="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w7e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7D045E22">
                        <w:pPr>
                          <w:pStyle w:val="55"/>
                        </w:pPr>
                        <w:r>
                          <w:rPr>
                            <w:rFonts w:hint="eastAsia"/>
                          </w:rPr>
                          <w:t>国家、相关部委相关法律、法规</w:t>
                        </w:r>
                      </w:p>
                    </w:txbxContent>
                  </v:textbox>
                </v:shape>
                <v:line id="Line 2529" o:spid="_x0000_s1026" o:spt="20" style="position:absolute;left:2707;top:2883;height:379;width:0;" filled="f" stroked="t" coordsize="21600,21600" o:gfxdata="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Bcp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30" o:spid="_x0000_s1026" o:spt="20" style="position:absolute;left:2707;top:2883;height:0;width:338;" filled="f" stroked="t" coordsize="21600,21600" o:gfxdata="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iys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31" o:spid="_x0000_s1026" o:spt="20" style="position:absolute;left:1001;top:4125;height:0;width:143;" filled="f" stroked="t" coordsize="21600,21600" o:gfxdata="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JGhS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shape id="Text Box 2532" o:spid="_x0000_s1026" o:spt="202" type="#_x0000_t202" style="position:absolute;left:1144;top:3973;height:304;width:1352;v-text-anchor:middle;" fillcolor="#C5E0B4 [1305]" filled="t" stroked="t" coordsize="21600,21600" o:gfxdata="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cFoVr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0mm,0mm,0mm,0mm">
                    <w:txbxContent>
                      <w:p w14:paraId="1F87DEFE">
                        <w:pPr>
                          <w:pStyle w:val="55"/>
                        </w:pPr>
                        <w:r>
                          <w:rPr>
                            <w:rFonts w:hint="eastAsia"/>
                          </w:rPr>
                          <w:t>施工保证</w:t>
                        </w:r>
                      </w:p>
                    </w:txbxContent>
                  </v:textbox>
                </v:shape>
                <v:line id="Line 2533" o:spid="_x0000_s1026" o:spt="20" style="position:absolute;left:2496;top:4125;height:0;width:549;" filled="f" stroked="t" coordsize="21600,21600" o:gfxdata="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ozcm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34" o:spid="_x0000_s1026" o:spt="202" type="#_x0000_t202" style="position:absolute;left:3045;top:3973;height:304;width:3040;v-text-anchor:middle;" fillcolor="#C5E0B4 [1305]" filled="t" stroked="t" coordsize="21600,21600" o:gfxdata="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l57LsAAADc&#10;AAAADwAAAAAAAAABACAAAAAiAAAAZHJzL2Rvd25yZXYueG1sUEsBAhQAFAAAAAgAh07iQDMvBZ47&#10;AAAAOQAAABAAAAAAAAAAAQAgAAAACgEAAGRycy9zaGFwZXhtbC54bWxQSwUGAAAAAAYABgBbAQAA&#10;tAMAAAAA&#10;">
                  <v:fill on="t" focussize="0,0"/>
                  <v:stroke weight="1pt" color="#0000C8" miterlimit="8" joinstyle="miter"/>
                  <v:imagedata o:title=""/>
                  <o:lock v:ext="edit" aspectratio="f"/>
                  <v:textbox inset="3mm,0mm,0mm,0mm">
                    <w:txbxContent>
                      <w:p w14:paraId="682983E1">
                        <w:pPr>
                          <w:pStyle w:val="55"/>
                        </w:pPr>
                        <w:r>
                          <w:rPr>
                            <w:rFonts w:hint="eastAsia"/>
                            <w:lang w:val="en-US" w:eastAsia="zh-CN"/>
                          </w:rPr>
                          <w:t>文明</w:t>
                        </w:r>
                        <w:r>
                          <w:rPr>
                            <w:rFonts w:hint="eastAsia"/>
                          </w:rPr>
                          <w:t>施工工艺保证</w:t>
                        </w:r>
                      </w:p>
                    </w:txbxContent>
                  </v:textbox>
                </v:shape>
                <v:shape id="Text Box 2535" o:spid="_x0000_s1026" o:spt="202" type="#_x0000_t202" style="position:absolute;left:3045;top:3596;height:303;width:3040;v-text-anchor:middle;" fillcolor="#C5E0B4 [1305]" filled="t" stroked="t" coordsize="21600,21600" o:gfxdata="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6Rqy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4ADEEA52">
                        <w:pPr>
                          <w:pStyle w:val="55"/>
                        </w:pPr>
                        <w:r>
                          <w:rPr>
                            <w:rFonts w:hint="eastAsia"/>
                          </w:rPr>
                          <w:t>落实岗位责任制</w:t>
                        </w:r>
                      </w:p>
                    </w:txbxContent>
                  </v:textbox>
                </v:shape>
                <v:shape id="Text Box 2536" o:spid="_x0000_s1026" o:spt="202" type="#_x0000_t202" style="position:absolute;left:3045;top:4342;height:302;width:3040;v-text-anchor:middle;" fillcolor="#C5E0B4 [1305]" filled="t" stroked="t" coordsize="21600,21600" o:gfxdata="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NuM3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2B6A1FF6">
                        <w:pPr>
                          <w:pStyle w:val="55"/>
                        </w:pPr>
                        <w:r>
                          <w:rPr>
                            <w:rFonts w:hint="eastAsia"/>
                          </w:rPr>
                          <w:t>物资设备保证</w:t>
                        </w:r>
                      </w:p>
                    </w:txbxContent>
                  </v:textbox>
                </v:shape>
                <v:line id="Line 2537" o:spid="_x0000_s1026" o:spt="20" style="position:absolute;left:2707;top:3747;height:1180;width:0;" filled="f" stroked="t" coordsize="21600,21600" o:gfxdata="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Y8Vj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38" o:spid="_x0000_s1026" o:spt="20" style="position:absolute;left:2707;top:3747;height:0;width:338;" filled="f" stroked="t" coordsize="21600,21600" o:gfxdata="UEsDBAoAAAAAAIdO4kAAAAAAAAAAAAAAAAAEAAAAZHJzL1BLAwQUAAAACACHTuJAuS9g+LsAAADc&#10;AAAADwAAAGRycy9kb3ducmV2LnhtbEVPTWsCMRC9F/ofwhR6q9m1KL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9g+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39" o:spid="_x0000_s1026" o:spt="20" style="position:absolute;left:2707;top:4504;height:0;width:338;" filled="f" stroked="t" coordsize="21600,21600" o:gfxdata="UEsDBAoAAAAAAIdO4kAAAAAAAAAAAAAAAAAEAAAAZHJzL1BLAwQUAAAACACHTuJANsb4jLsAAADc&#10;AAAADwAAAGRycy9kb3ducmV2LnhtbEVPTWsCMRC9F/ofwhR6q9mVKr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b4j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40" o:spid="_x0000_s1026" o:spt="20" style="position:absolute;left:2566;top:358;height:0;width:141;" filled="f" stroked="t" coordsize="21600,21600" o:gfxdata="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KXR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41" o:spid="_x0000_s1026" o:spt="202" type="#_x0000_t202" style="position:absolute;left:3045;top:2276;height:303;width:3390;v-text-anchor:middle;" fillcolor="#C5E0B4 [1305]" filled="t" stroked="t" coordsize="21600,21600" o:gfxdata="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3tDugAAANwA&#10;AAAPAAAAAAAAAAEAIAAAACIAAABkcnMvZG93bnJldi54bWxQSwECFAAUAAAACACHTuJAMy8FnjsA&#10;AAA5AAAAEAAAAAAAAAABACAAAAAJAQAAZHJzL3NoYXBleG1sLnhtbFBLBQYAAAAABgAGAFsBAACz&#10;AwAAAAA=&#10;">
                  <v:fill on="t" focussize="0,0"/>
                  <v:stroke weight="1pt" color="#0000C8" miterlimit="8" joinstyle="miter"/>
                  <v:imagedata o:title=""/>
                  <o:lock v:ext="edit" aspectratio="f"/>
                  <v:textbox inset="3mm,0mm,0mm,0mm">
                    <w:txbxContent>
                      <w:p w14:paraId="06439A43">
                        <w:pPr>
                          <w:pStyle w:val="55"/>
                        </w:pPr>
                        <w:r>
                          <w:rPr>
                            <w:rFonts w:hint="eastAsia"/>
                          </w:rPr>
                          <w:t>制定</w:t>
                        </w:r>
                        <w:r>
                          <w:rPr>
                            <w:rFonts w:hint="eastAsia"/>
                            <w:lang w:val="en-US" w:eastAsia="zh-CN"/>
                          </w:rPr>
                          <w:t>文明施工</w:t>
                        </w:r>
                        <w:r>
                          <w:rPr>
                            <w:rFonts w:hint="eastAsia"/>
                          </w:rPr>
                          <w:t>技术措施</w:t>
                        </w:r>
                      </w:p>
                    </w:txbxContent>
                  </v:textbox>
                </v:shape>
                <v:line id="Line 2542" o:spid="_x0000_s1026" o:spt="20" style="position:absolute;left:2707;top:2426;height:0;width:338;" filled="f" stroked="t" coordsize="21600,21600" o:gfxdata="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Rm+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shape id="Text Box 2543" o:spid="_x0000_s1026" o:spt="202" type="#_x0000_t202" style="position:absolute;left:3045;top:4776;height:303;width:3040;v-text-anchor:middle;" fillcolor="#C5E0B4 [1305]" filled="t" stroked="t" coordsize="21600,21600" o:gfxdata="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MSqq8AAAA&#10;3AAAAA8AAAAAAAAAAQAgAAAAIgAAAGRycy9kb3ducmV2LnhtbFBLAQIUABQAAAAIAIdO4kAzLwWe&#10;OwAAADkAAAAQAAAAAAAAAAEAIAAAAAsBAABkcnMvc2hhcGV4bWwueG1sUEsFBgAAAAAGAAYAWwEA&#10;ALUDAAAAAA==&#10;">
                  <v:fill on="t" focussize="0,0"/>
                  <v:stroke weight="1pt" color="#0000C8" miterlimit="8" joinstyle="miter"/>
                  <v:imagedata o:title=""/>
                  <o:lock v:ext="edit" aspectratio="f"/>
                  <v:textbox inset="3mm,0mm,0mm,0mm">
                    <w:txbxContent>
                      <w:p w14:paraId="60F04E3E">
                        <w:pPr>
                          <w:pStyle w:val="55"/>
                        </w:pPr>
                        <w:r>
                          <w:rPr>
                            <w:rFonts w:hint="eastAsia"/>
                          </w:rPr>
                          <w:t>监督、检查、改进</w:t>
                        </w:r>
                      </w:p>
                    </w:txbxContent>
                  </v:textbox>
                </v:shape>
                <v:line id="Line 2544" o:spid="_x0000_s1026" o:spt="20" style="position:absolute;left:2707;top:4927;height:0;width:338;" filled="f" stroked="t" coordsize="21600,21600" o:gfxdata="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ulO+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45" o:spid="_x0000_s1026" o:spt="20" style="position:absolute;left:2707;top:3262;height:0;width:338;" filled="f" stroked="t" coordsize="21600,21600" o:gfxdata="UEsDBAoAAAAAAIdO4kAAAAAAAAAAAAAAAAAEAAAAZHJzL1BLAwQUAAAACACHTuJAPPb2JbsAAADc&#10;AAAADwAAAGRycy9kb3ducmV2LnhtbEVPTWsCMRC9F/ofwhR6q9m1IrIaRQVpb+KuF2/jZtwsbiZL&#10;Elf775tCwds83ucsVg/biYF8aB0ryEcZCOLa6ZYbBcdq9zEDESKyxs4xKfihAKvl68sCC+3ufKCh&#10;jI1IIRwKVGBi7AspQ23IYhi5njhxF+ctxgR9I7XHewq3nRxn2V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b2Jb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46" o:spid="_x0000_s1026" o:spt="20" style="position:absolute;left:2496;top:3111;flip:y;height:0;width:211;" filled="f" stroked="t" coordsize="21600,21600" o:gfxdata="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Ov3O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47" o:spid="_x0000_s1026" o:spt="20" style="position:absolute;left:5578;top:171;flip:y;height:0;width:1200;" filled="f" stroked="t" coordsize="21600,21600" o:gfxdata="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QhJ+8AAAA&#10;3AAAAA8AAAAAAAAAAQAgAAAAIgAAAGRycy9kb3ducmV2LnhtbFBLAQIUABQAAAAIAIdO4kAzLwWe&#10;OwAAADkAAAAQAAAAAAAAAAEAIAAAAAsBAABkcnMvc2hhcGV4bWwueG1sUEsFBgAAAAAGAAYAWwEA&#10;ALUDAAAAAA==&#10;">
                  <v:fill on="f" focussize="0,0"/>
                  <v:stroke weight="1pt" color="#0000C8" joinstyle="round"/>
                  <v:imagedata o:title=""/>
                  <o:lock v:ext="edit" aspectratio="f"/>
                </v:line>
                <v:line id="Line 2548" o:spid="_x0000_s1026" o:spt="20" style="position:absolute;left:5578;top:605;height:0;width:1205;" filled="f" stroked="t" coordsize="21600,21600" o:gfxdata="UEsDBAoAAAAAAIdO4kAAAAAAAAAAAAAAAAAEAAAAZHJzL1BLAwQUAAAACACHTuJAd0OqRbkAAADc&#10;AAAADwAAAGRycy9kb3ducmV2LnhtbEVPTYvCMBC9C/sfwizsTdO6IN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DqkW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49" o:spid="_x0000_s1026" o:spt="20" style="position:absolute;left:5573;top:1142;height:0;width:1372;" filled="f" stroked="t" coordsize="21600,21600" o:gfxdata="UEsDBAoAAAAAAIdO4kAAAAAAAAAAAAAAAAAEAAAAZHJzL1BLAwQUAAAACACHTuJA+KoyMbkAAADc&#10;AAAADwAAAGRycy9kb3ducmV2LnhtbEVPTYvCMBC9C/sfwizsTdPKIt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qMjG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0" o:spid="_x0000_s1026" o:spt="20" style="position:absolute;left:6435;top:1659;height:0;width:338;" filled="f" stroked="t" coordsize="21600,21600" o:gfxdata="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fml6q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1" o:spid="_x0000_s1026" o:spt="20" style="position:absolute;left:6440;top:2039;height:0;width:495;" filled="f" stroked="t" coordsize="21600,21600" o:gfxdata="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3wJ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2" o:spid="_x0000_s1026" o:spt="20" style="position:absolute;left:6435;top:2438;height:0;width:338;" filled="f" stroked="t" coordsize="21600,21600" o:gfxdata="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UmRU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53" o:spid="_x0000_s1026" o:spt="20" style="position:absolute;left:6773;top:1659;height:779;width:0;" filled="f" stroked="t" coordsize="21600,21600" o:gfxdata="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0EB3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54" o:spid="_x0000_s1026" o:spt="20" style="position:absolute;left:6435;top:2883;height:0;width:338;" filled="f" stroked="t" coordsize="21600,21600" o:gfxdata="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aZA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5" o:spid="_x0000_s1026" o:spt="20" style="position:absolute;left:6440;top:3262;height:0;width:338;" filled="f" stroked="t" coordsize="21600,21600" o:gfxdata="UEsDBAoAAAAAAIdO4kAAAAAAAAAAAAAAAAAEAAAAZHJzL1BLAwQUAAAACACHTuJA8po8mLsAAADc&#10;AAAADwAAAGRycy9kb3ducmV2LnhtbEVPTWsCMRC9F/ofwhR6q9m1oL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o8m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6" o:spid="_x0000_s1026" o:spt="20" style="position:absolute;left:6783;top:2883;height:379;width:0;" filled="f" stroked="t" coordsize="21600,21600" o:gfxdata="UEsDBAoAAAAAAIdO4kAAAAAAAAAAAAAAAAAEAAAAZHJzL1BLAwQUAAAACACHTuJAfXOk7LsAAADc&#10;AAAADwAAAGRycy9kb3ducmV2LnhtbEVPTWsCMRC9F/ofwhR6q9mVor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Ok7L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7" o:spid="_x0000_s1026" o:spt="20" style="position:absolute;left:6783;top:3057;height:0;width:152;" filled="f" stroked="t" coordsize="21600,21600" o:gfxdata="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8Bd7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58" o:spid="_x0000_s1026" o:spt="20" style="position:absolute;left:6783;top:171;height:434;width:0;" filled="f" stroked="t" coordsize="21600,21600" o:gfxdata="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7Z8A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59" o:spid="_x0000_s1026" o:spt="20" style="position:absolute;left:6783;top:407;height:0;width:162;" filled="f" stroked="t" coordsize="21600,21600" o:gfxdata="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oTqbugAAANwA&#10;AAAPAAAAAAAAAAEAIAAAACIAAABkcnMvZG93bnJldi54bWxQSwECFAAUAAAACACHTuJAMy8FnjsA&#10;AAA5AAAAEAAAAAAAAAABACAAAAAJAQAAZHJzL3NoYXBleG1sLnhtbFBLBQYAAAAABgAGAFsBAACz&#10;AwAAAAA=&#10;">
                  <v:fill on="f" focussize="0,0"/>
                  <v:stroke weight="1pt" color="#0000C8" joinstyle="round"/>
                  <v:imagedata o:title=""/>
                  <o:lock v:ext="edit" aspectratio="f"/>
                </v:line>
                <v:line id="Line 2560" o:spid="_x0000_s1026" o:spt="20" style="position:absolute;left:6102;top:3747;height:0;width:654;" filled="f" stroked="t" coordsize="21600,21600" o:gfxdata="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Pq7p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1" o:spid="_x0000_s1026" o:spt="20" style="position:absolute;left:6085;top:4125;height:0;width:671;" filled="f" stroked="t" coordsize="21600,21600" o:gfxdata="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ILcrsAAADc&#10;AAAADwAAAAAAAAABACAAAAAiAAAAZHJzL2Rvd25yZXYueG1sUEsBAhQAFAAAAAgAh07iQDMvBZ47&#10;AAAAOQAAABAAAAAAAAAAAQAgAAAACgEAAGRycy9zaGFwZXhtbC54bWxQSwUGAAAAAAYABgBbAQAA&#10;tAMAAAAA&#10;">
                  <v:fill on="f" focussize="0,0"/>
                  <v:stroke weight="1pt" color="#0000C8" joinstyle="round"/>
                  <v:imagedata o:title=""/>
                  <o:lock v:ext="edit" aspectratio="f"/>
                </v:line>
                <v:line id="Line 2562" o:spid="_x0000_s1026" o:spt="20" style="position:absolute;left:6085;top:4504;height:0;width:671;" filled="f" stroked="t" coordsize="21600,21600" o:gfxdata="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gD6SS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3" o:spid="_x0000_s1026" o:spt="20" style="position:absolute;left:6085;top:4927;height:0;width:671;" filled="f" stroked="t" coordsize="21600,21600" o:gfxdata="UEsDBAoAAAAAAIdO4kAAAAAAAAAAAAAAAAAEAAAAZHJzL1BLAwQUAAAACACHTuJAx09Mv7kAAADc&#10;AAAADwAAAGRycy9kb3ducmV2LnhtbEVPTYvCMBC9C/sfwizsTdO6IN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dPTL+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4" o:spid="_x0000_s1026" o:spt="20" style="position:absolute;left:6756;top:3747;height:1180;width:0;" filled="f" stroked="t" coordsize="21600,21600" o:gfxdata="UEsDBAoAAAAAAIdO4kAAAAAAAAAAAAAAAAAEAAAAZHJzL1BLAwQUAAAACACHTuJASKbUy7kAAADc&#10;AAAADwAAAGRycy9kb3ducmV2LnhtbEVPTYvCMBC9C/sfwizsTdPKIt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m1Mu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5" o:spid="_x0000_s1026" o:spt="20" style="position:absolute;left:6756;top:4353;height:0;width:189;" filled="f" stroked="t" coordsize="21600,21600" o:gfxdata="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ndLIvQAA&#10;ANwAAAAPAAAAAAAAAAEAIAAAACIAAABkcnMvZG93bnJldi54bWxQSwECFAAUAAAACACHTuJAMy8F&#10;njsAAAA5AAAAEAAAAAAAAAABACAAAAAMAQAAZHJzL3NoYXBleG1sLnhtbFBLBQYAAAAABgAGAFsB&#10;AAC2AwAAAAA=&#10;">
                  <v:fill on="f" focussize="0,0"/>
                  <v:stroke weight="1pt" color="#0000C8" joinstyle="round"/>
                  <v:imagedata o:title=""/>
                  <o:lock v:ext="edit" aspectratio="f"/>
                </v:line>
                <v:line id="Line 2566" o:spid="_x0000_s1026" o:spt="20" style="position:absolute;left:6945;top:407;height:3946;width:0;" filled="f" stroked="t" coordsize="21600,21600" o:gfxdata="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47ye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line id="Line 2567" o:spid="_x0000_s1026" o:spt="20" style="position:absolute;left:6945;top:2438;height:0;width:152;" filled="f" stroked="t" coordsize="21600,21600" o:gfxdata="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fqcVC5AAAA3AAA&#10;AA8AAAAAAAAAAQAgAAAAIgAAAGRycy9kb3ducmV2LnhtbFBLAQIUABQAAAAIAIdO4kAzLwWeOwAA&#10;ADkAAAAQAAAAAAAAAAEAIAAAAAgBAABkcnMvc2hhcGV4bWwueG1sUEsFBgAAAAAGAAYAWwEAALID&#10;AAAAAA==&#10;">
                  <v:fill on="f" focussize="0,0"/>
                  <v:stroke weight="1pt" color="#0000C8" joinstyle="round"/>
                  <v:imagedata o:title=""/>
                  <o:lock v:ext="edit" aspectratio="f"/>
                </v:line>
                <v:shape id="Text Box 2568" o:spid="_x0000_s1026" o:spt="202" type="#_x0000_t202" style="position:absolute;left:7097;top:1324;height:2272;width:804;v-text-anchor:middle;" fillcolor="#C5E0B4 [1305]" filled="t" stroked="t" coordsize="21600,21600" o:gfxdata="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X1SvQAA&#10;ANwAAAAPAAAAAAAAAAEAIAAAACIAAABkcnMvZG93bnJldi54bWxQSwECFAAUAAAACACHTuJAMy8F&#10;njsAAAA5AAAAEAAAAAAAAAABACAAAAAMAQAAZHJzL3NoYXBleG1sLnhtbFBLBQYAAAAABgAGAFsB&#10;AAC2AwAAAAA=&#10;">
                  <v:fill on="t" focussize="0,0"/>
                  <v:stroke weight="1pt" color="#0000C8" miterlimit="8" joinstyle="miter"/>
                  <v:imagedata o:title=""/>
                  <o:lock v:ext="edit" aspectratio="f"/>
                  <v:textbox inset="0mm,0mm,0mm,0mm">
                    <w:txbxContent>
                      <w:p w14:paraId="1D013502">
                        <w:pPr>
                          <w:pStyle w:val="55"/>
                        </w:pPr>
                        <w:r>
                          <w:rPr>
                            <w:rFonts w:hint="eastAsia"/>
                          </w:rPr>
                          <w:t>文明</w:t>
                        </w:r>
                      </w:p>
                      <w:p w14:paraId="773A69BC">
                        <w:pPr>
                          <w:pStyle w:val="55"/>
                        </w:pPr>
                        <w:r>
                          <w:rPr>
                            <w:rFonts w:hint="eastAsia"/>
                          </w:rPr>
                          <w:t>施工</w:t>
                        </w:r>
                      </w:p>
                      <w:p w14:paraId="14511A43">
                        <w:pPr>
                          <w:pStyle w:val="55"/>
                        </w:pPr>
                        <w:r>
                          <w:rPr>
                            <w:rFonts w:hint="eastAsia"/>
                          </w:rPr>
                          <w:t>达标</w:t>
                        </w:r>
                      </w:p>
                    </w:txbxContent>
                  </v:textbox>
                </v:shape>
                <w10:wrap type="none"/>
                <w10:anchorlock/>
              </v:group>
            </w:pict>
          </mc:Fallback>
        </mc:AlternateContent>
      </w:r>
    </w:p>
    <w:p w14:paraId="4BC59E55">
      <w:pPr>
        <w:pStyle w:val="41"/>
        <w:bidi w:val="0"/>
        <w:rPr>
          <w:highlight w:val="none"/>
        </w:rPr>
      </w:pPr>
      <w:r>
        <w:rPr>
          <w:rFonts w:hint="eastAsia"/>
          <w:highlight w:val="none"/>
        </w:rPr>
        <w:t>图9.</w:t>
      </w:r>
      <w:r>
        <w:rPr>
          <w:rFonts w:hint="eastAsia"/>
          <w:highlight w:val="none"/>
          <w:lang w:val="en-US" w:eastAsia="zh-CN"/>
        </w:rPr>
        <w:t>1.</w:t>
      </w:r>
      <w:r>
        <w:rPr>
          <w:rFonts w:hint="eastAsia"/>
          <w:highlight w:val="none"/>
        </w:rPr>
        <w:t>2-1文明施工保证体系框图</w:t>
      </w:r>
    </w:p>
    <w:p w14:paraId="4395DCEE">
      <w:pPr>
        <w:pStyle w:val="4"/>
        <w:tabs>
          <w:tab w:val="left" w:pos="240"/>
        </w:tabs>
        <w:bidi w:val="0"/>
        <w:rPr>
          <w:rFonts w:hint="default"/>
          <w:highlight w:val="none"/>
          <w:lang w:val="en-US" w:eastAsia="zh-CN"/>
        </w:rPr>
      </w:pPr>
      <w:r>
        <w:rPr>
          <w:rFonts w:hint="eastAsia"/>
          <w:highlight w:val="none"/>
          <w:lang w:val="en-US" w:eastAsia="zh-CN"/>
        </w:rPr>
        <w:t>10.2.3文明施工保证措施</w:t>
      </w:r>
    </w:p>
    <w:p w14:paraId="04C24F97">
      <w:pPr>
        <w:pStyle w:val="5"/>
        <w:bidi w:val="0"/>
        <w:rPr>
          <w:highlight w:val="none"/>
        </w:rPr>
      </w:pPr>
      <w:r>
        <w:rPr>
          <w:rFonts w:hint="eastAsia"/>
          <w:highlight w:val="none"/>
          <w:lang w:val="en-US" w:eastAsia="zh-CN"/>
        </w:rPr>
        <w:t>10.2.3.1</w:t>
      </w:r>
      <w:r>
        <w:rPr>
          <w:highlight w:val="none"/>
        </w:rPr>
        <w:t>施工驻地文明施工保证措施</w:t>
      </w:r>
    </w:p>
    <w:p w14:paraId="3C40D638">
      <w:pPr>
        <w:pStyle w:val="42"/>
        <w:bidi w:val="0"/>
        <w:rPr>
          <w:rFonts w:hint="eastAsia"/>
          <w:highlight w:val="none"/>
          <w:lang w:val="en-US" w:eastAsia="zh-CN"/>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2.3</w:t>
      </w:r>
      <w:r>
        <w:rPr>
          <w:rFonts w:hint="eastAsia"/>
          <w:highlight w:val="none"/>
        </w:rPr>
        <w:t>-1施工驻地文明施工保证措施</w:t>
      </w:r>
    </w:p>
    <w:tbl>
      <w:tblPr>
        <w:tblStyle w:val="136"/>
        <w:tblpPr w:leftFromText="180" w:rightFromText="180" w:vertAnchor="text" w:tblpXSpec="center" w:tblpY="1"/>
        <w:tblW w:w="8369"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570"/>
        <w:gridCol w:w="945"/>
        <w:gridCol w:w="6854"/>
      </w:tblGrid>
      <w:tr w14:paraId="72F2627A">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tblHeader/>
          <w:jc w:val="center"/>
        </w:trPr>
        <w:tc>
          <w:tcPr>
            <w:tcW w:w="570" w:type="dxa"/>
            <w:shd w:val="clear" w:color="auto" w:fill="auto"/>
            <w:vAlign w:val="center"/>
          </w:tcPr>
          <w:p w14:paraId="5075286C">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945" w:type="dxa"/>
            <w:shd w:val="clear" w:color="auto" w:fill="auto"/>
            <w:vAlign w:val="center"/>
          </w:tcPr>
          <w:p w14:paraId="47E73C7A">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项目</w:t>
            </w:r>
          </w:p>
          <w:p w14:paraId="720E8608">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区域</w:t>
            </w:r>
          </w:p>
        </w:tc>
        <w:tc>
          <w:tcPr>
            <w:tcW w:w="6854" w:type="dxa"/>
            <w:shd w:val="clear" w:color="auto" w:fill="auto"/>
            <w:vAlign w:val="center"/>
          </w:tcPr>
          <w:p w14:paraId="49116402">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3B87D96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570" w:type="dxa"/>
            <w:shd w:val="clear" w:color="auto" w:fill="auto"/>
            <w:vAlign w:val="center"/>
          </w:tcPr>
          <w:p w14:paraId="10139590">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945" w:type="dxa"/>
            <w:shd w:val="clear" w:color="auto" w:fill="auto"/>
            <w:vAlign w:val="center"/>
          </w:tcPr>
          <w:p w14:paraId="6D040025">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生活区</w:t>
            </w:r>
          </w:p>
        </w:tc>
        <w:tc>
          <w:tcPr>
            <w:tcW w:w="6854" w:type="dxa"/>
            <w:shd w:val="clear" w:color="auto" w:fill="auto"/>
            <w:vAlign w:val="center"/>
          </w:tcPr>
          <w:p w14:paraId="7674E63B">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修建宿舍、食堂、开水房、淋浴间、厕所、卫生室、文体活动场所、封闭式垃圾站、污水处理站、消防通道等生活区临建设施，合理布局，做到生活设施规范化、标准化、人性化。</w:t>
            </w:r>
          </w:p>
          <w:p w14:paraId="7CD74C4C">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生活区入口处设置门楼，并设置生活区指示牌、路牌指示牌；宿舍区设宣传教育栏、住宿人员一览表，切实起到教育、表扬先进、促进后进的作用；在生活区临建设施处设相对应的规章制度及标识标牌；在生活区周围插设宣传旗。</w:t>
            </w:r>
          </w:p>
          <w:p w14:paraId="0666BF47">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做好生活区场地硬化、绿化；按规范要求建设专项生活办公区水电供应设施及排水设施，严禁电线私拉乱接、使用大功率用电设备，严禁乱排污水；做好安全消防设施。</w:t>
            </w:r>
          </w:p>
          <w:p w14:paraId="0C288839">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活区设施设专人维护，生活区（宿舍、食堂、厕所等）由专人清洁。宿舍整洁、物品有序；保持食堂通风、卫生、清洁；室外环境清洁，无污物、污水；垃圾密封存放，及时清运；厕所定期喷药，无异味，清洁卫生等。</w:t>
            </w:r>
          </w:p>
          <w:p w14:paraId="1E4C9C2D">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定期进行生活区文明施工检查，开展文明施工宣传。在宣传教育栏中对生活区文明情况进行奖罚公告、督促整改，创造一个和谐、有序、文明的生活环境。</w:t>
            </w:r>
          </w:p>
        </w:tc>
      </w:tr>
      <w:tr w14:paraId="2D26C08A">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570" w:type="dxa"/>
            <w:shd w:val="clear" w:color="auto" w:fill="auto"/>
            <w:vAlign w:val="center"/>
          </w:tcPr>
          <w:p w14:paraId="7E292366">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945" w:type="dxa"/>
            <w:shd w:val="clear" w:color="auto" w:fill="auto"/>
            <w:vAlign w:val="center"/>
          </w:tcPr>
          <w:p w14:paraId="3EC2BF27">
            <w:pPr>
              <w:pStyle w:val="55"/>
              <w:spacing w:line="240" w:lineRule="auto"/>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办公区</w:t>
            </w:r>
          </w:p>
        </w:tc>
        <w:tc>
          <w:tcPr>
            <w:tcW w:w="6854" w:type="dxa"/>
            <w:shd w:val="clear" w:color="auto" w:fill="auto"/>
            <w:vAlign w:val="center"/>
          </w:tcPr>
          <w:p w14:paraId="462D7AC2">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按批准的施工组织设计平面布置图，建设规范化、标准化的项目部大门、门卫、围墙、围挡、旗杆、旗帜、宣传教育栏、洗车台、停车场、门厅、会议室、办公室等办公区临建设施。</w:t>
            </w:r>
          </w:p>
          <w:p w14:paraId="495019A4">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在大门入口处，设置周正醒目的“七牌一图”，即工程概况牌、工程责任人牌、安全制度牌、消防保卫制度牌、环境保护制度牌、文明施工牌、工程创优牌、施工总平面布置图。</w:t>
            </w:r>
          </w:p>
          <w:p w14:paraId="6610BE81">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在门厅设立宣传教育栏、办公区平面布置图及其它标识标牌，在办公区周围插设宣传旗，切实起到教育、宣传作用。</w:t>
            </w:r>
          </w:p>
          <w:p w14:paraId="3C670F8C">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办公室或值班室，墙面悬挂现场总平面布置图、施工形象进度图、组织机构、工作职责、工作制度。</w:t>
            </w:r>
          </w:p>
          <w:p w14:paraId="713E1536">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办公区设施设专人维护，办公区（办公室、会议室、门厅等）由专人清洁，做到办公室整洁、物品有序，给员工提供一个良好的办公环境。</w:t>
            </w:r>
          </w:p>
          <w:p w14:paraId="20DB0BB6">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门卫室做好外来人员、车辆登记，并做到车辆停放规范。</w:t>
            </w:r>
          </w:p>
          <w:p w14:paraId="47186CCE">
            <w:pPr>
              <w:pStyle w:val="55"/>
              <w:spacing w:line="240" w:lineRule="auto"/>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文明施工管理员每天对办公区进行检查，并在宣传教育栏中进行奖罚公告、督促整改，创造一个和谐、有序办公环境。</w:t>
            </w:r>
          </w:p>
          <w:p w14:paraId="30A43D0A">
            <w:pPr>
              <w:pStyle w:val="55"/>
              <w:spacing w:line="240" w:lineRule="auto"/>
              <w:jc w:val="left"/>
              <w:rPr>
                <w:rFonts w:hint="eastAsia" w:ascii="宋体" w:hAnsi="宋体" w:eastAsia="宋体" w:cs="宋体"/>
                <w:b w:val="0"/>
                <w:bCs/>
                <w:spacing w:val="-6"/>
                <w:kern w:val="0"/>
                <w:sz w:val="20"/>
                <w:szCs w:val="20"/>
                <w:highlight w:val="none"/>
              </w:rPr>
            </w:pPr>
            <w:r>
              <w:rPr>
                <w:rFonts w:hint="eastAsia" w:ascii="宋体" w:hAnsi="宋体" w:eastAsia="宋体" w:cs="宋体"/>
                <w:b w:val="0"/>
                <w:bCs/>
                <w:kern w:val="0"/>
                <w:sz w:val="20"/>
                <w:szCs w:val="20"/>
                <w:highlight w:val="none"/>
              </w:rPr>
              <w:t>做好办公区场地硬化、绿化，按规范要求建设专项生活办公区水电供应设施及排水设施，严禁电线私拉乱接、使用大功率用电设备，严禁乱排污水；做好安全消防设施。</w:t>
            </w:r>
          </w:p>
        </w:tc>
      </w:tr>
    </w:tbl>
    <w:p w14:paraId="6A032F74">
      <w:pPr>
        <w:pStyle w:val="5"/>
        <w:bidi w:val="0"/>
        <w:rPr>
          <w:rFonts w:hint="default"/>
          <w:highlight w:val="none"/>
          <w:lang w:val="en-US" w:eastAsia="zh-CN"/>
        </w:rPr>
      </w:pPr>
      <w:r>
        <w:rPr>
          <w:rFonts w:hint="eastAsia"/>
          <w:highlight w:val="none"/>
          <w:lang w:val="en-US" w:eastAsia="zh-CN"/>
        </w:rPr>
        <w:t>10.2.3.2</w:t>
      </w:r>
      <w:r>
        <w:rPr>
          <w:rFonts w:hint="eastAsia"/>
          <w:highlight w:val="none"/>
        </w:rPr>
        <w:t>施工现场文明施工措施</w:t>
      </w:r>
    </w:p>
    <w:p w14:paraId="4526F4C7">
      <w:pPr>
        <w:pStyle w:val="42"/>
        <w:bidi w:val="0"/>
        <w:rPr>
          <w:highlight w:val="none"/>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2.3</w:t>
      </w:r>
      <w:r>
        <w:rPr>
          <w:rFonts w:hint="eastAsia"/>
          <w:highlight w:val="none"/>
        </w:rPr>
        <w:t>-</w:t>
      </w:r>
      <w:r>
        <w:rPr>
          <w:rFonts w:hint="eastAsia"/>
          <w:highlight w:val="none"/>
          <w:lang w:val="en-US" w:eastAsia="zh-CN"/>
        </w:rPr>
        <w:t>2</w:t>
      </w:r>
      <w:r>
        <w:rPr>
          <w:rFonts w:hint="eastAsia"/>
          <w:highlight w:val="none"/>
        </w:rPr>
        <w:t>施工现场文明施工保证措施</w:t>
      </w:r>
    </w:p>
    <w:tbl>
      <w:tblPr>
        <w:tblStyle w:val="136"/>
        <w:tblpPr w:leftFromText="180" w:rightFromText="180" w:vertAnchor="text" w:tblpXSpec="center" w:tblpY="1"/>
        <w:tblW w:w="8590"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643"/>
        <w:gridCol w:w="872"/>
        <w:gridCol w:w="7075"/>
      </w:tblGrid>
      <w:tr w14:paraId="0E9A433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360" w:hRule="atLeast"/>
          <w:tblHeader/>
          <w:jc w:val="center"/>
        </w:trPr>
        <w:tc>
          <w:tcPr>
            <w:tcW w:w="643" w:type="dxa"/>
            <w:shd w:val="clear" w:color="auto" w:fill="auto"/>
            <w:vAlign w:val="center"/>
          </w:tcPr>
          <w:p w14:paraId="1F08AF7C">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872" w:type="dxa"/>
            <w:shd w:val="clear" w:color="auto" w:fill="auto"/>
            <w:vAlign w:val="center"/>
          </w:tcPr>
          <w:p w14:paraId="69EF7DC5">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项目</w:t>
            </w:r>
          </w:p>
          <w:p w14:paraId="14E7B7B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区域</w:t>
            </w:r>
          </w:p>
        </w:tc>
        <w:tc>
          <w:tcPr>
            <w:tcW w:w="7075" w:type="dxa"/>
            <w:shd w:val="clear" w:color="auto" w:fill="auto"/>
            <w:vAlign w:val="center"/>
          </w:tcPr>
          <w:p w14:paraId="13B8259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2484721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643" w:type="dxa"/>
            <w:shd w:val="clear" w:color="auto" w:fill="auto"/>
            <w:vAlign w:val="center"/>
          </w:tcPr>
          <w:p w14:paraId="2465F933">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872" w:type="dxa"/>
            <w:shd w:val="clear" w:color="auto" w:fill="auto"/>
            <w:vAlign w:val="center"/>
          </w:tcPr>
          <w:p w14:paraId="14578205">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生产区</w:t>
            </w:r>
          </w:p>
        </w:tc>
        <w:tc>
          <w:tcPr>
            <w:tcW w:w="7075" w:type="dxa"/>
            <w:shd w:val="clear" w:color="auto" w:fill="auto"/>
            <w:vAlign w:val="center"/>
          </w:tcPr>
          <w:p w14:paraId="6BA12412">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规范化、标准化的生产区工地大门、洗车台、钢筋加工区、混凝土生产区、仓库、钢结构及模板加工区、材料堆放区、设备维修车间、试验室、消防通道等临建设施，合理规划设置垃圾箱、废料分类区、吸烟区、流动厕所、饮水休息区。</w:t>
            </w:r>
          </w:p>
          <w:p w14:paraId="54366B4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在大门入口处，设置周正醒目的“七牌一图”，即工程概况牌、工程责任人牌、安全制度牌、消防保卫制度牌、环境保护制度牌、文明施工牌、工程创优牌、施工总平面布置图。</w:t>
            </w:r>
          </w:p>
          <w:p w14:paraId="3CEFE6A5">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建立文明施工责任区，划分区域明确责任人，挂牌监督。</w:t>
            </w:r>
          </w:p>
          <w:p w14:paraId="18DCFCA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每天设专职文明施工管理员进行巡逻检查，督促日常文明施工工作。</w:t>
            </w:r>
          </w:p>
          <w:p w14:paraId="76897655">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每月组织开展各项文明施工活动，并进行文明施工检查、考核，督促整改，落实文明施工各项规章制度及各项措施。</w:t>
            </w:r>
          </w:p>
          <w:p w14:paraId="3A55495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每月召开文明施工例会，对现场文明施工问题及整改落实情况进行通报，并进行各区域的奖罚通告，同时讨论研究下个月文明施工改进措施、实施细则等。</w:t>
            </w:r>
          </w:p>
          <w:p w14:paraId="616C074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生产区现场做好文明施工宣传标识牌、安全警示标志标语布置，所有标识标牌要按照规定的材料、式样、颜色、内容等标准格式统一加工制作。</w:t>
            </w:r>
          </w:p>
          <w:p w14:paraId="356604B7">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对进场的材料、机具、标识标牌、配电箱、消防器材等严格按布置图位置进行堆放、设置，堆放设置要做到整齐有序。</w:t>
            </w:r>
          </w:p>
          <w:p w14:paraId="7762AC10">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材料挂设标识牌，注明名称、品种、规格、检验状态，检验合格与不合格材料分别堆放，不合格不入库；半成品、成品要整齐堆放，分别挂设标识牌，注明名称、品种、规格、使用部位、图形等，做好防雨防潮。每天由专职文明施工管理员负责检查。</w:t>
            </w:r>
          </w:p>
          <w:p w14:paraId="6A61BD72">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装运建筑材料、土石方、建筑垃圾过程中，采取覆盖措施，以免发生洒漏；混凝土、砂浆运输车辆要做好封闭工作，以免发生洒漏。</w:t>
            </w:r>
          </w:p>
          <w:p w14:paraId="23DA370D">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生产加工产生的废物材料、建筑垃圾要分类堆放，及时清运到指定地点，不随意倾倒，工具杂物要做到“人走场清”。</w:t>
            </w:r>
          </w:p>
          <w:p w14:paraId="5C1E5C61">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规范要求建设生产区水电供应设施及排水设施：做到管线统一规划、合理布设、整齐美观、做到管线平、顺、直、牢；配电房封闭管理，一机一闸，严禁电线私拉乱接、使用不规范的用电设备；电缆、通讯线路埋地或架空敷设，规范统一，不随意敷设；照明线路等严禁设在钢构件和易燃易爆、化学物件上；供水排水管路布置合理，严禁乱排污水；完善安全消防设施；设专人进行管线设施维护。</w:t>
            </w:r>
          </w:p>
          <w:p w14:paraId="3B0FA117">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做好生产区场地硬化、绿化；作业场地内无积水，废水处理须规范，油、污水未经处理不排放；设专人清洁生产区，保证道路晴天不扬尘，雨天不泥泞。</w:t>
            </w:r>
          </w:p>
          <w:p w14:paraId="3C2A6723">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浇筑混凝土、钻孔桩施工、锚碇施工等过程中，采取相应的措施，减少</w:t>
            </w:r>
            <w:r>
              <w:rPr>
                <w:rFonts w:hint="eastAsia" w:cs="宋体"/>
                <w:b w:val="0"/>
                <w:bCs/>
                <w:kern w:val="0"/>
                <w:sz w:val="20"/>
                <w:szCs w:val="20"/>
                <w:highlight w:val="none"/>
                <w:lang w:eastAsia="zh-CN"/>
              </w:rPr>
              <w:t>噪声</w:t>
            </w:r>
            <w:r>
              <w:rPr>
                <w:rFonts w:hint="eastAsia" w:ascii="宋体" w:hAnsi="宋体" w:eastAsia="宋体" w:cs="宋体"/>
                <w:b w:val="0"/>
                <w:bCs/>
                <w:kern w:val="0"/>
                <w:sz w:val="20"/>
                <w:szCs w:val="20"/>
                <w:highlight w:val="none"/>
              </w:rPr>
              <w:t>、扬尘，减少对周边居民及生态环境的影响。</w:t>
            </w:r>
          </w:p>
          <w:p w14:paraId="497ADEF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国家现行有关规定合理规划化学物品库和易燃易爆物品库，保证化学物品和易燃易爆物品合理存放，严格管理，以免污染环境；化学物品和易燃易爆物品领用时做好登记手续，搬运、装卸、使用时必须符合国家现行有关规定的要求。</w:t>
            </w:r>
          </w:p>
        </w:tc>
      </w:tr>
      <w:tr w14:paraId="23DA566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54" w:hRule="atLeast"/>
          <w:jc w:val="center"/>
        </w:trPr>
        <w:tc>
          <w:tcPr>
            <w:tcW w:w="643" w:type="dxa"/>
            <w:shd w:val="clear" w:color="auto" w:fill="auto"/>
            <w:vAlign w:val="center"/>
          </w:tcPr>
          <w:p w14:paraId="42A3B489">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872" w:type="dxa"/>
            <w:shd w:val="clear" w:color="auto" w:fill="auto"/>
            <w:vAlign w:val="center"/>
          </w:tcPr>
          <w:p w14:paraId="71FC245E">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施工区</w:t>
            </w:r>
          </w:p>
        </w:tc>
        <w:tc>
          <w:tcPr>
            <w:tcW w:w="7075" w:type="dxa"/>
            <w:shd w:val="clear" w:color="auto" w:fill="auto"/>
            <w:vAlign w:val="center"/>
          </w:tcPr>
          <w:p w14:paraId="341165C0">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按批准的施工组织设计平面布置图，建设施工便桥、操作平台，合理规划设置垃圾箱、废料堆积区、吸烟区、流动厕所、饮水休息区。</w:t>
            </w:r>
          </w:p>
          <w:p w14:paraId="0525476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在施工现场设置周正醒目标牌，即工程概况牌、工程责任人牌、安全制度牌、消防保卫制度牌、环境保护制度牌、文明施工牌、工艺流程图。</w:t>
            </w:r>
          </w:p>
          <w:p w14:paraId="4C8CDF1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施工便桥、周围安装安全警示灯，布置安全警示标识；</w:t>
            </w:r>
          </w:p>
          <w:p w14:paraId="7A66B95F">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生产加工产生的废物材料要分类堆放处理，泥浆、混凝土、土石方等建筑垃圾要及时清运到指定地点，不随意倾倒，工具杂物要做到“人走场清”。</w:t>
            </w:r>
          </w:p>
          <w:p w14:paraId="6DCB2DEE">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装运建筑垃圾过程中，采取覆盖措施，以免发生洒漏；混凝土、砂浆、泥浆运输车辆要做好封闭工作，以免发生洒漏。</w:t>
            </w:r>
          </w:p>
          <w:p w14:paraId="7DEF5941">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施工便桥设置专人维护、洒水、清洁，确保便桥整洁、不扬尘；采取相应的措施，减少</w:t>
            </w:r>
            <w:r>
              <w:rPr>
                <w:rFonts w:hint="eastAsia" w:cs="宋体"/>
                <w:b w:val="0"/>
                <w:bCs/>
                <w:kern w:val="0"/>
                <w:sz w:val="20"/>
                <w:szCs w:val="20"/>
                <w:highlight w:val="none"/>
                <w:lang w:eastAsia="zh-CN"/>
              </w:rPr>
              <w:t>噪声</w:t>
            </w:r>
            <w:r>
              <w:rPr>
                <w:rFonts w:hint="eastAsia" w:ascii="宋体" w:hAnsi="宋体" w:eastAsia="宋体" w:cs="宋体"/>
                <w:b w:val="0"/>
                <w:bCs/>
                <w:kern w:val="0"/>
                <w:sz w:val="20"/>
                <w:szCs w:val="20"/>
                <w:highlight w:val="none"/>
              </w:rPr>
              <w:t>污染，减少对周边生态环境的影响。</w:t>
            </w:r>
          </w:p>
          <w:p w14:paraId="5B5E6D44">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现场做好文明施工宣传标识牌、安全警示标志标语布置，标识牌布置要齐全、美观、整齐，所有标识标牌要按照规定的材料、式样、颜色、内容等标准格式统一加工制作。</w:t>
            </w:r>
          </w:p>
          <w:p w14:paraId="513CE333">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按国家现行有关规定做好现场化学物品和易燃易爆物品的存放、管理工作，以免污染环境；化学物品和易燃易爆物品领用时做好登记手续，搬运、装卸、使用时必须符合国家现行有关规定的要求。</w:t>
            </w:r>
          </w:p>
          <w:p w14:paraId="477E733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明确该区域文明施工责任人，挂牌监督；每天设专职文明施工管理员进行巡逻检查，督促日常文明施工工作。</w:t>
            </w:r>
          </w:p>
          <w:p w14:paraId="2962A2D9">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每月组织开展各项文明施工活动，并进行文明施工检查、考核，督促整改，落实文明施工各项规章制度及各项措施。</w:t>
            </w:r>
          </w:p>
          <w:p w14:paraId="4946719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每月召开文明施工例会，对现场文明施工问题及整改落实情况进行通报，并进行各区域的奖罚通告，同时讨论研究下个月文明施工工作细则、实施细则等。</w:t>
            </w:r>
          </w:p>
          <w:p w14:paraId="3B77494A">
            <w:pPr>
              <w:pStyle w:val="160"/>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按规范要求建设水电供应设施及排水设施：做到管线统一规划、合理布设、整齐美观、做到管线平、顺、直、牢；配电房封闭管理，一机一闸，严禁电线私拉乱接、使用不规范的用电设备；电缆、通讯线路埋地或架空敷设，规范统一，不随意敷设；照明线路等严禁设在钢构件和易燃易爆、化学物件上；供水排水管路布置合理，做到给水不漏，排水顺畅，严禁乱排污水；完善安全消防设施；设专人进行管线设施维护。</w:t>
            </w:r>
          </w:p>
        </w:tc>
      </w:tr>
    </w:tbl>
    <w:p w14:paraId="7F9A171E">
      <w:pPr>
        <w:pStyle w:val="5"/>
        <w:bidi w:val="0"/>
        <w:rPr>
          <w:rFonts w:hint="default"/>
          <w:highlight w:val="none"/>
          <w:lang w:val="en-US" w:eastAsia="zh-CN"/>
        </w:rPr>
      </w:pPr>
      <w:r>
        <w:rPr>
          <w:rFonts w:hint="eastAsia"/>
          <w:highlight w:val="none"/>
          <w:lang w:val="en-US" w:eastAsia="zh-CN"/>
        </w:rPr>
        <w:t>10.2.3.3</w:t>
      </w:r>
      <w:r>
        <w:rPr>
          <w:rFonts w:hint="eastAsia"/>
          <w:highlight w:val="none"/>
        </w:rPr>
        <w:t>现场机械文明施工措施</w:t>
      </w:r>
    </w:p>
    <w:p w14:paraId="22E152E0">
      <w:pPr>
        <w:pStyle w:val="42"/>
        <w:bidi w:val="0"/>
        <w:rPr>
          <w:highlight w:val="none"/>
        </w:rPr>
      </w:pPr>
      <w:r>
        <w:rPr>
          <w:rFonts w:hint="eastAsia"/>
          <w:highlight w:val="none"/>
        </w:rPr>
        <w:t>表</w:t>
      </w:r>
      <w:r>
        <w:rPr>
          <w:rFonts w:hint="eastAsia"/>
          <w:highlight w:val="none"/>
          <w:lang w:val="en-US" w:eastAsia="zh-CN"/>
        </w:rPr>
        <w:t>10</w:t>
      </w:r>
      <w:r>
        <w:rPr>
          <w:rFonts w:hint="eastAsia"/>
          <w:highlight w:val="none"/>
        </w:rPr>
        <w:t>.</w:t>
      </w:r>
      <w:r>
        <w:rPr>
          <w:rFonts w:hint="eastAsia"/>
          <w:highlight w:val="none"/>
          <w:lang w:val="en-US" w:eastAsia="zh-CN"/>
        </w:rPr>
        <w:t>2.3</w:t>
      </w:r>
      <w:r>
        <w:rPr>
          <w:rFonts w:hint="eastAsia"/>
          <w:highlight w:val="none"/>
        </w:rPr>
        <w:t>-</w:t>
      </w:r>
      <w:r>
        <w:rPr>
          <w:rFonts w:hint="eastAsia"/>
          <w:highlight w:val="none"/>
          <w:lang w:val="en-US" w:eastAsia="zh-CN"/>
        </w:rPr>
        <w:t>3</w:t>
      </w:r>
      <w:r>
        <w:rPr>
          <w:rFonts w:hint="eastAsia"/>
          <w:highlight w:val="none"/>
        </w:rPr>
        <w:t>现场机械文明施工保证措施</w:t>
      </w:r>
    </w:p>
    <w:tbl>
      <w:tblPr>
        <w:tblStyle w:val="136"/>
        <w:tblpPr w:leftFromText="180" w:rightFromText="180" w:vertAnchor="text" w:tblpXSpec="center" w:tblpY="1"/>
        <w:tblW w:w="8469" w:type="dxa"/>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fixed"/>
        <w:tblCellMar>
          <w:top w:w="0" w:type="dxa"/>
          <w:left w:w="108" w:type="dxa"/>
          <w:bottom w:w="0" w:type="dxa"/>
          <w:right w:w="108" w:type="dxa"/>
        </w:tblCellMar>
      </w:tblPr>
      <w:tblGrid>
        <w:gridCol w:w="645"/>
        <w:gridCol w:w="7824"/>
      </w:tblGrid>
      <w:tr w14:paraId="07311F65">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408" w:hRule="atLeast"/>
          <w:jc w:val="center"/>
        </w:trPr>
        <w:tc>
          <w:tcPr>
            <w:tcW w:w="645" w:type="dxa"/>
            <w:shd w:val="clear" w:color="auto" w:fill="auto"/>
            <w:vAlign w:val="center"/>
          </w:tcPr>
          <w:p w14:paraId="670701C8">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序号</w:t>
            </w:r>
          </w:p>
        </w:tc>
        <w:tc>
          <w:tcPr>
            <w:tcW w:w="7824" w:type="dxa"/>
            <w:shd w:val="clear" w:color="auto" w:fill="auto"/>
            <w:vAlign w:val="center"/>
          </w:tcPr>
          <w:p w14:paraId="7CF9AF5B">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主要保证措施</w:t>
            </w:r>
          </w:p>
        </w:tc>
      </w:tr>
      <w:tr w14:paraId="7CA72C2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48D488A6">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1</w:t>
            </w:r>
          </w:p>
        </w:tc>
        <w:tc>
          <w:tcPr>
            <w:tcW w:w="7824" w:type="dxa"/>
            <w:shd w:val="clear" w:color="auto" w:fill="auto"/>
            <w:vAlign w:val="center"/>
          </w:tcPr>
          <w:p w14:paraId="65827205">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配备专职的车辆、机械管理员，负责现场的车辆、机械的管理及调度；</w:t>
            </w:r>
          </w:p>
          <w:p w14:paraId="3809EC9A">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配备专业人员，负责现场的车辆、机械的维修、保养，使车辆、机械保持良好的状况。</w:t>
            </w:r>
          </w:p>
        </w:tc>
      </w:tr>
      <w:tr w14:paraId="1312CCC7">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7F45C911">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2</w:t>
            </w:r>
          </w:p>
        </w:tc>
        <w:tc>
          <w:tcPr>
            <w:tcW w:w="7824" w:type="dxa"/>
            <w:shd w:val="clear" w:color="auto" w:fill="auto"/>
            <w:vAlign w:val="center"/>
          </w:tcPr>
          <w:p w14:paraId="5FF2B1A8">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统一车辆、机械的颜色、标记、标识，并制定相应的机械操作规程。</w:t>
            </w:r>
          </w:p>
        </w:tc>
      </w:tr>
      <w:tr w14:paraId="3F6AEF3B">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05F40B72">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3</w:t>
            </w:r>
          </w:p>
        </w:tc>
        <w:tc>
          <w:tcPr>
            <w:tcW w:w="7824" w:type="dxa"/>
            <w:shd w:val="clear" w:color="auto" w:fill="auto"/>
            <w:vAlign w:val="center"/>
          </w:tcPr>
          <w:p w14:paraId="5275D9F3">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车辆、机械经常清洗，停放有序；</w:t>
            </w:r>
          </w:p>
          <w:p w14:paraId="2A597C90">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定期对驾驶人员进行遵章守纪、交通法规、文明施工教育，保证文明行驶，礼让三先，确保交通安全。</w:t>
            </w:r>
          </w:p>
        </w:tc>
      </w:tr>
      <w:tr w14:paraId="42191359">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03B23CF4">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4</w:t>
            </w:r>
          </w:p>
        </w:tc>
        <w:tc>
          <w:tcPr>
            <w:tcW w:w="7824" w:type="dxa"/>
            <w:shd w:val="clear" w:color="auto" w:fill="auto"/>
            <w:vAlign w:val="center"/>
          </w:tcPr>
          <w:p w14:paraId="0BC76CF3">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清洗车辆机械排出的污水有排放措施，不随地流淌；</w:t>
            </w:r>
          </w:p>
          <w:p w14:paraId="6C862B9E">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机械应防止严重漏油，运行中产生的油污水不随意污染道路及水源。</w:t>
            </w:r>
          </w:p>
        </w:tc>
      </w:tr>
      <w:tr w14:paraId="1106D89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2387FC4D">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5</w:t>
            </w:r>
          </w:p>
        </w:tc>
        <w:tc>
          <w:tcPr>
            <w:tcW w:w="7824" w:type="dxa"/>
            <w:shd w:val="clear" w:color="auto" w:fill="auto"/>
            <w:vAlign w:val="center"/>
          </w:tcPr>
          <w:p w14:paraId="18E5F5E1">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拌和站、砂浆机等机械须配备防尘装置，在拌和站旁设置沉淀池，不将污水直接排放。</w:t>
            </w:r>
          </w:p>
        </w:tc>
      </w:tr>
      <w:tr w14:paraId="73F95082">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12206ECF">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6</w:t>
            </w:r>
          </w:p>
        </w:tc>
        <w:tc>
          <w:tcPr>
            <w:tcW w:w="7824" w:type="dxa"/>
            <w:shd w:val="clear" w:color="auto" w:fill="auto"/>
            <w:vAlign w:val="center"/>
          </w:tcPr>
          <w:p w14:paraId="14D2736B">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合理规划使用施工场地内各种车辆、机械、设备，减少噪音累加，尽量采用</w:t>
            </w:r>
            <w:r>
              <w:rPr>
                <w:rFonts w:hint="eastAsia" w:cs="宋体"/>
                <w:b w:val="0"/>
                <w:bCs/>
                <w:kern w:val="0"/>
                <w:sz w:val="20"/>
                <w:szCs w:val="20"/>
                <w:highlight w:val="none"/>
                <w:lang w:eastAsia="zh-CN"/>
              </w:rPr>
              <w:t>低噪音</w:t>
            </w:r>
            <w:r>
              <w:rPr>
                <w:rFonts w:hint="eastAsia" w:ascii="宋体" w:hAnsi="宋体" w:eastAsia="宋体" w:cs="宋体"/>
                <w:b w:val="0"/>
                <w:bCs/>
                <w:kern w:val="0"/>
                <w:sz w:val="20"/>
                <w:szCs w:val="20"/>
                <w:highlight w:val="none"/>
              </w:rPr>
              <w:t>设备，控制噪音污染。</w:t>
            </w:r>
          </w:p>
        </w:tc>
      </w:tr>
      <w:tr w14:paraId="76A0C938">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CellMar>
            <w:top w:w="0" w:type="dxa"/>
            <w:left w:w="108" w:type="dxa"/>
            <w:bottom w:w="0" w:type="dxa"/>
            <w:right w:w="108" w:type="dxa"/>
          </w:tblCellMar>
        </w:tblPrEx>
        <w:trPr>
          <w:trHeight w:val="796" w:hRule="atLeast"/>
          <w:jc w:val="center"/>
        </w:trPr>
        <w:tc>
          <w:tcPr>
            <w:tcW w:w="645" w:type="dxa"/>
            <w:shd w:val="clear" w:color="auto" w:fill="auto"/>
            <w:vAlign w:val="center"/>
          </w:tcPr>
          <w:p w14:paraId="6465B5ED">
            <w:pPr>
              <w:pStyle w:val="55"/>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7</w:t>
            </w:r>
          </w:p>
        </w:tc>
        <w:tc>
          <w:tcPr>
            <w:tcW w:w="7824" w:type="dxa"/>
            <w:shd w:val="clear" w:color="auto" w:fill="auto"/>
            <w:vAlign w:val="center"/>
          </w:tcPr>
          <w:p w14:paraId="72D26CF9">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装运材料、土石方、垃圾等车辆，采取覆盖措施，确保行驶途中不污染道路和环境；</w:t>
            </w:r>
          </w:p>
          <w:p w14:paraId="3DF494C1">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混凝土、砂浆运输车辆要做好封闭工作，以免发生洒漏；</w:t>
            </w:r>
          </w:p>
          <w:p w14:paraId="29D64C0A">
            <w:pPr>
              <w:pStyle w:val="55"/>
              <w:jc w:val="left"/>
              <w:rPr>
                <w:rFonts w:hint="eastAsia" w:ascii="宋体" w:hAnsi="宋体" w:eastAsia="宋体" w:cs="宋体"/>
                <w:b w:val="0"/>
                <w:bCs/>
                <w:kern w:val="0"/>
                <w:sz w:val="20"/>
                <w:szCs w:val="20"/>
                <w:highlight w:val="none"/>
              </w:rPr>
            </w:pPr>
            <w:r>
              <w:rPr>
                <w:rFonts w:hint="eastAsia" w:ascii="宋体" w:hAnsi="宋体" w:eastAsia="宋体" w:cs="宋体"/>
                <w:b w:val="0"/>
                <w:bCs/>
                <w:kern w:val="0"/>
                <w:sz w:val="20"/>
                <w:szCs w:val="20"/>
                <w:highlight w:val="none"/>
              </w:rPr>
              <w:t>装运材料、垃圾时，应做好覆盖或封闭工作，确保不污染防城港市地域环境。</w:t>
            </w:r>
          </w:p>
        </w:tc>
      </w:tr>
    </w:tbl>
    <w:p w14:paraId="304BBEDD">
      <w:pPr>
        <w:pStyle w:val="5"/>
        <w:bidi w:val="0"/>
        <w:rPr>
          <w:rFonts w:hint="default"/>
          <w:highlight w:val="none"/>
          <w:lang w:val="en-US" w:eastAsia="zh-CN"/>
        </w:rPr>
      </w:pPr>
      <w:bookmarkStart w:id="472" w:name="_Toc27527"/>
      <w:bookmarkStart w:id="473" w:name="_Toc502086831"/>
      <w:bookmarkStart w:id="474" w:name="_Toc492222637"/>
      <w:bookmarkStart w:id="475" w:name="_Toc6274"/>
      <w:bookmarkStart w:id="476" w:name="_Toc26763"/>
      <w:r>
        <w:rPr>
          <w:rFonts w:hint="eastAsia"/>
          <w:highlight w:val="none"/>
          <w:lang w:val="en-US" w:eastAsia="zh-CN"/>
        </w:rPr>
        <w:t>10</w:t>
      </w:r>
      <w:r>
        <w:rPr>
          <w:rFonts w:hint="eastAsia"/>
          <w:highlight w:val="none"/>
        </w:rPr>
        <w:t>.</w:t>
      </w:r>
      <w:r>
        <w:rPr>
          <w:rFonts w:hint="eastAsia"/>
          <w:highlight w:val="none"/>
          <w:lang w:val="en-US" w:eastAsia="zh-CN"/>
        </w:rPr>
        <w:t>2</w:t>
      </w:r>
      <w:r>
        <w:rPr>
          <w:rFonts w:hint="eastAsia"/>
          <w:highlight w:val="none"/>
        </w:rPr>
        <w:t>.</w:t>
      </w:r>
      <w:r>
        <w:rPr>
          <w:rFonts w:hint="eastAsia"/>
          <w:highlight w:val="none"/>
          <w:lang w:val="en-US" w:eastAsia="zh-CN"/>
        </w:rPr>
        <w:t>3.4</w:t>
      </w:r>
      <w:r>
        <w:rPr>
          <w:rFonts w:hint="eastAsia"/>
          <w:highlight w:val="none"/>
        </w:rPr>
        <w:t>施工人员文明施工措施</w:t>
      </w:r>
      <w:bookmarkEnd w:id="472"/>
      <w:bookmarkEnd w:id="473"/>
      <w:bookmarkEnd w:id="474"/>
      <w:bookmarkEnd w:id="475"/>
      <w:bookmarkEnd w:id="476"/>
    </w:p>
    <w:p w14:paraId="05987A57">
      <w:pPr>
        <w:pStyle w:val="42"/>
        <w:bidi w:val="0"/>
        <w:rPr>
          <w:highlight w:val="none"/>
        </w:rPr>
      </w:pPr>
      <w:r>
        <w:rPr>
          <w:rFonts w:hint="eastAsia"/>
          <w:highlight w:val="none"/>
        </w:rPr>
        <w:t>表</w:t>
      </w:r>
      <w:r>
        <w:rPr>
          <w:rFonts w:hint="eastAsia"/>
          <w:highlight w:val="none"/>
          <w:lang w:val="en-US" w:eastAsia="zh-CN"/>
        </w:rPr>
        <w:t xml:space="preserve">10.2.3-4 </w:t>
      </w:r>
      <w:r>
        <w:rPr>
          <w:rFonts w:hint="eastAsia"/>
          <w:highlight w:val="none"/>
        </w:rPr>
        <w:t>施工人员文明施工保证措施</w:t>
      </w:r>
    </w:p>
    <w:tbl>
      <w:tblPr>
        <w:tblStyle w:val="136"/>
        <w:tblpPr w:leftFromText="180" w:rightFromText="180" w:vertAnchor="text" w:tblpXSpec="center" w:tblpY="1"/>
        <w:tblW w:w="4999" w:type="pct"/>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Layout w:type="autofit"/>
        <w:tblCellMar>
          <w:top w:w="0" w:type="dxa"/>
          <w:left w:w="108" w:type="dxa"/>
          <w:bottom w:w="0" w:type="dxa"/>
          <w:right w:w="108" w:type="dxa"/>
        </w:tblCellMar>
      </w:tblPr>
      <w:tblGrid>
        <w:gridCol w:w="634"/>
        <w:gridCol w:w="7886"/>
      </w:tblGrid>
      <w:tr w14:paraId="5C801590">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470" w:hRule="atLeast"/>
          <w:jc w:val="center"/>
        </w:trPr>
        <w:tc>
          <w:tcPr>
            <w:tcW w:w="372" w:type="pct"/>
            <w:shd w:val="clear" w:color="auto" w:fill="auto"/>
            <w:vAlign w:val="center"/>
          </w:tcPr>
          <w:p w14:paraId="3D4D0724">
            <w:pPr>
              <w:pStyle w:val="55"/>
              <w:rPr>
                <w:b w:val="0"/>
                <w:bCs/>
                <w:kern w:val="0"/>
                <w:highlight w:val="none"/>
              </w:rPr>
            </w:pPr>
            <w:r>
              <w:rPr>
                <w:rFonts w:hint="eastAsia"/>
                <w:b w:val="0"/>
                <w:bCs/>
                <w:kern w:val="0"/>
                <w:highlight w:val="none"/>
              </w:rPr>
              <w:t>序号</w:t>
            </w:r>
          </w:p>
        </w:tc>
        <w:tc>
          <w:tcPr>
            <w:tcW w:w="4627" w:type="pct"/>
            <w:shd w:val="clear" w:color="auto" w:fill="auto"/>
            <w:vAlign w:val="center"/>
          </w:tcPr>
          <w:p w14:paraId="6B9FFE8A">
            <w:pPr>
              <w:pStyle w:val="55"/>
              <w:rPr>
                <w:b w:val="0"/>
                <w:bCs/>
                <w:kern w:val="0"/>
                <w:highlight w:val="none"/>
              </w:rPr>
            </w:pPr>
            <w:r>
              <w:rPr>
                <w:rFonts w:hint="eastAsia"/>
                <w:b w:val="0"/>
                <w:bCs/>
                <w:kern w:val="0"/>
                <w:highlight w:val="none"/>
              </w:rPr>
              <w:t>主要保证措施</w:t>
            </w:r>
          </w:p>
        </w:tc>
      </w:tr>
      <w:tr w14:paraId="2F7A6AF4">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971" w:hRule="atLeast"/>
          <w:jc w:val="center"/>
        </w:trPr>
        <w:tc>
          <w:tcPr>
            <w:tcW w:w="372" w:type="pct"/>
            <w:shd w:val="clear" w:color="auto" w:fill="auto"/>
            <w:vAlign w:val="center"/>
          </w:tcPr>
          <w:p w14:paraId="0E4E6664">
            <w:pPr>
              <w:pStyle w:val="55"/>
              <w:rPr>
                <w:b w:val="0"/>
                <w:bCs/>
                <w:kern w:val="0"/>
                <w:highlight w:val="none"/>
              </w:rPr>
            </w:pPr>
            <w:r>
              <w:rPr>
                <w:rFonts w:hint="eastAsia"/>
                <w:b w:val="0"/>
                <w:bCs/>
                <w:kern w:val="0"/>
                <w:highlight w:val="none"/>
              </w:rPr>
              <w:t>1</w:t>
            </w:r>
          </w:p>
        </w:tc>
        <w:tc>
          <w:tcPr>
            <w:tcW w:w="4627" w:type="pct"/>
            <w:shd w:val="clear" w:color="auto" w:fill="auto"/>
            <w:vAlign w:val="center"/>
          </w:tcPr>
          <w:p w14:paraId="2BEF12BA">
            <w:pPr>
              <w:pStyle w:val="55"/>
              <w:jc w:val="left"/>
              <w:rPr>
                <w:b w:val="0"/>
                <w:bCs/>
                <w:kern w:val="0"/>
                <w:highlight w:val="none"/>
              </w:rPr>
            </w:pPr>
            <w:r>
              <w:rPr>
                <w:rFonts w:hint="eastAsia"/>
                <w:b w:val="0"/>
                <w:bCs/>
                <w:kern w:val="0"/>
                <w:highlight w:val="none"/>
              </w:rPr>
              <w:t>施工人员应按要求分类着装，佩戴安全帽；</w:t>
            </w:r>
          </w:p>
          <w:p w14:paraId="5543A50A">
            <w:pPr>
              <w:pStyle w:val="55"/>
              <w:jc w:val="left"/>
              <w:rPr>
                <w:b w:val="0"/>
                <w:bCs/>
                <w:kern w:val="0"/>
                <w:highlight w:val="none"/>
              </w:rPr>
            </w:pPr>
            <w:r>
              <w:rPr>
                <w:rFonts w:hint="eastAsia"/>
                <w:b w:val="0"/>
                <w:bCs/>
                <w:kern w:val="0"/>
                <w:highlight w:val="none"/>
              </w:rPr>
              <w:t>各种岗位人员佩戴胸卡，质量检查人员、安全监督人员佩戴红色袖标；</w:t>
            </w:r>
          </w:p>
          <w:p w14:paraId="617AB4EB">
            <w:pPr>
              <w:pStyle w:val="55"/>
              <w:jc w:val="left"/>
              <w:rPr>
                <w:b w:val="0"/>
                <w:bCs/>
                <w:kern w:val="0"/>
                <w:highlight w:val="none"/>
              </w:rPr>
            </w:pPr>
            <w:r>
              <w:rPr>
                <w:rFonts w:hint="eastAsia"/>
                <w:b w:val="0"/>
                <w:bCs/>
                <w:kern w:val="0"/>
                <w:highlight w:val="none"/>
              </w:rPr>
              <w:t>坚守岗位，职责清楚。</w:t>
            </w:r>
          </w:p>
        </w:tc>
      </w:tr>
      <w:tr w14:paraId="28E99393">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971" w:hRule="atLeast"/>
          <w:jc w:val="center"/>
        </w:trPr>
        <w:tc>
          <w:tcPr>
            <w:tcW w:w="372" w:type="pct"/>
            <w:shd w:val="clear" w:color="auto" w:fill="auto"/>
            <w:vAlign w:val="center"/>
          </w:tcPr>
          <w:p w14:paraId="4521A28E">
            <w:pPr>
              <w:pStyle w:val="55"/>
              <w:rPr>
                <w:b w:val="0"/>
                <w:bCs/>
                <w:kern w:val="0"/>
                <w:highlight w:val="none"/>
              </w:rPr>
            </w:pPr>
            <w:r>
              <w:rPr>
                <w:rFonts w:hint="eastAsia"/>
                <w:b w:val="0"/>
                <w:bCs/>
                <w:kern w:val="0"/>
                <w:highlight w:val="none"/>
              </w:rPr>
              <w:t>2</w:t>
            </w:r>
          </w:p>
        </w:tc>
        <w:tc>
          <w:tcPr>
            <w:tcW w:w="4627" w:type="pct"/>
            <w:shd w:val="clear" w:color="auto" w:fill="auto"/>
            <w:vAlign w:val="center"/>
          </w:tcPr>
          <w:p w14:paraId="1221220A">
            <w:pPr>
              <w:pStyle w:val="55"/>
              <w:jc w:val="left"/>
              <w:rPr>
                <w:b w:val="0"/>
                <w:bCs/>
                <w:kern w:val="0"/>
                <w:highlight w:val="none"/>
              </w:rPr>
            </w:pPr>
            <w:r>
              <w:rPr>
                <w:rFonts w:hint="eastAsia"/>
                <w:b w:val="0"/>
                <w:bCs/>
                <w:kern w:val="0"/>
                <w:highlight w:val="none"/>
              </w:rPr>
              <w:t>进入场区人员在区域内活动要举止大方、</w:t>
            </w:r>
            <w:r>
              <w:rPr>
                <w:rFonts w:hint="eastAsia"/>
                <w:b w:val="0"/>
                <w:bCs/>
                <w:kern w:val="0"/>
                <w:highlight w:val="none"/>
                <w:lang w:eastAsia="zh-CN"/>
              </w:rPr>
              <w:t>仪容</w:t>
            </w:r>
            <w:r>
              <w:rPr>
                <w:rFonts w:hint="eastAsia"/>
                <w:b w:val="0"/>
                <w:bCs/>
                <w:kern w:val="0"/>
                <w:highlight w:val="none"/>
              </w:rPr>
              <w:t>整洁、文明礼貌；</w:t>
            </w:r>
          </w:p>
          <w:p w14:paraId="77562C54">
            <w:pPr>
              <w:pStyle w:val="55"/>
              <w:jc w:val="left"/>
              <w:rPr>
                <w:b w:val="0"/>
                <w:bCs/>
                <w:kern w:val="0"/>
                <w:highlight w:val="none"/>
              </w:rPr>
            </w:pPr>
            <w:r>
              <w:rPr>
                <w:rFonts w:hint="eastAsia"/>
                <w:b w:val="0"/>
                <w:bCs/>
                <w:kern w:val="0"/>
                <w:highlight w:val="none"/>
              </w:rPr>
              <w:t>定期对全体施工人员进行法律、法规教育，严格遵守社会公德、职业道德、职业纪律；</w:t>
            </w:r>
          </w:p>
          <w:p w14:paraId="3DFE9117">
            <w:pPr>
              <w:pStyle w:val="55"/>
              <w:jc w:val="left"/>
              <w:rPr>
                <w:b w:val="0"/>
                <w:bCs/>
                <w:kern w:val="0"/>
                <w:highlight w:val="none"/>
              </w:rPr>
            </w:pPr>
            <w:r>
              <w:rPr>
                <w:rFonts w:hint="eastAsia"/>
                <w:b w:val="0"/>
                <w:bCs/>
                <w:kern w:val="0"/>
                <w:highlight w:val="none"/>
              </w:rPr>
              <w:t>设专人协调处理好周边的公共关系，发生纠纷按程序逐级追究解决，杜绝打架斗殴。</w:t>
            </w:r>
          </w:p>
        </w:tc>
      </w:tr>
      <w:tr w14:paraId="44BDCD71">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971" w:hRule="atLeast"/>
          <w:jc w:val="center"/>
        </w:trPr>
        <w:tc>
          <w:tcPr>
            <w:tcW w:w="372" w:type="pct"/>
            <w:shd w:val="clear" w:color="auto" w:fill="auto"/>
            <w:vAlign w:val="center"/>
          </w:tcPr>
          <w:p w14:paraId="46BC3256">
            <w:pPr>
              <w:pStyle w:val="55"/>
              <w:rPr>
                <w:b w:val="0"/>
                <w:bCs/>
                <w:kern w:val="0"/>
                <w:highlight w:val="none"/>
              </w:rPr>
            </w:pPr>
            <w:r>
              <w:rPr>
                <w:rFonts w:hint="eastAsia"/>
                <w:b w:val="0"/>
                <w:bCs/>
                <w:kern w:val="0"/>
                <w:highlight w:val="none"/>
              </w:rPr>
              <w:t>3</w:t>
            </w:r>
          </w:p>
        </w:tc>
        <w:tc>
          <w:tcPr>
            <w:tcW w:w="4627" w:type="pct"/>
            <w:shd w:val="clear" w:color="auto" w:fill="auto"/>
            <w:vAlign w:val="center"/>
          </w:tcPr>
          <w:p w14:paraId="7A3254A0">
            <w:pPr>
              <w:pStyle w:val="55"/>
              <w:jc w:val="left"/>
              <w:rPr>
                <w:b w:val="0"/>
                <w:bCs/>
                <w:kern w:val="0"/>
                <w:highlight w:val="none"/>
              </w:rPr>
            </w:pPr>
            <w:r>
              <w:rPr>
                <w:rFonts w:hint="eastAsia"/>
                <w:b w:val="0"/>
                <w:bCs/>
                <w:kern w:val="0"/>
                <w:highlight w:val="none"/>
              </w:rPr>
              <w:t>工人在上岗前必须经过文明施工教育培训，未经培训的工人，不得使用；</w:t>
            </w:r>
          </w:p>
          <w:p w14:paraId="07BF3903">
            <w:pPr>
              <w:pStyle w:val="55"/>
              <w:jc w:val="left"/>
              <w:rPr>
                <w:b w:val="0"/>
                <w:bCs/>
                <w:kern w:val="0"/>
                <w:highlight w:val="none"/>
              </w:rPr>
            </w:pPr>
            <w:r>
              <w:rPr>
                <w:rFonts w:hint="eastAsia"/>
                <w:b w:val="0"/>
                <w:bCs/>
                <w:kern w:val="0"/>
                <w:highlight w:val="none"/>
              </w:rPr>
              <w:t>所有施工人员每月需要进行施工安全、法纪和文明施工教育，增强文明施工意识，养成良好的作业习惯，如不在吸烟室以外场所吸烟，严禁穿拖鞋、短袖，不酒后作业等。</w:t>
            </w:r>
          </w:p>
        </w:tc>
      </w:tr>
      <w:tr w14:paraId="64B8A106">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971" w:hRule="atLeast"/>
          <w:jc w:val="center"/>
        </w:trPr>
        <w:tc>
          <w:tcPr>
            <w:tcW w:w="372" w:type="pct"/>
            <w:shd w:val="clear" w:color="auto" w:fill="auto"/>
            <w:vAlign w:val="center"/>
          </w:tcPr>
          <w:p w14:paraId="068FC4BE">
            <w:pPr>
              <w:pStyle w:val="55"/>
              <w:rPr>
                <w:b w:val="0"/>
                <w:bCs/>
                <w:kern w:val="0"/>
                <w:highlight w:val="none"/>
              </w:rPr>
            </w:pPr>
            <w:r>
              <w:rPr>
                <w:rFonts w:hint="eastAsia"/>
                <w:b w:val="0"/>
                <w:bCs/>
                <w:kern w:val="0"/>
                <w:highlight w:val="none"/>
              </w:rPr>
              <w:t>4</w:t>
            </w:r>
          </w:p>
        </w:tc>
        <w:tc>
          <w:tcPr>
            <w:tcW w:w="4627" w:type="pct"/>
            <w:shd w:val="clear" w:color="auto" w:fill="auto"/>
            <w:vAlign w:val="center"/>
          </w:tcPr>
          <w:p w14:paraId="2FAD6DC3">
            <w:pPr>
              <w:pStyle w:val="55"/>
              <w:jc w:val="left"/>
              <w:rPr>
                <w:b w:val="0"/>
                <w:bCs/>
                <w:kern w:val="0"/>
                <w:highlight w:val="none"/>
              </w:rPr>
            </w:pPr>
            <w:r>
              <w:rPr>
                <w:rFonts w:hint="eastAsia"/>
                <w:b w:val="0"/>
                <w:bCs/>
                <w:kern w:val="0"/>
                <w:highlight w:val="none"/>
              </w:rPr>
              <w:t>施工中有计划组织职工学习有关文明施工的规定，争做文明人民；</w:t>
            </w:r>
          </w:p>
          <w:p w14:paraId="0784AAA3">
            <w:pPr>
              <w:pStyle w:val="55"/>
              <w:jc w:val="left"/>
              <w:rPr>
                <w:b w:val="0"/>
                <w:bCs/>
                <w:kern w:val="0"/>
                <w:highlight w:val="none"/>
              </w:rPr>
            </w:pPr>
            <w:r>
              <w:rPr>
                <w:rFonts w:hint="eastAsia"/>
                <w:b w:val="0"/>
                <w:bCs/>
                <w:kern w:val="0"/>
                <w:highlight w:val="none"/>
              </w:rPr>
              <w:t>加强员工文明施工行为考评，并将考评结果纳为月度绩效考核指标。</w:t>
            </w:r>
          </w:p>
        </w:tc>
      </w:tr>
      <w:tr w14:paraId="2801309C">
        <w:tblPrEx>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shd w:val="clear" w:color="auto" w:fill="auto"/>
          <w:tblCellMar>
            <w:top w:w="0" w:type="dxa"/>
            <w:left w:w="108" w:type="dxa"/>
            <w:bottom w:w="0" w:type="dxa"/>
            <w:right w:w="108" w:type="dxa"/>
          </w:tblCellMar>
        </w:tblPrEx>
        <w:trPr>
          <w:trHeight w:val="971" w:hRule="atLeast"/>
          <w:jc w:val="center"/>
        </w:trPr>
        <w:tc>
          <w:tcPr>
            <w:tcW w:w="372" w:type="pct"/>
            <w:shd w:val="clear" w:color="auto" w:fill="auto"/>
            <w:vAlign w:val="center"/>
          </w:tcPr>
          <w:p w14:paraId="2C69228F">
            <w:pPr>
              <w:pStyle w:val="55"/>
              <w:rPr>
                <w:b w:val="0"/>
                <w:bCs/>
                <w:kern w:val="0"/>
                <w:highlight w:val="none"/>
              </w:rPr>
            </w:pPr>
            <w:r>
              <w:rPr>
                <w:rFonts w:hint="eastAsia"/>
                <w:b w:val="0"/>
                <w:bCs/>
                <w:kern w:val="0"/>
                <w:highlight w:val="none"/>
              </w:rPr>
              <w:t>5</w:t>
            </w:r>
          </w:p>
        </w:tc>
        <w:tc>
          <w:tcPr>
            <w:tcW w:w="4627" w:type="pct"/>
            <w:shd w:val="clear" w:color="auto" w:fill="auto"/>
            <w:vAlign w:val="center"/>
          </w:tcPr>
          <w:p w14:paraId="5ABDF829">
            <w:pPr>
              <w:pStyle w:val="55"/>
              <w:jc w:val="left"/>
              <w:rPr>
                <w:b w:val="0"/>
                <w:bCs/>
                <w:kern w:val="0"/>
                <w:highlight w:val="none"/>
              </w:rPr>
            </w:pPr>
            <w:r>
              <w:rPr>
                <w:rFonts w:hint="eastAsia"/>
                <w:b w:val="0"/>
                <w:bCs/>
                <w:kern w:val="0"/>
                <w:highlight w:val="none"/>
              </w:rPr>
              <w:t>建立文明施工档案，做好文明施工宣传，对违反文明施工人员进行教育、纠偏、处罚，严重者清除出场；在文明施工中表现优秀的给予褒奖。</w:t>
            </w:r>
          </w:p>
        </w:tc>
      </w:tr>
    </w:tbl>
    <w:p w14:paraId="00A9E778">
      <w:pPr>
        <w:pStyle w:val="5"/>
        <w:bidi w:val="0"/>
        <w:rPr>
          <w:rFonts w:hint="default"/>
          <w:highlight w:val="none"/>
          <w:lang w:val="en-US" w:eastAsia="zh-CN"/>
        </w:rPr>
      </w:pPr>
      <w:r>
        <w:rPr>
          <w:rFonts w:hint="eastAsia"/>
          <w:highlight w:val="none"/>
          <w:lang w:val="en-US" w:eastAsia="zh-CN"/>
        </w:rPr>
        <w:t>10.2.3.5</w:t>
      </w:r>
      <w:r>
        <w:rPr>
          <w:rFonts w:hint="eastAsia"/>
          <w:highlight w:val="none"/>
        </w:rPr>
        <w:t>卫生保洁文明施工措施</w:t>
      </w:r>
    </w:p>
    <w:p w14:paraId="08DC96EB">
      <w:pPr>
        <w:bidi w:val="0"/>
        <w:ind w:firstLine="480" w:firstLineChars="200"/>
        <w:rPr>
          <w:highlight w:val="none"/>
        </w:rPr>
      </w:pPr>
      <w:r>
        <w:rPr>
          <w:highlight w:val="none"/>
        </w:rPr>
        <w:t>1</w:t>
      </w:r>
      <w:r>
        <w:rPr>
          <w:rFonts w:hint="eastAsia"/>
          <w:highlight w:val="none"/>
          <w:lang w:eastAsia="zh-CN"/>
        </w:rPr>
        <w:t>、</w:t>
      </w:r>
      <w:r>
        <w:rPr>
          <w:rFonts w:hint="eastAsia"/>
          <w:highlight w:val="none"/>
        </w:rPr>
        <w:t>保洁人员配置及职责</w:t>
      </w:r>
    </w:p>
    <w:p w14:paraId="30DB7157">
      <w:pPr>
        <w:ind w:firstLine="480"/>
        <w:rPr>
          <w:highlight w:val="none"/>
        </w:rPr>
      </w:pPr>
      <w:r>
        <w:rPr>
          <w:rFonts w:hint="eastAsia"/>
          <w:highlight w:val="none"/>
        </w:rPr>
        <w:t>（1）人员配置：建筑施工现场统一配备专职保洁员，明确卫生职责、健全卫生奖惩体系，实现建筑施工现场“制度健全、设施完备、人员到位、清扫及时”的目标</w:t>
      </w:r>
    </w:p>
    <w:p w14:paraId="6F771A5E">
      <w:pPr>
        <w:ind w:firstLine="480"/>
        <w:rPr>
          <w:highlight w:val="none"/>
        </w:rPr>
      </w:pPr>
      <w:r>
        <w:rPr>
          <w:rFonts w:hint="eastAsia"/>
          <w:highlight w:val="none"/>
        </w:rPr>
        <w:t>（2）主要职责：</w:t>
      </w:r>
    </w:p>
    <w:p w14:paraId="05CAFB85">
      <w:pPr>
        <w:ind w:firstLine="480"/>
        <w:rPr>
          <w:highlight w:val="none"/>
        </w:rPr>
      </w:pPr>
      <w:r>
        <w:rPr>
          <w:rFonts w:hint="eastAsia"/>
          <w:highlight w:val="none"/>
        </w:rPr>
        <w:t>①确保施工现场围墙外5米内以及围墙内场地平整，无积水、无生活垃圾、杂草，废弃物；</w:t>
      </w:r>
    </w:p>
    <w:p w14:paraId="13E15E8B">
      <w:pPr>
        <w:ind w:firstLine="480"/>
        <w:rPr>
          <w:highlight w:val="none"/>
        </w:rPr>
      </w:pPr>
      <w:r>
        <w:rPr>
          <w:rFonts w:hint="eastAsia"/>
          <w:highlight w:val="none"/>
        </w:rPr>
        <w:t>②确保办公区走廊、楼梯、栏杆、楼道、痰盂、垃圾桶清洁，无灰尘、烟头、痰迹、无卫生死角；</w:t>
      </w:r>
    </w:p>
    <w:p w14:paraId="73147760">
      <w:pPr>
        <w:ind w:firstLine="480"/>
        <w:rPr>
          <w:highlight w:val="none"/>
        </w:rPr>
      </w:pPr>
      <w:r>
        <w:rPr>
          <w:rFonts w:hint="eastAsia"/>
          <w:highlight w:val="none"/>
        </w:rPr>
        <w:t>③确保生活区清洁卫生，生活垃圾日产日清；</w:t>
      </w:r>
    </w:p>
    <w:p w14:paraId="443AD20D">
      <w:pPr>
        <w:ind w:firstLine="480"/>
        <w:rPr>
          <w:highlight w:val="none"/>
        </w:rPr>
      </w:pPr>
      <w:r>
        <w:rPr>
          <w:rFonts w:hint="eastAsia"/>
          <w:highlight w:val="none"/>
        </w:rPr>
        <w:t>④确保施工区材料堆放整齐、粉状材料覆盖、建筑垃圾及时清理，无卫生死角；</w:t>
      </w:r>
    </w:p>
    <w:p w14:paraId="63AF7C9A">
      <w:pPr>
        <w:ind w:firstLine="480"/>
        <w:rPr>
          <w:highlight w:val="none"/>
        </w:rPr>
      </w:pPr>
      <w:r>
        <w:rPr>
          <w:rFonts w:hint="eastAsia"/>
          <w:highlight w:val="none"/>
        </w:rPr>
        <w:t>⑤确保宿舍周围干净整洁，无污水、生活垃圾、杂物、无卫生死角。宿舍内物品摆放整齐有序、干净整洁；</w:t>
      </w:r>
    </w:p>
    <w:p w14:paraId="5B214A78">
      <w:pPr>
        <w:ind w:firstLine="480"/>
        <w:rPr>
          <w:highlight w:val="none"/>
        </w:rPr>
      </w:pPr>
      <w:r>
        <w:rPr>
          <w:rFonts w:hint="eastAsia"/>
          <w:highlight w:val="none"/>
        </w:rPr>
        <w:t>⑥确保食堂灶台、室内</w:t>
      </w:r>
      <w:r>
        <w:rPr>
          <w:rFonts w:hint="eastAsia"/>
          <w:highlight w:val="none"/>
          <w:lang w:eastAsia="zh-CN"/>
        </w:rPr>
        <w:t>墙面</w:t>
      </w:r>
      <w:r>
        <w:rPr>
          <w:rFonts w:hint="eastAsia"/>
          <w:highlight w:val="none"/>
        </w:rPr>
        <w:t>瓷砖无油垢，通风口、泔水桶加盖、密闭，泔水桶内外清洁，周边无杂物、积水，餐桌、椅保持整洁，地面保持清洁；</w:t>
      </w:r>
    </w:p>
    <w:p w14:paraId="2E301DE8">
      <w:pPr>
        <w:bidi w:val="0"/>
        <w:ind w:firstLine="480" w:firstLineChars="200"/>
        <w:rPr>
          <w:highlight w:val="none"/>
        </w:rPr>
      </w:pPr>
      <w:r>
        <w:rPr>
          <w:rFonts w:hint="eastAsia"/>
          <w:highlight w:val="none"/>
        </w:rPr>
        <w:t>⑦确保厕所洗手池、地面、便池清洁干净，定期消毒，喷洒药物，厕所内无积水、无尿碱、无污垢、无异味，无蚊蝇、无卫生死角。</w:t>
      </w:r>
    </w:p>
    <w:p w14:paraId="2B3AE8B5">
      <w:pPr>
        <w:bidi w:val="0"/>
        <w:ind w:firstLine="480" w:firstLineChars="200"/>
        <w:rPr>
          <w:rFonts w:hint="default"/>
          <w:highlight w:val="none"/>
          <w:lang w:val="en-US" w:eastAsia="zh-CN"/>
        </w:rPr>
      </w:pPr>
      <w:r>
        <w:rPr>
          <w:rFonts w:hint="eastAsia"/>
          <w:highlight w:val="none"/>
          <w:lang w:val="en-US" w:eastAsia="zh-CN"/>
        </w:rPr>
        <w:t>2、</w:t>
      </w:r>
      <w:r>
        <w:rPr>
          <w:rFonts w:hint="eastAsia"/>
          <w:highlight w:val="none"/>
        </w:rPr>
        <w:t>饮食卫生保障措施</w:t>
      </w:r>
    </w:p>
    <w:p w14:paraId="4EA5B17B">
      <w:pPr>
        <w:ind w:firstLine="480"/>
        <w:rPr>
          <w:highlight w:val="none"/>
        </w:rPr>
      </w:pPr>
      <w:r>
        <w:rPr>
          <w:highlight w:val="none"/>
        </w:rPr>
        <w:t>1</w:t>
      </w:r>
      <w:r>
        <w:rPr>
          <w:rFonts w:hint="eastAsia"/>
          <w:highlight w:val="none"/>
        </w:rPr>
        <w:t>）采购运输</w:t>
      </w:r>
    </w:p>
    <w:p w14:paraId="781FC644">
      <w:pPr>
        <w:ind w:firstLine="480"/>
        <w:rPr>
          <w:highlight w:val="none"/>
        </w:rPr>
      </w:pPr>
      <w:r>
        <w:rPr>
          <w:rFonts w:hint="eastAsia"/>
          <w:highlight w:val="none"/>
        </w:rPr>
        <w:t>①采购外地食品应向供货单位索取县以上食品卫生监督机构开具的检验合格证或检验单。认为必要时，请当地食品卫生监督机构进行复验。</w:t>
      </w:r>
    </w:p>
    <w:p w14:paraId="713F77AA">
      <w:pPr>
        <w:ind w:firstLine="480"/>
        <w:rPr>
          <w:highlight w:val="none"/>
        </w:rPr>
      </w:pPr>
      <w:r>
        <w:rPr>
          <w:rFonts w:hint="eastAsia"/>
          <w:highlight w:val="none"/>
        </w:rPr>
        <w:t>②采购食品用的车辆，容器要清洁卫生，做到生熟分开，防尘、防蝇、防潮。</w:t>
      </w:r>
    </w:p>
    <w:p w14:paraId="54DC30F3">
      <w:pPr>
        <w:ind w:firstLine="480"/>
        <w:rPr>
          <w:highlight w:val="none"/>
        </w:rPr>
      </w:pPr>
      <w:r>
        <w:rPr>
          <w:rFonts w:hint="eastAsia"/>
          <w:highlight w:val="none"/>
        </w:rPr>
        <w:t>③不得采购制售腐败变质、霉变、生虫、有异味或《食品卫生法》规定禁止生产经营的食品。</w:t>
      </w:r>
    </w:p>
    <w:p w14:paraId="11181CA6">
      <w:pPr>
        <w:ind w:firstLine="480"/>
        <w:rPr>
          <w:highlight w:val="none"/>
        </w:rPr>
      </w:pPr>
      <w:r>
        <w:rPr>
          <w:highlight w:val="none"/>
        </w:rPr>
        <w:t>2</w:t>
      </w:r>
      <w:r>
        <w:rPr>
          <w:rFonts w:hint="eastAsia"/>
          <w:highlight w:val="none"/>
        </w:rPr>
        <w:t>）储存、保管</w:t>
      </w:r>
    </w:p>
    <w:p w14:paraId="3BCFDB6D">
      <w:pPr>
        <w:ind w:firstLine="480"/>
        <w:rPr>
          <w:highlight w:val="none"/>
        </w:rPr>
      </w:pPr>
      <w:r>
        <w:rPr>
          <w:rFonts w:hint="eastAsia"/>
          <w:highlight w:val="none"/>
        </w:rPr>
        <w:t>①根据《食品卫生法》的规定，食品不得接触有毒物，不洁物。建筑上用的防冻盐等有害物质，个施工单位要设专人专库存放，严禁防冻盐和食用盐同仓共贮，要建立健全管理制度。</w:t>
      </w:r>
    </w:p>
    <w:p w14:paraId="10BF63B9">
      <w:pPr>
        <w:ind w:firstLine="480"/>
        <w:rPr>
          <w:highlight w:val="none"/>
        </w:rPr>
      </w:pPr>
      <w:r>
        <w:rPr>
          <w:rFonts w:hint="eastAsia"/>
          <w:highlight w:val="none"/>
        </w:rPr>
        <w:t>②贮存食品要隔墙、离地，注意做到通风、防潮、防虫、防鼠，有条件的单位应设冷藏设备。主副食品、原料、半成品、成品要分开存放。</w:t>
      </w:r>
    </w:p>
    <w:p w14:paraId="59DEE388">
      <w:pPr>
        <w:ind w:firstLine="480"/>
        <w:rPr>
          <w:highlight w:val="none"/>
        </w:rPr>
      </w:pPr>
      <w:r>
        <w:rPr>
          <w:rFonts w:hint="eastAsia"/>
          <w:highlight w:val="none"/>
        </w:rPr>
        <w:t>③盛放酱油、盐等副食调料要做到容器物见本色，加盖存放，清洁卫生。</w:t>
      </w:r>
    </w:p>
    <w:p w14:paraId="0E2EA10D">
      <w:pPr>
        <w:ind w:firstLine="480"/>
        <w:rPr>
          <w:highlight w:val="none"/>
        </w:rPr>
      </w:pPr>
      <w:r>
        <w:rPr>
          <w:highlight w:val="none"/>
        </w:rPr>
        <w:t>3</w:t>
      </w:r>
      <w:r>
        <w:rPr>
          <w:rFonts w:hint="eastAsia"/>
          <w:highlight w:val="none"/>
        </w:rPr>
        <w:t>）制售过程卫生</w:t>
      </w:r>
    </w:p>
    <w:p w14:paraId="66095C77">
      <w:pPr>
        <w:ind w:firstLine="480"/>
        <w:rPr>
          <w:highlight w:val="none"/>
        </w:rPr>
      </w:pPr>
      <w:r>
        <w:rPr>
          <w:rFonts w:hint="eastAsia"/>
          <w:highlight w:val="none"/>
        </w:rPr>
        <w:t>①制作食品的原料要新鲜卫生，认真做到不用、不卖腐败变质的食品，各种食品要烧熟煮透，以免食物中毒的发生。</w:t>
      </w:r>
    </w:p>
    <w:p w14:paraId="16356F32">
      <w:pPr>
        <w:ind w:firstLine="480"/>
        <w:rPr>
          <w:highlight w:val="none"/>
        </w:rPr>
      </w:pPr>
      <w:r>
        <w:rPr>
          <w:rFonts w:hint="eastAsia"/>
          <w:highlight w:val="none"/>
        </w:rPr>
        <w:t>②制售过程及刀、墩、案板、盆、筐、水池子、抹布和冰箱等工具要严格做到生熟分开，售饭时要用工具销售直接入口食品，饭票要消毒。</w:t>
      </w:r>
    </w:p>
    <w:p w14:paraId="114AA444">
      <w:pPr>
        <w:ind w:firstLine="480"/>
        <w:rPr>
          <w:highlight w:val="none"/>
        </w:rPr>
      </w:pPr>
      <w:r>
        <w:rPr>
          <w:rFonts w:hint="eastAsia"/>
          <w:highlight w:val="none"/>
        </w:rPr>
        <w:t>③生吃凉拌菜必须洗净消毒，剩饭、菜要回锅彻底加热再食用，一旦发现变质，不得食用。</w:t>
      </w:r>
    </w:p>
    <w:p w14:paraId="54E9F5D1">
      <w:pPr>
        <w:ind w:firstLine="480"/>
        <w:rPr>
          <w:highlight w:val="none"/>
        </w:rPr>
      </w:pPr>
      <w:r>
        <w:rPr>
          <w:rFonts w:hint="eastAsia"/>
          <w:highlight w:val="none"/>
        </w:rPr>
        <w:t>④公共</w:t>
      </w:r>
      <w:r>
        <w:rPr>
          <w:rFonts w:hint="eastAsia"/>
          <w:highlight w:val="none"/>
          <w:lang w:eastAsia="zh-CN"/>
        </w:rPr>
        <w:t>餐具</w:t>
      </w:r>
      <w:r>
        <w:rPr>
          <w:rFonts w:hint="eastAsia"/>
          <w:highlight w:val="none"/>
        </w:rPr>
        <w:t>要消毒洗净，应有上下水洗手和餐具洗涤设备。</w:t>
      </w:r>
    </w:p>
    <w:p w14:paraId="39964736">
      <w:pPr>
        <w:bidi w:val="0"/>
        <w:ind w:firstLine="480" w:firstLineChars="200"/>
        <w:rPr>
          <w:highlight w:val="none"/>
        </w:rPr>
      </w:pPr>
      <w:r>
        <w:rPr>
          <w:rFonts w:hint="eastAsia"/>
          <w:highlight w:val="none"/>
          <w:lang w:val="en-US" w:eastAsia="zh-CN"/>
        </w:rPr>
        <w:t>4）</w:t>
      </w:r>
      <w:r>
        <w:rPr>
          <w:rFonts w:hint="eastAsia"/>
          <w:highlight w:val="none"/>
        </w:rPr>
        <w:t>个人卫生</w:t>
      </w:r>
    </w:p>
    <w:p w14:paraId="54C2EEAC">
      <w:pPr>
        <w:ind w:firstLine="480"/>
        <w:rPr>
          <w:highlight w:val="none"/>
        </w:rPr>
      </w:pPr>
      <w:r>
        <w:rPr>
          <w:rFonts w:hint="eastAsia"/>
          <w:highlight w:val="none"/>
        </w:rPr>
        <w:t>①炊管人员每年要进行一次健康检查，持有健康合格证及卫生知识培训后，方可上岗。凡患有痢疾、肝炎、伤寒、活动性肺结核、渗出性皮肤病及其它有碍食品卫生的疾病，不得参加接触直接入口食品的制售及食品洗涤工作。</w:t>
      </w:r>
    </w:p>
    <w:p w14:paraId="14C3ACAF">
      <w:pPr>
        <w:ind w:firstLine="480"/>
        <w:rPr>
          <w:highlight w:val="none"/>
        </w:rPr>
      </w:pPr>
      <w:r>
        <w:rPr>
          <w:rFonts w:hint="eastAsia"/>
          <w:highlight w:val="none"/>
        </w:rPr>
        <w:t>②炊管人员操作时必须穿戴好工作服、发帽，并保持清洁整齐，做到文明生产，不赤背，不光脚，禁止随地吐痰。</w:t>
      </w:r>
    </w:p>
    <w:p w14:paraId="6C69DF2D">
      <w:pPr>
        <w:ind w:firstLine="480"/>
        <w:rPr>
          <w:highlight w:val="none"/>
        </w:rPr>
      </w:pPr>
      <w:r>
        <w:rPr>
          <w:rFonts w:hint="eastAsia"/>
          <w:highlight w:val="none"/>
        </w:rPr>
        <w:t>③炊管人员必须做好个人卫生，要坚持做到四勤（勤理发、勤洗澡、勤换衣、勤剪指甲）。</w:t>
      </w:r>
    </w:p>
    <w:p w14:paraId="751A141E">
      <w:pPr>
        <w:pStyle w:val="5"/>
        <w:bidi w:val="0"/>
        <w:rPr>
          <w:rFonts w:hint="default"/>
          <w:highlight w:val="none"/>
          <w:lang w:val="en-US" w:eastAsia="zh-CN"/>
        </w:rPr>
      </w:pPr>
      <w:r>
        <w:rPr>
          <w:rFonts w:hint="eastAsia"/>
          <w:highlight w:val="none"/>
          <w:lang w:val="en-US" w:eastAsia="zh-CN"/>
        </w:rPr>
        <w:t>10.2.3.6</w:t>
      </w:r>
      <w:r>
        <w:rPr>
          <w:rFonts w:hint="eastAsia"/>
          <w:highlight w:val="none"/>
        </w:rPr>
        <w:t>便民措施</w:t>
      </w:r>
    </w:p>
    <w:p w14:paraId="6F3317E0">
      <w:pPr>
        <w:pStyle w:val="13"/>
        <w:rPr>
          <w:rFonts w:hint="default"/>
          <w:highlight w:val="none"/>
          <w:lang w:val="en-US" w:eastAsia="zh-CN"/>
        </w:rPr>
      </w:pPr>
      <w:r>
        <w:rPr>
          <w:rFonts w:hint="eastAsia"/>
          <w:highlight w:val="none"/>
        </w:rPr>
        <w:t>在本工程的建设中我</w:t>
      </w:r>
      <w:r>
        <w:rPr>
          <w:rFonts w:hint="eastAsia"/>
          <w:highlight w:val="none"/>
          <w:lang w:val="en-US" w:eastAsia="zh-CN"/>
        </w:rPr>
        <w:t>部</w:t>
      </w:r>
      <w:r>
        <w:rPr>
          <w:rFonts w:hint="eastAsia"/>
          <w:highlight w:val="none"/>
        </w:rPr>
        <w:t>将自觉遵守百姓的监督</w:t>
      </w:r>
      <w:r>
        <w:rPr>
          <w:rFonts w:hint="eastAsia"/>
          <w:highlight w:val="none"/>
          <w:lang w:eastAsia="zh-CN"/>
        </w:rPr>
        <w:t>，</w:t>
      </w:r>
      <w:r>
        <w:rPr>
          <w:rFonts w:hint="eastAsia"/>
          <w:highlight w:val="none"/>
        </w:rPr>
        <w:t>加强与百姓的联系是确保工程施工顺利进行的关键因素；同时也是文明施工，提升</w:t>
      </w:r>
      <w:r>
        <w:rPr>
          <w:rFonts w:hint="eastAsia"/>
          <w:highlight w:val="none"/>
          <w:lang w:val="en-US" w:eastAsia="zh-CN"/>
        </w:rPr>
        <w:t>项目</w:t>
      </w:r>
      <w:r>
        <w:rPr>
          <w:rFonts w:hint="eastAsia"/>
          <w:highlight w:val="none"/>
        </w:rPr>
        <w:t>形象的关键。</w:t>
      </w:r>
    </w:p>
    <w:p w14:paraId="48C86C87">
      <w:pPr>
        <w:bidi w:val="0"/>
        <w:ind w:firstLine="480" w:firstLineChars="200"/>
        <w:rPr>
          <w:highlight w:val="none"/>
        </w:rPr>
      </w:pPr>
      <w:r>
        <w:rPr>
          <w:highlight w:val="none"/>
        </w:rPr>
        <w:t>1</w:t>
      </w:r>
      <w:r>
        <w:rPr>
          <w:rFonts w:hint="eastAsia"/>
          <w:highlight w:val="none"/>
          <w:lang w:eastAsia="zh-CN"/>
        </w:rPr>
        <w:t>、</w:t>
      </w:r>
      <w:r>
        <w:rPr>
          <w:rFonts w:hint="eastAsia"/>
          <w:highlight w:val="none"/>
        </w:rPr>
        <w:t>与周边单位、群众的协调措施</w:t>
      </w:r>
    </w:p>
    <w:p w14:paraId="236496E5">
      <w:pPr>
        <w:ind w:firstLine="480"/>
        <w:rPr>
          <w:highlight w:val="none"/>
        </w:rPr>
      </w:pPr>
      <w:r>
        <w:rPr>
          <w:rFonts w:hint="eastAsia"/>
          <w:highlight w:val="none"/>
        </w:rPr>
        <w:t>（1）客观正确对待地方政府和群众的要求；</w:t>
      </w:r>
    </w:p>
    <w:p w14:paraId="120AA8E3">
      <w:pPr>
        <w:ind w:firstLine="480"/>
        <w:rPr>
          <w:rFonts w:hint="eastAsia"/>
          <w:highlight w:val="none"/>
        </w:rPr>
      </w:pPr>
      <w:r>
        <w:rPr>
          <w:rFonts w:hint="eastAsia"/>
          <w:highlight w:val="none"/>
        </w:rPr>
        <w:t>（</w:t>
      </w:r>
      <w:r>
        <w:rPr>
          <w:rFonts w:hint="eastAsia"/>
          <w:highlight w:val="none"/>
          <w:lang w:val="en-US" w:eastAsia="zh-CN"/>
        </w:rPr>
        <w:t>2</w:t>
      </w:r>
      <w:r>
        <w:rPr>
          <w:rFonts w:hint="eastAsia"/>
          <w:highlight w:val="none"/>
        </w:rPr>
        <w:t>）尊重当地风俗习惯。要入乡随俗，在施工前要派人搞好社情、乡俗调查，主动搞好与地方的关系，增进团结。</w:t>
      </w:r>
    </w:p>
    <w:p w14:paraId="5EEACAD6">
      <w:pPr>
        <w:ind w:firstLine="480"/>
        <w:rPr>
          <w:highlight w:val="none"/>
        </w:rPr>
      </w:pPr>
      <w:r>
        <w:rPr>
          <w:rFonts w:hint="eastAsia"/>
          <w:highlight w:val="none"/>
        </w:rPr>
        <w:t>（</w:t>
      </w:r>
      <w:r>
        <w:rPr>
          <w:rFonts w:hint="eastAsia"/>
          <w:highlight w:val="none"/>
          <w:lang w:val="en-US" w:eastAsia="zh-CN"/>
        </w:rPr>
        <w:t>3</w:t>
      </w:r>
      <w:r>
        <w:rPr>
          <w:rFonts w:hint="eastAsia"/>
          <w:highlight w:val="none"/>
        </w:rPr>
        <w:t>）关心当地群众利益。关心体谅当地群众，我</w:t>
      </w:r>
      <w:r>
        <w:rPr>
          <w:rFonts w:hint="eastAsia"/>
          <w:highlight w:val="none"/>
          <w:lang w:val="en-US" w:eastAsia="zh-CN"/>
        </w:rPr>
        <w:t>部</w:t>
      </w:r>
      <w:r>
        <w:rPr>
          <w:rFonts w:hint="eastAsia"/>
          <w:highlight w:val="none"/>
        </w:rPr>
        <w:t>能办到的尽量办；对办不到的事情和无法满足的要求在说明情况的同时，要通过一些必要的形式，利用乡镇、村委和执法人员，沟通和当地群众的关系，创造相互理解的气氛。</w:t>
      </w:r>
    </w:p>
    <w:p w14:paraId="543C6C2D">
      <w:pPr>
        <w:ind w:firstLine="480"/>
        <w:rPr>
          <w:highlight w:val="none"/>
        </w:rPr>
      </w:pPr>
      <w:r>
        <w:rPr>
          <w:rFonts w:hint="eastAsia"/>
          <w:highlight w:val="none"/>
        </w:rPr>
        <w:t>（</w:t>
      </w:r>
      <w:r>
        <w:rPr>
          <w:rFonts w:hint="eastAsia"/>
          <w:highlight w:val="none"/>
          <w:lang w:val="en-US" w:eastAsia="zh-CN"/>
        </w:rPr>
        <w:t>4</w:t>
      </w:r>
      <w:r>
        <w:rPr>
          <w:rFonts w:hint="eastAsia"/>
          <w:highlight w:val="none"/>
        </w:rPr>
        <w:t>）尽量减少施工扰民。在项目</w:t>
      </w:r>
      <w:r>
        <w:rPr>
          <w:rFonts w:hint="eastAsia"/>
          <w:highlight w:val="none"/>
          <w:lang w:val="en-US" w:eastAsia="zh-CN"/>
        </w:rPr>
        <w:t>施工</w:t>
      </w:r>
      <w:r>
        <w:rPr>
          <w:rFonts w:hint="eastAsia"/>
          <w:highlight w:val="none"/>
        </w:rPr>
        <w:t>中，要充分考虑到扰民问题，从源头上减少施工扰民。</w:t>
      </w:r>
    </w:p>
    <w:p w14:paraId="4C84D9C5">
      <w:pPr>
        <w:ind w:firstLine="480"/>
        <w:rPr>
          <w:highlight w:val="none"/>
        </w:rPr>
      </w:pPr>
      <w:r>
        <w:rPr>
          <w:rFonts w:hint="eastAsia"/>
          <w:highlight w:val="none"/>
        </w:rPr>
        <w:t>（</w:t>
      </w:r>
      <w:r>
        <w:rPr>
          <w:rFonts w:hint="eastAsia"/>
          <w:highlight w:val="none"/>
          <w:lang w:val="en-US" w:eastAsia="zh-CN"/>
        </w:rPr>
        <w:t>5</w:t>
      </w:r>
      <w:r>
        <w:rPr>
          <w:rFonts w:hint="eastAsia"/>
          <w:highlight w:val="none"/>
        </w:rPr>
        <w:t>）尊重、相信、依靠政府。要掌握当地政策规定，主动服从各级政府的指导，理解地方政府工作，坚持经常性的走访，建立良好的往来关系；遇事多同政府联系协商，相信和依靠政府帮助，协调解决矛盾；多提建议，多反映情况，促使政府部门、当地村委主动介入其中，针对难点解决问题，促其目标一致，才能顺利实现施工单位计划。</w:t>
      </w:r>
    </w:p>
    <w:p w14:paraId="3E5A3859">
      <w:pPr>
        <w:bidi w:val="0"/>
        <w:ind w:firstLine="480" w:firstLineChars="200"/>
        <w:rPr>
          <w:highlight w:val="none"/>
        </w:rPr>
      </w:pPr>
      <w:bookmarkStart w:id="477" w:name="_Toc502086837"/>
      <w:r>
        <w:rPr>
          <w:rFonts w:hint="eastAsia"/>
          <w:highlight w:val="none"/>
          <w:lang w:val="en-US" w:eastAsia="zh-CN"/>
        </w:rPr>
        <w:t>2、</w:t>
      </w:r>
      <w:r>
        <w:rPr>
          <w:rFonts w:hint="eastAsia"/>
          <w:highlight w:val="none"/>
        </w:rPr>
        <w:t>方便居民措施</w:t>
      </w:r>
      <w:bookmarkEnd w:id="477"/>
    </w:p>
    <w:p w14:paraId="55D92F8D">
      <w:pPr>
        <w:ind w:firstLine="480"/>
        <w:rPr>
          <w:highlight w:val="none"/>
        </w:rPr>
      </w:pPr>
      <w:r>
        <w:rPr>
          <w:rFonts w:hint="eastAsia"/>
          <w:highlight w:val="none"/>
        </w:rPr>
        <w:t>（1）安民宣传。施工前3至5天搞好安民宣传：公布工程性质、施工工期、安全措施，发放宣传材料，向周围的居民做好解释工作。</w:t>
      </w:r>
    </w:p>
    <w:p w14:paraId="25CAC5A2">
      <w:pPr>
        <w:ind w:firstLine="480"/>
        <w:rPr>
          <w:highlight w:val="none"/>
        </w:rPr>
      </w:pPr>
      <w:r>
        <w:rPr>
          <w:rFonts w:hint="eastAsia"/>
          <w:highlight w:val="none"/>
        </w:rPr>
        <w:t>（2）亮牌施工。进行施工位置要设宣传牌，公示本项目部工地负责人、开工竣工日期、联系电话等，方便群众有扰民现象便于联系。</w:t>
      </w:r>
    </w:p>
    <w:p w14:paraId="2EC2CCB3">
      <w:pPr>
        <w:ind w:firstLine="480"/>
        <w:rPr>
          <w:highlight w:val="none"/>
        </w:rPr>
      </w:pPr>
      <w:r>
        <w:rPr>
          <w:rFonts w:hint="eastAsia"/>
          <w:highlight w:val="none"/>
        </w:rPr>
        <w:t>（3）净场作业。工地渣土、淤泥随挖随运，现场用料随用随进，不得在施工现场搅拌灰土、水泥，以减少扬尘。</w:t>
      </w:r>
    </w:p>
    <w:p w14:paraId="061250AC">
      <w:pPr>
        <w:ind w:firstLine="480"/>
        <w:rPr>
          <w:highlight w:val="none"/>
        </w:rPr>
      </w:pPr>
      <w:r>
        <w:rPr>
          <w:rFonts w:hint="eastAsia"/>
          <w:highlight w:val="none"/>
        </w:rPr>
        <w:t>（</w:t>
      </w:r>
      <w:r>
        <w:rPr>
          <w:rFonts w:hint="eastAsia"/>
          <w:highlight w:val="none"/>
          <w:lang w:val="en-US" w:eastAsia="zh-CN"/>
        </w:rPr>
        <w:t>4</w:t>
      </w:r>
      <w:r>
        <w:rPr>
          <w:rFonts w:hint="eastAsia"/>
          <w:highlight w:val="none"/>
        </w:rPr>
        <w:t>）规范占用。施工现场临时占用及临时驻处设活动板房和简易卫生设施，现场堆放做到条块状物料成垛、粉屑状物料成方、机具整齐有序。</w:t>
      </w:r>
    </w:p>
    <w:p w14:paraId="2163FCD9">
      <w:pPr>
        <w:ind w:firstLine="480"/>
        <w:rPr>
          <w:highlight w:val="none"/>
        </w:rPr>
      </w:pPr>
      <w:r>
        <w:rPr>
          <w:rFonts w:hint="eastAsia"/>
          <w:highlight w:val="none"/>
        </w:rPr>
        <w:t>（</w:t>
      </w:r>
      <w:r>
        <w:rPr>
          <w:rFonts w:hint="eastAsia"/>
          <w:highlight w:val="none"/>
          <w:lang w:val="en-US" w:eastAsia="zh-CN"/>
        </w:rPr>
        <w:t>5</w:t>
      </w:r>
      <w:r>
        <w:rPr>
          <w:rFonts w:hint="eastAsia"/>
          <w:highlight w:val="none"/>
        </w:rPr>
        <w:t>）准时竣工。严格按审批时限完工，竣工后3天内清理完现场。</w:t>
      </w:r>
    </w:p>
    <w:p w14:paraId="5D6F92D1">
      <w:pPr>
        <w:ind w:firstLine="480"/>
        <w:rPr>
          <w:highlight w:val="none"/>
        </w:rPr>
      </w:pPr>
      <w:r>
        <w:rPr>
          <w:rFonts w:hint="eastAsia"/>
          <w:highlight w:val="none"/>
        </w:rPr>
        <w:t>（</w:t>
      </w:r>
      <w:r>
        <w:rPr>
          <w:rFonts w:hint="eastAsia"/>
          <w:highlight w:val="none"/>
          <w:lang w:val="en-US" w:eastAsia="zh-CN"/>
        </w:rPr>
        <w:t>6</w:t>
      </w:r>
      <w:r>
        <w:rPr>
          <w:rFonts w:hint="eastAsia"/>
          <w:highlight w:val="none"/>
        </w:rPr>
        <w:t>）当工程施工可能会对道路交通产生干扰时，在醒目位置设警告信号。</w:t>
      </w:r>
    </w:p>
    <w:p w14:paraId="742BF180">
      <w:pPr>
        <w:ind w:firstLine="480"/>
        <w:rPr>
          <w:highlight w:val="none"/>
        </w:rPr>
      </w:pPr>
      <w:r>
        <w:rPr>
          <w:rFonts w:hint="eastAsia"/>
          <w:highlight w:val="none"/>
        </w:rPr>
        <w:t>（</w:t>
      </w:r>
      <w:r>
        <w:rPr>
          <w:rFonts w:hint="eastAsia"/>
          <w:highlight w:val="none"/>
          <w:lang w:val="en-US" w:eastAsia="zh-CN"/>
        </w:rPr>
        <w:t>7</w:t>
      </w:r>
      <w:r>
        <w:rPr>
          <w:rFonts w:hint="eastAsia"/>
          <w:highlight w:val="none"/>
        </w:rPr>
        <w:t>）施工区域架设临时照明线路，照明灯具使用磨砂玻璃罩，沟槽基坑旁边设置警示标志，保证居民出行安全。</w:t>
      </w:r>
    </w:p>
    <w:p w14:paraId="370C509F">
      <w:pPr>
        <w:bidi w:val="0"/>
        <w:ind w:firstLine="480" w:firstLineChars="200"/>
        <w:rPr>
          <w:highlight w:val="none"/>
        </w:rPr>
      </w:pPr>
      <w:bookmarkStart w:id="478" w:name="_Toc502086838"/>
      <w:r>
        <w:rPr>
          <w:rFonts w:hint="eastAsia"/>
          <w:highlight w:val="none"/>
          <w:lang w:val="en-US" w:eastAsia="zh-CN"/>
        </w:rPr>
        <w:t>3、</w:t>
      </w:r>
      <w:r>
        <w:rPr>
          <w:rFonts w:hint="eastAsia"/>
          <w:highlight w:val="none"/>
        </w:rPr>
        <w:t>减少扰民措施</w:t>
      </w:r>
      <w:bookmarkEnd w:id="478"/>
    </w:p>
    <w:p w14:paraId="7874F353">
      <w:pPr>
        <w:ind w:firstLine="480"/>
        <w:rPr>
          <w:highlight w:val="none"/>
        </w:rPr>
      </w:pPr>
      <w:r>
        <w:rPr>
          <w:rFonts w:hint="eastAsia"/>
          <w:highlight w:val="none"/>
        </w:rPr>
        <w:t>（</w:t>
      </w:r>
      <w:r>
        <w:rPr>
          <w:highlight w:val="none"/>
        </w:rPr>
        <w:t>1</w:t>
      </w:r>
      <w:r>
        <w:rPr>
          <w:rFonts w:hint="eastAsia"/>
          <w:highlight w:val="none"/>
        </w:rPr>
        <w:t>）从声源上控制噪声是防止噪声扰民的最根本的措施。控制使用强噪声、强振动的施工机具，尽量采用低噪声的设备和工艺代替高噪声的设备和工艺，如低噪声振捣器、风机、电动空压机等。</w:t>
      </w:r>
    </w:p>
    <w:p w14:paraId="36D0510B">
      <w:pPr>
        <w:ind w:firstLine="480"/>
        <w:rPr>
          <w:highlight w:val="none"/>
        </w:rPr>
      </w:pPr>
      <w:r>
        <w:rPr>
          <w:rFonts w:hint="eastAsia"/>
          <w:highlight w:val="none"/>
        </w:rPr>
        <w:t>（2）严格控制人为噪声：进入施工现场不得高声喊叫、无故甩打模板、乱吹哨，最大限度地减少扰民噪音。</w:t>
      </w:r>
    </w:p>
    <w:p w14:paraId="2E13F040">
      <w:pPr>
        <w:ind w:firstLine="480"/>
        <w:rPr>
          <w:highlight w:val="none"/>
        </w:rPr>
      </w:pPr>
      <w:r>
        <w:rPr>
          <w:rFonts w:hint="eastAsia"/>
          <w:highlight w:val="none"/>
        </w:rPr>
        <w:t>（3）施工中尽可能避免晚10点到次日早6点之间施工，确系特殊情况必须昼夜施工时将尽量采取降低噪声措施，如确因工期或施工技术要求需要夜间施工的，会同建设单位办理有关许可手续，并告知周边单位、居民，求得群众谅解，并建立友好的睦邻关系。</w:t>
      </w:r>
    </w:p>
    <w:p w14:paraId="5BC56CD6">
      <w:pPr>
        <w:ind w:firstLine="480"/>
        <w:rPr>
          <w:highlight w:val="none"/>
        </w:rPr>
      </w:pPr>
      <w:r>
        <w:rPr>
          <w:rFonts w:hint="eastAsia"/>
          <w:highlight w:val="none"/>
        </w:rPr>
        <w:t>（4）施工作业中环保小组有专人负责对沿线进行保洁，运输车辆必须按规定的行驶路线运输作业，路过居民区时应慢速行驶，尽可能的避免震动和噪声，车辆上面要进行覆盖，保持清洁上路，符合不撒、不漏标准，轮胎要清扫冲洗干净。对沿线道路进行洒水，防止尘土飞扬造成对周围环境的污染。</w:t>
      </w:r>
    </w:p>
    <w:p w14:paraId="1A741A53">
      <w:pPr>
        <w:ind w:firstLine="480" w:firstLineChars="200"/>
        <w:rPr>
          <w:rFonts w:hint="eastAsia"/>
          <w:highlight w:val="none"/>
        </w:rPr>
      </w:pPr>
      <w:r>
        <w:rPr>
          <w:rFonts w:hint="eastAsia"/>
          <w:highlight w:val="none"/>
        </w:rPr>
        <w:t>（5）对发电机等机械要采取简易的防噪措施。机动车在工地行驶通过限速等措施避免产生灰尘，通过经常洒水减少扬尘。现场易生粉尘的细料存放及运输要加以遮盖。</w:t>
      </w:r>
    </w:p>
    <w:p w14:paraId="686F6011">
      <w:pPr>
        <w:pStyle w:val="4"/>
        <w:tabs>
          <w:tab w:val="left" w:pos="240"/>
        </w:tabs>
        <w:bidi w:val="0"/>
        <w:rPr>
          <w:rFonts w:hint="eastAsia"/>
          <w:highlight w:val="none"/>
          <w:lang w:val="en-US" w:eastAsia="zh-CN"/>
        </w:rPr>
      </w:pPr>
      <w:r>
        <w:rPr>
          <w:rFonts w:hint="eastAsia"/>
          <w:highlight w:val="none"/>
          <w:lang w:val="en-US" w:eastAsia="zh-CN"/>
        </w:rPr>
        <w:t>10.2.4 7S管理</w:t>
      </w:r>
    </w:p>
    <w:p w14:paraId="7742943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开展“7S”管理活动进行项目质量、安全文明施工的有效控制，总结实践经验，提出创新思路，为项目质量、安全文明施工系统化、标准化的管理服务，提升企业形象与社会效益。</w:t>
      </w:r>
    </w:p>
    <w:p w14:paraId="6D9D0A8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7S管理要素的实施要求：</w:t>
      </w:r>
    </w:p>
    <w:p w14:paraId="4B0D93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整理</w:t>
      </w:r>
    </w:p>
    <w:p w14:paraId="587C657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整理规则：对施工现场摆放的物品、材料及机械进行分类，从而区分出使用等级。不常用的物品、材料及机械应及时清理出现场或划定区域临时放置。</w:t>
      </w:r>
    </w:p>
    <w:p w14:paraId="7691D3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整顿</w:t>
      </w:r>
    </w:p>
    <w:p w14:paraId="0005FDB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整顿规则：将施工现场要保留下的物品、材料及机械按照“三定原则”进行科学合理的布置和摆放，并设置明确、有效的标识。（三定原则。定物：就是选择需要的物品、材料保留下来，而将大部分不需要的物品、材料转入库房或进行废弃处理。定位：根据物品、材料的使用频率和使用便利性，决定物品、材料所放置的场地。定量：确定保留在施工场地或其附近的物品、材料的数量。）</w:t>
      </w:r>
    </w:p>
    <w:p w14:paraId="2619D78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3、清扫</w:t>
      </w:r>
    </w:p>
    <w:p w14:paraId="6013767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清扫规则：对施工现场进行彻底的清扫，杜绝污染源，及时维修异常的设备将不需要的物品、材料清除掉，或者标识出来放在仓库中。每日清扫时间不少于5~15分钟，每2周至少安排一个清扫日，清扫1小时。</w:t>
      </w:r>
    </w:p>
    <w:p w14:paraId="1B3C8CF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4、清洁</w:t>
      </w:r>
    </w:p>
    <w:p w14:paraId="2CE01B4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清洁规则：在整理、整顿、清扫之后进行认真的维护，重复不间断地保持整理、整顿和清扫，使其制度化。</w:t>
      </w:r>
    </w:p>
    <w:p w14:paraId="0025622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5、安全</w:t>
      </w:r>
    </w:p>
    <w:p w14:paraId="43AD714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安全规则：将工作目标充分分解到各部门、各班组、各个人，加强施工组织设计、文明施工、定期安全检查、抽查、安全教育、生产安全施工应急预案的演练、严格落实红袖章三级管控制度和班前五分钟教育培训。</w:t>
      </w:r>
    </w:p>
    <w:p w14:paraId="7687A3D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6、节约</w:t>
      </w:r>
    </w:p>
    <w:p w14:paraId="74E8AB3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节约规则：提倡节能减排，绿色建筑，推广使用节能材料、设备设施与有利于节能的新工艺、新技术的应用。</w:t>
      </w:r>
    </w:p>
    <w:p w14:paraId="3DB55A4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highlight w:val="none"/>
          <w:lang w:val="en-US" w:eastAsia="zh-CN"/>
        </w:rPr>
      </w:pPr>
      <w:r>
        <w:rPr>
          <w:rFonts w:hint="eastAsia"/>
          <w:highlight w:val="none"/>
          <w:lang w:val="en-US" w:eastAsia="zh-CN"/>
        </w:rPr>
        <w:t>7、素养</w:t>
      </w:r>
    </w:p>
    <w:p w14:paraId="22D2F7D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highlight w:val="none"/>
          <w:lang w:val="en-US" w:eastAsia="zh-CN"/>
        </w:rPr>
      </w:pPr>
      <w:r>
        <w:rPr>
          <w:rFonts w:hint="eastAsia"/>
          <w:highlight w:val="none"/>
          <w:lang w:val="en-US" w:eastAsia="zh-CN"/>
        </w:rPr>
        <w:t>素养规则：通过持续开展以上6S的活动，让每个员工都自觉遵守现场文明施工相关管理要求，养成良好的工作习惯、安全意识和爱岗敬业的职业道德。</w:t>
      </w:r>
    </w:p>
    <w:p w14:paraId="29FA1711">
      <w:pPr>
        <w:rPr>
          <w:rFonts w:hint="eastAsia"/>
          <w:highlight w:val="none"/>
        </w:rPr>
      </w:pPr>
      <w:r>
        <w:rPr>
          <w:rFonts w:hint="eastAsia"/>
          <w:highlight w:val="none"/>
        </w:rPr>
        <w:br w:type="page"/>
      </w:r>
    </w:p>
    <w:p w14:paraId="2747FD9E">
      <w:pPr>
        <w:pStyle w:val="2"/>
        <w:numPr>
          <w:ilvl w:val="0"/>
          <w:numId w:val="0"/>
        </w:numPr>
        <w:ind w:leftChars="0"/>
        <w:rPr>
          <w:rFonts w:hint="default"/>
          <w:highlight w:val="none"/>
          <w:lang w:val="en-US"/>
        </w:rPr>
      </w:pPr>
      <w:bookmarkStart w:id="479" w:name="_Toc19891"/>
      <w:bookmarkStart w:id="480" w:name="_Toc1833"/>
      <w:r>
        <w:rPr>
          <w:rFonts w:hint="eastAsia"/>
          <w:highlight w:val="none"/>
          <w:lang w:val="en-US" w:eastAsia="zh-CN"/>
        </w:rPr>
        <w:t>11相关附件</w:t>
      </w:r>
      <w:bookmarkEnd w:id="479"/>
      <w:bookmarkEnd w:id="480"/>
    </w:p>
    <w:p w14:paraId="4A42B81E">
      <w:pPr>
        <w:pStyle w:val="3"/>
        <w:tabs>
          <w:tab w:val="left" w:pos="240"/>
        </w:tabs>
        <w:bidi w:val="0"/>
        <w:rPr>
          <w:rFonts w:hint="default" w:ascii="宋体" w:hAnsi="宋体" w:eastAsia="宋体"/>
          <w:highlight w:val="none"/>
          <w:lang w:val="en-US" w:eastAsia="zh-CN"/>
        </w:rPr>
      </w:pPr>
      <w:bookmarkStart w:id="481" w:name="_Toc28818"/>
      <w:bookmarkStart w:id="482" w:name="_Toc1594"/>
      <w:bookmarkStart w:id="483" w:name="_Toc7495"/>
      <w:r>
        <w:rPr>
          <w:rFonts w:hint="eastAsia" w:ascii="宋体" w:hAnsi="宋体" w:eastAsia="宋体"/>
          <w:highlight w:val="none"/>
          <w:lang w:val="en-US" w:eastAsia="zh-CN"/>
        </w:rPr>
        <w:t>附件1：</w:t>
      </w:r>
      <w:r>
        <w:rPr>
          <w:rFonts w:hint="eastAsia"/>
          <w:highlight w:val="none"/>
          <w:lang w:val="en-US" w:eastAsia="zh-CN"/>
        </w:rPr>
        <w:t>XGT7026-12S1</w:t>
      </w:r>
      <w:r>
        <w:rPr>
          <w:rFonts w:hint="eastAsia" w:ascii="宋体" w:hAnsi="宋体" w:eastAsia="宋体"/>
          <w:highlight w:val="none"/>
          <w:lang w:val="en-US" w:eastAsia="zh-CN"/>
        </w:rPr>
        <w:t>塔机立面图</w:t>
      </w:r>
      <w:bookmarkEnd w:id="481"/>
      <w:bookmarkEnd w:id="482"/>
      <w:bookmarkEnd w:id="483"/>
    </w:p>
    <w:p w14:paraId="47CEAEBB">
      <w:pPr>
        <w:rPr>
          <w:highlight w:val="none"/>
        </w:rPr>
      </w:pPr>
      <w:r>
        <w:rPr>
          <w:highlight w:val="none"/>
        </w:rPr>
        <w:drawing>
          <wp:inline distT="0" distB="0" distL="114300" distR="114300">
            <wp:extent cx="4991100" cy="6638925"/>
            <wp:effectExtent l="0" t="0" r="0" b="9525"/>
            <wp:docPr id="9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8"/>
                    <pic:cNvPicPr>
                      <a:picLocks noChangeAspect="1"/>
                    </pic:cNvPicPr>
                  </pic:nvPicPr>
                  <pic:blipFill>
                    <a:blip r:embed="rId71"/>
                    <a:stretch>
                      <a:fillRect/>
                    </a:stretch>
                  </pic:blipFill>
                  <pic:spPr>
                    <a:xfrm>
                      <a:off x="0" y="0"/>
                      <a:ext cx="4991100" cy="6638925"/>
                    </a:xfrm>
                    <a:prstGeom prst="rect">
                      <a:avLst/>
                    </a:prstGeom>
                    <a:noFill/>
                    <a:ln>
                      <a:noFill/>
                    </a:ln>
                  </pic:spPr>
                </pic:pic>
              </a:graphicData>
            </a:graphic>
          </wp:inline>
        </w:drawing>
      </w:r>
    </w:p>
    <w:p w14:paraId="09711EF7">
      <w:pPr>
        <w:jc w:val="center"/>
        <w:rPr>
          <w:rFonts w:hint="default" w:eastAsia="宋体"/>
          <w:highlight w:val="none"/>
          <w:lang w:val="en-US" w:eastAsia="zh-CN"/>
        </w:rPr>
      </w:pPr>
      <w:r>
        <w:rPr>
          <w:rFonts w:hint="eastAsia" w:ascii="Times New Roman"/>
          <w:highlight w:val="none"/>
          <w:lang w:val="en-US" w:eastAsia="zh-CN"/>
        </w:rPr>
        <w:t>新渡坪4#右幅</w:t>
      </w:r>
      <w:r>
        <w:rPr>
          <w:rFonts w:hint="eastAsia" w:ascii="Times New Roman" w:eastAsia="宋体"/>
          <w:highlight w:val="none"/>
          <w:lang w:val="en-US" w:eastAsia="zh-CN"/>
        </w:rPr>
        <w:t>塔机立面图</w:t>
      </w:r>
    </w:p>
    <w:p w14:paraId="62DFE800">
      <w:pPr>
        <w:rPr>
          <w:rFonts w:hint="eastAsia"/>
          <w:highlight w:val="none"/>
          <w:lang w:val="en-US" w:eastAsia="zh-CN"/>
        </w:rPr>
      </w:pPr>
    </w:p>
    <w:p w14:paraId="484E24DF">
      <w:pPr>
        <w:pStyle w:val="3"/>
        <w:keepNext/>
        <w:keepLines/>
        <w:pageBreakBefore w:val="0"/>
        <w:widowControl w:val="0"/>
        <w:tabs>
          <w:tab w:val="left" w:pos="240"/>
        </w:tabs>
        <w:kinsoku/>
        <w:wordWrap/>
        <w:overflowPunct/>
        <w:topLinePunct w:val="0"/>
        <w:autoSpaceDE/>
        <w:autoSpaceDN/>
        <w:bidi w:val="0"/>
        <w:adjustRightInd/>
        <w:snapToGrid/>
        <w:textAlignment w:val="auto"/>
        <w:rPr>
          <w:rFonts w:hint="default" w:ascii="宋体" w:hAnsi="宋体" w:eastAsia="宋体"/>
          <w:highlight w:val="none"/>
          <w:lang w:val="en-US" w:eastAsia="zh-CN"/>
        </w:rPr>
      </w:pPr>
      <w:bookmarkStart w:id="484" w:name="_Toc533"/>
      <w:bookmarkStart w:id="485" w:name="_Toc13347"/>
      <w:bookmarkStart w:id="486" w:name="_Toc24394"/>
      <w:r>
        <w:rPr>
          <w:rFonts w:hint="eastAsia" w:ascii="宋体" w:hAnsi="宋体" w:eastAsia="宋体"/>
          <w:highlight w:val="none"/>
          <w:lang w:val="en-US" w:eastAsia="zh-CN"/>
        </w:rPr>
        <w:t>附件2：</w:t>
      </w:r>
      <w:r>
        <w:rPr>
          <w:rFonts w:hint="eastAsia"/>
          <w:highlight w:val="none"/>
          <w:lang w:val="en-US" w:eastAsia="zh-CN"/>
        </w:rPr>
        <w:t>XGT7026-12S1</w:t>
      </w:r>
      <w:r>
        <w:rPr>
          <w:rFonts w:hint="eastAsia" w:ascii="宋体" w:hAnsi="宋体" w:eastAsia="宋体"/>
          <w:highlight w:val="none"/>
          <w:lang w:val="en-US" w:eastAsia="zh-CN"/>
        </w:rPr>
        <w:t>型塔吊平面布置示意图</w:t>
      </w:r>
      <w:bookmarkEnd w:id="484"/>
      <w:bookmarkEnd w:id="485"/>
      <w:bookmarkEnd w:id="486"/>
    </w:p>
    <w:p w14:paraId="1B1A39F0">
      <w:pPr>
        <w:ind w:left="0" w:leftChars="0" w:firstLine="0" w:firstLineChars="0"/>
        <w:jc w:val="center"/>
        <w:rPr>
          <w:highlight w:val="none"/>
        </w:rPr>
      </w:pPr>
      <w:r>
        <w:rPr>
          <w:highlight w:val="none"/>
        </w:rPr>
        <w:drawing>
          <wp:inline distT="0" distB="0" distL="114300" distR="114300">
            <wp:extent cx="5270500" cy="3980180"/>
            <wp:effectExtent l="0" t="0" r="6350" b="1270"/>
            <wp:docPr id="9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9"/>
                    <pic:cNvPicPr>
                      <a:picLocks noChangeAspect="1"/>
                    </pic:cNvPicPr>
                  </pic:nvPicPr>
                  <pic:blipFill>
                    <a:blip r:embed="rId72"/>
                    <a:stretch>
                      <a:fillRect/>
                    </a:stretch>
                  </pic:blipFill>
                  <pic:spPr>
                    <a:xfrm>
                      <a:off x="0" y="0"/>
                      <a:ext cx="5270500" cy="3980180"/>
                    </a:xfrm>
                    <a:prstGeom prst="rect">
                      <a:avLst/>
                    </a:prstGeom>
                    <a:noFill/>
                    <a:ln>
                      <a:noFill/>
                    </a:ln>
                  </pic:spPr>
                </pic:pic>
              </a:graphicData>
            </a:graphic>
          </wp:inline>
        </w:drawing>
      </w:r>
    </w:p>
    <w:p w14:paraId="705DD6D6">
      <w:pPr>
        <w:pStyle w:val="15"/>
        <w:bidi w:val="0"/>
        <w:rPr>
          <w:rFonts w:hint="eastAsia"/>
          <w:highlight w:val="none"/>
          <w:lang w:val="en-US" w:eastAsia="zh-CN"/>
        </w:rPr>
      </w:pPr>
      <w:r>
        <w:rPr>
          <w:rFonts w:hint="eastAsia"/>
          <w:highlight w:val="none"/>
          <w:lang w:val="en-US" w:eastAsia="zh-CN"/>
        </w:rPr>
        <w:t>新渡坪4#右幅塔</w:t>
      </w:r>
      <w:r>
        <w:rPr>
          <w:rFonts w:hint="eastAsia"/>
          <w:b w:val="0"/>
          <w:bCs w:val="0"/>
          <w:i w:val="0"/>
          <w:iCs w:val="0"/>
          <w:highlight w:val="none"/>
          <w:lang w:val="en-US" w:eastAsia="zh-CN"/>
        </w:rPr>
        <w:t>吊施工平面布置示</w:t>
      </w:r>
      <w:r>
        <w:rPr>
          <w:rFonts w:hint="eastAsia"/>
          <w:highlight w:val="none"/>
          <w:lang w:val="en-US" w:eastAsia="zh-CN"/>
        </w:rPr>
        <w:t>意图</w:t>
      </w:r>
    </w:p>
    <w:p w14:paraId="3D325B52">
      <w:pPr>
        <w:rPr>
          <w:rFonts w:hint="eastAsia"/>
          <w:highlight w:val="none"/>
          <w:lang w:val="en-US" w:eastAsia="zh-CN"/>
        </w:rPr>
      </w:pPr>
      <w:r>
        <w:rPr>
          <w:rFonts w:hint="eastAsia"/>
          <w:highlight w:val="none"/>
          <w:lang w:val="en-US" w:eastAsia="zh-CN"/>
        </w:rPr>
        <w:br w:type="page"/>
      </w:r>
    </w:p>
    <w:p w14:paraId="2FF8B106">
      <w:pPr>
        <w:pStyle w:val="3"/>
        <w:tabs>
          <w:tab w:val="left" w:pos="240"/>
        </w:tabs>
        <w:bidi w:val="0"/>
        <w:rPr>
          <w:rFonts w:hint="default" w:ascii="宋体" w:hAnsi="宋体" w:eastAsia="宋体"/>
          <w:highlight w:val="none"/>
          <w:lang w:val="en-US" w:eastAsia="zh-CN"/>
        </w:rPr>
      </w:pPr>
      <w:bookmarkStart w:id="487" w:name="_Toc24947"/>
      <w:bookmarkStart w:id="488" w:name="_Toc28734"/>
      <w:bookmarkStart w:id="489" w:name="_Toc32271"/>
      <w:bookmarkStart w:id="490" w:name="_Toc7530"/>
      <w:r>
        <w:rPr>
          <w:rFonts w:hint="eastAsia" w:ascii="宋体" w:hAnsi="宋体" w:eastAsia="宋体"/>
          <w:highlight w:val="none"/>
          <w:lang w:val="en-US" w:eastAsia="zh-CN"/>
        </w:rPr>
        <w:t>附件</w:t>
      </w:r>
      <w:r>
        <w:rPr>
          <w:rFonts w:hint="eastAsia"/>
          <w:highlight w:val="none"/>
          <w:lang w:val="en-US" w:eastAsia="zh-CN"/>
        </w:rPr>
        <w:t>3</w:t>
      </w:r>
      <w:r>
        <w:rPr>
          <w:rFonts w:hint="eastAsia" w:ascii="宋体" w:hAnsi="宋体" w:eastAsia="宋体"/>
          <w:highlight w:val="none"/>
          <w:lang w:val="en-US" w:eastAsia="zh-CN"/>
        </w:rPr>
        <w:t>：相关人员、资质文件</w:t>
      </w:r>
      <w:bookmarkEnd w:id="487"/>
      <w:bookmarkEnd w:id="488"/>
      <w:bookmarkEnd w:id="489"/>
    </w:p>
    <w:p w14:paraId="7E393F57">
      <w:pPr>
        <w:rPr>
          <w:rFonts w:hint="eastAsia"/>
          <w:highlight w:val="none"/>
          <w:lang w:val="en-US" w:eastAsia="zh-CN"/>
        </w:rPr>
      </w:pPr>
      <w:r>
        <w:rPr>
          <w:rFonts w:hint="default"/>
          <w:highlight w:val="none"/>
          <w:lang w:val="en-US" w:eastAsia="zh-CN"/>
        </w:rPr>
        <w:drawing>
          <wp:inline distT="0" distB="0" distL="114300" distR="114300">
            <wp:extent cx="5269865" cy="7452995"/>
            <wp:effectExtent l="0" t="0" r="6985" b="14605"/>
            <wp:docPr id="10" name="图片 10" descr="安装许可证2027.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安装许可证2027.12.27"/>
                    <pic:cNvPicPr>
                      <a:picLocks noChangeAspect="1"/>
                    </pic:cNvPicPr>
                  </pic:nvPicPr>
                  <pic:blipFill>
                    <a:blip r:embed="rId73"/>
                    <a:stretch>
                      <a:fillRect/>
                    </a:stretch>
                  </pic:blipFill>
                  <pic:spPr>
                    <a:xfrm>
                      <a:off x="0" y="0"/>
                      <a:ext cx="5269865" cy="7452995"/>
                    </a:xfrm>
                    <a:prstGeom prst="rect">
                      <a:avLst/>
                    </a:prstGeom>
                  </pic:spPr>
                </pic:pic>
              </a:graphicData>
            </a:graphic>
          </wp:inline>
        </w:drawing>
      </w:r>
      <w:r>
        <w:rPr>
          <w:rFonts w:hint="default"/>
          <w:highlight w:val="none"/>
          <w:lang w:val="en-US" w:eastAsia="zh-CN"/>
        </w:rPr>
        <w:drawing>
          <wp:inline distT="0" distB="0" distL="114300" distR="114300">
            <wp:extent cx="5271135" cy="3726815"/>
            <wp:effectExtent l="0" t="0" r="5715" b="6985"/>
            <wp:docPr id="24" name="图片 24" descr="营业执照202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营业执照2024.12.5"/>
                    <pic:cNvPicPr>
                      <a:picLocks noChangeAspect="1"/>
                    </pic:cNvPicPr>
                  </pic:nvPicPr>
                  <pic:blipFill>
                    <a:blip r:embed="rId74"/>
                    <a:stretch>
                      <a:fillRect/>
                    </a:stretch>
                  </pic:blipFill>
                  <pic:spPr>
                    <a:xfrm>
                      <a:off x="0" y="0"/>
                      <a:ext cx="5271135" cy="3726815"/>
                    </a:xfrm>
                    <a:prstGeom prst="rect">
                      <a:avLst/>
                    </a:prstGeom>
                  </pic:spPr>
                </pic:pic>
              </a:graphicData>
            </a:graphic>
          </wp:inline>
        </w:drawing>
      </w:r>
      <w:r>
        <w:rPr>
          <w:rFonts w:hint="default"/>
          <w:highlight w:val="none"/>
          <w:lang w:val="en-US" w:eastAsia="zh-CN"/>
        </w:rPr>
        <w:drawing>
          <wp:inline distT="0" distB="0" distL="114300" distR="114300">
            <wp:extent cx="5259705" cy="7398385"/>
            <wp:effectExtent l="0" t="0" r="17145" b="12065"/>
            <wp:docPr id="6" name="图片 6" descr="56c34a71c59a457d6f034fd3e974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6c34a71c59a457d6f034fd3e97406d"/>
                    <pic:cNvPicPr>
                      <a:picLocks noChangeAspect="1"/>
                    </pic:cNvPicPr>
                  </pic:nvPicPr>
                  <pic:blipFill>
                    <a:blip r:embed="rId75"/>
                    <a:stretch>
                      <a:fillRect/>
                    </a:stretch>
                  </pic:blipFill>
                  <pic:spPr>
                    <a:xfrm>
                      <a:off x="0" y="0"/>
                      <a:ext cx="5259705" cy="7398385"/>
                    </a:xfrm>
                    <a:prstGeom prst="rect">
                      <a:avLst/>
                    </a:prstGeom>
                  </pic:spPr>
                </pic:pic>
              </a:graphicData>
            </a:graphic>
          </wp:inline>
        </w:drawing>
      </w:r>
      <w:r>
        <w:rPr>
          <w:rFonts w:hint="eastAsia"/>
          <w:highlight w:val="none"/>
          <w:lang w:val="en-US" w:eastAsia="zh-CN"/>
        </w:rPr>
        <w:tab/>
      </w:r>
    </w:p>
    <w:p w14:paraId="075CF2F7">
      <w:pPr>
        <w:spacing w:line="360" w:lineRule="auto"/>
        <w:ind w:firstLine="480" w:firstLineChars="200"/>
      </w:pPr>
      <w:r>
        <w:drawing>
          <wp:inline distT="0" distB="0" distL="114300" distR="114300">
            <wp:extent cx="5275580" cy="7457440"/>
            <wp:effectExtent l="0" t="0" r="1270" b="10160"/>
            <wp:docPr id="1" name="图片 1" descr="专职安全管理人员C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专职安全管理人员C证"/>
                    <pic:cNvPicPr>
                      <a:picLocks noChangeAspect="1"/>
                    </pic:cNvPicPr>
                  </pic:nvPicPr>
                  <pic:blipFill>
                    <a:blip r:embed="rId76"/>
                    <a:stretch>
                      <a:fillRect/>
                    </a:stretch>
                  </pic:blipFill>
                  <pic:spPr>
                    <a:xfrm>
                      <a:off x="0" y="0"/>
                      <a:ext cx="5275580" cy="7457440"/>
                    </a:xfrm>
                    <a:prstGeom prst="rect">
                      <a:avLst/>
                    </a:prstGeom>
                  </pic:spPr>
                </pic:pic>
              </a:graphicData>
            </a:graphic>
          </wp:inline>
        </w:drawing>
      </w:r>
    </w:p>
    <w:p w14:paraId="261D9194">
      <w:pPr>
        <w:bidi w:val="0"/>
      </w:pPr>
      <w:r>
        <w:drawing>
          <wp:inline distT="0" distB="0" distL="114300" distR="114300">
            <wp:extent cx="5064125" cy="8397240"/>
            <wp:effectExtent l="0" t="0" r="3175" b="3810"/>
            <wp:docPr id="8" name="图片 8" descr="建筑电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建筑电工"/>
                    <pic:cNvPicPr>
                      <a:picLocks noChangeAspect="1"/>
                    </pic:cNvPicPr>
                  </pic:nvPicPr>
                  <pic:blipFill>
                    <a:blip r:embed="rId77"/>
                    <a:srcRect l="3394" t="2787" r="3995" b="1202"/>
                    <a:stretch>
                      <a:fillRect/>
                    </a:stretch>
                  </pic:blipFill>
                  <pic:spPr>
                    <a:xfrm>
                      <a:off x="0" y="0"/>
                      <a:ext cx="5064125" cy="8397240"/>
                    </a:xfrm>
                    <a:prstGeom prst="rect">
                      <a:avLst/>
                    </a:prstGeom>
                  </pic:spPr>
                </pic:pic>
              </a:graphicData>
            </a:graphic>
          </wp:inline>
        </w:drawing>
      </w:r>
      <w:bookmarkEnd w:id="490"/>
    </w:p>
    <w:p w14:paraId="0540584F">
      <w:pPr>
        <w:bidi w:val="0"/>
        <w:rPr>
          <w:rFonts w:hint="eastAsia"/>
          <w:lang w:val="en-US" w:eastAsia="zh-CN"/>
        </w:rPr>
      </w:pPr>
      <w:r>
        <w:rPr>
          <w:rFonts w:hint="eastAsia"/>
          <w:lang w:val="en-US" w:eastAsia="zh-CN"/>
        </w:rPr>
        <w:drawing>
          <wp:inline distT="0" distB="0" distL="114300" distR="114300">
            <wp:extent cx="5460365" cy="8832215"/>
            <wp:effectExtent l="0" t="0" r="6985" b="6985"/>
            <wp:docPr id="15" name="图片 15" descr="安拆证（黄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安拆证（黄科）"/>
                    <pic:cNvPicPr>
                      <a:picLocks noChangeAspect="1"/>
                    </pic:cNvPicPr>
                  </pic:nvPicPr>
                  <pic:blipFill>
                    <a:blip r:embed="rId78"/>
                    <a:srcRect l="3527" t="2511" r="3527" b="938"/>
                    <a:stretch>
                      <a:fillRect/>
                    </a:stretch>
                  </pic:blipFill>
                  <pic:spPr>
                    <a:xfrm>
                      <a:off x="0" y="0"/>
                      <a:ext cx="5460365" cy="8832215"/>
                    </a:xfrm>
                    <a:prstGeom prst="rect">
                      <a:avLst/>
                    </a:prstGeom>
                  </pic:spPr>
                </pic:pic>
              </a:graphicData>
            </a:graphic>
          </wp:inline>
        </w:drawing>
      </w:r>
    </w:p>
    <w:p w14:paraId="421EC6F9">
      <w:pPr>
        <w:bidi w:val="0"/>
        <w:rPr>
          <w:rFonts w:hint="eastAsia"/>
          <w:lang w:val="en-US" w:eastAsia="zh-CN"/>
        </w:rPr>
      </w:pPr>
      <w:bookmarkStart w:id="491" w:name="_Toc18830"/>
      <w:r>
        <w:rPr>
          <w:rFonts w:hint="eastAsia"/>
          <w:lang w:val="en-US" w:eastAsia="zh-CN"/>
        </w:rPr>
        <w:drawing>
          <wp:inline distT="0" distB="0" distL="114300" distR="114300">
            <wp:extent cx="4573905" cy="7169150"/>
            <wp:effectExtent l="0" t="0" r="17145" b="12700"/>
            <wp:docPr id="16" name="图片 16" descr="安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安拆"/>
                    <pic:cNvPicPr>
                      <a:picLocks noChangeAspect="1"/>
                    </pic:cNvPicPr>
                  </pic:nvPicPr>
                  <pic:blipFill>
                    <a:blip r:embed="rId79"/>
                    <a:srcRect l="3733" t="3214" r="3751" b="1700"/>
                    <a:stretch>
                      <a:fillRect/>
                    </a:stretch>
                  </pic:blipFill>
                  <pic:spPr>
                    <a:xfrm>
                      <a:off x="0" y="0"/>
                      <a:ext cx="4573905" cy="7169150"/>
                    </a:xfrm>
                    <a:prstGeom prst="rect">
                      <a:avLst/>
                    </a:prstGeom>
                  </pic:spPr>
                </pic:pic>
              </a:graphicData>
            </a:graphic>
          </wp:inline>
        </w:drawing>
      </w:r>
      <w:r>
        <w:rPr>
          <w:rFonts w:hint="eastAsia"/>
          <w:lang w:val="en-US" w:eastAsia="zh-CN"/>
        </w:rPr>
        <w:drawing>
          <wp:inline distT="0" distB="0" distL="114300" distR="114300">
            <wp:extent cx="4900295" cy="7989570"/>
            <wp:effectExtent l="0" t="0" r="14605" b="11430"/>
            <wp:docPr id="17" name="图片 17" descr="安拆证-王祯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安拆证-王祯权"/>
                    <pic:cNvPicPr>
                      <a:picLocks noChangeAspect="1"/>
                    </pic:cNvPicPr>
                  </pic:nvPicPr>
                  <pic:blipFill>
                    <a:blip r:embed="rId80"/>
                    <a:srcRect l="3869" t="2476" r="4033" b="1191"/>
                    <a:stretch>
                      <a:fillRect/>
                    </a:stretch>
                  </pic:blipFill>
                  <pic:spPr>
                    <a:xfrm>
                      <a:off x="0" y="0"/>
                      <a:ext cx="4900295" cy="7989570"/>
                    </a:xfrm>
                    <a:prstGeom prst="rect">
                      <a:avLst/>
                    </a:prstGeom>
                  </pic:spPr>
                </pic:pic>
              </a:graphicData>
            </a:graphic>
          </wp:inline>
        </w:drawing>
      </w:r>
      <w:bookmarkEnd w:id="491"/>
    </w:p>
    <w:p w14:paraId="08FFE2D6">
      <w:pPr>
        <w:bidi w:val="0"/>
        <w:rPr>
          <w:rFonts w:hint="eastAsia"/>
          <w:lang w:val="en-US" w:eastAsia="zh-CN"/>
        </w:rPr>
      </w:pPr>
      <w:r>
        <w:rPr>
          <w:rFonts w:hint="eastAsia"/>
          <w:lang w:val="en-US" w:eastAsia="zh-CN"/>
        </w:rPr>
        <w:drawing>
          <wp:inline distT="0" distB="0" distL="114300" distR="114300">
            <wp:extent cx="5010150" cy="8333740"/>
            <wp:effectExtent l="0" t="0" r="0" b="10160"/>
            <wp:docPr id="18" name="图片 18" descr="336bfa43b84eb35dcef49f4ff61d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36bfa43b84eb35dcef49f4ff61d126"/>
                    <pic:cNvPicPr>
                      <a:picLocks noChangeAspect="1"/>
                    </pic:cNvPicPr>
                  </pic:nvPicPr>
                  <pic:blipFill>
                    <a:blip r:embed="rId81"/>
                    <a:srcRect l="3332" t="2586" r="4225" b="1943"/>
                    <a:stretch>
                      <a:fillRect/>
                    </a:stretch>
                  </pic:blipFill>
                  <pic:spPr>
                    <a:xfrm>
                      <a:off x="0" y="0"/>
                      <a:ext cx="5010150" cy="8333740"/>
                    </a:xfrm>
                    <a:prstGeom prst="rect">
                      <a:avLst/>
                    </a:prstGeom>
                  </pic:spPr>
                </pic:pic>
              </a:graphicData>
            </a:graphic>
          </wp:inline>
        </w:drawing>
      </w:r>
    </w:p>
    <w:p w14:paraId="21FF632E">
      <w:pPr>
        <w:bidi w:val="0"/>
      </w:pPr>
      <w:r>
        <w:rPr>
          <w:rFonts w:hint="eastAsia"/>
          <w:lang w:eastAsia="zh-CN"/>
        </w:rPr>
        <w:drawing>
          <wp:inline distT="0" distB="0" distL="114300" distR="114300">
            <wp:extent cx="4772025" cy="8316595"/>
            <wp:effectExtent l="0" t="0" r="9525" b="8255"/>
            <wp:docPr id="51" name="图片 19" descr="安全员C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descr="安全员C证"/>
                    <pic:cNvPicPr>
                      <a:picLocks noChangeAspect="1"/>
                    </pic:cNvPicPr>
                  </pic:nvPicPr>
                  <pic:blipFill>
                    <a:blip r:embed="rId82"/>
                    <a:srcRect l="3693" t="3060" r="3693" b="594"/>
                    <a:stretch>
                      <a:fillRect/>
                    </a:stretch>
                  </pic:blipFill>
                  <pic:spPr>
                    <a:xfrm>
                      <a:off x="0" y="0"/>
                      <a:ext cx="4772025" cy="8316595"/>
                    </a:xfrm>
                    <a:prstGeom prst="rect">
                      <a:avLst/>
                    </a:prstGeom>
                    <a:noFill/>
                    <a:ln>
                      <a:noFill/>
                    </a:ln>
                  </pic:spPr>
                </pic:pic>
              </a:graphicData>
            </a:graphic>
          </wp:inline>
        </w:drawing>
      </w:r>
    </w:p>
    <w:sectPr>
      <w:head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Impact">
    <w:panose1 w:val="020B080603090205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SJQY">
    <w:altName w:val="Kingsoft UE"/>
    <w:panose1 w:val="02010600030101010101"/>
    <w:charset w:val="86"/>
    <w:family w:val="auto"/>
    <w:pitch w:val="default"/>
    <w:sig w:usb0="00000000" w:usb1="00000000" w:usb2="00000000" w:usb3="00000000" w:csb0="00040001" w:csb1="00000000"/>
  </w:font>
  <w:font w:name="Kingsoft UE">
    <w:panose1 w:val="02000100010000000000"/>
    <w:charset w:val="00"/>
    <w:family w:val="auto"/>
    <w:pitch w:val="default"/>
    <w:sig w:usb0="00000001" w:usb1="00004000" w:usb2="00000000" w:usb3="00000000" w:csb0="00000001" w:csb1="00000000"/>
  </w:font>
  <w:font w:name="仿宋_GB2312+3+5">
    <w:altName w:val="仿宋"/>
    <w:panose1 w:val="00000000000000000000"/>
    <w:charset w:val="86"/>
    <w:family w:val="auto"/>
    <w:pitch w:val="default"/>
    <w:sig w:usb0="00000000" w:usb1="00000000" w:usb2="00000010" w:usb3="00000000" w:csb0="00040000" w:csb1="00000000"/>
  </w:font>
  <w:font w:name="仿宋_GB2312+3+3">
    <w:altName w:val="黑体"/>
    <w:panose1 w:val="00000000000000000000"/>
    <w:charset w:val="86"/>
    <w:family w:val="auto"/>
    <w:pitch w:val="default"/>
    <w:sig w:usb0="00000000" w:usb1="00000000" w:usb2="00000010" w:usb3="00000000" w:csb0="00040000" w:csb1="00000000"/>
  </w:font>
  <w:font w:name="仿宋_GB2312+3+1">
    <w:altName w:val="黑体"/>
    <w:panose1 w:val="00000000000000000000"/>
    <w:charset w:val="86"/>
    <w:family w:val="auto"/>
    <w:pitch w:val="default"/>
    <w:sig w:usb0="00000000" w:usb1="00000000" w:usb2="00000010" w:usb3="00000000" w:csb0="00040000" w:csb1="00000000"/>
  </w:font>
  <w:font w:name="仿宋_GB2312+3+4">
    <w:altName w:val="黑体"/>
    <w:panose1 w:val="00000000000000000000"/>
    <w:charset w:val="86"/>
    <w:family w:val="auto"/>
    <w:pitch w:val="default"/>
    <w:sig w:usb0="00000000" w:usb1="00000000" w:usb2="00000010" w:usb3="00000000" w:csb0="00040000" w:csb1="00000000"/>
  </w:font>
  <w:font w:name="仿宋_GB2312+3+2">
    <w:altName w:val="黑体"/>
    <w:panose1 w:val="00000000000000000000"/>
    <w:charset w:val="86"/>
    <w:family w:val="auto"/>
    <w:pitch w:val="default"/>
    <w:sig w:usb0="00000000" w:usb1="00000000" w:usb2="00000010" w:usb3="00000000" w:csb0="00040000" w:csb1="00000000"/>
  </w:font>
  <w:font w:name="仿宋_GB2312+3+6">
    <w:altName w:val="仿宋"/>
    <w:panose1 w:val="00000000000000000000"/>
    <w:charset w:val="86"/>
    <w:family w:val="auto"/>
    <w:pitch w:val="default"/>
    <w:sig w:usb0="00000000" w:usb1="00000000" w:usb2="00000010" w:usb3="00000000" w:csb0="00040000" w:csb1="00000000"/>
  </w:font>
  <w:font w:name="仿宋_GB2312+3+7">
    <w:altName w:val="仿宋"/>
    <w:panose1 w:val="00000000000000000000"/>
    <w:charset w:val="86"/>
    <w:family w:val="auto"/>
    <w:pitch w:val="default"/>
    <w:sig w:usb0="00000000" w:usb1="00000000" w:usb2="00000010" w:usb3="00000000" w:csb0="00040000" w:csb1="00000000"/>
  </w:font>
  <w:font w:name="仿宋_GB2312+3+8">
    <w:altName w:val="仿宋"/>
    <w:panose1 w:val="00000000000000000000"/>
    <w:charset w:val="86"/>
    <w:family w:val="auto"/>
    <w:pitch w:val="default"/>
    <w:sig w:usb0="00000000" w:usb1="00000000" w:usb2="00000010" w:usb3="00000000" w:csb0="00040000" w:csb1="00000000"/>
  </w:font>
  <w:font w:name="仿宋_GB2312+3+9">
    <w:altName w:val="仿宋"/>
    <w:panose1 w:val="00000000000000000000"/>
    <w:charset w:val="86"/>
    <w:family w:val="auto"/>
    <w:pitch w:val="default"/>
    <w:sig w:usb0="00000000" w:usb1="00000000" w:usb2="00000010" w:usb3="00000000" w:csb0="00040000" w:csb1="00000000"/>
  </w:font>
  <w:font w:name="仿宋_GB2312+3+10">
    <w:altName w:val="仿宋"/>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ID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89F73">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CECC2">
                          <w:pPr>
                            <w:pStyle w:val="2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UHo8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tUHo8tAgAAVwQAAA4AAAAAAAAAAQAgAAAAHwEAAGRycy9lMm9Eb2MueG1sUEsFBgAAAAAG&#10;AAYAWQEAAL4FAAAAAA==&#10;">
              <v:fill on="f" focussize="0,0"/>
              <v:stroke on="f" weight="0.5pt"/>
              <v:imagedata o:title=""/>
              <o:lock v:ext="edit" aspectratio="f"/>
              <v:textbox inset="0mm,0mm,0mm,0mm" style="mso-fit-shape-to-text:t;">
                <w:txbxContent>
                  <w:p w14:paraId="3D1CECC2">
                    <w:pPr>
                      <w:pStyle w:val="2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6CA59">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w:t>
    </w:r>
    <w:r>
      <w:rPr>
        <w:rFonts w:hint="eastAsia" w:ascii="楷体" w:hAnsi="楷体" w:eastAsia="楷体" w:cs="楷体"/>
        <w:b/>
        <w:color w:val="0070C0"/>
        <w:sz w:val="20"/>
        <w:szCs w:val="20"/>
        <w:lang w:val="en-US" w:eastAsia="zh-CN"/>
      </w:rPr>
      <w:t>安装</w:t>
    </w:r>
    <w:r>
      <w:rPr>
        <w:rFonts w:hint="eastAsia" w:ascii="楷体" w:hAnsi="楷体" w:eastAsia="楷体" w:cs="楷体"/>
        <w:b/>
        <w:color w:val="0070C0"/>
        <w:sz w:val="20"/>
        <w:szCs w:val="20"/>
      </w:rPr>
      <w:t>专项施工方案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0183A">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塔式起重机安拆专项施工方案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D8651">
    <w:pPr>
      <w:pBdr>
        <w:bottom w:val="thickThinSmallGap" w:color="548DD4" w:sz="24" w:space="1"/>
      </w:pBdr>
      <w:tabs>
        <w:tab w:val="right" w:pos="9071"/>
      </w:tabs>
      <w:spacing w:line="240" w:lineRule="auto"/>
      <w:ind w:firstLine="0" w:firstLineChars="0"/>
      <w:contextualSpacing/>
      <w:rPr>
        <w:rFonts w:hint="eastAsia" w:ascii="楷体" w:hAnsi="楷体" w:eastAsia="楷体" w:cs="楷体"/>
        <w:b/>
        <w:color w:val="0070C0"/>
        <w:sz w:val="20"/>
        <w:szCs w:val="20"/>
      </w:rPr>
    </w:pPr>
    <w:r>
      <w:rPr>
        <w:rFonts w:hint="eastAsia" w:ascii="楷体" w:hAnsi="楷体" w:eastAsia="楷体" w:cs="楷体"/>
        <w:b/>
        <w:color w:val="0070C0"/>
        <w:sz w:val="20"/>
        <w:szCs w:val="20"/>
      </w:rPr>
      <w:t>桂林-恭城-贺州公路（桂林至钟山段）№</w:t>
    </w:r>
    <w:r>
      <w:rPr>
        <w:rFonts w:ascii="楷体" w:hAnsi="楷体" w:eastAsia="楷体" w:cs="楷体"/>
        <w:b/>
        <w:color w:val="0070C0"/>
        <w:sz w:val="20"/>
        <w:szCs w:val="20"/>
      </w:rPr>
      <w:t>7</w:t>
    </w:r>
    <w:r>
      <w:rPr>
        <w:rFonts w:hint="eastAsia" w:ascii="楷体" w:hAnsi="楷体" w:eastAsia="楷体" w:cs="楷体"/>
        <w:b/>
        <w:color w:val="0070C0"/>
        <w:sz w:val="20"/>
        <w:szCs w:val="20"/>
        <w:lang w:val="en-US" w:eastAsia="zh-CN"/>
      </w:rPr>
      <w:t xml:space="preserve">合同段             </w:t>
    </w:r>
    <w:r>
      <w:rPr>
        <w:rFonts w:hint="eastAsia" w:ascii="楷体" w:hAnsi="楷体" w:eastAsia="楷体" w:cs="楷体"/>
        <w:b/>
        <w:color w:val="0070C0"/>
        <w:sz w:val="20"/>
        <w:szCs w:val="20"/>
      </w:rPr>
      <w:t>塔式起重机安拆专项施工方案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585AB"/>
    <w:multiLevelType w:val="singleLevel"/>
    <w:tmpl w:val="84D585AB"/>
    <w:lvl w:ilvl="0" w:tentative="0">
      <w:start w:val="1"/>
      <w:numFmt w:val="decimal"/>
      <w:pStyle w:val="133"/>
      <w:suff w:val="nothing"/>
      <w:lvlText w:val="%1"/>
      <w:lvlJc w:val="left"/>
      <w:pPr>
        <w:tabs>
          <w:tab w:val="left" w:pos="0"/>
        </w:tabs>
        <w:ind w:left="0" w:firstLine="0"/>
      </w:pPr>
      <w:rPr>
        <w:rFonts w:hint="default"/>
      </w:rPr>
    </w:lvl>
  </w:abstractNum>
  <w:abstractNum w:abstractNumId="1">
    <w:nsid w:val="87433435"/>
    <w:multiLevelType w:val="multilevel"/>
    <w:tmpl w:val="87433435"/>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6967546"/>
    <w:multiLevelType w:val="singleLevel"/>
    <w:tmpl w:val="26967546"/>
    <w:lvl w:ilvl="0" w:tentative="0">
      <w:start w:val="1"/>
      <w:numFmt w:val="decimal"/>
      <w:suff w:val="nothing"/>
      <w:lvlText w:val="（%1）"/>
      <w:lvlJc w:val="left"/>
    </w:lvl>
  </w:abstractNum>
  <w:abstractNum w:abstractNumId="3">
    <w:nsid w:val="5058FDE0"/>
    <w:multiLevelType w:val="multilevel"/>
    <w:tmpl w:val="5058FDE0"/>
    <w:lvl w:ilvl="0" w:tentative="0">
      <w:start w:val="1"/>
      <w:numFmt w:val="decimal"/>
      <w:suff w:val="nothing"/>
      <w:lvlText w:val="%1  "/>
      <w:lvlJc w:val="left"/>
      <w:pPr>
        <w:tabs>
          <w:tab w:val="left" w:pos="420"/>
        </w:tabs>
        <w:ind w:left="0" w:firstLine="0"/>
      </w:pPr>
      <w:rPr>
        <w:rFonts w:hint="default" w:ascii="宋体" w:hAnsi="宋体" w:eastAsia="宋体" w:cs="宋体"/>
        <w:b/>
        <w:bCs/>
        <w:snapToGrid w:val="0"/>
        <w:sz w:val="28"/>
        <w:szCs w:val="28"/>
      </w:rPr>
    </w:lvl>
    <w:lvl w:ilvl="1" w:tentative="0">
      <w:start w:val="1"/>
      <w:numFmt w:val="decimal"/>
      <w:suff w:val="space"/>
      <w:lvlText w:val="%1.%2"/>
      <w:lvlJc w:val="left"/>
      <w:pPr>
        <w:tabs>
          <w:tab w:val="left" w:pos="420"/>
        </w:tabs>
        <w:ind w:left="0" w:firstLine="0"/>
      </w:pPr>
      <w:rPr>
        <w:rFonts w:hint="default" w:ascii="宋体" w:hAnsi="宋体" w:eastAsia="宋体" w:cs="宋体"/>
        <w:b/>
        <w:bCs/>
        <w:snapToGrid w:val="0"/>
        <w:sz w:val="28"/>
        <w:szCs w:val="28"/>
      </w:rPr>
    </w:lvl>
    <w:lvl w:ilvl="2" w:tentative="0">
      <w:start w:val="1"/>
      <w:numFmt w:val="decimal"/>
      <w:suff w:val="space"/>
      <w:lvlText w:val="%1.%2.%3"/>
      <w:lvlJc w:val="left"/>
      <w:pPr>
        <w:tabs>
          <w:tab w:val="left" w:pos="0"/>
        </w:tabs>
        <w:ind w:left="0" w:firstLine="510"/>
      </w:pPr>
      <w:rPr>
        <w:rFonts w:hint="default" w:ascii="黑体" w:hAnsi="黑体" w:eastAsia="黑体" w:cs="黑体"/>
        <w:b/>
        <w:bCs/>
        <w:snapToGrid w:val="0"/>
        <w:sz w:val="24"/>
        <w:szCs w:val="24"/>
      </w:rPr>
    </w:lvl>
    <w:lvl w:ilvl="3" w:tentative="0">
      <w:start w:val="1"/>
      <w:numFmt w:val="decimal"/>
      <w:suff w:val="space"/>
      <w:lvlText w:val="%1.%2.%3.%4"/>
      <w:lvlJc w:val="left"/>
      <w:pPr>
        <w:tabs>
          <w:tab w:val="left" w:pos="0"/>
        </w:tabs>
        <w:ind w:left="0" w:firstLine="510"/>
      </w:pPr>
      <w:rPr>
        <w:rFonts w:hint="default" w:ascii="黑体" w:hAnsi="黑体" w:eastAsia="黑体" w:cs="黑体"/>
        <w:b/>
        <w:bCs/>
        <w:snapToGrid w:val="0"/>
        <w:sz w:val="24"/>
        <w:szCs w:val="24"/>
      </w:rPr>
    </w:lvl>
    <w:lvl w:ilvl="4" w:tentative="0">
      <w:start w:val="1"/>
      <w:numFmt w:val="decimal"/>
      <w:pStyle w:val="130"/>
      <w:suff w:val="space"/>
      <w:lvlText w:val="(%5)"/>
      <w:lvlJc w:val="left"/>
      <w:pPr>
        <w:tabs>
          <w:tab w:val="left" w:pos="420"/>
        </w:tabs>
        <w:ind w:left="0" w:firstLine="510"/>
      </w:pPr>
      <w:rPr>
        <w:rFonts w:hint="default" w:ascii="宋体" w:hAnsi="宋体" w:eastAsia="宋体" w:cs="宋体"/>
      </w:rPr>
    </w:lvl>
    <w:lvl w:ilvl="5" w:tentative="0">
      <w:start w:val="1"/>
      <w:numFmt w:val="decimal"/>
      <w:pStyle w:val="134"/>
      <w:suff w:val="space"/>
      <w:lvlText w:val="%6)"/>
      <w:lvlJc w:val="left"/>
      <w:pPr>
        <w:tabs>
          <w:tab w:val="left" w:pos="420"/>
        </w:tabs>
        <w:ind w:left="0" w:firstLine="624"/>
      </w:pPr>
      <w:rPr>
        <w:rFonts w:hint="default" w:ascii="宋体" w:hAnsi="宋体" w:eastAsia="宋体" w:cs="宋体"/>
      </w:rPr>
    </w:lvl>
    <w:lvl w:ilvl="6" w:tentative="0">
      <w:start w:val="1"/>
      <w:numFmt w:val="lowerLetter"/>
      <w:suff w:val="space"/>
      <w:lvlText w:val="%7."/>
      <w:lvlJc w:val="left"/>
      <w:pPr>
        <w:tabs>
          <w:tab w:val="left" w:pos="420"/>
        </w:tabs>
        <w:ind w:left="0" w:firstLine="624"/>
      </w:pPr>
      <w:rPr>
        <w:rFonts w:hint="default" w:ascii="宋体" w:hAnsi="宋体" w:eastAsia="宋体" w:cs="宋体"/>
      </w:rPr>
    </w:lvl>
    <w:lvl w:ilvl="7" w:tentative="0">
      <w:start w:val="1"/>
      <w:numFmt w:val="decimal"/>
      <w:lvlRestart w:val="2"/>
      <w:pStyle w:val="131"/>
      <w:suff w:val="space"/>
      <w:lvlText w:val="表%1.%2-%8"/>
      <w:lvlJc w:val="left"/>
      <w:pPr>
        <w:tabs>
          <w:tab w:val="left" w:pos="0"/>
        </w:tabs>
        <w:ind w:left="0" w:firstLine="0"/>
      </w:pPr>
      <w:rPr>
        <w:rFonts w:hint="default" w:ascii="宋体" w:hAnsi="宋体" w:eastAsia="宋体" w:cs="宋体"/>
      </w:rPr>
    </w:lvl>
    <w:lvl w:ilvl="8" w:tentative="0">
      <w:start w:val="1"/>
      <w:numFmt w:val="decimal"/>
      <w:lvlRestart w:val="2"/>
      <w:pStyle w:val="129"/>
      <w:suff w:val="space"/>
      <w:lvlText w:val="图%1.%2-%9"/>
      <w:lvlJc w:val="left"/>
      <w:pPr>
        <w:tabs>
          <w:tab w:val="left" w:pos="420"/>
        </w:tabs>
        <w:ind w:left="0" w:firstLine="0"/>
      </w:pPr>
      <w:rPr>
        <w:rFonts w:hint="default" w:ascii="宋体" w:hAnsi="宋体" w:eastAsia="宋体" w:cs="宋体"/>
      </w:rPr>
    </w:lvl>
  </w:abstractNum>
  <w:abstractNum w:abstractNumId="4">
    <w:nsid w:val="53BC97FD"/>
    <w:multiLevelType w:val="multilevel"/>
    <w:tmpl w:val="53BC97FD"/>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5B07CCF4"/>
    <w:multiLevelType w:val="singleLevel"/>
    <w:tmpl w:val="5B07CCF4"/>
    <w:lvl w:ilvl="0" w:tentative="0">
      <w:start w:val="1"/>
      <w:numFmt w:val="bullet"/>
      <w:pStyle w:val="122"/>
      <w:suff w:val="space"/>
      <w:lvlText w:val=""/>
      <w:lvlJc w:val="left"/>
      <w:pPr>
        <w:tabs>
          <w:tab w:val="left" w:pos="420"/>
        </w:tabs>
        <w:ind w:left="0" w:firstLine="624"/>
      </w:pPr>
      <w:rPr>
        <w:rFonts w:hint="default" w:ascii="Wingdings" w:hAnsi="Wingdings"/>
      </w:rPr>
    </w:lvl>
  </w:abstractNum>
  <w:abstractNum w:abstractNumId="6">
    <w:nsid w:val="6D6A43CE"/>
    <w:multiLevelType w:val="multilevel"/>
    <w:tmpl w:val="6D6A43CE"/>
    <w:lvl w:ilvl="0" w:tentative="0">
      <w:start w:val="1"/>
      <w:numFmt w:val="decimal"/>
      <w:suff w:val="space"/>
      <w:lvlText w:val="%1)"/>
      <w:lvlJc w:val="left"/>
      <w:pPr>
        <w:ind w:left="900" w:hanging="420"/>
      </w:pPr>
      <w:rPr>
        <w:rFonts w:hint="default"/>
        <w:highlight w:val="none"/>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5"/>
  </w:num>
  <w:num w:numId="2">
    <w:abstractNumId w:val="3"/>
  </w:num>
  <w:num w:numId="3">
    <w:abstractNumId w:val="0"/>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MyODBjZDhlODI0MzFhY2U1ODg0YzczNWIwYmZmODEifQ=="/>
  </w:docVars>
  <w:rsids>
    <w:rsidRoot w:val="00172A27"/>
    <w:rsid w:val="000204F5"/>
    <w:rsid w:val="00023163"/>
    <w:rsid w:val="0003622A"/>
    <w:rsid w:val="000661A1"/>
    <w:rsid w:val="000733D0"/>
    <w:rsid w:val="000B39B3"/>
    <w:rsid w:val="000B6D8F"/>
    <w:rsid w:val="000E26E9"/>
    <w:rsid w:val="000F5900"/>
    <w:rsid w:val="001417A0"/>
    <w:rsid w:val="001608B1"/>
    <w:rsid w:val="00170FF5"/>
    <w:rsid w:val="00172A27"/>
    <w:rsid w:val="00172CC3"/>
    <w:rsid w:val="001803E1"/>
    <w:rsid w:val="00186D1D"/>
    <w:rsid w:val="001939BB"/>
    <w:rsid w:val="001E4B29"/>
    <w:rsid w:val="0020140C"/>
    <w:rsid w:val="002214F9"/>
    <w:rsid w:val="0024322A"/>
    <w:rsid w:val="00275A63"/>
    <w:rsid w:val="00313360"/>
    <w:rsid w:val="00323EFD"/>
    <w:rsid w:val="0038215B"/>
    <w:rsid w:val="003903DF"/>
    <w:rsid w:val="003B61A1"/>
    <w:rsid w:val="003B79CC"/>
    <w:rsid w:val="004020E2"/>
    <w:rsid w:val="00404207"/>
    <w:rsid w:val="00410AEE"/>
    <w:rsid w:val="0043254E"/>
    <w:rsid w:val="004443E9"/>
    <w:rsid w:val="00445A5B"/>
    <w:rsid w:val="00450340"/>
    <w:rsid w:val="00461C08"/>
    <w:rsid w:val="0046415C"/>
    <w:rsid w:val="004A0AD0"/>
    <w:rsid w:val="004B117A"/>
    <w:rsid w:val="004B716D"/>
    <w:rsid w:val="004C1F38"/>
    <w:rsid w:val="004E2E4C"/>
    <w:rsid w:val="004F47B4"/>
    <w:rsid w:val="004F6F31"/>
    <w:rsid w:val="005223C0"/>
    <w:rsid w:val="005459F4"/>
    <w:rsid w:val="00590694"/>
    <w:rsid w:val="005A7F3B"/>
    <w:rsid w:val="005B0183"/>
    <w:rsid w:val="005D5E9A"/>
    <w:rsid w:val="005F7EEB"/>
    <w:rsid w:val="006045FC"/>
    <w:rsid w:val="006368D5"/>
    <w:rsid w:val="00637396"/>
    <w:rsid w:val="00656511"/>
    <w:rsid w:val="00656BEB"/>
    <w:rsid w:val="00674771"/>
    <w:rsid w:val="00674C10"/>
    <w:rsid w:val="006851A4"/>
    <w:rsid w:val="006B7F23"/>
    <w:rsid w:val="006D03F7"/>
    <w:rsid w:val="006F78A2"/>
    <w:rsid w:val="00746F79"/>
    <w:rsid w:val="00756415"/>
    <w:rsid w:val="00766C8B"/>
    <w:rsid w:val="007737A4"/>
    <w:rsid w:val="0077660E"/>
    <w:rsid w:val="007964D0"/>
    <w:rsid w:val="007A60E7"/>
    <w:rsid w:val="007B7991"/>
    <w:rsid w:val="007C46C8"/>
    <w:rsid w:val="007C717F"/>
    <w:rsid w:val="007E1255"/>
    <w:rsid w:val="007F79AA"/>
    <w:rsid w:val="0087346B"/>
    <w:rsid w:val="0087459F"/>
    <w:rsid w:val="008D4492"/>
    <w:rsid w:val="00952C1C"/>
    <w:rsid w:val="009553D2"/>
    <w:rsid w:val="009908D7"/>
    <w:rsid w:val="00A153D2"/>
    <w:rsid w:val="00A23DEF"/>
    <w:rsid w:val="00A26772"/>
    <w:rsid w:val="00A37F53"/>
    <w:rsid w:val="00A40BAE"/>
    <w:rsid w:val="00A90905"/>
    <w:rsid w:val="00A94B06"/>
    <w:rsid w:val="00AE1473"/>
    <w:rsid w:val="00B15233"/>
    <w:rsid w:val="00B17ECA"/>
    <w:rsid w:val="00B5125F"/>
    <w:rsid w:val="00B5494B"/>
    <w:rsid w:val="00B66E85"/>
    <w:rsid w:val="00B94366"/>
    <w:rsid w:val="00B95A89"/>
    <w:rsid w:val="00BB61F6"/>
    <w:rsid w:val="00BC1CE2"/>
    <w:rsid w:val="00BC1E42"/>
    <w:rsid w:val="00BC4ECA"/>
    <w:rsid w:val="00BD4BEC"/>
    <w:rsid w:val="00BE129C"/>
    <w:rsid w:val="00BE1412"/>
    <w:rsid w:val="00C00BCA"/>
    <w:rsid w:val="00C445AA"/>
    <w:rsid w:val="00C63D1B"/>
    <w:rsid w:val="00C944E7"/>
    <w:rsid w:val="00CA47C6"/>
    <w:rsid w:val="00CD7D32"/>
    <w:rsid w:val="00D1510E"/>
    <w:rsid w:val="00D25EE5"/>
    <w:rsid w:val="00D33D7C"/>
    <w:rsid w:val="00D36976"/>
    <w:rsid w:val="00D70680"/>
    <w:rsid w:val="00D752C7"/>
    <w:rsid w:val="00D758BF"/>
    <w:rsid w:val="00DA23F4"/>
    <w:rsid w:val="00DA4AFA"/>
    <w:rsid w:val="00DB70FA"/>
    <w:rsid w:val="00DC79AC"/>
    <w:rsid w:val="00DD536D"/>
    <w:rsid w:val="00DE2A80"/>
    <w:rsid w:val="00DE4569"/>
    <w:rsid w:val="00DF1758"/>
    <w:rsid w:val="00E00D9C"/>
    <w:rsid w:val="00E25DBF"/>
    <w:rsid w:val="00E3327E"/>
    <w:rsid w:val="00E63775"/>
    <w:rsid w:val="00E63F0C"/>
    <w:rsid w:val="00E6431F"/>
    <w:rsid w:val="00E722B0"/>
    <w:rsid w:val="00EB5417"/>
    <w:rsid w:val="00ED05F6"/>
    <w:rsid w:val="00ED27E5"/>
    <w:rsid w:val="00ED4E34"/>
    <w:rsid w:val="00F00EC2"/>
    <w:rsid w:val="00F033ED"/>
    <w:rsid w:val="00F06D70"/>
    <w:rsid w:val="00F16523"/>
    <w:rsid w:val="00F302F3"/>
    <w:rsid w:val="00F40598"/>
    <w:rsid w:val="00F4725B"/>
    <w:rsid w:val="00F6587F"/>
    <w:rsid w:val="00F77FED"/>
    <w:rsid w:val="00F87ECD"/>
    <w:rsid w:val="00FA08C0"/>
    <w:rsid w:val="00FD26A4"/>
    <w:rsid w:val="021A3CBD"/>
    <w:rsid w:val="023216F2"/>
    <w:rsid w:val="02405F94"/>
    <w:rsid w:val="028C6A68"/>
    <w:rsid w:val="03031491"/>
    <w:rsid w:val="0333764D"/>
    <w:rsid w:val="03F15ED4"/>
    <w:rsid w:val="041A2AEF"/>
    <w:rsid w:val="047C4BE6"/>
    <w:rsid w:val="04C32148"/>
    <w:rsid w:val="05774CAC"/>
    <w:rsid w:val="058B4971"/>
    <w:rsid w:val="05A72447"/>
    <w:rsid w:val="05B3487C"/>
    <w:rsid w:val="05E66441"/>
    <w:rsid w:val="06002DDC"/>
    <w:rsid w:val="06323AB9"/>
    <w:rsid w:val="078B7694"/>
    <w:rsid w:val="078E37F4"/>
    <w:rsid w:val="07A169A4"/>
    <w:rsid w:val="08263C5B"/>
    <w:rsid w:val="088A6B37"/>
    <w:rsid w:val="08B91299"/>
    <w:rsid w:val="08E46A38"/>
    <w:rsid w:val="08E75619"/>
    <w:rsid w:val="096940A3"/>
    <w:rsid w:val="0AC46982"/>
    <w:rsid w:val="0BC75A7E"/>
    <w:rsid w:val="0C4F0DDA"/>
    <w:rsid w:val="0CBF197A"/>
    <w:rsid w:val="0CFE6E17"/>
    <w:rsid w:val="0D0F01CD"/>
    <w:rsid w:val="0D450B46"/>
    <w:rsid w:val="0D702283"/>
    <w:rsid w:val="0D716C02"/>
    <w:rsid w:val="0D880067"/>
    <w:rsid w:val="0E4E52A8"/>
    <w:rsid w:val="0E62049E"/>
    <w:rsid w:val="0EE075E5"/>
    <w:rsid w:val="0F1467D4"/>
    <w:rsid w:val="0F9A7A42"/>
    <w:rsid w:val="1016277B"/>
    <w:rsid w:val="10AA5667"/>
    <w:rsid w:val="11311F25"/>
    <w:rsid w:val="11A22912"/>
    <w:rsid w:val="11A41D91"/>
    <w:rsid w:val="11A910BA"/>
    <w:rsid w:val="11C06C72"/>
    <w:rsid w:val="12BA538F"/>
    <w:rsid w:val="12D66B6A"/>
    <w:rsid w:val="13343215"/>
    <w:rsid w:val="1372646B"/>
    <w:rsid w:val="13E30B4C"/>
    <w:rsid w:val="145036C4"/>
    <w:rsid w:val="14BC76F2"/>
    <w:rsid w:val="14DB5AA6"/>
    <w:rsid w:val="14DE0AFB"/>
    <w:rsid w:val="14F56550"/>
    <w:rsid w:val="15C42E81"/>
    <w:rsid w:val="16806CA1"/>
    <w:rsid w:val="16917B1C"/>
    <w:rsid w:val="16A9014A"/>
    <w:rsid w:val="16BF152A"/>
    <w:rsid w:val="16F4799C"/>
    <w:rsid w:val="171514DA"/>
    <w:rsid w:val="176747AF"/>
    <w:rsid w:val="17DF27C3"/>
    <w:rsid w:val="17E07B9B"/>
    <w:rsid w:val="18144709"/>
    <w:rsid w:val="18D44D2A"/>
    <w:rsid w:val="18FF7F74"/>
    <w:rsid w:val="190D610B"/>
    <w:rsid w:val="191E7BBA"/>
    <w:rsid w:val="19222E21"/>
    <w:rsid w:val="197952B3"/>
    <w:rsid w:val="198D0089"/>
    <w:rsid w:val="19A44E9B"/>
    <w:rsid w:val="19A76092"/>
    <w:rsid w:val="1AA45E9E"/>
    <w:rsid w:val="1BA13662"/>
    <w:rsid w:val="1C520F6B"/>
    <w:rsid w:val="1CD756BC"/>
    <w:rsid w:val="1CFC4D2A"/>
    <w:rsid w:val="1D0E36EF"/>
    <w:rsid w:val="1D6F11B3"/>
    <w:rsid w:val="1DD575F2"/>
    <w:rsid w:val="1E1E0A3E"/>
    <w:rsid w:val="1E6A3CB5"/>
    <w:rsid w:val="1ED02A09"/>
    <w:rsid w:val="200D42B2"/>
    <w:rsid w:val="21C428EF"/>
    <w:rsid w:val="22870996"/>
    <w:rsid w:val="22980D40"/>
    <w:rsid w:val="22BA2054"/>
    <w:rsid w:val="234B7AE2"/>
    <w:rsid w:val="235B6F09"/>
    <w:rsid w:val="242C0807"/>
    <w:rsid w:val="25C5597D"/>
    <w:rsid w:val="25DE7B87"/>
    <w:rsid w:val="26C53EFB"/>
    <w:rsid w:val="272324FB"/>
    <w:rsid w:val="27386D9D"/>
    <w:rsid w:val="27D01FA7"/>
    <w:rsid w:val="2831332B"/>
    <w:rsid w:val="2840722C"/>
    <w:rsid w:val="289B1551"/>
    <w:rsid w:val="28BA140C"/>
    <w:rsid w:val="28D87B84"/>
    <w:rsid w:val="29422684"/>
    <w:rsid w:val="29A33021"/>
    <w:rsid w:val="2A754FB7"/>
    <w:rsid w:val="2ABB53C3"/>
    <w:rsid w:val="2B1D7825"/>
    <w:rsid w:val="2B3E411C"/>
    <w:rsid w:val="2B6C2204"/>
    <w:rsid w:val="2B9E37E8"/>
    <w:rsid w:val="2BBD2BC9"/>
    <w:rsid w:val="2BCE31D3"/>
    <w:rsid w:val="2BF34B33"/>
    <w:rsid w:val="2C1D1F8F"/>
    <w:rsid w:val="2C9B4519"/>
    <w:rsid w:val="2D8F2D8C"/>
    <w:rsid w:val="2D914BB9"/>
    <w:rsid w:val="2D9F1D37"/>
    <w:rsid w:val="2E265B06"/>
    <w:rsid w:val="2EC56D57"/>
    <w:rsid w:val="2F525233"/>
    <w:rsid w:val="306D1AAC"/>
    <w:rsid w:val="30F51354"/>
    <w:rsid w:val="311D75A8"/>
    <w:rsid w:val="31606D41"/>
    <w:rsid w:val="31A510A0"/>
    <w:rsid w:val="31A6792F"/>
    <w:rsid w:val="31F255AF"/>
    <w:rsid w:val="339073AE"/>
    <w:rsid w:val="33B06364"/>
    <w:rsid w:val="34697184"/>
    <w:rsid w:val="34AE751F"/>
    <w:rsid w:val="35AA17FB"/>
    <w:rsid w:val="36591D72"/>
    <w:rsid w:val="36B1156E"/>
    <w:rsid w:val="370F4595"/>
    <w:rsid w:val="378064F0"/>
    <w:rsid w:val="37863768"/>
    <w:rsid w:val="37D43BD6"/>
    <w:rsid w:val="37EE37E7"/>
    <w:rsid w:val="383B22E8"/>
    <w:rsid w:val="38F058B8"/>
    <w:rsid w:val="39861813"/>
    <w:rsid w:val="398E7091"/>
    <w:rsid w:val="39A7506D"/>
    <w:rsid w:val="39AE3903"/>
    <w:rsid w:val="39BB05A7"/>
    <w:rsid w:val="39D17B83"/>
    <w:rsid w:val="3A285D28"/>
    <w:rsid w:val="3A4F322C"/>
    <w:rsid w:val="3A6A181A"/>
    <w:rsid w:val="3A882831"/>
    <w:rsid w:val="3AC70F58"/>
    <w:rsid w:val="3AEC61EA"/>
    <w:rsid w:val="3B0F5ADC"/>
    <w:rsid w:val="3B691C52"/>
    <w:rsid w:val="3BEE6312"/>
    <w:rsid w:val="3C910F67"/>
    <w:rsid w:val="3CFB349F"/>
    <w:rsid w:val="3D790732"/>
    <w:rsid w:val="3DD35697"/>
    <w:rsid w:val="3E39568A"/>
    <w:rsid w:val="3EE93BE9"/>
    <w:rsid w:val="3F500C15"/>
    <w:rsid w:val="3F6877DA"/>
    <w:rsid w:val="3F8F3AD1"/>
    <w:rsid w:val="3FB4100D"/>
    <w:rsid w:val="3FC368EA"/>
    <w:rsid w:val="40321124"/>
    <w:rsid w:val="40603B42"/>
    <w:rsid w:val="406132A7"/>
    <w:rsid w:val="40B25AEE"/>
    <w:rsid w:val="40C07A63"/>
    <w:rsid w:val="420C58B8"/>
    <w:rsid w:val="420F35B4"/>
    <w:rsid w:val="42BE671D"/>
    <w:rsid w:val="42D347BC"/>
    <w:rsid w:val="43690368"/>
    <w:rsid w:val="43811F71"/>
    <w:rsid w:val="43A93D53"/>
    <w:rsid w:val="43D941B5"/>
    <w:rsid w:val="449D2088"/>
    <w:rsid w:val="44A96B47"/>
    <w:rsid w:val="46192E49"/>
    <w:rsid w:val="46F510E6"/>
    <w:rsid w:val="47077063"/>
    <w:rsid w:val="47550DFF"/>
    <w:rsid w:val="479A6B25"/>
    <w:rsid w:val="47D255EE"/>
    <w:rsid w:val="48612F4D"/>
    <w:rsid w:val="4A6A2C7C"/>
    <w:rsid w:val="4A6A3D1A"/>
    <w:rsid w:val="4ACB4374"/>
    <w:rsid w:val="4B104CAB"/>
    <w:rsid w:val="4B1101D5"/>
    <w:rsid w:val="4BFC24EE"/>
    <w:rsid w:val="4C0D5206"/>
    <w:rsid w:val="4C6E57AF"/>
    <w:rsid w:val="4C7642AE"/>
    <w:rsid w:val="4D0B3876"/>
    <w:rsid w:val="4DD530AE"/>
    <w:rsid w:val="4E545090"/>
    <w:rsid w:val="4FB80EBC"/>
    <w:rsid w:val="504B489F"/>
    <w:rsid w:val="504C71AF"/>
    <w:rsid w:val="50A53155"/>
    <w:rsid w:val="51125403"/>
    <w:rsid w:val="51B1480D"/>
    <w:rsid w:val="5286028E"/>
    <w:rsid w:val="5358382C"/>
    <w:rsid w:val="53937294"/>
    <w:rsid w:val="5394300C"/>
    <w:rsid w:val="5411535C"/>
    <w:rsid w:val="54624402"/>
    <w:rsid w:val="546F0B02"/>
    <w:rsid w:val="54F0316B"/>
    <w:rsid w:val="551A6081"/>
    <w:rsid w:val="56AF69BC"/>
    <w:rsid w:val="56C043EA"/>
    <w:rsid w:val="577A72FF"/>
    <w:rsid w:val="58001828"/>
    <w:rsid w:val="58F8524D"/>
    <w:rsid w:val="596F7962"/>
    <w:rsid w:val="59DD4B1E"/>
    <w:rsid w:val="5A22609C"/>
    <w:rsid w:val="5A491E32"/>
    <w:rsid w:val="5AC90ACD"/>
    <w:rsid w:val="5B8D53A1"/>
    <w:rsid w:val="5BFB3774"/>
    <w:rsid w:val="5C025C75"/>
    <w:rsid w:val="5DE423C4"/>
    <w:rsid w:val="5DEF36EF"/>
    <w:rsid w:val="5E522066"/>
    <w:rsid w:val="5E6B7C06"/>
    <w:rsid w:val="5EDD69E1"/>
    <w:rsid w:val="6039692A"/>
    <w:rsid w:val="603D41DA"/>
    <w:rsid w:val="60F53F7E"/>
    <w:rsid w:val="61125609"/>
    <w:rsid w:val="616C2E7B"/>
    <w:rsid w:val="61925E12"/>
    <w:rsid w:val="628A4BAD"/>
    <w:rsid w:val="62B52656"/>
    <w:rsid w:val="63617D35"/>
    <w:rsid w:val="63763539"/>
    <w:rsid w:val="63D95908"/>
    <w:rsid w:val="646F7581"/>
    <w:rsid w:val="65024F8A"/>
    <w:rsid w:val="65892100"/>
    <w:rsid w:val="659A3BB5"/>
    <w:rsid w:val="66223497"/>
    <w:rsid w:val="66537BCF"/>
    <w:rsid w:val="666D5EA9"/>
    <w:rsid w:val="668B1E81"/>
    <w:rsid w:val="66DD5E8A"/>
    <w:rsid w:val="6A885221"/>
    <w:rsid w:val="6A915604"/>
    <w:rsid w:val="6AE451FC"/>
    <w:rsid w:val="6B0D3A71"/>
    <w:rsid w:val="6B5D608F"/>
    <w:rsid w:val="6C090214"/>
    <w:rsid w:val="6C273661"/>
    <w:rsid w:val="6C4C3DF0"/>
    <w:rsid w:val="6D1144C3"/>
    <w:rsid w:val="6D241FA6"/>
    <w:rsid w:val="6E4F1275"/>
    <w:rsid w:val="6E674587"/>
    <w:rsid w:val="6F117CE6"/>
    <w:rsid w:val="6F423C93"/>
    <w:rsid w:val="6F6001CA"/>
    <w:rsid w:val="6FA0258C"/>
    <w:rsid w:val="70754611"/>
    <w:rsid w:val="7097261A"/>
    <w:rsid w:val="70FE7DA0"/>
    <w:rsid w:val="71866606"/>
    <w:rsid w:val="718A3FC6"/>
    <w:rsid w:val="71F201E8"/>
    <w:rsid w:val="72064E7B"/>
    <w:rsid w:val="725270D9"/>
    <w:rsid w:val="72705EF5"/>
    <w:rsid w:val="72F105E7"/>
    <w:rsid w:val="735639FF"/>
    <w:rsid w:val="736A791C"/>
    <w:rsid w:val="73D4718D"/>
    <w:rsid w:val="73E93634"/>
    <w:rsid w:val="742D5F97"/>
    <w:rsid w:val="74600815"/>
    <w:rsid w:val="74EF7ED0"/>
    <w:rsid w:val="74FC2661"/>
    <w:rsid w:val="757C3914"/>
    <w:rsid w:val="75FF12B3"/>
    <w:rsid w:val="7601232C"/>
    <w:rsid w:val="76102D56"/>
    <w:rsid w:val="762A724D"/>
    <w:rsid w:val="76B16156"/>
    <w:rsid w:val="770824F7"/>
    <w:rsid w:val="774010E7"/>
    <w:rsid w:val="777E12CB"/>
    <w:rsid w:val="77881EC0"/>
    <w:rsid w:val="799C5B39"/>
    <w:rsid w:val="79F7766A"/>
    <w:rsid w:val="7A053E04"/>
    <w:rsid w:val="7A1C7734"/>
    <w:rsid w:val="7A600049"/>
    <w:rsid w:val="7A8E22CF"/>
    <w:rsid w:val="7AC3135B"/>
    <w:rsid w:val="7B315ED6"/>
    <w:rsid w:val="7B6612E1"/>
    <w:rsid w:val="7BBC37F0"/>
    <w:rsid w:val="7C4B7C00"/>
    <w:rsid w:val="7CA1665A"/>
    <w:rsid w:val="7CD816F8"/>
    <w:rsid w:val="7DC7010A"/>
    <w:rsid w:val="7F0A0FA4"/>
    <w:rsid w:val="7F411A8C"/>
    <w:rsid w:val="7F743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宋体" w:eastAsia="宋体" w:cs="Times New Roman"/>
      <w:kern w:val="2"/>
      <w:sz w:val="24"/>
      <w:szCs w:val="22"/>
      <w:lang w:val="en-US" w:eastAsia="zh-CN" w:bidi="ar-SA"/>
    </w:rPr>
  </w:style>
  <w:style w:type="paragraph" w:styleId="2">
    <w:name w:val="heading 1"/>
    <w:basedOn w:val="1"/>
    <w:next w:val="1"/>
    <w:qFormat/>
    <w:uiPriority w:val="0"/>
    <w:pPr>
      <w:keepNext/>
      <w:keepLines/>
      <w:spacing w:line="480" w:lineRule="auto"/>
      <w:jc w:val="center"/>
      <w:outlineLvl w:val="0"/>
    </w:pPr>
    <w:rPr>
      <w:rFonts w:ascii="宋体" w:hAnsi="宋体" w:eastAsia="宋体"/>
      <w:b/>
      <w:color w:val="000000" w:themeColor="text1"/>
      <w:kern w:val="44"/>
      <w:sz w:val="30"/>
      <w14:textFill>
        <w14:solidFill>
          <w14:schemeClr w14:val="tx1"/>
        </w14:solidFill>
      </w14:textFill>
    </w:rPr>
  </w:style>
  <w:style w:type="paragraph" w:styleId="3">
    <w:name w:val="heading 2"/>
    <w:basedOn w:val="1"/>
    <w:next w:val="1"/>
    <w:link w:val="40"/>
    <w:unhideWhenUsed/>
    <w:qFormat/>
    <w:uiPriority w:val="0"/>
    <w:pPr>
      <w:keepNext/>
      <w:keepLines/>
      <w:spacing w:line="360" w:lineRule="auto"/>
      <w:ind w:leftChars="0"/>
      <w:jc w:val="left"/>
      <w:outlineLvl w:val="1"/>
    </w:pPr>
    <w:rPr>
      <w:rFonts w:ascii="宋体" w:hAnsi="宋体" w:eastAsia="宋体"/>
      <w:b/>
      <w:color w:val="000000" w:themeColor="text1"/>
      <w:sz w:val="28"/>
      <w14:textFill>
        <w14:solidFill>
          <w14:schemeClr w14:val="tx1"/>
        </w14:solidFill>
      </w14:textFill>
    </w:rPr>
  </w:style>
  <w:style w:type="paragraph" w:styleId="4">
    <w:name w:val="heading 3"/>
    <w:basedOn w:val="3"/>
    <w:next w:val="1"/>
    <w:unhideWhenUsed/>
    <w:qFormat/>
    <w:uiPriority w:val="0"/>
    <w:pPr>
      <w:keepNext/>
      <w:keepLines/>
      <w:spacing w:line="360" w:lineRule="auto"/>
      <w:ind w:leftChars="0"/>
      <w:outlineLvl w:val="2"/>
    </w:pPr>
    <w:rPr>
      <w:rFonts w:ascii="宋体" w:hAnsi="宋体" w:eastAsia="宋体"/>
      <w:color w:val="000000" w:themeColor="text1"/>
      <w14:textFill>
        <w14:solidFill>
          <w14:schemeClr w14:val="tx1"/>
        </w14:solidFill>
      </w14:textFill>
    </w:rPr>
  </w:style>
  <w:style w:type="paragraph" w:styleId="5">
    <w:name w:val="heading 4"/>
    <w:basedOn w:val="6"/>
    <w:next w:val="1"/>
    <w:unhideWhenUsed/>
    <w:qFormat/>
    <w:uiPriority w:val="0"/>
    <w:pPr>
      <w:keepNext/>
      <w:keepLines/>
      <w:tabs>
        <w:tab w:val="left" w:pos="0"/>
      </w:tabs>
      <w:spacing w:line="360" w:lineRule="auto"/>
      <w:ind w:leftChars="0"/>
      <w:outlineLvl w:val="3"/>
    </w:pPr>
    <w:rPr>
      <w:rFonts w:ascii="宋体" w:hAnsi="宋体" w:eastAsia="宋体" w:cstheme="majorBidi"/>
      <w:bCs/>
      <w:color w:val="000000" w:themeColor="text1"/>
      <w:szCs w:val="28"/>
      <w14:textFill>
        <w14:solidFill>
          <w14:schemeClr w14:val="tx1"/>
        </w14:solidFill>
      </w14:textFill>
    </w:rPr>
  </w:style>
  <w:style w:type="paragraph" w:styleId="7">
    <w:name w:val="heading 5"/>
    <w:basedOn w:val="1"/>
    <w:next w:val="1"/>
    <w:link w:val="111"/>
    <w:unhideWhenUsed/>
    <w:qFormat/>
    <w:uiPriority w:val="0"/>
    <w:pPr>
      <w:keepNext/>
      <w:keepLines/>
      <w:spacing w:line="360" w:lineRule="auto"/>
      <w:ind w:firstLine="200" w:firstLineChars="200"/>
      <w:outlineLvl w:val="4"/>
    </w:pPr>
    <w:rPr>
      <w:b/>
      <w:bCs/>
      <w:sz w:val="24"/>
      <w:szCs w:val="28"/>
    </w:rPr>
  </w:style>
  <w:style w:type="paragraph" w:styleId="8">
    <w:name w:val="heading 6"/>
    <w:basedOn w:val="1"/>
    <w:next w:val="1"/>
    <w:link w:val="112"/>
    <w:unhideWhenUsed/>
    <w:qFormat/>
    <w:uiPriority w:val="0"/>
    <w:pPr>
      <w:keepNext/>
      <w:keepLines/>
      <w:adjustRightInd w:val="0"/>
      <w:snapToGrid w:val="0"/>
      <w:spacing w:before="240" w:after="64" w:line="317" w:lineRule="auto"/>
      <w:ind w:firstLine="562" w:firstLineChars="200"/>
      <w:jc w:val="left"/>
      <w:outlineLvl w:val="5"/>
    </w:pPr>
    <w:rPr>
      <w:rFonts w:ascii="Arial" w:hAnsi="Arial" w:eastAsia="黑体" w:cs="宋体"/>
      <w:b/>
      <w:snapToGrid w:val="0"/>
      <w:kern w:val="0"/>
      <w:sz w:val="24"/>
      <w:szCs w:val="24"/>
    </w:rPr>
  </w:style>
  <w:style w:type="paragraph" w:styleId="9">
    <w:name w:val="heading 7"/>
    <w:basedOn w:val="1"/>
    <w:next w:val="1"/>
    <w:link w:val="114"/>
    <w:unhideWhenUsed/>
    <w:qFormat/>
    <w:uiPriority w:val="0"/>
    <w:pPr>
      <w:keepNext/>
      <w:keepLines/>
      <w:adjustRightInd w:val="0"/>
      <w:snapToGrid w:val="0"/>
      <w:spacing w:before="240" w:after="64" w:line="317" w:lineRule="auto"/>
      <w:ind w:firstLine="562" w:firstLineChars="200"/>
      <w:jc w:val="left"/>
      <w:outlineLvl w:val="6"/>
    </w:pPr>
    <w:rPr>
      <w:rFonts w:ascii="宋体" w:hAnsi="宋体" w:eastAsia="宋体" w:cs="宋体"/>
      <w:b/>
      <w:snapToGrid w:val="0"/>
      <w:kern w:val="0"/>
      <w:sz w:val="24"/>
      <w:szCs w:val="24"/>
    </w:rPr>
  </w:style>
  <w:style w:type="paragraph" w:styleId="10">
    <w:name w:val="heading 8"/>
    <w:basedOn w:val="1"/>
    <w:next w:val="1"/>
    <w:link w:val="115"/>
    <w:unhideWhenUsed/>
    <w:qFormat/>
    <w:uiPriority w:val="0"/>
    <w:pPr>
      <w:tabs>
        <w:tab w:val="left" w:pos="420"/>
      </w:tabs>
      <w:adjustRightInd w:val="0"/>
      <w:snapToGrid w:val="0"/>
      <w:spacing w:after="160" w:line="400" w:lineRule="exact"/>
      <w:jc w:val="center"/>
      <w:outlineLvl w:val="7"/>
    </w:pPr>
    <w:rPr>
      <w:rFonts w:ascii="宋体" w:hAnsi="宋体" w:eastAsia="宋体" w:cs="宋体"/>
      <w:b/>
      <w:bCs/>
      <w:snapToGrid w:val="0"/>
      <w:kern w:val="0"/>
      <w:szCs w:val="21"/>
    </w:rPr>
  </w:style>
  <w:style w:type="paragraph" w:styleId="11">
    <w:name w:val="heading 9"/>
    <w:basedOn w:val="1"/>
    <w:next w:val="1"/>
    <w:link w:val="116"/>
    <w:unhideWhenUsed/>
    <w:qFormat/>
    <w:uiPriority w:val="0"/>
    <w:pPr>
      <w:tabs>
        <w:tab w:val="left" w:pos="420"/>
      </w:tabs>
      <w:adjustRightInd w:val="0"/>
      <w:snapToGrid w:val="0"/>
      <w:jc w:val="center"/>
      <w:outlineLvl w:val="8"/>
    </w:pPr>
    <w:rPr>
      <w:rFonts w:ascii="宋体" w:hAnsi="宋体" w:eastAsia="宋体" w:cs="宋体"/>
      <w:snapToGrid w:val="0"/>
      <w:kern w:val="0"/>
      <w:szCs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6">
    <w:name w:val="基准-无缩进"/>
    <w:basedOn w:val="4"/>
    <w:qFormat/>
    <w:uiPriority w:val="0"/>
    <w:pPr>
      <w:numPr>
        <w:ilvl w:val="0"/>
        <w:numId w:val="0"/>
      </w:numPr>
      <w:tabs>
        <w:tab w:val="left" w:pos="0"/>
      </w:tabs>
    </w:pPr>
  </w:style>
  <w:style w:type="paragraph" w:styleId="12">
    <w:name w:val="Normal Indent"/>
    <w:basedOn w:val="1"/>
    <w:next w:val="13"/>
    <w:qFormat/>
    <w:uiPriority w:val="0"/>
    <w:pPr>
      <w:spacing w:line="240" w:lineRule="auto"/>
      <w:ind w:firstLine="0" w:firstLineChars="0"/>
      <w:jc w:val="center"/>
    </w:pPr>
    <w:rPr>
      <w:sz w:val="21"/>
    </w:rPr>
  </w:style>
  <w:style w:type="paragraph" w:styleId="13">
    <w:name w:val="Body Text First Indent"/>
    <w:basedOn w:val="14"/>
    <w:next w:val="1"/>
    <w:link w:val="101"/>
    <w:qFormat/>
    <w:uiPriority w:val="99"/>
    <w:pPr>
      <w:ind w:firstLine="420" w:firstLineChars="100"/>
    </w:pPr>
    <w:rPr>
      <w:kern w:val="2"/>
      <w:sz w:val="21"/>
    </w:rPr>
  </w:style>
  <w:style w:type="paragraph" w:styleId="14">
    <w:name w:val="Body Text"/>
    <w:basedOn w:val="1"/>
    <w:link w:val="100"/>
    <w:qFormat/>
    <w:uiPriority w:val="0"/>
    <w:pPr>
      <w:spacing w:after="120"/>
    </w:pPr>
    <w:rPr>
      <w:kern w:val="0"/>
      <w:sz w:val="20"/>
    </w:rPr>
  </w:style>
  <w:style w:type="paragraph" w:styleId="15">
    <w:name w:val="caption"/>
    <w:basedOn w:val="1"/>
    <w:next w:val="16"/>
    <w:unhideWhenUsed/>
    <w:qFormat/>
    <w:uiPriority w:val="0"/>
    <w:pPr>
      <w:spacing w:line="360" w:lineRule="auto"/>
      <w:jc w:val="center"/>
    </w:pPr>
    <w:rPr>
      <w:rFonts w:ascii="Times New Roman" w:hAnsi="Times New Roman" w:eastAsia="黑体"/>
      <w:sz w:val="21"/>
      <w:szCs w:val="21"/>
    </w:rPr>
  </w:style>
  <w:style w:type="paragraph" w:customStyle="1" w:styleId="16">
    <w:name w:val="表内文字"/>
    <w:basedOn w:val="17"/>
    <w:next w:val="1"/>
    <w:autoRedefine/>
    <w:qFormat/>
    <w:uiPriority w:val="0"/>
    <w:pPr>
      <w:spacing w:line="240" w:lineRule="auto"/>
      <w:ind w:firstLine="0" w:firstLineChars="0"/>
      <w:jc w:val="center"/>
    </w:pPr>
    <w:rPr>
      <w:sz w:val="21"/>
    </w:rPr>
  </w:style>
  <w:style w:type="paragraph" w:customStyle="1" w:styleId="17">
    <w:name w:val="图表名称"/>
    <w:basedOn w:val="1"/>
    <w:autoRedefine/>
    <w:qFormat/>
    <w:uiPriority w:val="0"/>
    <w:pPr>
      <w:ind w:firstLine="0" w:firstLineChars="0"/>
      <w:jc w:val="center"/>
    </w:pPr>
    <w:rPr>
      <w:b/>
      <w:bCs/>
      <w:color w:val="000000" w:themeColor="text1"/>
      <w:sz w:val="21"/>
      <w14:textFill>
        <w14:solidFill>
          <w14:schemeClr w14:val="tx1"/>
        </w14:solidFill>
      </w14:textFill>
    </w:rPr>
  </w:style>
  <w:style w:type="paragraph" w:styleId="18">
    <w:name w:val="annotation text"/>
    <w:basedOn w:val="1"/>
    <w:link w:val="113"/>
    <w:qFormat/>
    <w:uiPriority w:val="0"/>
    <w:pPr>
      <w:jc w:val="left"/>
    </w:pPr>
  </w:style>
  <w:style w:type="paragraph" w:styleId="19">
    <w:name w:val="Body Text Indent"/>
    <w:basedOn w:val="1"/>
    <w:next w:val="1"/>
    <w:qFormat/>
    <w:uiPriority w:val="0"/>
    <w:pPr>
      <w:tabs>
        <w:tab w:val="left" w:pos="360"/>
      </w:tabs>
      <w:ind w:left="600" w:leftChars="257" w:hanging="60" w:hangingChars="25"/>
    </w:pPr>
    <w:rPr>
      <w:rFonts w:ascii="宋体" w:hAnsi="宋体"/>
      <w:kern w:val="0"/>
      <w:sz w:val="24"/>
    </w:rPr>
  </w:style>
  <w:style w:type="paragraph" w:styleId="20">
    <w:name w:val="toc 3"/>
    <w:basedOn w:val="1"/>
    <w:next w:val="1"/>
    <w:qFormat/>
    <w:uiPriority w:val="0"/>
    <w:pPr>
      <w:adjustRightInd w:val="0"/>
      <w:snapToGrid w:val="0"/>
      <w:spacing w:line="400" w:lineRule="exact"/>
      <w:ind w:left="480" w:leftChars="200"/>
    </w:pPr>
    <w:rPr>
      <w:rFonts w:ascii="宋体" w:hAnsi="宋体" w:eastAsia="宋体" w:cs="宋体"/>
      <w:snapToGrid w:val="0"/>
      <w:kern w:val="0"/>
      <w:sz w:val="24"/>
      <w:szCs w:val="24"/>
    </w:rPr>
  </w:style>
  <w:style w:type="paragraph" w:styleId="21">
    <w:name w:val="Plain Text"/>
    <w:basedOn w:val="1"/>
    <w:unhideWhenUsed/>
    <w:qFormat/>
    <w:uiPriority w:val="0"/>
    <w:rPr>
      <w:rFonts w:ascii="宋体" w:hAnsi="Courier New"/>
      <w:sz w:val="19"/>
    </w:rPr>
  </w:style>
  <w:style w:type="paragraph" w:styleId="22">
    <w:name w:val="Balloon Text"/>
    <w:basedOn w:val="1"/>
    <w:link w:val="89"/>
    <w:qFormat/>
    <w:uiPriority w:val="0"/>
    <w:rPr>
      <w:sz w:val="18"/>
      <w:szCs w:val="18"/>
    </w:rPr>
  </w:style>
  <w:style w:type="paragraph" w:styleId="23">
    <w:name w:val="footer"/>
    <w:basedOn w:val="1"/>
    <w:link w:val="144"/>
    <w:qFormat/>
    <w:uiPriority w:val="99"/>
    <w:pPr>
      <w:tabs>
        <w:tab w:val="center" w:pos="4153"/>
        <w:tab w:val="right" w:pos="8306"/>
      </w:tabs>
      <w:snapToGrid w:val="0"/>
      <w:jc w:val="left"/>
    </w:pPr>
    <w:rPr>
      <w:sz w:val="18"/>
    </w:rPr>
  </w:style>
  <w:style w:type="paragraph" w:styleId="2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5">
    <w:name w:val="toc 1"/>
    <w:basedOn w:val="1"/>
    <w:next w:val="1"/>
    <w:qFormat/>
    <w:uiPriority w:val="39"/>
  </w:style>
  <w:style w:type="paragraph" w:styleId="26">
    <w:name w:val="toc 2"/>
    <w:basedOn w:val="1"/>
    <w:next w:val="1"/>
    <w:qFormat/>
    <w:uiPriority w:val="39"/>
    <w:pPr>
      <w:ind w:left="420" w:leftChars="200"/>
    </w:pPr>
  </w:style>
  <w:style w:type="paragraph" w:styleId="27">
    <w:name w:val="Normal (Web)"/>
    <w:basedOn w:val="1"/>
    <w:qFormat/>
    <w:uiPriority w:val="0"/>
    <w:pPr>
      <w:spacing w:beforeAutospacing="1" w:afterAutospacing="1"/>
      <w:jc w:val="left"/>
    </w:pPr>
    <w:rPr>
      <w:kern w:val="0"/>
      <w:sz w:val="24"/>
    </w:rPr>
  </w:style>
  <w:style w:type="paragraph" w:styleId="28">
    <w:name w:val="Title"/>
    <w:basedOn w:val="1"/>
    <w:next w:val="1"/>
    <w:qFormat/>
    <w:uiPriority w:val="10"/>
    <w:pPr>
      <w:spacing w:before="240" w:after="60"/>
      <w:jc w:val="center"/>
      <w:outlineLvl w:val="0"/>
    </w:pPr>
    <w:rPr>
      <w:rFonts w:eastAsia="黑体" w:asciiTheme="majorHAnsi" w:hAnsiTheme="majorHAnsi" w:cstheme="majorBidi"/>
      <w:b/>
      <w:bCs/>
      <w:sz w:val="28"/>
      <w:szCs w:val="32"/>
    </w:rPr>
  </w:style>
  <w:style w:type="paragraph" w:styleId="29">
    <w:name w:val="Body Text First Indent 2"/>
    <w:basedOn w:val="19"/>
    <w:next w:val="21"/>
    <w:qFormat/>
    <w:uiPriority w:val="0"/>
    <w:pPr>
      <w:tabs>
        <w:tab w:val="left" w:pos="964"/>
      </w:tabs>
      <w:spacing w:line="240" w:lineRule="atLeast"/>
      <w:ind w:left="964" w:hanging="425"/>
    </w:pPr>
    <w:rPr>
      <w:sz w:val="28"/>
    </w:rPr>
  </w:style>
  <w:style w:type="table" w:styleId="31">
    <w:name w:val="Table Grid"/>
    <w:basedOn w:val="3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sz w:val="24"/>
      <w:szCs w:val="24"/>
    </w:rPr>
  </w:style>
  <w:style w:type="character" w:styleId="34">
    <w:name w:val="FollowedHyperlink"/>
    <w:basedOn w:val="32"/>
    <w:qFormat/>
    <w:uiPriority w:val="0"/>
    <w:rPr>
      <w:color w:val="954F72" w:themeColor="followedHyperlink"/>
      <w:u w:val="single"/>
      <w14:textFill>
        <w14:solidFill>
          <w14:schemeClr w14:val="folHlink"/>
        </w14:solidFill>
      </w14:textFill>
    </w:rPr>
  </w:style>
  <w:style w:type="character" w:styleId="35">
    <w:name w:val="Emphasis"/>
    <w:basedOn w:val="32"/>
    <w:qFormat/>
    <w:uiPriority w:val="0"/>
    <w:rPr>
      <w:color w:val="CC0000"/>
      <w:sz w:val="24"/>
      <w:szCs w:val="24"/>
    </w:rPr>
  </w:style>
  <w:style w:type="character" w:styleId="36">
    <w:name w:val="Hyperlink"/>
    <w:basedOn w:val="32"/>
    <w:unhideWhenUsed/>
    <w:qFormat/>
    <w:uiPriority w:val="99"/>
    <w:rPr>
      <w:color w:val="0563C1" w:themeColor="hyperlink"/>
      <w:u w:val="single"/>
      <w14:textFill>
        <w14:solidFill>
          <w14:schemeClr w14:val="hlink"/>
        </w14:solidFill>
      </w14:textFill>
    </w:rPr>
  </w:style>
  <w:style w:type="character" w:styleId="37">
    <w:name w:val="annotation reference"/>
    <w:qFormat/>
    <w:uiPriority w:val="0"/>
    <w:rPr>
      <w:sz w:val="21"/>
      <w:szCs w:val="21"/>
    </w:rPr>
  </w:style>
  <w:style w:type="character" w:styleId="38">
    <w:name w:val="HTML Cite"/>
    <w:basedOn w:val="32"/>
    <w:qFormat/>
    <w:uiPriority w:val="0"/>
    <w:rPr>
      <w:sz w:val="24"/>
      <w:szCs w:val="24"/>
    </w:rPr>
  </w:style>
  <w:style w:type="paragraph" w:customStyle="1" w:styleId="39">
    <w:name w:val="贵阳项目-标书正文"/>
    <w:basedOn w:val="1"/>
    <w:qFormat/>
    <w:uiPriority w:val="0"/>
    <w:pPr>
      <w:widowControl/>
      <w:spacing w:line="360" w:lineRule="auto"/>
      <w:ind w:firstLine="200" w:firstLineChars="200"/>
    </w:pPr>
    <w:rPr>
      <w:rFonts w:ascii="Times New Roman" w:hAnsi="Times New Roman" w:cs="Times New Roman"/>
      <w:szCs w:val="24"/>
    </w:rPr>
  </w:style>
  <w:style w:type="character" w:customStyle="1" w:styleId="40">
    <w:name w:val="标题 2 字符"/>
    <w:link w:val="3"/>
    <w:qFormat/>
    <w:uiPriority w:val="0"/>
    <w:rPr>
      <w:rFonts w:ascii="宋体" w:hAnsi="宋体" w:eastAsia="宋体"/>
      <w:b/>
      <w:color w:val="000000" w:themeColor="text1"/>
      <w:kern w:val="2"/>
      <w:sz w:val="28"/>
      <w:szCs w:val="22"/>
      <w14:textFill>
        <w14:solidFill>
          <w14:schemeClr w14:val="tx1"/>
        </w14:solidFill>
      </w14:textFill>
    </w:rPr>
  </w:style>
  <w:style w:type="paragraph" w:customStyle="1" w:styleId="41">
    <w:name w:val="图名"/>
    <w:basedOn w:val="42"/>
    <w:qFormat/>
    <w:uiPriority w:val="0"/>
    <w:pPr>
      <w:spacing w:line="240" w:lineRule="auto"/>
      <w:ind w:right="0"/>
    </w:pPr>
  </w:style>
  <w:style w:type="paragraph" w:customStyle="1" w:styleId="42">
    <w:name w:val="表头"/>
    <w:next w:val="1"/>
    <w:qFormat/>
    <w:uiPriority w:val="0"/>
    <w:pPr>
      <w:jc w:val="center"/>
    </w:pPr>
    <w:rPr>
      <w:rFonts w:ascii="仿宋" w:hAnsi="仿宋" w:eastAsia="黑体" w:cs="仿宋"/>
      <w:bCs/>
      <w:color w:val="000000" w:themeColor="text1"/>
      <w:kern w:val="2"/>
      <w:sz w:val="21"/>
      <w:szCs w:val="24"/>
      <w:lang w:val="en-US" w:eastAsia="zh-CN" w:bidi="ar-SA"/>
      <w14:textFill>
        <w14:solidFill>
          <w14:schemeClr w14:val="tx1"/>
        </w14:solidFill>
      </w14:textFill>
    </w:rPr>
  </w:style>
  <w:style w:type="paragraph" w:customStyle="1" w:styleId="43">
    <w:name w:val="图表标题"/>
    <w:basedOn w:val="1"/>
    <w:next w:val="1"/>
    <w:qFormat/>
    <w:uiPriority w:val="0"/>
    <w:pPr>
      <w:widowControl/>
      <w:ind w:firstLine="0" w:firstLineChars="0"/>
      <w:jc w:val="center"/>
    </w:pPr>
    <w:rPr>
      <w:rFonts w:ascii="Times New Roman" w:hAnsi="Times New Roman" w:eastAsia="宋体" w:cs="Times New Roman"/>
      <w:b/>
      <w:color w:val="C00000"/>
      <w:kern w:val="0"/>
      <w:szCs w:val="22"/>
    </w:rPr>
  </w:style>
  <w:style w:type="paragraph" w:customStyle="1" w:styleId="44">
    <w:name w:val="标题3"/>
    <w:basedOn w:val="45"/>
    <w:qFormat/>
    <w:uiPriority w:val="0"/>
    <w:pPr>
      <w:spacing w:line="360" w:lineRule="auto"/>
      <w:ind w:leftChars="100" w:firstLine="100" w:firstLineChars="100"/>
      <w:outlineLvl w:val="2"/>
    </w:pPr>
    <w:rPr>
      <w:rFonts w:ascii="宋体" w:hAnsi="宋体"/>
      <w:color w:val="0000E3"/>
    </w:rPr>
  </w:style>
  <w:style w:type="paragraph" w:customStyle="1" w:styleId="45">
    <w:name w:val="标题2"/>
    <w:basedOn w:val="1"/>
    <w:qFormat/>
    <w:uiPriority w:val="0"/>
    <w:pPr>
      <w:spacing w:before="40" w:after="40"/>
      <w:jc w:val="left"/>
      <w:outlineLvl w:val="1"/>
    </w:pPr>
    <w:rPr>
      <w:rFonts w:ascii="宋体" w:hAnsi="宋体"/>
      <w:b/>
      <w:bCs/>
      <w:color w:val="000000"/>
      <w:szCs w:val="24"/>
    </w:rPr>
  </w:style>
  <w:style w:type="paragraph" w:styleId="46">
    <w:name w:val="List Paragraph"/>
    <w:basedOn w:val="1"/>
    <w:qFormat/>
    <w:uiPriority w:val="34"/>
    <w:pPr>
      <w:ind w:firstLine="420" w:firstLineChars="200"/>
    </w:pPr>
  </w:style>
  <w:style w:type="paragraph" w:customStyle="1" w:styleId="47">
    <w:name w:val="正文B"/>
    <w:basedOn w:val="1"/>
    <w:link w:val="70"/>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48">
    <w:name w:val="正文C"/>
    <w:basedOn w:val="1"/>
    <w:link w:val="71"/>
    <w:qFormat/>
    <w:uiPriority w:val="0"/>
    <w:pPr>
      <w:widowControl/>
      <w:adjustRightInd w:val="0"/>
      <w:snapToGrid w:val="0"/>
      <w:spacing w:line="360" w:lineRule="auto"/>
      <w:ind w:firstLine="200" w:firstLineChars="200"/>
      <w:jc w:val="left"/>
    </w:pPr>
    <w:rPr>
      <w:rFonts w:ascii="宋体" w:hAnsi="宋体" w:eastAsia="宋体" w:cs="宋体"/>
      <w:color w:val="535353" w:themeColor="accent3" w:themeShade="80"/>
      <w:kern w:val="0"/>
      <w:sz w:val="24"/>
      <w:szCs w:val="24"/>
    </w:rPr>
  </w:style>
  <w:style w:type="paragraph" w:customStyle="1" w:styleId="49">
    <w:name w:val="正文D"/>
    <w:basedOn w:val="1"/>
    <w:qFormat/>
    <w:uiPriority w:val="0"/>
    <w:pPr>
      <w:spacing w:line="360" w:lineRule="auto"/>
    </w:pPr>
    <w:rPr>
      <w:rFonts w:ascii="宋体" w:hAnsi="宋体" w:eastAsia="宋体" w:cs="宋体"/>
      <w:color w:val="548235" w:themeColor="accent6" w:themeShade="BF"/>
      <w:kern w:val="0"/>
      <w:sz w:val="24"/>
      <w:szCs w:val="24"/>
    </w:rPr>
  </w:style>
  <w:style w:type="paragraph" w:customStyle="1" w:styleId="50">
    <w:name w:val="正文A"/>
    <w:basedOn w:val="1"/>
    <w:qFormat/>
    <w:uiPriority w:val="0"/>
    <w:pPr>
      <w:spacing w:line="360" w:lineRule="auto"/>
    </w:pPr>
    <w:rPr>
      <w:rFonts w:ascii="宋体" w:hAnsi="宋体" w:eastAsia="宋体" w:cs="宋体"/>
      <w:color w:val="FF0000"/>
      <w:kern w:val="0"/>
      <w:sz w:val="24"/>
      <w:szCs w:val="24"/>
    </w:rPr>
  </w:style>
  <w:style w:type="table" w:customStyle="1" w:styleId="51">
    <w:name w:val="网格型浅色1"/>
    <w:basedOn w:val="3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52">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3">
    <w:name w:val="小干表内"/>
    <w:basedOn w:val="1"/>
    <w:qFormat/>
    <w:uiPriority w:val="99"/>
    <w:pPr>
      <w:jc w:val="left"/>
    </w:pPr>
    <w:rPr>
      <w:rFonts w:ascii="宋体" w:hAnsi="宋体" w:cs="黑体" w:eastAsiaTheme="minorEastAsia"/>
    </w:rPr>
  </w:style>
  <w:style w:type="paragraph" w:customStyle="1" w:styleId="54">
    <w:name w:val="图表题注"/>
    <w:basedOn w:val="1"/>
    <w:next w:val="1"/>
    <w:qFormat/>
    <w:uiPriority w:val="0"/>
    <w:pPr>
      <w:adjustRightInd w:val="0"/>
      <w:snapToGrid w:val="0"/>
      <w:spacing w:line="360" w:lineRule="auto"/>
      <w:jc w:val="center"/>
    </w:pPr>
    <w:rPr>
      <w:rFonts w:ascii="Calibri" w:hAnsi="Calibri" w:eastAsia="宋体"/>
      <w:b/>
      <w:bCs/>
      <w:sz w:val="24"/>
      <w:szCs w:val="24"/>
    </w:rPr>
  </w:style>
  <w:style w:type="paragraph" w:customStyle="1" w:styleId="55">
    <w:name w:val="表中字"/>
    <w:basedOn w:val="56"/>
    <w:next w:val="1"/>
    <w:qFormat/>
    <w:uiPriority w:val="99"/>
    <w:pPr>
      <w:adjustRightInd w:val="0"/>
      <w:snapToGrid w:val="0"/>
      <w:jc w:val="center"/>
    </w:pPr>
    <w:rPr>
      <w:rFonts w:ascii="Times New Roman" w:hAnsi="Times New Roman" w:eastAsia="宋体"/>
    </w:rPr>
  </w:style>
  <w:style w:type="paragraph" w:customStyle="1" w:styleId="56">
    <w:name w:val="图表题"/>
    <w:basedOn w:val="1"/>
    <w:next w:val="1"/>
    <w:qFormat/>
    <w:uiPriority w:val="0"/>
    <w:pPr>
      <w:ind w:firstLine="0" w:firstLineChars="0"/>
      <w:jc w:val="center"/>
    </w:pPr>
    <w:rPr>
      <w:rFonts w:ascii="Times New Roman" w:hAnsi="Times New Roman"/>
      <w:b/>
    </w:rPr>
  </w:style>
  <w:style w:type="paragraph" w:customStyle="1" w:styleId="57">
    <w:name w:val="表格"/>
    <w:basedOn w:val="1"/>
    <w:qFormat/>
    <w:uiPriority w:val="0"/>
    <w:pPr>
      <w:adjustRightInd w:val="0"/>
      <w:snapToGrid w:val="0"/>
      <w:spacing w:line="500" w:lineRule="exact"/>
      <w:ind w:firstLine="200" w:firstLineChars="200"/>
      <w:jc w:val="center"/>
    </w:pPr>
    <w:rPr>
      <w:rFonts w:ascii="仿宋" w:hAnsi="仿宋" w:eastAsia="黑体"/>
      <w:color w:val="000000" w:themeColor="text1"/>
      <w:sz w:val="21"/>
      <w:szCs w:val="20"/>
      <w14:textFill>
        <w14:solidFill>
          <w14:schemeClr w14:val="tx1"/>
        </w14:solidFill>
      </w14:textFill>
    </w:rPr>
  </w:style>
  <w:style w:type="paragraph" w:customStyle="1" w:styleId="58">
    <w:name w:val="6正文"/>
    <w:basedOn w:val="1"/>
    <w:qFormat/>
    <w:uiPriority w:val="0"/>
    <w:pPr>
      <w:widowControl/>
      <w:adjustRightInd w:val="0"/>
      <w:snapToGrid w:val="0"/>
      <w:spacing w:line="360" w:lineRule="auto"/>
      <w:ind w:firstLine="480" w:firstLineChars="200"/>
    </w:pPr>
    <w:rPr>
      <w:rFonts w:ascii="宋体" w:hAnsi="宋体" w:eastAsia="宋体" w:cs="宋体"/>
      <w:kern w:val="0"/>
      <w:sz w:val="24"/>
      <w:szCs w:val="24"/>
    </w:rPr>
  </w:style>
  <w:style w:type="paragraph" w:customStyle="1" w:styleId="59">
    <w:name w:val="正文缩2"/>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60">
    <w:name w:val="图名z"/>
    <w:basedOn w:val="1"/>
    <w:qFormat/>
    <w:uiPriority w:val="99"/>
    <w:pPr>
      <w:spacing w:beforeLines="50" w:line="360" w:lineRule="auto"/>
      <w:jc w:val="center"/>
    </w:pPr>
    <w:rPr>
      <w:rFonts w:ascii="Calibri" w:hAnsi="Calibri" w:eastAsia="宋体"/>
      <w:sz w:val="24"/>
      <w:szCs w:val="24"/>
    </w:rPr>
  </w:style>
  <w:style w:type="paragraph" w:customStyle="1" w:styleId="61">
    <w:name w:val="正文1"/>
    <w:basedOn w:val="1"/>
    <w:qFormat/>
    <w:uiPriority w:val="99"/>
    <w:pPr>
      <w:adjustRightInd w:val="0"/>
      <w:snapToGrid w:val="0"/>
      <w:spacing w:line="360" w:lineRule="auto"/>
      <w:ind w:firstLine="200" w:firstLineChars="200"/>
      <w:jc w:val="left"/>
    </w:pPr>
    <w:rPr>
      <w:rFonts w:ascii="Calibri" w:hAnsi="Calibri" w:eastAsia="宋体"/>
      <w:kern w:val="0"/>
      <w:sz w:val="24"/>
      <w:szCs w:val="24"/>
    </w:rPr>
  </w:style>
  <w:style w:type="paragraph" w:customStyle="1" w:styleId="62">
    <w:name w:val="样式 (中文) 宋体 四号 行距: 1.5 倍行距"/>
    <w:basedOn w:val="1"/>
    <w:qFormat/>
    <w:uiPriority w:val="0"/>
    <w:pPr>
      <w:adjustRightInd w:val="0"/>
      <w:snapToGrid w:val="0"/>
      <w:spacing w:line="360" w:lineRule="auto"/>
      <w:ind w:firstLine="560" w:firstLineChars="200"/>
      <w:jc w:val="left"/>
    </w:pPr>
    <w:rPr>
      <w:rFonts w:ascii="Calibri" w:hAnsi="Calibri" w:eastAsia="宋体" w:cs="宋体"/>
      <w:sz w:val="24"/>
      <w:szCs w:val="20"/>
    </w:rPr>
  </w:style>
  <w:style w:type="paragraph" w:customStyle="1" w:styleId="63">
    <w:name w:val="7图表"/>
    <w:qFormat/>
    <w:uiPriority w:val="0"/>
    <w:pPr>
      <w:jc w:val="center"/>
    </w:pPr>
    <w:rPr>
      <w:rFonts w:ascii="宋体" w:hAnsi="宋体" w:eastAsia="宋体" w:cs="Times New Roman"/>
      <w:b/>
      <w:sz w:val="24"/>
      <w:szCs w:val="21"/>
      <w:lang w:val="en-US" w:eastAsia="zh-CN" w:bidi="ar-SA"/>
    </w:rPr>
  </w:style>
  <w:style w:type="paragraph" w:customStyle="1" w:styleId="64">
    <w:name w:val="正文文本缩进3"/>
    <w:basedOn w:val="1"/>
    <w:qFormat/>
    <w:uiPriority w:val="99"/>
    <w:pPr>
      <w:adjustRightInd w:val="0"/>
      <w:snapToGrid w:val="0"/>
      <w:spacing w:after="120" w:line="360" w:lineRule="auto"/>
      <w:ind w:left="420" w:leftChars="200" w:firstLine="200" w:firstLineChars="200"/>
      <w:jc w:val="left"/>
    </w:pPr>
    <w:rPr>
      <w:rFonts w:ascii="Calibri" w:hAnsi="Calibri" w:eastAsia="宋体"/>
      <w:szCs w:val="24"/>
    </w:rPr>
  </w:style>
  <w:style w:type="paragraph" w:customStyle="1" w:styleId="65">
    <w:name w:val="正文正"/>
    <w:basedOn w:val="1"/>
    <w:qFormat/>
    <w:uiPriority w:val="99"/>
    <w:pPr>
      <w:widowControl/>
      <w:spacing w:line="500" w:lineRule="exact"/>
      <w:ind w:firstLine="480" w:firstLineChars="200"/>
    </w:pPr>
    <w:rPr>
      <w:rFonts w:ascii="宋体" w:hAnsi="宋体" w:eastAsia="宋体" w:cs="宋体"/>
      <w:sz w:val="24"/>
      <w:szCs w:val="24"/>
    </w:rPr>
  </w:style>
  <w:style w:type="paragraph" w:customStyle="1" w:styleId="66">
    <w:name w:val="正文2.13"/>
    <w:basedOn w:val="1"/>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67">
    <w:name w:val="正文格式"/>
    <w:basedOn w:val="1"/>
    <w:qFormat/>
    <w:uiPriority w:val="99"/>
    <w:pPr>
      <w:spacing w:beforeLines="50" w:line="480" w:lineRule="exact"/>
      <w:ind w:firstLine="480" w:firstLineChars="200"/>
      <w:jc w:val="left"/>
    </w:pPr>
    <w:rPr>
      <w:rFonts w:ascii="Calibri" w:hAnsi="Calibri" w:eastAsia="宋体"/>
      <w:sz w:val="24"/>
      <w:szCs w:val="24"/>
    </w:rPr>
  </w:style>
  <w:style w:type="paragraph" w:customStyle="1" w:styleId="68">
    <w:name w:val="Table Paragraph"/>
    <w:basedOn w:val="1"/>
    <w:qFormat/>
    <w:uiPriority w:val="1"/>
    <w:pPr>
      <w:jc w:val="left"/>
    </w:pPr>
    <w:rPr>
      <w:rFonts w:asciiTheme="minorHAnsi" w:hAnsiTheme="minorHAnsi" w:eastAsiaTheme="minorEastAsia" w:cstheme="minorBidi"/>
      <w:kern w:val="0"/>
      <w:sz w:val="22"/>
      <w:lang w:eastAsia="en-US"/>
    </w:rPr>
  </w:style>
  <w:style w:type="table" w:customStyle="1" w:styleId="69">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70">
    <w:name w:val="正文B Char"/>
    <w:link w:val="47"/>
    <w:qFormat/>
    <w:uiPriority w:val="0"/>
    <w:rPr>
      <w:rFonts w:ascii="宋体" w:hAnsi="宋体" w:eastAsia="黑体" w:cs="宋体"/>
      <w:color w:val="FF0000"/>
      <w:kern w:val="0"/>
      <w:sz w:val="24"/>
      <w:szCs w:val="24"/>
    </w:rPr>
  </w:style>
  <w:style w:type="character" w:customStyle="1" w:styleId="71">
    <w:name w:val="正文C Char"/>
    <w:link w:val="48"/>
    <w:qFormat/>
    <w:uiPriority w:val="0"/>
    <w:rPr>
      <w:rFonts w:ascii="宋体" w:hAnsi="宋体" w:cs="宋体"/>
      <w:color w:val="535353" w:themeColor="accent3" w:themeShade="80"/>
      <w:sz w:val="24"/>
      <w:szCs w:val="24"/>
    </w:rPr>
  </w:style>
  <w:style w:type="paragraph" w:styleId="72">
    <w:name w:val="No Spacing"/>
    <w:basedOn w:val="1"/>
    <w:next w:val="1"/>
    <w:link w:val="140"/>
    <w:qFormat/>
    <w:uiPriority w:val="0"/>
    <w:pPr>
      <w:widowControl w:val="0"/>
      <w:spacing w:line="360" w:lineRule="auto"/>
      <w:jc w:val="center"/>
    </w:pPr>
    <w:rPr>
      <w:rFonts w:ascii="黑体" w:hAnsi="黑体" w:eastAsia="黑体" w:cs="Times New Roman"/>
      <w:sz w:val="21"/>
      <w:lang w:val="en-US" w:eastAsia="zh-CN" w:bidi="ar-SA"/>
    </w:rPr>
  </w:style>
  <w:style w:type="character" w:customStyle="1" w:styleId="73">
    <w:name w:val="comment-number"/>
    <w:basedOn w:val="32"/>
    <w:qFormat/>
    <w:uiPriority w:val="0"/>
    <w:rPr>
      <w:color w:val="FBA222"/>
    </w:rPr>
  </w:style>
  <w:style w:type="character" w:customStyle="1" w:styleId="74">
    <w:name w:val="comment-text-w"/>
    <w:basedOn w:val="32"/>
    <w:qFormat/>
    <w:uiPriority w:val="0"/>
    <w:rPr>
      <w:color w:val="FBA222"/>
    </w:rPr>
  </w:style>
  <w:style w:type="character" w:customStyle="1" w:styleId="75">
    <w:name w:val="comment-link-num"/>
    <w:basedOn w:val="32"/>
    <w:qFormat/>
    <w:uiPriority w:val="0"/>
  </w:style>
  <w:style w:type="character" w:customStyle="1" w:styleId="76">
    <w:name w:val="wrap-name-w"/>
    <w:basedOn w:val="32"/>
    <w:qFormat/>
    <w:uiPriority w:val="0"/>
    <w:rPr>
      <w:rFonts w:ascii="微软雅黑" w:hAnsi="微软雅黑" w:eastAsia="微软雅黑" w:cs="微软雅黑"/>
      <w:color w:val="FBA222"/>
      <w:sz w:val="19"/>
      <w:szCs w:val="19"/>
    </w:rPr>
  </w:style>
  <w:style w:type="character" w:customStyle="1" w:styleId="77">
    <w:name w:val="text-null"/>
    <w:basedOn w:val="32"/>
    <w:qFormat/>
    <w:uiPriority w:val="0"/>
    <w:rPr>
      <w:color w:val="FBA222"/>
    </w:rPr>
  </w:style>
  <w:style w:type="character" w:customStyle="1" w:styleId="78">
    <w:name w:val="prompt-empty-w"/>
    <w:basedOn w:val="32"/>
    <w:qFormat/>
    <w:uiPriority w:val="0"/>
    <w:rPr>
      <w:vanish/>
      <w:color w:val="FBA222"/>
      <w:sz w:val="14"/>
      <w:szCs w:val="14"/>
    </w:rPr>
  </w:style>
  <w:style w:type="character" w:customStyle="1" w:styleId="79">
    <w:name w:val="prop-span"/>
    <w:basedOn w:val="32"/>
    <w:qFormat/>
    <w:uiPriority w:val="0"/>
  </w:style>
  <w:style w:type="character" w:customStyle="1" w:styleId="80">
    <w:name w:val="comment-link-numtext"/>
    <w:basedOn w:val="32"/>
    <w:qFormat/>
    <w:uiPriority w:val="0"/>
  </w:style>
  <w:style w:type="character" w:customStyle="1" w:styleId="81">
    <w:name w:val="cy-number"/>
    <w:basedOn w:val="32"/>
    <w:qFormat/>
    <w:uiPriority w:val="0"/>
    <w:rPr>
      <w:rFonts w:ascii="Impact" w:hAnsi="Impact" w:eastAsia="Impact" w:cs="Impact"/>
      <w:color w:val="FBA222"/>
      <w:sz w:val="24"/>
      <w:szCs w:val="24"/>
    </w:rPr>
  </w:style>
  <w:style w:type="character" w:customStyle="1" w:styleId="82">
    <w:name w:val="prompt-empty-w4"/>
    <w:basedOn w:val="32"/>
    <w:qFormat/>
    <w:uiPriority w:val="0"/>
    <w:rPr>
      <w:color w:val="FBA222"/>
    </w:rPr>
  </w:style>
  <w:style w:type="character" w:customStyle="1" w:styleId="83">
    <w:name w:val="cy-number2"/>
    <w:basedOn w:val="32"/>
    <w:qFormat/>
    <w:uiPriority w:val="0"/>
    <w:rPr>
      <w:color w:val="FBA222"/>
    </w:rPr>
  </w:style>
  <w:style w:type="paragraph" w:customStyle="1" w:styleId="84">
    <w:name w:val="正文标题"/>
    <w:basedOn w:val="1"/>
    <w:qFormat/>
    <w:uiPriority w:val="0"/>
    <w:pPr>
      <w:adjustRightInd w:val="0"/>
      <w:snapToGrid w:val="0"/>
      <w:jc w:val="left"/>
    </w:pPr>
    <w:rPr>
      <w:b/>
      <w:sz w:val="28"/>
      <w:szCs w:val="24"/>
    </w:rPr>
  </w:style>
  <w:style w:type="paragraph" w:customStyle="1" w:styleId="85">
    <w:name w:val="p0"/>
    <w:basedOn w:val="1"/>
    <w:qFormat/>
    <w:uiPriority w:val="0"/>
    <w:pPr>
      <w:widowControl/>
      <w:spacing w:before="100" w:beforeAutospacing="1" w:after="100" w:afterAutospacing="1"/>
      <w:jc w:val="left"/>
    </w:pPr>
    <w:rPr>
      <w:rFonts w:ascii="宋体" w:hAnsi="宋体" w:cs="宋体"/>
      <w:szCs w:val="24"/>
    </w:rPr>
  </w:style>
  <w:style w:type="paragraph" w:customStyle="1" w:styleId="86">
    <w:name w:val="图片"/>
    <w:basedOn w:val="1"/>
    <w:link w:val="87"/>
    <w:qFormat/>
    <w:uiPriority w:val="0"/>
    <w:pPr>
      <w:spacing w:line="360" w:lineRule="auto"/>
      <w:jc w:val="center"/>
    </w:pPr>
    <w:rPr>
      <w:rFonts w:ascii="宋体" w:hAnsi="宋体" w:eastAsia="宋体" w:cs="宋体"/>
      <w:b/>
      <w:color w:val="0766D4"/>
      <w:kern w:val="0"/>
      <w:sz w:val="24"/>
      <w:szCs w:val="20"/>
    </w:rPr>
  </w:style>
  <w:style w:type="character" w:customStyle="1" w:styleId="87">
    <w:name w:val="图片 Char"/>
    <w:link w:val="86"/>
    <w:qFormat/>
    <w:uiPriority w:val="0"/>
    <w:rPr>
      <w:rFonts w:ascii="宋体" w:hAnsi="宋体" w:cs="宋体"/>
      <w:b/>
      <w:color w:val="0766D4"/>
      <w:sz w:val="24"/>
    </w:rPr>
  </w:style>
  <w:style w:type="paragraph" w:customStyle="1" w:styleId="88">
    <w:name w:val="表文字"/>
    <w:basedOn w:val="1"/>
    <w:qFormat/>
    <w:uiPriority w:val="0"/>
    <w:pPr>
      <w:jc w:val="center"/>
    </w:pPr>
    <w:rPr>
      <w:rFonts w:ascii="宋体" w:hAnsi="宋体" w:eastAsia="宋体" w:cs="宋体"/>
      <w:color w:val="000000" w:themeColor="text1"/>
      <w:szCs w:val="24"/>
      <w14:textFill>
        <w14:solidFill>
          <w14:schemeClr w14:val="tx1"/>
        </w14:solidFill>
      </w14:textFill>
    </w:rPr>
  </w:style>
  <w:style w:type="character" w:customStyle="1" w:styleId="89">
    <w:name w:val="批注框文本 字符"/>
    <w:basedOn w:val="32"/>
    <w:link w:val="22"/>
    <w:qFormat/>
    <w:uiPriority w:val="0"/>
    <w:rPr>
      <w:rFonts w:ascii="等线" w:hAnsi="等线" w:eastAsia="仿宋"/>
      <w:kern w:val="2"/>
      <w:sz w:val="18"/>
      <w:szCs w:val="18"/>
    </w:rPr>
  </w:style>
  <w:style w:type="paragraph" w:customStyle="1" w:styleId="90">
    <w:name w:val="Revision"/>
    <w:hidden/>
    <w:semiHidden/>
    <w:qFormat/>
    <w:uiPriority w:val="99"/>
    <w:rPr>
      <w:rFonts w:ascii="等线" w:hAnsi="等线" w:eastAsia="仿宋" w:cs="Times New Roman"/>
      <w:kern w:val="2"/>
      <w:sz w:val="21"/>
      <w:szCs w:val="22"/>
      <w:lang w:val="en-US" w:eastAsia="zh-CN" w:bidi="ar-SA"/>
    </w:rPr>
  </w:style>
  <w:style w:type="paragraph" w:customStyle="1" w:styleId="91">
    <w:name w:val="正文 1）"/>
    <w:basedOn w:val="1"/>
    <w:next w:val="1"/>
    <w:qFormat/>
    <w:uiPriority w:val="0"/>
    <w:pPr>
      <w:tabs>
        <w:tab w:val="left" w:pos="-204"/>
        <w:tab w:val="left" w:pos="0"/>
      </w:tabs>
      <w:adjustRightInd w:val="0"/>
      <w:snapToGrid w:val="0"/>
      <w:spacing w:line="430" w:lineRule="exact"/>
      <w:ind w:left="-624"/>
      <w:jc w:val="left"/>
    </w:pPr>
    <w:rPr>
      <w:rFonts w:ascii="宋体" w:hAnsi="宋体" w:eastAsia="宋体" w:cs="宋体"/>
      <w:snapToGrid w:val="0"/>
      <w:kern w:val="0"/>
      <w:sz w:val="24"/>
      <w:szCs w:val="24"/>
    </w:rPr>
  </w:style>
  <w:style w:type="paragraph" w:customStyle="1" w:styleId="92">
    <w:name w:val="正文 a"/>
    <w:basedOn w:val="1"/>
    <w:next w:val="1"/>
    <w:qFormat/>
    <w:uiPriority w:val="0"/>
    <w:pPr>
      <w:tabs>
        <w:tab w:val="left" w:pos="420"/>
        <w:tab w:val="left" w:pos="568"/>
      </w:tabs>
      <w:adjustRightInd w:val="0"/>
      <w:snapToGrid w:val="0"/>
      <w:spacing w:line="430" w:lineRule="exact"/>
      <w:ind w:left="-56"/>
      <w:jc w:val="left"/>
    </w:pPr>
    <w:rPr>
      <w:rFonts w:ascii="宋体" w:hAnsi="宋体" w:eastAsia="宋体" w:cs="宋体"/>
      <w:snapToGrid w:val="0"/>
      <w:kern w:val="0"/>
      <w:sz w:val="24"/>
      <w:szCs w:val="24"/>
    </w:rPr>
  </w:style>
  <w:style w:type="paragraph" w:customStyle="1" w:styleId="93">
    <w:name w:val="40正文(1)"/>
    <w:basedOn w:val="1"/>
    <w:link w:val="98"/>
    <w:qFormat/>
    <w:uiPriority w:val="0"/>
    <w:pPr>
      <w:tabs>
        <w:tab w:val="left" w:pos="0"/>
        <w:tab w:val="left" w:pos="420"/>
        <w:tab w:val="left" w:pos="478"/>
        <w:tab w:val="left" w:pos="510"/>
      </w:tabs>
      <w:adjustRightInd w:val="0"/>
      <w:snapToGrid w:val="0"/>
      <w:spacing w:line="430" w:lineRule="exact"/>
      <w:ind w:left="58"/>
      <w:jc w:val="left"/>
    </w:pPr>
    <w:rPr>
      <w:rFonts w:ascii="宋体" w:hAnsi="宋体" w:eastAsia="宋体" w:cs="宋体"/>
      <w:snapToGrid w:val="0"/>
      <w:kern w:val="0"/>
      <w:sz w:val="24"/>
      <w:szCs w:val="24"/>
    </w:rPr>
  </w:style>
  <w:style w:type="paragraph" w:customStyle="1" w:styleId="94">
    <w:name w:val="70标题表格"/>
    <w:basedOn w:val="1"/>
    <w:next w:val="1"/>
    <w:link w:val="99"/>
    <w:qFormat/>
    <w:uiPriority w:val="0"/>
    <w:pPr>
      <w:tabs>
        <w:tab w:val="left" w:pos="42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95">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jc w:val="center"/>
    </w:pPr>
    <w:rPr>
      <w:rFonts w:ascii="宋体" w:hAnsi="宋体" w:eastAsia="宋体" w:cs="宋体"/>
      <w:b/>
      <w:snapToGrid w:val="0"/>
      <w:kern w:val="0"/>
      <w:szCs w:val="21"/>
    </w:rPr>
  </w:style>
  <w:style w:type="paragraph" w:customStyle="1" w:styleId="96">
    <w:name w:val="90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97">
    <w:name w:val="8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character" w:customStyle="1" w:styleId="98">
    <w:name w:val="正文（1） Char"/>
    <w:link w:val="93"/>
    <w:qFormat/>
    <w:uiPriority w:val="0"/>
    <w:rPr>
      <w:rFonts w:ascii="宋体" w:hAnsi="宋体" w:cs="宋体"/>
      <w:snapToGrid w:val="0"/>
      <w:sz w:val="24"/>
      <w:szCs w:val="24"/>
    </w:rPr>
  </w:style>
  <w:style w:type="character" w:customStyle="1" w:styleId="99">
    <w:name w:val="70标题表格 Char"/>
    <w:link w:val="94"/>
    <w:qFormat/>
    <w:uiPriority w:val="0"/>
    <w:rPr>
      <w:rFonts w:ascii="宋体" w:hAnsi="宋体" w:cs="宋体"/>
      <w:b/>
      <w:bCs/>
      <w:snapToGrid w:val="0"/>
      <w:sz w:val="21"/>
      <w:szCs w:val="21"/>
    </w:rPr>
  </w:style>
  <w:style w:type="character" w:customStyle="1" w:styleId="100">
    <w:name w:val="正文文本 字符"/>
    <w:basedOn w:val="32"/>
    <w:link w:val="14"/>
    <w:qFormat/>
    <w:uiPriority w:val="0"/>
    <w:rPr>
      <w:rFonts w:ascii="等线" w:hAnsi="等线" w:eastAsia="仿宋"/>
      <w:szCs w:val="22"/>
    </w:rPr>
  </w:style>
  <w:style w:type="character" w:customStyle="1" w:styleId="101">
    <w:name w:val="正文文本首行缩进 字符"/>
    <w:basedOn w:val="100"/>
    <w:link w:val="13"/>
    <w:qFormat/>
    <w:uiPriority w:val="0"/>
    <w:rPr>
      <w:rFonts w:ascii="等线" w:hAnsi="等线" w:eastAsia="仿宋"/>
      <w:kern w:val="2"/>
      <w:sz w:val="21"/>
      <w:szCs w:val="22"/>
    </w:rPr>
  </w:style>
  <w:style w:type="paragraph" w:customStyle="1" w:styleId="102">
    <w:name w:val="7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03">
    <w:name w:val="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04">
    <w:name w:val="BT正文"/>
    <w:basedOn w:val="1"/>
    <w:qFormat/>
    <w:uiPriority w:val="0"/>
    <w:pPr>
      <w:adjustRightInd w:val="0"/>
      <w:snapToGrid w:val="0"/>
      <w:spacing w:line="430" w:lineRule="exact"/>
      <w:ind w:firstLine="562" w:firstLineChars="200"/>
    </w:pPr>
    <w:rPr>
      <w:rFonts w:ascii="宋体" w:hAnsi="宋体" w:eastAsia="宋体"/>
      <w:snapToGrid w:val="0"/>
      <w:kern w:val="0"/>
      <w:sz w:val="24"/>
      <w:szCs w:val="20"/>
    </w:rPr>
  </w:style>
  <w:style w:type="paragraph" w:customStyle="1" w:styleId="105">
    <w:name w:val="表格文字"/>
    <w:basedOn w:val="1"/>
    <w:qFormat/>
    <w:uiPriority w:val="0"/>
    <w:pPr>
      <w:adjustRightInd w:val="0"/>
      <w:snapToGrid w:val="0"/>
      <w:spacing w:line="360" w:lineRule="exact"/>
      <w:jc w:val="center"/>
    </w:pPr>
    <w:rPr>
      <w:rFonts w:ascii="宋体" w:hAnsi="宋体" w:eastAsia="宋体" w:cs="宋体"/>
      <w:snapToGrid w:val="0"/>
      <w:kern w:val="0"/>
      <w:sz w:val="21"/>
      <w:szCs w:val="24"/>
    </w:rPr>
  </w:style>
  <w:style w:type="paragraph" w:customStyle="1" w:styleId="106">
    <w:name w:val="插图"/>
    <w:basedOn w:val="1"/>
    <w:qFormat/>
    <w:uiPriority w:val="0"/>
    <w:pPr>
      <w:adjustRightInd w:val="0"/>
      <w:snapToGrid w:val="0"/>
      <w:jc w:val="center"/>
    </w:pPr>
    <w:rPr>
      <w:rFonts w:ascii="Times New Roman" w:hAnsi="Times New Roman" w:eastAsia="宋体" w:cs="宋体"/>
      <w:snapToGrid w:val="0"/>
      <w:kern w:val="0"/>
      <w:sz w:val="24"/>
      <w:szCs w:val="20"/>
    </w:rPr>
  </w:style>
  <w:style w:type="paragraph" w:customStyle="1" w:styleId="107">
    <w:name w:val="表格五号"/>
    <w:basedOn w:val="1"/>
    <w:qFormat/>
    <w:uiPriority w:val="0"/>
    <w:pPr>
      <w:adjustRightInd w:val="0"/>
      <w:snapToGrid w:val="0"/>
      <w:jc w:val="center"/>
    </w:pPr>
    <w:rPr>
      <w:rFonts w:ascii="宋体" w:hAnsi="宋体" w:eastAsia="宋体" w:cs="宋体"/>
      <w:snapToGrid w:val="0"/>
      <w:kern w:val="0"/>
      <w:sz w:val="21"/>
      <w:szCs w:val="21"/>
    </w:rPr>
  </w:style>
  <w:style w:type="paragraph" w:customStyle="1" w:styleId="108">
    <w:name w:val="71表格五号"/>
    <w:basedOn w:val="1"/>
    <w:qFormat/>
    <w:uiPriority w:val="0"/>
    <w:pPr>
      <w:adjustRightInd w:val="0"/>
      <w:snapToGrid w:val="0"/>
      <w:jc w:val="center"/>
    </w:pPr>
    <w:rPr>
      <w:rFonts w:ascii="宋体" w:hAnsi="宋体" w:eastAsia="宋体" w:cs="宋体"/>
      <w:snapToGrid w:val="0"/>
      <w:kern w:val="0"/>
      <w:szCs w:val="21"/>
    </w:rPr>
  </w:style>
  <w:style w:type="paragraph" w:customStyle="1" w:styleId="109">
    <w:name w:val="正文（1）"/>
    <w:basedOn w:val="1"/>
    <w:next w:val="1"/>
    <w:link w:val="110"/>
    <w:qFormat/>
    <w:uiPriority w:val="0"/>
    <w:pPr>
      <w:tabs>
        <w:tab w:val="left" w:pos="510"/>
      </w:tabs>
      <w:adjustRightInd w:val="0"/>
      <w:snapToGrid w:val="0"/>
      <w:spacing w:line="430" w:lineRule="exact"/>
      <w:ind w:firstLine="510"/>
      <w:jc w:val="left"/>
    </w:pPr>
    <w:rPr>
      <w:rFonts w:ascii="宋体" w:hAnsi="宋体" w:eastAsia="宋体" w:cs="宋体"/>
      <w:snapToGrid w:val="0"/>
      <w:kern w:val="0"/>
      <w:sz w:val="24"/>
      <w:szCs w:val="24"/>
    </w:rPr>
  </w:style>
  <w:style w:type="character" w:customStyle="1" w:styleId="110">
    <w:name w:val="正文（1） Char1"/>
    <w:link w:val="109"/>
    <w:qFormat/>
    <w:uiPriority w:val="0"/>
    <w:rPr>
      <w:rFonts w:ascii="宋体" w:hAnsi="宋体" w:cs="宋体"/>
      <w:snapToGrid w:val="0"/>
      <w:sz w:val="24"/>
      <w:szCs w:val="24"/>
    </w:rPr>
  </w:style>
  <w:style w:type="character" w:customStyle="1" w:styleId="111">
    <w:name w:val="标题 5 字符"/>
    <w:basedOn w:val="32"/>
    <w:link w:val="7"/>
    <w:qFormat/>
    <w:uiPriority w:val="0"/>
    <w:rPr>
      <w:rFonts w:ascii="等线" w:hAnsi="等线" w:eastAsia="仿宋"/>
      <w:b/>
      <w:bCs/>
      <w:kern w:val="2"/>
      <w:sz w:val="24"/>
      <w:szCs w:val="28"/>
    </w:rPr>
  </w:style>
  <w:style w:type="character" w:customStyle="1" w:styleId="112">
    <w:name w:val="标题 6 字符"/>
    <w:basedOn w:val="32"/>
    <w:link w:val="8"/>
    <w:qFormat/>
    <w:uiPriority w:val="0"/>
    <w:rPr>
      <w:rFonts w:ascii="Arial" w:hAnsi="Arial" w:eastAsia="黑体" w:cs="宋体"/>
      <w:b/>
      <w:snapToGrid w:val="0"/>
      <w:sz w:val="24"/>
      <w:szCs w:val="24"/>
    </w:rPr>
  </w:style>
  <w:style w:type="character" w:customStyle="1" w:styleId="113">
    <w:name w:val="批注文字 字符"/>
    <w:basedOn w:val="32"/>
    <w:link w:val="18"/>
    <w:qFormat/>
    <w:uiPriority w:val="0"/>
    <w:rPr>
      <w:rFonts w:ascii="等线" w:hAnsi="等线" w:eastAsia="仿宋"/>
      <w:kern w:val="2"/>
      <w:sz w:val="21"/>
      <w:szCs w:val="22"/>
    </w:rPr>
  </w:style>
  <w:style w:type="character" w:customStyle="1" w:styleId="114">
    <w:name w:val="标题 7 字符"/>
    <w:basedOn w:val="32"/>
    <w:link w:val="9"/>
    <w:qFormat/>
    <w:uiPriority w:val="0"/>
    <w:rPr>
      <w:rFonts w:ascii="宋体" w:hAnsi="宋体" w:cs="宋体"/>
      <w:b/>
      <w:snapToGrid w:val="0"/>
      <w:sz w:val="24"/>
      <w:szCs w:val="24"/>
    </w:rPr>
  </w:style>
  <w:style w:type="character" w:customStyle="1" w:styleId="115">
    <w:name w:val="标题 8 字符"/>
    <w:basedOn w:val="32"/>
    <w:link w:val="10"/>
    <w:qFormat/>
    <w:uiPriority w:val="0"/>
    <w:rPr>
      <w:rFonts w:ascii="宋体" w:hAnsi="宋体" w:cs="宋体"/>
      <w:b/>
      <w:bCs/>
      <w:snapToGrid w:val="0"/>
      <w:sz w:val="21"/>
      <w:szCs w:val="21"/>
    </w:rPr>
  </w:style>
  <w:style w:type="character" w:customStyle="1" w:styleId="116">
    <w:name w:val="标题 9 字符"/>
    <w:basedOn w:val="32"/>
    <w:link w:val="11"/>
    <w:qFormat/>
    <w:uiPriority w:val="0"/>
    <w:rPr>
      <w:rFonts w:ascii="宋体" w:hAnsi="宋体" w:cs="宋体"/>
      <w:snapToGrid w:val="0"/>
      <w:sz w:val="21"/>
      <w:szCs w:val="21"/>
    </w:rPr>
  </w:style>
  <w:style w:type="paragraph" w:customStyle="1" w:styleId="117">
    <w:name w:val="标题表格"/>
    <w:basedOn w:val="1"/>
    <w:next w:val="1"/>
    <w:qFormat/>
    <w:uiPriority w:val="0"/>
    <w:pPr>
      <w:tabs>
        <w:tab w:val="left" w:pos="0"/>
        <w:tab w:val="left" w:pos="420"/>
      </w:tabs>
      <w:adjustRightInd w:val="0"/>
      <w:snapToGrid w:val="0"/>
      <w:spacing w:before="180" w:after="120" w:line="400" w:lineRule="atLeast"/>
      <w:jc w:val="center"/>
    </w:pPr>
    <w:rPr>
      <w:rFonts w:ascii="宋体" w:hAnsi="宋体" w:eastAsia="宋体" w:cs="宋体"/>
      <w:b/>
      <w:bCs/>
      <w:kern w:val="0"/>
      <w:szCs w:val="21"/>
    </w:rPr>
  </w:style>
  <w:style w:type="paragraph" w:customStyle="1" w:styleId="118">
    <w:name w:val="标题图画"/>
    <w:basedOn w:val="1"/>
    <w:next w:val="1"/>
    <w:qFormat/>
    <w:uiPriority w:val="0"/>
    <w:pPr>
      <w:tabs>
        <w:tab w:val="left" w:pos="0"/>
        <w:tab w:val="left" w:pos="420"/>
      </w:tabs>
      <w:adjustRightInd w:val="0"/>
      <w:snapToGrid w:val="0"/>
      <w:spacing w:after="240" w:line="400" w:lineRule="atLeast"/>
      <w:jc w:val="center"/>
    </w:pPr>
    <w:rPr>
      <w:rFonts w:ascii="宋体" w:hAnsi="宋体" w:eastAsia="宋体" w:cs="宋体"/>
      <w:b/>
      <w:kern w:val="0"/>
      <w:szCs w:val="21"/>
    </w:rPr>
  </w:style>
  <w:style w:type="paragraph" w:customStyle="1" w:styleId="119">
    <w:name w:val="表格序号"/>
    <w:basedOn w:val="1"/>
    <w:next w:val="1"/>
    <w:qFormat/>
    <w:uiPriority w:val="0"/>
    <w:pPr>
      <w:tabs>
        <w:tab w:val="left" w:pos="0"/>
      </w:tabs>
      <w:adjustRightInd w:val="0"/>
      <w:snapToGrid w:val="0"/>
      <w:jc w:val="center"/>
    </w:pPr>
    <w:rPr>
      <w:rFonts w:ascii="宋体" w:hAnsi="宋体" w:eastAsia="宋体" w:cs="宋体"/>
      <w:snapToGrid w:val="0"/>
      <w:kern w:val="0"/>
      <w:szCs w:val="21"/>
    </w:rPr>
  </w:style>
  <w:style w:type="paragraph" w:customStyle="1" w:styleId="120">
    <w:name w:val="表图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21">
    <w:name w:val="8-1图片居中"/>
    <w:basedOn w:val="1"/>
    <w:next w:val="1"/>
    <w:qFormat/>
    <w:uiPriority w:val="0"/>
    <w:pPr>
      <w:adjustRightInd w:val="0"/>
      <w:snapToGrid w:val="0"/>
      <w:spacing w:before="85" w:beforeLines="85"/>
      <w:jc w:val="center"/>
    </w:pPr>
    <w:rPr>
      <w:rFonts w:ascii="宋体" w:hAnsi="宋体" w:eastAsia="宋体" w:cs="宋体"/>
      <w:snapToGrid w:val="0"/>
      <w:kern w:val="0"/>
      <w:sz w:val="24"/>
      <w:szCs w:val="24"/>
    </w:rPr>
  </w:style>
  <w:style w:type="paragraph" w:customStyle="1" w:styleId="122">
    <w:name w:val="91正文 &gt;"/>
    <w:basedOn w:val="1"/>
    <w:qFormat/>
    <w:uiPriority w:val="0"/>
    <w:pPr>
      <w:numPr>
        <w:ilvl w:val="0"/>
        <w:numId w:val="1"/>
      </w:numPr>
      <w:tabs>
        <w:tab w:val="left" w:pos="624"/>
      </w:tabs>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23">
    <w:name w:val="插图编号"/>
    <w:basedOn w:val="106"/>
    <w:qFormat/>
    <w:uiPriority w:val="0"/>
    <w:rPr>
      <w:rFonts w:eastAsia="黑体"/>
      <w:sz w:val="21"/>
      <w:szCs w:val="24"/>
    </w:rPr>
  </w:style>
  <w:style w:type="paragraph" w:customStyle="1" w:styleId="124">
    <w:name w:val="表头字"/>
    <w:basedOn w:val="1"/>
    <w:next w:val="1"/>
    <w:qFormat/>
    <w:uiPriority w:val="0"/>
    <w:pPr>
      <w:adjustRightInd w:val="0"/>
      <w:snapToGrid w:val="0"/>
      <w:jc w:val="center"/>
    </w:pPr>
    <w:rPr>
      <w:rFonts w:ascii="Times New Roman" w:hAnsi="宋体" w:eastAsia="宋体"/>
      <w:b/>
      <w:snapToGrid w:val="0"/>
      <w:kern w:val="0"/>
      <w:sz w:val="24"/>
    </w:rPr>
  </w:style>
  <w:style w:type="paragraph" w:customStyle="1" w:styleId="125">
    <w:name w:val="插表编号"/>
    <w:basedOn w:val="126"/>
    <w:qFormat/>
    <w:uiPriority w:val="0"/>
    <w:rPr>
      <w:b/>
    </w:rPr>
  </w:style>
  <w:style w:type="paragraph" w:customStyle="1" w:styleId="126">
    <w:name w:val="插表"/>
    <w:basedOn w:val="106"/>
    <w:qFormat/>
    <w:uiPriority w:val="0"/>
    <w:rPr>
      <w:sz w:val="21"/>
      <w:szCs w:val="24"/>
    </w:rPr>
  </w:style>
  <w:style w:type="paragraph" w:customStyle="1" w:styleId="127">
    <w:name w:val="图表"/>
    <w:basedOn w:val="1"/>
    <w:qFormat/>
    <w:uiPriority w:val="0"/>
    <w:pPr>
      <w:widowControl/>
      <w:adjustRightInd w:val="0"/>
      <w:snapToGrid w:val="0"/>
      <w:jc w:val="center"/>
    </w:pPr>
    <w:rPr>
      <w:rFonts w:ascii="Times New Roman" w:hAnsi="Times New Roman" w:eastAsia="宋体"/>
      <w:bCs/>
      <w:snapToGrid w:val="0"/>
      <w:kern w:val="0"/>
      <w:szCs w:val="28"/>
      <w:lang w:eastAsia="en-US" w:bidi="en-US"/>
    </w:rPr>
  </w:style>
  <w:style w:type="paragraph" w:customStyle="1" w:styleId="128">
    <w:name w:val="61图片居中"/>
    <w:basedOn w:val="1"/>
    <w:next w:val="1"/>
    <w:qFormat/>
    <w:uiPriority w:val="0"/>
    <w:pPr>
      <w:adjustRightInd w:val="0"/>
      <w:snapToGrid w:val="0"/>
      <w:spacing w:before="80" w:beforeLines="80"/>
      <w:jc w:val="center"/>
    </w:pPr>
    <w:rPr>
      <w:rFonts w:ascii="宋体" w:hAnsi="宋体" w:eastAsia="宋体" w:cs="宋体"/>
      <w:snapToGrid w:val="0"/>
      <w:kern w:val="0"/>
      <w:sz w:val="24"/>
      <w:szCs w:val="24"/>
    </w:rPr>
  </w:style>
  <w:style w:type="paragraph" w:customStyle="1" w:styleId="129">
    <w:name w:val="60标题图片"/>
    <w:basedOn w:val="1"/>
    <w:next w:val="1"/>
    <w:qFormat/>
    <w:uiPriority w:val="0"/>
    <w:pPr>
      <w:numPr>
        <w:ilvl w:val="8"/>
        <w:numId w:val="2"/>
      </w:numPr>
      <w:adjustRightInd w:val="0"/>
      <w:snapToGrid w:val="0"/>
      <w:spacing w:after="120" w:line="430" w:lineRule="exact"/>
      <w:jc w:val="center"/>
    </w:pPr>
    <w:rPr>
      <w:rFonts w:ascii="宋体" w:hAnsi="宋体" w:eastAsia="宋体" w:cs="宋体"/>
      <w:b/>
      <w:bCs/>
      <w:snapToGrid w:val="0"/>
      <w:kern w:val="0"/>
      <w:szCs w:val="21"/>
    </w:rPr>
  </w:style>
  <w:style w:type="paragraph" w:customStyle="1" w:styleId="130">
    <w:name w:val="10正文（1）"/>
    <w:basedOn w:val="1"/>
    <w:qFormat/>
    <w:uiPriority w:val="0"/>
    <w:pPr>
      <w:numPr>
        <w:ilvl w:val="4"/>
        <w:numId w:val="2"/>
      </w:numPr>
      <w:adjustRightInd w:val="0"/>
      <w:snapToGrid w:val="0"/>
      <w:spacing w:line="430" w:lineRule="exact"/>
      <w:jc w:val="left"/>
    </w:pPr>
    <w:rPr>
      <w:rFonts w:ascii="宋体" w:hAnsi="宋体" w:eastAsia="宋体" w:cs="宋体"/>
      <w:snapToGrid w:val="0"/>
      <w:kern w:val="0"/>
      <w:sz w:val="24"/>
      <w:szCs w:val="24"/>
    </w:rPr>
  </w:style>
  <w:style w:type="paragraph" w:customStyle="1" w:styleId="131">
    <w:name w:val="50标题表格"/>
    <w:basedOn w:val="1"/>
    <w:next w:val="1"/>
    <w:qFormat/>
    <w:uiPriority w:val="0"/>
    <w:pPr>
      <w:numPr>
        <w:ilvl w:val="7"/>
        <w:numId w:val="2"/>
      </w:numPr>
      <w:tabs>
        <w:tab w:val="left" w:pos="420"/>
        <w:tab w:val="clear" w:pos="0"/>
      </w:tabs>
      <w:adjustRightInd w:val="0"/>
      <w:snapToGrid w:val="0"/>
      <w:spacing w:before="120" w:after="60" w:line="430" w:lineRule="exact"/>
      <w:jc w:val="center"/>
    </w:pPr>
    <w:rPr>
      <w:rFonts w:ascii="宋体" w:hAnsi="宋体" w:eastAsia="宋体" w:cs="宋体"/>
      <w:b/>
      <w:bCs/>
      <w:snapToGrid w:val="0"/>
      <w:kern w:val="0"/>
      <w:szCs w:val="21"/>
    </w:rPr>
  </w:style>
  <w:style w:type="paragraph" w:customStyle="1" w:styleId="132">
    <w:name w:val="52表格小五"/>
    <w:basedOn w:val="1"/>
    <w:qFormat/>
    <w:uiPriority w:val="0"/>
    <w:pPr>
      <w:adjustRightInd w:val="0"/>
      <w:snapToGrid w:val="0"/>
      <w:jc w:val="center"/>
    </w:pPr>
    <w:rPr>
      <w:rFonts w:ascii="宋体" w:hAnsi="宋体" w:eastAsia="宋体" w:cs="宋体"/>
      <w:snapToGrid w:val="0"/>
      <w:kern w:val="0"/>
      <w:sz w:val="18"/>
      <w:szCs w:val="18"/>
    </w:rPr>
  </w:style>
  <w:style w:type="paragraph" w:customStyle="1" w:styleId="133">
    <w:name w:val="54表格序号"/>
    <w:basedOn w:val="1"/>
    <w:qFormat/>
    <w:uiPriority w:val="0"/>
    <w:pPr>
      <w:numPr>
        <w:ilvl w:val="0"/>
        <w:numId w:val="3"/>
      </w:numPr>
      <w:adjustRightInd w:val="0"/>
      <w:snapToGrid w:val="0"/>
      <w:jc w:val="center"/>
    </w:pPr>
    <w:rPr>
      <w:rFonts w:ascii="宋体" w:hAnsi="宋体" w:eastAsia="宋体" w:cs="宋体"/>
      <w:snapToGrid w:val="0"/>
      <w:kern w:val="0"/>
      <w:szCs w:val="21"/>
    </w:rPr>
  </w:style>
  <w:style w:type="paragraph" w:customStyle="1" w:styleId="134">
    <w:name w:val="20正文1）"/>
    <w:basedOn w:val="1"/>
    <w:qFormat/>
    <w:uiPriority w:val="0"/>
    <w:pPr>
      <w:numPr>
        <w:ilvl w:val="5"/>
        <w:numId w:val="2"/>
      </w:numPr>
      <w:adjustRightInd w:val="0"/>
      <w:snapToGrid w:val="0"/>
      <w:spacing w:line="430" w:lineRule="exact"/>
      <w:ind w:firstLine="0"/>
      <w:jc w:val="left"/>
    </w:pPr>
    <w:rPr>
      <w:rFonts w:ascii="宋体" w:hAnsi="宋体" w:eastAsia="宋体" w:cs="宋体"/>
      <w:snapToGrid w:val="0"/>
      <w:kern w:val="0"/>
      <w:sz w:val="24"/>
      <w:szCs w:val="24"/>
    </w:rPr>
  </w:style>
  <w:style w:type="paragraph" w:customStyle="1" w:styleId="135">
    <w:name w:val="流程"/>
    <w:basedOn w:val="1"/>
    <w:qFormat/>
    <w:uiPriority w:val="0"/>
    <w:pPr>
      <w:jc w:val="center"/>
    </w:pPr>
    <w:rPr>
      <w:rFonts w:ascii="宋体" w:hAnsi="宋体" w:eastAsia="宋体" w:cs="宋体"/>
      <w:sz w:val="18"/>
      <w:szCs w:val="24"/>
    </w:rPr>
  </w:style>
  <w:style w:type="table" w:customStyle="1" w:styleId="136">
    <w:name w:val="标准样式"/>
    <w:basedOn w:val="30"/>
    <w:qFormat/>
    <w:uiPriority w:val="0"/>
    <w:pPr>
      <w:jc w:val="center"/>
    </w:pPr>
    <w:rPr>
      <w:rFonts w:ascii="Times New Roman" w:hAnsi="Times New Roman"/>
      <w:kern w:val="2"/>
    </w:rPr>
    <w:tblP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cPr>
      <w:tcBorders>
        <w:top w:val="double" w:color="0000C8" w:sz="6" w:space="0"/>
        <w:left w:val="double" w:color="0000C8" w:sz="6" w:space="0"/>
        <w:bottom w:val="double" w:color="0000C8" w:sz="6" w:space="0"/>
        <w:right w:val="double" w:color="0000C8" w:sz="6" w:space="0"/>
      </w:tcBorders>
      <w:shd w:val="clear" w:color="auto" w:fill="D9D9D9"/>
      <w:vAlign w:val="center"/>
    </w:tcPr>
    <w:tblStylePr w:type="firstRow">
      <w:rPr>
        <w:b/>
      </w:rPr>
      <w:tcPr>
        <w:shd w:val="clear" w:color="auto" w:fill="B6DDE8"/>
      </w:tcPr>
    </w:tblStylePr>
    <w:tblStylePr w:type="firstCol">
      <w:rPr>
        <w:b/>
      </w:rPr>
      <w:tcPr>
        <w:shd w:val="clear" w:color="auto" w:fill="FBD4B4"/>
      </w:tcPr>
    </w:tblStylePr>
  </w:style>
  <w:style w:type="paragraph" w:customStyle="1" w:styleId="137">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38">
    <w:name w:val="图居中、图表标题"/>
    <w:basedOn w:val="1"/>
    <w:next w:val="1"/>
    <w:link w:val="141"/>
    <w:qFormat/>
    <w:uiPriority w:val="0"/>
    <w:pPr>
      <w:spacing w:line="360" w:lineRule="auto"/>
      <w:jc w:val="center"/>
    </w:pPr>
    <w:rPr>
      <w:rFonts w:ascii="Times New Roman" w:hAnsi="Times New Roman" w:eastAsia="宋体" w:cs="宋体"/>
      <w:b/>
      <w:color w:val="0000C8"/>
      <w:kern w:val="0"/>
      <w:sz w:val="24"/>
      <w:szCs w:val="20"/>
    </w:rPr>
  </w:style>
  <w:style w:type="table" w:customStyle="1" w:styleId="139">
    <w:name w:val="样式4"/>
    <w:basedOn w:val="30"/>
    <w:qFormat/>
    <w:uiPriority w:val="99"/>
    <w:pPr>
      <w:jc w:val="center"/>
    </w:pPr>
    <w:tblPr>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
    <w:trPr>
      <w:jc w:val="center"/>
    </w:trPr>
    <w:tcPr>
      <w:vAlign w:val="center"/>
    </w:tcPr>
  </w:style>
  <w:style w:type="character" w:customStyle="1" w:styleId="140">
    <w:name w:val="无间隔 字符"/>
    <w:basedOn w:val="32"/>
    <w:link w:val="72"/>
    <w:qFormat/>
    <w:uiPriority w:val="0"/>
    <w:rPr>
      <w:rFonts w:ascii="黑体" w:hAnsi="黑体" w:eastAsia="黑体"/>
      <w:sz w:val="21"/>
    </w:rPr>
  </w:style>
  <w:style w:type="character" w:customStyle="1" w:styleId="141">
    <w:name w:val="图居中、图表标题 Char"/>
    <w:basedOn w:val="32"/>
    <w:link w:val="138"/>
    <w:qFormat/>
    <w:uiPriority w:val="0"/>
    <w:rPr>
      <w:rFonts w:ascii="Times New Roman" w:hAnsi="Times New Roman" w:cs="宋体"/>
      <w:b/>
      <w:color w:val="0000C8"/>
      <w:sz w:val="24"/>
    </w:rPr>
  </w:style>
  <w:style w:type="paragraph" w:customStyle="1" w:styleId="142">
    <w:name w:val="正文更改"/>
    <w:basedOn w:val="93"/>
    <w:link w:val="143"/>
    <w:qFormat/>
    <w:uiPriority w:val="0"/>
    <w:pPr>
      <w:spacing w:line="360" w:lineRule="auto"/>
      <w:ind w:left="0" w:firstLine="200" w:firstLineChars="200"/>
    </w:pPr>
  </w:style>
  <w:style w:type="character" w:customStyle="1" w:styleId="143">
    <w:name w:val="正文更改 字符"/>
    <w:basedOn w:val="98"/>
    <w:link w:val="142"/>
    <w:qFormat/>
    <w:uiPriority w:val="0"/>
    <w:rPr>
      <w:rFonts w:ascii="宋体" w:hAnsi="宋体" w:cs="宋体"/>
      <w:snapToGrid w:val="0"/>
      <w:sz w:val="24"/>
      <w:szCs w:val="24"/>
    </w:rPr>
  </w:style>
  <w:style w:type="character" w:customStyle="1" w:styleId="144">
    <w:name w:val="页脚 字符"/>
    <w:basedOn w:val="32"/>
    <w:link w:val="23"/>
    <w:qFormat/>
    <w:uiPriority w:val="99"/>
    <w:rPr>
      <w:rFonts w:ascii="等线" w:hAnsi="等线" w:eastAsia="仿宋"/>
      <w:kern w:val="2"/>
      <w:sz w:val="18"/>
      <w:szCs w:val="22"/>
    </w:rPr>
  </w:style>
  <w:style w:type="paragraph" w:customStyle="1" w:styleId="145">
    <w:name w:val="列出段落1"/>
    <w:basedOn w:val="1"/>
    <w:qFormat/>
    <w:uiPriority w:val="34"/>
    <w:pPr>
      <w:ind w:firstLine="420" w:firstLineChars="200"/>
    </w:pPr>
  </w:style>
  <w:style w:type="character" w:customStyle="1" w:styleId="146">
    <w:name w:val="font01"/>
    <w:basedOn w:val="32"/>
    <w:qFormat/>
    <w:uiPriority w:val="0"/>
    <w:rPr>
      <w:rFonts w:ascii="微软雅黑" w:hAnsi="微软雅黑" w:eastAsia="微软雅黑" w:cs="微软雅黑"/>
      <w:b/>
      <w:bCs/>
      <w:color w:val="000000"/>
      <w:sz w:val="16"/>
      <w:szCs w:val="16"/>
      <w:u w:val="none"/>
    </w:rPr>
  </w:style>
  <w:style w:type="character" w:customStyle="1" w:styleId="147">
    <w:name w:val="font31"/>
    <w:basedOn w:val="32"/>
    <w:qFormat/>
    <w:uiPriority w:val="0"/>
    <w:rPr>
      <w:rFonts w:hint="eastAsia" w:ascii="微软雅黑" w:hAnsi="微软雅黑" w:eastAsia="微软雅黑" w:cs="微软雅黑"/>
      <w:color w:val="000000"/>
      <w:sz w:val="16"/>
      <w:szCs w:val="16"/>
      <w:u w:val="none"/>
    </w:rPr>
  </w:style>
  <w:style w:type="character" w:customStyle="1" w:styleId="148">
    <w:name w:val="font51"/>
    <w:basedOn w:val="32"/>
    <w:qFormat/>
    <w:uiPriority w:val="0"/>
    <w:rPr>
      <w:rFonts w:hint="default" w:ascii="Times New Roman" w:hAnsi="Times New Roman" w:cs="Times New Roman"/>
      <w:b/>
      <w:bCs/>
      <w:color w:val="000000"/>
      <w:sz w:val="16"/>
      <w:szCs w:val="16"/>
      <w:u w:val="none"/>
    </w:rPr>
  </w:style>
  <w:style w:type="character" w:customStyle="1" w:styleId="149">
    <w:name w:val="font61"/>
    <w:basedOn w:val="32"/>
    <w:qFormat/>
    <w:uiPriority w:val="0"/>
    <w:rPr>
      <w:rFonts w:ascii="宋体" w:hAnsi="宋体" w:eastAsia="宋体" w:cs="宋体"/>
      <w:color w:val="000000"/>
      <w:sz w:val="16"/>
      <w:szCs w:val="16"/>
      <w:u w:val="none"/>
    </w:rPr>
  </w:style>
  <w:style w:type="character" w:customStyle="1" w:styleId="150">
    <w:name w:val="font41"/>
    <w:basedOn w:val="32"/>
    <w:qFormat/>
    <w:uiPriority w:val="0"/>
    <w:rPr>
      <w:rFonts w:hint="default" w:ascii="Times New Roman" w:hAnsi="Times New Roman" w:cs="Times New Roman"/>
      <w:color w:val="000000"/>
      <w:sz w:val="16"/>
      <w:szCs w:val="16"/>
      <w:u w:val="none"/>
    </w:rPr>
  </w:style>
  <w:style w:type="character" w:customStyle="1" w:styleId="151">
    <w:name w:val="font11"/>
    <w:basedOn w:val="32"/>
    <w:qFormat/>
    <w:uiPriority w:val="0"/>
    <w:rPr>
      <w:rFonts w:ascii="微软雅黑" w:hAnsi="微软雅黑" w:eastAsia="微软雅黑" w:cs="微软雅黑"/>
      <w:b/>
      <w:bCs/>
      <w:color w:val="000000"/>
      <w:sz w:val="16"/>
      <w:szCs w:val="16"/>
      <w:u w:val="none"/>
    </w:rPr>
  </w:style>
  <w:style w:type="character" w:customStyle="1" w:styleId="152">
    <w:name w:val="font71"/>
    <w:basedOn w:val="32"/>
    <w:qFormat/>
    <w:uiPriority w:val="0"/>
    <w:rPr>
      <w:rFonts w:hint="default" w:ascii="Times New Roman" w:hAnsi="Times New Roman" w:cs="Times New Roman"/>
      <w:b/>
      <w:bCs/>
      <w:color w:val="000000"/>
      <w:sz w:val="16"/>
      <w:szCs w:val="16"/>
      <w:u w:val="none"/>
    </w:rPr>
  </w:style>
  <w:style w:type="character" w:customStyle="1" w:styleId="153">
    <w:name w:val="font81"/>
    <w:basedOn w:val="32"/>
    <w:qFormat/>
    <w:uiPriority w:val="0"/>
    <w:rPr>
      <w:rFonts w:ascii="宋体" w:hAnsi="宋体" w:eastAsia="宋体" w:cs="宋体"/>
      <w:color w:val="000000"/>
      <w:sz w:val="16"/>
      <w:szCs w:val="16"/>
      <w:u w:val="none"/>
    </w:rPr>
  </w:style>
  <w:style w:type="character" w:customStyle="1" w:styleId="154">
    <w:name w:val="font91"/>
    <w:basedOn w:val="32"/>
    <w:qFormat/>
    <w:uiPriority w:val="0"/>
    <w:rPr>
      <w:rFonts w:hint="default" w:ascii="Arial" w:hAnsi="Arial" w:cs="Arial"/>
      <w:color w:val="000000"/>
      <w:sz w:val="7"/>
      <w:szCs w:val="7"/>
      <w:u w:val="none"/>
    </w:rPr>
  </w:style>
  <w:style w:type="character" w:customStyle="1" w:styleId="155">
    <w:name w:val="font101"/>
    <w:basedOn w:val="32"/>
    <w:qFormat/>
    <w:uiPriority w:val="0"/>
    <w:rPr>
      <w:rFonts w:ascii="宋体" w:hAnsi="宋体" w:eastAsia="宋体" w:cs="宋体"/>
      <w:color w:val="000000"/>
      <w:sz w:val="18"/>
      <w:szCs w:val="18"/>
      <w:u w:val="none"/>
    </w:rPr>
  </w:style>
  <w:style w:type="character" w:customStyle="1" w:styleId="156">
    <w:name w:val="font112"/>
    <w:basedOn w:val="32"/>
    <w:qFormat/>
    <w:uiPriority w:val="0"/>
    <w:rPr>
      <w:rFonts w:hint="default" w:ascii="Times New Roman" w:hAnsi="Times New Roman" w:cs="Times New Roman"/>
      <w:color w:val="000000"/>
      <w:sz w:val="18"/>
      <w:szCs w:val="18"/>
      <w:u w:val="none"/>
    </w:rPr>
  </w:style>
  <w:style w:type="paragraph" w:customStyle="1" w:styleId="157">
    <w:name w:val="方案正文"/>
    <w:basedOn w:val="1"/>
    <w:qFormat/>
    <w:uiPriority w:val="0"/>
    <w:pPr>
      <w:ind w:firstLine="480"/>
      <w:jc w:val="left"/>
    </w:pPr>
    <w:rPr>
      <w:rFonts w:cs="Times New Roman"/>
    </w:rPr>
  </w:style>
  <w:style w:type="paragraph" w:customStyle="1" w:styleId="158">
    <w:name w:val="k 正文"/>
    <w:basedOn w:val="1"/>
    <w:qFormat/>
    <w:uiPriority w:val="0"/>
  </w:style>
  <w:style w:type="paragraph" w:customStyle="1" w:styleId="159">
    <w:name w:val="W正文"/>
    <w:basedOn w:val="1"/>
    <w:qFormat/>
    <w:uiPriority w:val="0"/>
    <w:pPr>
      <w:tabs>
        <w:tab w:val="left" w:pos="4320"/>
      </w:tabs>
      <w:ind w:firstLine="480"/>
    </w:pPr>
    <w:rPr>
      <w:rFonts w:cs="Times New Roman"/>
    </w:rPr>
  </w:style>
  <w:style w:type="paragraph" w:customStyle="1" w:styleId="160">
    <w:name w:val="表左字"/>
    <w:basedOn w:val="55"/>
    <w:next w:val="1"/>
    <w:qFormat/>
    <w:uiPriority w:val="0"/>
    <w:pPr>
      <w:jc w:val="left"/>
    </w:pPr>
  </w:style>
  <w:style w:type="paragraph" w:customStyle="1" w:styleId="161">
    <w:name w:val="WPSOffice手动目录 1"/>
    <w:qFormat/>
    <w:uiPriority w:val="0"/>
    <w:pPr>
      <w:ind w:leftChars="0"/>
    </w:pPr>
    <w:rPr>
      <w:rFonts w:ascii="Times New Roman" w:hAnsi="Times New Roman" w:eastAsia="宋体" w:cs="Times New Roman"/>
      <w:sz w:val="20"/>
      <w:szCs w:val="20"/>
    </w:rPr>
  </w:style>
  <w:style w:type="paragraph" w:customStyle="1" w:styleId="162">
    <w:name w:val="WPSOffice手动目录 2"/>
    <w:qFormat/>
    <w:uiPriority w:val="0"/>
    <w:pPr>
      <w:ind w:leftChars="200"/>
    </w:pPr>
    <w:rPr>
      <w:rFonts w:ascii="Times New Roman" w:hAnsi="Times New Roman" w:eastAsia="宋体" w:cs="Times New Roman"/>
      <w:sz w:val="20"/>
      <w:szCs w:val="20"/>
    </w:rPr>
  </w:style>
  <w:style w:type="character" w:customStyle="1" w:styleId="163">
    <w:name w:val="font21"/>
    <w:basedOn w:val="32"/>
    <w:qFormat/>
    <w:uiPriority w:val="0"/>
    <w:rPr>
      <w:rFonts w:hint="eastAsia" w:ascii="仿宋" w:hAnsi="仿宋" w:eastAsia="仿宋" w:cs="仿宋"/>
      <w:color w:val="000000"/>
      <w:sz w:val="21"/>
      <w:szCs w:val="21"/>
      <w:u w:val="none"/>
    </w:rPr>
  </w:style>
  <w:style w:type="table" w:customStyle="1" w:styleId="164">
    <w:name w:val="网格型1"/>
    <w:basedOn w:val="30"/>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166">
    <w:name w:val="燕矶表格文字"/>
    <w:basedOn w:val="1"/>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3.jpeg"/><Relationship Id="rId81" Type="http://schemas.openxmlformats.org/officeDocument/2006/relationships/image" Target="media/image72.jpeg"/><Relationship Id="rId80" Type="http://schemas.openxmlformats.org/officeDocument/2006/relationships/image" Target="media/image71.jpeg"/><Relationship Id="rId8" Type="http://schemas.openxmlformats.org/officeDocument/2006/relationships/header" Target="header3.xml"/><Relationship Id="rId79" Type="http://schemas.openxmlformats.org/officeDocument/2006/relationships/image" Target="media/image70.jpeg"/><Relationship Id="rId78" Type="http://schemas.openxmlformats.org/officeDocument/2006/relationships/image" Target="media/image69.jpeg"/><Relationship Id="rId77" Type="http://schemas.openxmlformats.org/officeDocument/2006/relationships/image" Target="media/image68.jpeg"/><Relationship Id="rId76" Type="http://schemas.openxmlformats.org/officeDocument/2006/relationships/image" Target="media/image67.jpeg"/><Relationship Id="rId75" Type="http://schemas.openxmlformats.org/officeDocument/2006/relationships/image" Target="media/image66.jpeg"/><Relationship Id="rId74" Type="http://schemas.openxmlformats.org/officeDocument/2006/relationships/image" Target="media/image65.jpeg"/><Relationship Id="rId73" Type="http://schemas.openxmlformats.org/officeDocument/2006/relationships/image" Target="media/image64.jpe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header" Target="head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153</Pages>
  <Words>66430</Words>
  <Characters>71009</Characters>
  <Lines>551</Lines>
  <Paragraphs>155</Paragraphs>
  <TotalTime>0</TotalTime>
  <ScaleCrop>false</ScaleCrop>
  <LinksUpToDate>false</LinksUpToDate>
  <CharactersWithSpaces>71773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2019-09-24T00:51:00Z</dcterms:created>
  <dc:creator>一头小野牛</dc:creator>
  <cp:lastModifiedBy>杭州渝港机械施工有限公司</cp:lastModifiedBy>
  <cp:lastPrinted>2025-03-22T02:27:00Z</cp:lastPrinted>
  <dcterms:modified xsi:type="dcterms:W3CDTF">2025-08-18T06:09:21Z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AF351EE5AD114C5886F90216C259A502_13</vt:lpwstr>
  </property>
  <property fmtid="{D5CDD505-2E9C-101B-9397-08002B2CF9AE}" pid="4" name="KSOTemplateDocerSaveRecord">
    <vt:lpwstr>eyJoZGlkIjoiYjMyYjBlMGJhZjI3ZDdiYzUzOWVmOGZjYTMwOWZhYzEiLCJ1c2VySWQiOiIyMDEyMTQ5OSJ9</vt:lpwstr>
  </property>
</Properties>
</file>