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gif" ContentType="image/gi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FF61B5">
      <w:pPr>
        <w:pStyle w:val="39"/>
        <w:ind w:left="0" w:leftChars="0" w:firstLine="0" w:firstLineChars="0"/>
        <w:rPr>
          <w:rFonts w:hint="eastAsia" w:eastAsia="仿宋"/>
          <w:lang w:val="en-US" w:eastAsia="zh-CN"/>
        </w:rPr>
      </w:pPr>
      <w:bookmarkStart w:id="0" w:name="_Toc40778426"/>
      <w:bookmarkStart w:id="1" w:name="_Toc102481185"/>
      <w:bookmarkStart w:id="2" w:name="_Toc26437"/>
      <w:bookmarkStart w:id="3" w:name="_Toc102825360"/>
      <w:bookmarkStart w:id="4" w:name="_Toc102481236"/>
    </w:p>
    <w:p w14:paraId="32F04072">
      <w:pPr>
        <w:pStyle w:val="39"/>
        <w:ind w:right="278" w:rightChars="116"/>
      </w:pPr>
    </w:p>
    <w:p w14:paraId="10B8C3A9">
      <w:pPr>
        <w:ind w:firstLine="480"/>
        <w:jc w:val="center"/>
      </w:pPr>
    </w:p>
    <w:p w14:paraId="1B886C60">
      <w:pPr>
        <w:adjustRightInd w:val="0"/>
        <w:snapToGrid w:val="0"/>
        <w:spacing w:line="360" w:lineRule="auto"/>
        <w:ind w:firstLine="720"/>
        <w:jc w:val="center"/>
        <w:rPr>
          <w:rFonts w:hint="eastAsia" w:cs="宋体"/>
          <w:color w:val="000000"/>
          <w:sz w:val="36"/>
          <w:szCs w:val="36"/>
          <w:u w:val="none"/>
          <w:lang w:eastAsia="zh-CN"/>
        </w:rPr>
      </w:pPr>
      <w:r>
        <w:rPr>
          <w:rFonts w:hint="eastAsia" w:cs="宋体"/>
          <w:bCs/>
          <w:color w:val="000000"/>
          <w:sz w:val="36"/>
          <w:szCs w:val="36"/>
          <w:u w:val="none"/>
          <w:lang w:eastAsia="zh-CN"/>
        </w:rPr>
        <w:t>G9221杭甬高速宁波段三期工程威海路至柴桥段SG02 标小浃江特大桥引桥</w:t>
      </w:r>
      <w:r>
        <w:rPr>
          <w:rFonts w:hint="eastAsia" w:cs="宋体"/>
          <w:color w:val="000000"/>
          <w:sz w:val="36"/>
          <w:szCs w:val="36"/>
          <w:u w:val="none"/>
          <w:lang w:eastAsia="zh-CN"/>
        </w:rPr>
        <w:t>QTZp160（T6515-10）</w:t>
      </w:r>
    </w:p>
    <w:p w14:paraId="0E536D8B">
      <w:pPr>
        <w:spacing w:line="360" w:lineRule="auto"/>
        <w:ind w:firstLine="480"/>
        <w:jc w:val="center"/>
        <w:rPr>
          <w:rFonts w:hint="eastAsia" w:ascii="宋体" w:hAnsi="宋体" w:eastAsia="宋体" w:cs="宋体"/>
          <w:u w:val="none"/>
        </w:rPr>
      </w:pPr>
      <w:r>
        <w:rPr>
          <w:rFonts w:hint="eastAsia" w:ascii="宋体" w:hAnsi="宋体" w:eastAsia="宋体" w:cs="宋体"/>
          <w:color w:val="000000"/>
          <w:sz w:val="36"/>
          <w:szCs w:val="36"/>
          <w:u w:val="none"/>
        </w:rPr>
        <w:t>塔式起重机</w:t>
      </w:r>
      <w:r>
        <w:rPr>
          <w:rFonts w:hint="eastAsia" w:cs="宋体"/>
          <w:color w:val="000000"/>
          <w:sz w:val="36"/>
          <w:szCs w:val="36"/>
          <w:u w:val="none"/>
          <w:lang w:eastAsia="zh-CN"/>
        </w:rPr>
        <w:t>拆除</w:t>
      </w:r>
      <w:r>
        <w:rPr>
          <w:rFonts w:hint="eastAsia" w:ascii="宋体" w:hAnsi="宋体" w:eastAsia="宋体" w:cs="宋体"/>
          <w:color w:val="000000"/>
          <w:sz w:val="36"/>
          <w:szCs w:val="36"/>
          <w:u w:val="none"/>
        </w:rPr>
        <w:t>（专项）</w:t>
      </w:r>
      <w:r>
        <w:rPr>
          <w:rFonts w:hint="eastAsia" w:ascii="宋体" w:hAnsi="宋体" w:eastAsia="宋体" w:cs="宋体"/>
          <w:bCs/>
          <w:color w:val="000000"/>
          <w:sz w:val="36"/>
          <w:u w:val="none"/>
        </w:rPr>
        <w:t>施工方案</w:t>
      </w:r>
    </w:p>
    <w:p w14:paraId="26F7B74C">
      <w:pPr>
        <w:ind w:firstLine="480"/>
      </w:pPr>
    </w:p>
    <w:p w14:paraId="625B0DE3">
      <w:pPr>
        <w:ind w:firstLine="480"/>
      </w:pPr>
    </w:p>
    <w:p w14:paraId="6F963AD1">
      <w:pPr>
        <w:ind w:firstLine="480"/>
      </w:pPr>
    </w:p>
    <w:p w14:paraId="74DF73BD">
      <w:pPr>
        <w:ind w:firstLine="480"/>
      </w:pPr>
    </w:p>
    <w:p w14:paraId="75DCA4B7">
      <w:pPr>
        <w:ind w:firstLine="480"/>
      </w:pPr>
    </w:p>
    <w:p w14:paraId="56510C91">
      <w:pPr>
        <w:ind w:firstLine="1960" w:firstLineChars="700"/>
        <w:jc w:val="left"/>
        <w:rPr>
          <w:bCs/>
          <w:color w:val="000000"/>
          <w:sz w:val="28"/>
          <w:szCs w:val="28"/>
        </w:rPr>
      </w:pPr>
      <w:r>
        <w:rPr>
          <w:rFonts w:hint="eastAsia"/>
          <w:bCs/>
          <w:color w:val="000000"/>
          <w:sz w:val="28"/>
          <w:szCs w:val="28"/>
        </w:rPr>
        <w:t>编</w:t>
      </w:r>
      <w:r>
        <w:rPr>
          <w:bCs/>
          <w:color w:val="000000"/>
          <w:sz w:val="28"/>
          <w:szCs w:val="28"/>
        </w:rPr>
        <w:t xml:space="preserve"> </w:t>
      </w:r>
      <w:r>
        <w:rPr>
          <w:rFonts w:hint="eastAsia"/>
          <w:bCs/>
          <w:color w:val="000000"/>
          <w:sz w:val="28"/>
          <w:szCs w:val="28"/>
        </w:rPr>
        <w:t>制：</w:t>
      </w:r>
      <w:r>
        <w:rPr>
          <w:bCs/>
          <w:color w:val="000000"/>
          <w:sz w:val="28"/>
          <w:szCs w:val="28"/>
        </w:rPr>
        <w:t xml:space="preserve">  </w:t>
      </w:r>
      <w:r>
        <w:rPr>
          <w:bCs/>
          <w:color w:val="000000"/>
          <w:sz w:val="28"/>
          <w:szCs w:val="28"/>
          <w:u w:val="single"/>
        </w:rPr>
        <w:t xml:space="preserve">                         </w:t>
      </w:r>
      <w:r>
        <w:rPr>
          <w:rFonts w:hint="eastAsia"/>
          <w:bCs/>
          <w:color w:val="000000"/>
          <w:sz w:val="28"/>
          <w:szCs w:val="28"/>
          <w:u w:val="single"/>
          <w:lang w:val="en-US" w:eastAsia="zh-CN"/>
        </w:rPr>
        <w:t xml:space="preserve">                 </w:t>
      </w:r>
    </w:p>
    <w:p w14:paraId="7A66357A">
      <w:pPr>
        <w:ind w:firstLine="1960" w:firstLineChars="700"/>
        <w:jc w:val="left"/>
        <w:rPr>
          <w:bCs/>
          <w:color w:val="000000"/>
          <w:sz w:val="28"/>
          <w:szCs w:val="28"/>
        </w:rPr>
      </w:pPr>
      <w:r>
        <w:rPr>
          <w:rFonts w:hint="eastAsia"/>
          <w:bCs/>
          <w:color w:val="000000"/>
          <w:sz w:val="28"/>
          <w:szCs w:val="28"/>
        </w:rPr>
        <w:t>校</w:t>
      </w:r>
      <w:r>
        <w:rPr>
          <w:bCs/>
          <w:color w:val="000000"/>
          <w:sz w:val="28"/>
          <w:szCs w:val="28"/>
        </w:rPr>
        <w:t xml:space="preserve"> </w:t>
      </w:r>
      <w:r>
        <w:rPr>
          <w:rFonts w:hint="eastAsia"/>
          <w:bCs/>
          <w:color w:val="000000"/>
          <w:sz w:val="28"/>
          <w:szCs w:val="28"/>
        </w:rPr>
        <w:t>核：</w:t>
      </w:r>
      <w:r>
        <w:rPr>
          <w:bCs/>
          <w:color w:val="000000"/>
          <w:sz w:val="28"/>
          <w:szCs w:val="28"/>
        </w:rPr>
        <w:t xml:space="preserve">  </w:t>
      </w:r>
      <w:r>
        <w:rPr>
          <w:bCs/>
          <w:color w:val="000000"/>
          <w:sz w:val="28"/>
          <w:szCs w:val="28"/>
          <w:u w:val="single"/>
        </w:rPr>
        <w:t xml:space="preserve">  </w:t>
      </w:r>
      <w:r>
        <w:rPr>
          <w:rFonts w:hint="eastAsia"/>
          <w:bCs/>
          <w:color w:val="000000"/>
          <w:sz w:val="28"/>
          <w:szCs w:val="28"/>
          <w:u w:val="single"/>
          <w:lang w:val="en-US" w:eastAsia="zh-CN"/>
        </w:rPr>
        <w:t xml:space="preserve">                                        </w:t>
      </w:r>
    </w:p>
    <w:p w14:paraId="6EC9B2BC">
      <w:pPr>
        <w:ind w:firstLine="1960" w:firstLineChars="700"/>
        <w:jc w:val="left"/>
        <w:rPr>
          <w:bCs/>
          <w:color w:val="000000"/>
          <w:sz w:val="28"/>
          <w:szCs w:val="28"/>
        </w:rPr>
      </w:pPr>
      <w:r>
        <w:rPr>
          <w:rFonts w:hint="eastAsia"/>
          <w:bCs/>
          <w:color w:val="000000"/>
          <w:sz w:val="28"/>
          <w:szCs w:val="28"/>
        </w:rPr>
        <w:t>审</w:t>
      </w:r>
      <w:r>
        <w:rPr>
          <w:bCs/>
          <w:color w:val="000000"/>
          <w:sz w:val="28"/>
          <w:szCs w:val="28"/>
        </w:rPr>
        <w:t xml:space="preserve"> </w:t>
      </w:r>
      <w:r>
        <w:rPr>
          <w:rFonts w:hint="eastAsia"/>
          <w:bCs/>
          <w:color w:val="000000"/>
          <w:sz w:val="28"/>
          <w:szCs w:val="28"/>
        </w:rPr>
        <w:t>批：</w:t>
      </w:r>
      <w:r>
        <w:rPr>
          <w:bCs/>
          <w:color w:val="000000"/>
          <w:sz w:val="28"/>
          <w:szCs w:val="28"/>
        </w:rPr>
        <w:t xml:space="preserve">  </w:t>
      </w:r>
      <w:r>
        <w:rPr>
          <w:bCs/>
          <w:color w:val="000000"/>
          <w:sz w:val="28"/>
          <w:szCs w:val="28"/>
          <w:u w:val="single"/>
        </w:rPr>
        <w:t xml:space="preserve">    </w:t>
      </w:r>
      <w:r>
        <w:rPr>
          <w:rFonts w:hint="eastAsia"/>
          <w:bCs/>
          <w:color w:val="000000"/>
          <w:sz w:val="28"/>
          <w:szCs w:val="28"/>
          <w:u w:val="single"/>
          <w:lang w:val="en-US" w:eastAsia="zh-CN"/>
        </w:rPr>
        <w:t xml:space="preserve">                                      </w:t>
      </w:r>
    </w:p>
    <w:p w14:paraId="2870A686">
      <w:pPr>
        <w:ind w:firstLine="480"/>
      </w:pPr>
    </w:p>
    <w:p w14:paraId="72617C5B">
      <w:pPr>
        <w:ind w:firstLine="480"/>
      </w:pPr>
    </w:p>
    <w:p w14:paraId="45696B8F">
      <w:pPr>
        <w:ind w:firstLine="480"/>
      </w:pPr>
    </w:p>
    <w:p w14:paraId="2C29C73E">
      <w:pPr>
        <w:widowControl w:val="0"/>
        <w:spacing w:line="360" w:lineRule="auto"/>
        <w:ind w:firstLine="0" w:firstLineChars="0"/>
        <w:jc w:val="center"/>
        <w:rPr>
          <w:rFonts w:ascii="Times New Roman" w:hAnsi="Times New Roman" w:eastAsia="宋体" w:cs="Times New Roman"/>
          <w:b/>
          <w:kern w:val="2"/>
          <w:sz w:val="28"/>
          <w:szCs w:val="21"/>
          <w:lang w:val="en-US" w:eastAsia="zh-CN" w:bidi="ar-SA"/>
        </w:rPr>
      </w:pPr>
      <w:r>
        <w:rPr>
          <w:rFonts w:hint="eastAsia" w:ascii="Times New Roman" w:hAnsi="Times New Roman" w:eastAsia="宋体" w:cs="Times New Roman"/>
          <w:b/>
          <w:kern w:val="2"/>
          <w:sz w:val="28"/>
          <w:szCs w:val="21"/>
          <w:lang w:val="en-US" w:eastAsia="zh-CN" w:bidi="ar-SA"/>
        </w:rPr>
        <w:t>（盖章）</w:t>
      </w:r>
    </w:p>
    <w:p w14:paraId="4B36D183">
      <w:pPr>
        <w:rPr>
          <w:rFonts w:hint="eastAsia"/>
          <w:b/>
          <w:bCs/>
          <w:sz w:val="32"/>
          <w:szCs w:val="32"/>
        </w:rPr>
      </w:pPr>
    </w:p>
    <w:p w14:paraId="53B5FE97">
      <w:pPr>
        <w:rPr>
          <w:rFonts w:hint="eastAsia"/>
          <w:b/>
          <w:bCs/>
          <w:sz w:val="32"/>
          <w:szCs w:val="32"/>
        </w:rPr>
      </w:pPr>
      <w:r>
        <w:rPr>
          <w:rFonts w:hint="eastAsia"/>
          <w:b/>
          <w:bCs/>
          <w:sz w:val="32"/>
          <w:szCs w:val="32"/>
        </w:rPr>
        <w:br w:type="page"/>
      </w:r>
    </w:p>
    <w:p w14:paraId="4EBBD476">
      <w:pPr>
        <w:ind w:firstLine="0" w:firstLineChars="0"/>
        <w:jc w:val="center"/>
        <w:rPr>
          <w:sz w:val="28"/>
          <w:szCs w:val="28"/>
        </w:rPr>
      </w:pPr>
      <w:r>
        <w:rPr>
          <w:rFonts w:hint="eastAsia"/>
          <w:b/>
          <w:bCs/>
          <w:sz w:val="28"/>
          <w:szCs w:val="28"/>
        </w:rPr>
        <w:t xml:space="preserve">目 </w:t>
      </w:r>
      <w:r>
        <w:rPr>
          <w:b/>
          <w:bCs/>
          <w:sz w:val="28"/>
          <w:szCs w:val="28"/>
        </w:rPr>
        <w:t xml:space="preserve">   </w:t>
      </w:r>
      <w:r>
        <w:rPr>
          <w:rFonts w:hint="eastAsia"/>
          <w:b/>
          <w:bCs/>
          <w:sz w:val="28"/>
          <w:szCs w:val="28"/>
        </w:rPr>
        <w:t>录</w:t>
      </w:r>
    </w:p>
    <w:p w14:paraId="6F12F93C">
      <w:pPr>
        <w:pStyle w:val="28"/>
        <w:tabs>
          <w:tab w:val="right" w:leader="dot" w:pos="9639"/>
        </w:tabs>
      </w:pPr>
      <w:r>
        <w:rPr>
          <w:rFonts w:ascii="宋体" w:hAnsi="宋体"/>
          <w:b/>
          <w:bCs w:val="0"/>
          <w:caps w:val="0"/>
          <w:smallCaps w:val="0"/>
          <w:sz w:val="28"/>
          <w:szCs w:val="28"/>
        </w:rPr>
        <w:fldChar w:fldCharType="begin"/>
      </w:r>
      <w:r>
        <w:rPr>
          <w:rFonts w:ascii="宋体" w:hAnsi="宋体"/>
          <w:b/>
          <w:bCs w:val="0"/>
          <w:caps w:val="0"/>
          <w:smallCaps w:val="0"/>
          <w:sz w:val="28"/>
          <w:szCs w:val="28"/>
        </w:rPr>
        <w:instrText xml:space="preserve"> TOC \o "1-2" \h \z \u </w:instrText>
      </w:r>
      <w:r>
        <w:rPr>
          <w:rFonts w:ascii="宋体" w:hAnsi="宋体"/>
          <w:b/>
          <w:bCs w:val="0"/>
          <w:caps w:val="0"/>
          <w:smallCaps w:val="0"/>
          <w:sz w:val="28"/>
          <w:szCs w:val="28"/>
        </w:rPr>
        <w:fldChar w:fldCharType="separate"/>
      </w:r>
      <w:r>
        <w:rPr>
          <w:rFonts w:ascii="宋体" w:hAnsi="宋体"/>
          <w:bCs w:val="0"/>
          <w:caps w:val="0"/>
          <w:smallCaps w:val="0"/>
          <w:szCs w:val="28"/>
        </w:rPr>
        <w:fldChar w:fldCharType="begin"/>
      </w:r>
      <w:r>
        <w:rPr>
          <w:rFonts w:ascii="宋体" w:hAnsi="宋体"/>
          <w:bCs w:val="0"/>
          <w:caps w:val="0"/>
          <w:smallCaps w:val="0"/>
          <w:szCs w:val="28"/>
        </w:rPr>
        <w:instrText xml:space="preserve"> HYPERLINK \l _Toc14929 </w:instrText>
      </w:r>
      <w:r>
        <w:rPr>
          <w:rFonts w:ascii="宋体" w:hAnsi="宋体"/>
          <w:bCs w:val="0"/>
          <w:caps w:val="0"/>
          <w:smallCaps w:val="0"/>
          <w:szCs w:val="28"/>
        </w:rPr>
        <w:fldChar w:fldCharType="separate"/>
      </w:r>
      <w:r>
        <w:rPr>
          <w:rFonts w:hint="default" w:ascii="宋体" w:hAnsi="宋体" w:eastAsia="宋体" w:cs="宋体"/>
          <w:szCs w:val="24"/>
        </w:rPr>
        <w:t xml:space="preserve">1. </w:t>
      </w:r>
      <w:r>
        <w:rPr>
          <w:rFonts w:hint="eastAsia" w:ascii="宋体" w:hAnsi="宋体" w:eastAsia="宋体" w:cs="宋体"/>
          <w:szCs w:val="24"/>
        </w:rPr>
        <w:t>编制说明</w:t>
      </w:r>
      <w:r>
        <w:tab/>
      </w:r>
      <w:r>
        <w:fldChar w:fldCharType="begin"/>
      </w:r>
      <w:r>
        <w:instrText xml:space="preserve"> PAGEREF _Toc14929 \h </w:instrText>
      </w:r>
      <w:r>
        <w:fldChar w:fldCharType="separate"/>
      </w:r>
      <w:r>
        <w:t>1</w:t>
      </w:r>
      <w:r>
        <w:fldChar w:fldCharType="end"/>
      </w:r>
      <w:r>
        <w:rPr>
          <w:rFonts w:ascii="宋体" w:hAnsi="宋体"/>
          <w:bCs w:val="0"/>
          <w:caps w:val="0"/>
          <w:smallCaps w:val="0"/>
          <w:szCs w:val="28"/>
        </w:rPr>
        <w:fldChar w:fldCharType="end"/>
      </w:r>
    </w:p>
    <w:p w14:paraId="43094CCE">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_Toc13382 </w:instrText>
      </w:r>
      <w:r>
        <w:rPr>
          <w:rFonts w:ascii="宋体" w:hAnsi="宋体" w:cstheme="minorHAnsi"/>
          <w:bCs/>
          <w:caps w:val="0"/>
          <w:smallCaps w:val="0"/>
          <w:szCs w:val="28"/>
        </w:rPr>
        <w:fldChar w:fldCharType="separate"/>
      </w:r>
      <w:r>
        <w:rPr>
          <w:rFonts w:hint="default" w:ascii="宋体" w:hAnsi="宋体" w:eastAsia="宋体" w:cs="宋体"/>
          <w:szCs w:val="24"/>
        </w:rPr>
        <w:t xml:space="preserve">1.1 </w:t>
      </w:r>
      <w:r>
        <w:rPr>
          <w:rFonts w:hint="eastAsia" w:ascii="宋体" w:hAnsi="宋体" w:eastAsia="宋体" w:cs="宋体"/>
          <w:szCs w:val="24"/>
        </w:rPr>
        <w:t>编制说明</w:t>
      </w:r>
      <w:r>
        <w:tab/>
      </w:r>
      <w:r>
        <w:fldChar w:fldCharType="begin"/>
      </w:r>
      <w:r>
        <w:instrText xml:space="preserve"> PAGEREF _Toc13382 \h </w:instrText>
      </w:r>
      <w:r>
        <w:fldChar w:fldCharType="separate"/>
      </w:r>
      <w:r>
        <w:t>1</w:t>
      </w:r>
      <w:r>
        <w:fldChar w:fldCharType="end"/>
      </w:r>
      <w:r>
        <w:rPr>
          <w:rFonts w:ascii="宋体" w:hAnsi="宋体" w:cstheme="minorHAnsi"/>
          <w:bCs/>
          <w:caps w:val="0"/>
          <w:smallCaps w:val="0"/>
          <w:szCs w:val="28"/>
        </w:rPr>
        <w:fldChar w:fldCharType="end"/>
      </w:r>
    </w:p>
    <w:p w14:paraId="668B907C">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_Toc1046 </w:instrText>
      </w:r>
      <w:r>
        <w:rPr>
          <w:rFonts w:ascii="宋体" w:hAnsi="宋体" w:cstheme="minorHAnsi"/>
          <w:bCs/>
          <w:caps w:val="0"/>
          <w:smallCaps w:val="0"/>
          <w:szCs w:val="28"/>
        </w:rPr>
        <w:fldChar w:fldCharType="separate"/>
      </w:r>
      <w:r>
        <w:rPr>
          <w:rFonts w:hint="default" w:ascii="宋体" w:hAnsi="宋体" w:eastAsia="宋体" w:cs="宋体"/>
          <w:szCs w:val="24"/>
        </w:rPr>
        <w:t xml:space="preserve">1.2 </w:t>
      </w:r>
      <w:r>
        <w:rPr>
          <w:rFonts w:hint="eastAsia" w:ascii="宋体" w:hAnsi="宋体" w:eastAsia="宋体" w:cs="宋体"/>
          <w:szCs w:val="24"/>
        </w:rPr>
        <w:t>引用文件</w:t>
      </w:r>
      <w:r>
        <w:tab/>
      </w:r>
      <w:r>
        <w:fldChar w:fldCharType="begin"/>
      </w:r>
      <w:r>
        <w:instrText xml:space="preserve"> PAGEREF _Toc1046 \h </w:instrText>
      </w:r>
      <w:r>
        <w:fldChar w:fldCharType="separate"/>
      </w:r>
      <w:r>
        <w:t>1</w:t>
      </w:r>
      <w:r>
        <w:fldChar w:fldCharType="end"/>
      </w:r>
      <w:r>
        <w:rPr>
          <w:rFonts w:ascii="宋体" w:hAnsi="宋体" w:cstheme="minorHAnsi"/>
          <w:bCs/>
          <w:caps w:val="0"/>
          <w:smallCaps w:val="0"/>
          <w:szCs w:val="28"/>
        </w:rPr>
        <w:fldChar w:fldCharType="end"/>
      </w:r>
    </w:p>
    <w:p w14:paraId="13794955">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_Toc22411 </w:instrText>
      </w:r>
      <w:r>
        <w:rPr>
          <w:rFonts w:ascii="宋体" w:hAnsi="宋体" w:cstheme="minorHAnsi"/>
          <w:bCs/>
          <w:caps w:val="0"/>
          <w:smallCaps w:val="0"/>
          <w:szCs w:val="28"/>
        </w:rPr>
        <w:fldChar w:fldCharType="separate"/>
      </w:r>
      <w:r>
        <w:rPr>
          <w:rFonts w:hint="default" w:ascii="宋体" w:hAnsi="宋体" w:eastAsia="宋体" w:cs="宋体"/>
          <w:szCs w:val="24"/>
        </w:rPr>
        <w:t xml:space="preserve">1.3 </w:t>
      </w:r>
      <w:r>
        <w:rPr>
          <w:rFonts w:hint="eastAsia" w:ascii="宋体" w:hAnsi="宋体" w:eastAsia="宋体" w:cs="宋体"/>
          <w:szCs w:val="24"/>
        </w:rPr>
        <w:t>编制原则</w:t>
      </w:r>
      <w:r>
        <w:tab/>
      </w:r>
      <w:r>
        <w:fldChar w:fldCharType="begin"/>
      </w:r>
      <w:r>
        <w:instrText xml:space="preserve"> PAGEREF _Toc22411 \h </w:instrText>
      </w:r>
      <w:r>
        <w:fldChar w:fldCharType="separate"/>
      </w:r>
      <w:r>
        <w:t>2</w:t>
      </w:r>
      <w:r>
        <w:fldChar w:fldCharType="end"/>
      </w:r>
      <w:r>
        <w:rPr>
          <w:rFonts w:ascii="宋体" w:hAnsi="宋体" w:cstheme="minorHAnsi"/>
          <w:bCs/>
          <w:caps w:val="0"/>
          <w:smallCaps w:val="0"/>
          <w:szCs w:val="28"/>
        </w:rPr>
        <w:fldChar w:fldCharType="end"/>
      </w:r>
    </w:p>
    <w:p w14:paraId="24AF5E20">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_Toc24748 </w:instrText>
      </w:r>
      <w:r>
        <w:rPr>
          <w:rFonts w:ascii="宋体" w:hAnsi="宋体" w:cstheme="minorHAnsi"/>
          <w:bCs/>
          <w:caps w:val="0"/>
          <w:smallCaps w:val="0"/>
          <w:szCs w:val="28"/>
        </w:rPr>
        <w:fldChar w:fldCharType="separate"/>
      </w:r>
      <w:r>
        <w:rPr>
          <w:rFonts w:hint="default" w:ascii="宋体" w:hAnsi="宋体" w:eastAsia="宋体" w:cs="宋体"/>
          <w:szCs w:val="24"/>
        </w:rPr>
        <w:t xml:space="preserve">1.4 </w:t>
      </w:r>
      <w:r>
        <w:rPr>
          <w:rFonts w:hint="eastAsia" w:ascii="宋体" w:hAnsi="宋体" w:eastAsia="宋体" w:cs="宋体"/>
          <w:szCs w:val="24"/>
        </w:rPr>
        <w:t>适用范围</w:t>
      </w:r>
      <w:r>
        <w:tab/>
      </w:r>
      <w:r>
        <w:fldChar w:fldCharType="begin"/>
      </w:r>
      <w:r>
        <w:instrText xml:space="preserve"> PAGEREF _Toc24748 \h </w:instrText>
      </w:r>
      <w:r>
        <w:fldChar w:fldCharType="separate"/>
      </w:r>
      <w:r>
        <w:t>2</w:t>
      </w:r>
      <w:r>
        <w:fldChar w:fldCharType="end"/>
      </w:r>
      <w:r>
        <w:rPr>
          <w:rFonts w:ascii="宋体" w:hAnsi="宋体" w:cstheme="minorHAnsi"/>
          <w:bCs/>
          <w:caps w:val="0"/>
          <w:smallCaps w:val="0"/>
          <w:szCs w:val="28"/>
        </w:rPr>
        <w:fldChar w:fldCharType="end"/>
      </w:r>
    </w:p>
    <w:p w14:paraId="58FE372A">
      <w:pPr>
        <w:pStyle w:val="28"/>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_Toc5691 </w:instrText>
      </w:r>
      <w:r>
        <w:rPr>
          <w:rFonts w:ascii="宋体" w:hAnsi="宋体" w:cstheme="minorHAnsi"/>
          <w:bCs/>
          <w:caps w:val="0"/>
          <w:smallCaps w:val="0"/>
          <w:szCs w:val="28"/>
        </w:rPr>
        <w:fldChar w:fldCharType="separate"/>
      </w:r>
      <w:r>
        <w:rPr>
          <w:rFonts w:hint="default" w:ascii="宋体" w:hAnsi="宋体" w:eastAsia="宋体" w:cs="宋体"/>
          <w:szCs w:val="24"/>
        </w:rPr>
        <w:t xml:space="preserve">2. </w:t>
      </w:r>
      <w:r>
        <w:rPr>
          <w:rFonts w:hint="eastAsia" w:ascii="宋体" w:hAnsi="宋体" w:eastAsia="宋体" w:cs="宋体"/>
          <w:szCs w:val="24"/>
        </w:rPr>
        <w:t>工程概况</w:t>
      </w:r>
      <w:r>
        <w:tab/>
      </w:r>
      <w:r>
        <w:fldChar w:fldCharType="begin"/>
      </w:r>
      <w:r>
        <w:instrText xml:space="preserve"> PAGEREF _Toc5691 \h </w:instrText>
      </w:r>
      <w:r>
        <w:fldChar w:fldCharType="separate"/>
      </w:r>
      <w:r>
        <w:t>2</w:t>
      </w:r>
      <w:r>
        <w:fldChar w:fldCharType="end"/>
      </w:r>
      <w:r>
        <w:rPr>
          <w:rFonts w:ascii="宋体" w:hAnsi="宋体" w:cstheme="minorHAnsi"/>
          <w:bCs/>
          <w:caps w:val="0"/>
          <w:smallCaps w:val="0"/>
          <w:szCs w:val="28"/>
        </w:rPr>
        <w:fldChar w:fldCharType="end"/>
      </w:r>
    </w:p>
    <w:p w14:paraId="4019A19A">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_Toc12399 </w:instrText>
      </w:r>
      <w:r>
        <w:rPr>
          <w:rFonts w:ascii="宋体" w:hAnsi="宋体" w:cstheme="minorHAnsi"/>
          <w:bCs/>
          <w:caps w:val="0"/>
          <w:smallCaps w:val="0"/>
          <w:szCs w:val="28"/>
        </w:rPr>
        <w:fldChar w:fldCharType="separate"/>
      </w:r>
      <w:r>
        <w:rPr>
          <w:rFonts w:hint="default" w:ascii="宋体" w:hAnsi="宋体" w:eastAsia="宋体" w:cs="宋体"/>
          <w:szCs w:val="24"/>
        </w:rPr>
        <w:t xml:space="preserve">2.1 </w:t>
      </w:r>
      <w:r>
        <w:rPr>
          <w:rFonts w:hint="eastAsia" w:ascii="宋体" w:hAnsi="宋体" w:eastAsia="宋体" w:cs="宋体"/>
          <w:szCs w:val="24"/>
        </w:rPr>
        <w:t>工程概况</w:t>
      </w:r>
      <w:r>
        <w:tab/>
      </w:r>
      <w:r>
        <w:fldChar w:fldCharType="begin"/>
      </w:r>
      <w:r>
        <w:instrText xml:space="preserve"> PAGEREF _Toc12399 \h </w:instrText>
      </w:r>
      <w:r>
        <w:fldChar w:fldCharType="separate"/>
      </w:r>
      <w:r>
        <w:t>2</w:t>
      </w:r>
      <w:r>
        <w:fldChar w:fldCharType="end"/>
      </w:r>
      <w:r>
        <w:rPr>
          <w:rFonts w:ascii="宋体" w:hAnsi="宋体" w:cstheme="minorHAnsi"/>
          <w:bCs/>
          <w:caps w:val="0"/>
          <w:smallCaps w:val="0"/>
          <w:szCs w:val="28"/>
        </w:rPr>
        <w:fldChar w:fldCharType="end"/>
      </w:r>
    </w:p>
    <w:p w14:paraId="366C7E7A">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_Toc26655 </w:instrText>
      </w:r>
      <w:r>
        <w:rPr>
          <w:rFonts w:ascii="宋体" w:hAnsi="宋体" w:cstheme="minorHAnsi"/>
          <w:bCs/>
          <w:caps w:val="0"/>
          <w:smallCaps w:val="0"/>
          <w:szCs w:val="28"/>
        </w:rPr>
        <w:fldChar w:fldCharType="separate"/>
      </w:r>
      <w:r>
        <w:rPr>
          <w:rFonts w:hint="default" w:ascii="宋体" w:hAnsi="宋体" w:eastAsia="宋体" w:cs="宋体"/>
          <w:szCs w:val="24"/>
        </w:rPr>
        <w:t xml:space="preserve">2.2 </w:t>
      </w:r>
      <w:r>
        <w:rPr>
          <w:rFonts w:hint="eastAsia" w:cs="宋体"/>
          <w:szCs w:val="24"/>
          <w:lang w:eastAsia="zh-CN"/>
        </w:rPr>
        <w:t>拆除</w:t>
      </w:r>
      <w:r>
        <w:rPr>
          <w:rFonts w:hint="eastAsia" w:ascii="宋体" w:hAnsi="宋体" w:eastAsia="宋体" w:cs="宋体"/>
          <w:szCs w:val="24"/>
        </w:rPr>
        <w:t>现场工作环境及条件</w:t>
      </w:r>
      <w:r>
        <w:tab/>
      </w:r>
      <w:r>
        <w:fldChar w:fldCharType="begin"/>
      </w:r>
      <w:r>
        <w:instrText xml:space="preserve"> PAGEREF _Toc26655 \h </w:instrText>
      </w:r>
      <w:r>
        <w:fldChar w:fldCharType="separate"/>
      </w:r>
      <w:r>
        <w:t>5</w:t>
      </w:r>
      <w:r>
        <w:fldChar w:fldCharType="end"/>
      </w:r>
      <w:r>
        <w:rPr>
          <w:rFonts w:ascii="宋体" w:hAnsi="宋体" w:cstheme="minorHAnsi"/>
          <w:bCs/>
          <w:caps w:val="0"/>
          <w:smallCaps w:val="0"/>
          <w:szCs w:val="28"/>
        </w:rPr>
        <w:fldChar w:fldCharType="end"/>
      </w:r>
    </w:p>
    <w:p w14:paraId="15669389">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_Toc18775 </w:instrText>
      </w:r>
      <w:r>
        <w:rPr>
          <w:rFonts w:ascii="宋体" w:hAnsi="宋体" w:cstheme="minorHAnsi"/>
          <w:bCs/>
          <w:caps w:val="0"/>
          <w:smallCaps w:val="0"/>
          <w:szCs w:val="28"/>
        </w:rPr>
        <w:fldChar w:fldCharType="separate"/>
      </w:r>
      <w:r>
        <w:rPr>
          <w:rFonts w:hint="default" w:ascii="宋体" w:hAnsi="宋体" w:eastAsia="宋体" w:cs="宋体"/>
          <w:szCs w:val="24"/>
        </w:rPr>
        <w:t xml:space="preserve">2.3 </w:t>
      </w:r>
      <w:r>
        <w:rPr>
          <w:rFonts w:hint="eastAsia" w:ascii="宋体" w:hAnsi="宋体" w:eastAsia="宋体" w:cs="宋体"/>
          <w:szCs w:val="24"/>
        </w:rPr>
        <w:t>塔式起重机概况</w:t>
      </w:r>
      <w:r>
        <w:tab/>
      </w:r>
      <w:r>
        <w:fldChar w:fldCharType="begin"/>
      </w:r>
      <w:r>
        <w:instrText xml:space="preserve"> PAGEREF _Toc18775 \h </w:instrText>
      </w:r>
      <w:r>
        <w:fldChar w:fldCharType="separate"/>
      </w:r>
      <w:r>
        <w:t>10</w:t>
      </w:r>
      <w:r>
        <w:fldChar w:fldCharType="end"/>
      </w:r>
      <w:r>
        <w:rPr>
          <w:rFonts w:ascii="宋体" w:hAnsi="宋体" w:cstheme="minorHAnsi"/>
          <w:bCs/>
          <w:caps w:val="0"/>
          <w:smallCaps w:val="0"/>
          <w:szCs w:val="28"/>
        </w:rPr>
        <w:fldChar w:fldCharType="end"/>
      </w:r>
    </w:p>
    <w:p w14:paraId="79FAD39F">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_Toc31557 </w:instrText>
      </w:r>
      <w:r>
        <w:rPr>
          <w:rFonts w:ascii="宋体" w:hAnsi="宋体" w:cstheme="minorHAnsi"/>
          <w:bCs/>
          <w:caps w:val="0"/>
          <w:smallCaps w:val="0"/>
          <w:szCs w:val="28"/>
        </w:rPr>
        <w:fldChar w:fldCharType="separate"/>
      </w:r>
      <w:r>
        <w:rPr>
          <w:rFonts w:hint="default" w:ascii="宋体" w:hAnsi="宋体" w:eastAsia="宋体" w:cs="宋体"/>
          <w:szCs w:val="24"/>
        </w:rPr>
        <w:t xml:space="preserve">2.4 </w:t>
      </w:r>
      <w:r>
        <w:rPr>
          <w:rFonts w:hint="eastAsia" w:ascii="宋体" w:hAnsi="宋体" w:eastAsia="宋体" w:cs="宋体"/>
          <w:szCs w:val="24"/>
        </w:rPr>
        <w:t>施工要求和技术保证条件</w:t>
      </w:r>
      <w:r>
        <w:tab/>
      </w:r>
      <w:r>
        <w:fldChar w:fldCharType="begin"/>
      </w:r>
      <w:r>
        <w:instrText xml:space="preserve"> PAGEREF _Toc31557 \h </w:instrText>
      </w:r>
      <w:r>
        <w:fldChar w:fldCharType="separate"/>
      </w:r>
      <w:r>
        <w:t>13</w:t>
      </w:r>
      <w:r>
        <w:fldChar w:fldCharType="end"/>
      </w:r>
      <w:r>
        <w:rPr>
          <w:rFonts w:ascii="宋体" w:hAnsi="宋体" w:cstheme="minorHAnsi"/>
          <w:bCs/>
          <w:caps w:val="0"/>
          <w:smallCaps w:val="0"/>
          <w:szCs w:val="28"/>
        </w:rPr>
        <w:fldChar w:fldCharType="end"/>
      </w:r>
    </w:p>
    <w:p w14:paraId="6200ABBB">
      <w:pPr>
        <w:pStyle w:val="28"/>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_Toc22890 </w:instrText>
      </w:r>
      <w:r>
        <w:rPr>
          <w:rFonts w:ascii="宋体" w:hAnsi="宋体" w:cstheme="minorHAnsi"/>
          <w:bCs/>
          <w:caps w:val="0"/>
          <w:smallCaps w:val="0"/>
          <w:szCs w:val="28"/>
        </w:rPr>
        <w:fldChar w:fldCharType="separate"/>
      </w:r>
      <w:r>
        <w:rPr>
          <w:rFonts w:hint="default" w:ascii="宋体" w:hAnsi="宋体" w:eastAsia="宋体" w:cs="宋体"/>
          <w:szCs w:val="24"/>
        </w:rPr>
        <w:t xml:space="preserve">3. </w:t>
      </w:r>
      <w:r>
        <w:rPr>
          <w:rFonts w:hint="eastAsia" w:ascii="宋体" w:hAnsi="宋体" w:eastAsia="宋体" w:cs="宋体"/>
          <w:szCs w:val="24"/>
        </w:rPr>
        <w:t>施工计划</w:t>
      </w:r>
      <w:r>
        <w:tab/>
      </w:r>
      <w:r>
        <w:fldChar w:fldCharType="begin"/>
      </w:r>
      <w:r>
        <w:instrText xml:space="preserve"> PAGEREF _Toc22890 \h </w:instrText>
      </w:r>
      <w:r>
        <w:fldChar w:fldCharType="separate"/>
      </w:r>
      <w:r>
        <w:t>14</w:t>
      </w:r>
      <w:r>
        <w:fldChar w:fldCharType="end"/>
      </w:r>
      <w:r>
        <w:rPr>
          <w:rFonts w:ascii="宋体" w:hAnsi="宋体" w:cstheme="minorHAnsi"/>
          <w:bCs/>
          <w:caps w:val="0"/>
          <w:smallCaps w:val="0"/>
          <w:szCs w:val="28"/>
        </w:rPr>
        <w:fldChar w:fldCharType="end"/>
      </w:r>
    </w:p>
    <w:p w14:paraId="42502DB7">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_Toc17693 </w:instrText>
      </w:r>
      <w:r>
        <w:rPr>
          <w:rFonts w:ascii="宋体" w:hAnsi="宋体" w:cstheme="minorHAnsi"/>
          <w:bCs/>
          <w:caps w:val="0"/>
          <w:smallCaps w:val="0"/>
          <w:szCs w:val="28"/>
        </w:rPr>
        <w:fldChar w:fldCharType="separate"/>
      </w:r>
      <w:r>
        <w:rPr>
          <w:rFonts w:hint="default" w:ascii="宋体" w:hAnsi="宋体" w:eastAsia="宋体" w:cs="宋体"/>
          <w:szCs w:val="24"/>
        </w:rPr>
        <w:t xml:space="preserve">3.1 </w:t>
      </w:r>
      <w:r>
        <w:rPr>
          <w:rFonts w:hint="eastAsia" w:ascii="宋体" w:hAnsi="宋体" w:eastAsia="宋体" w:cs="宋体"/>
          <w:szCs w:val="24"/>
        </w:rPr>
        <w:t>工程总体目标</w:t>
      </w:r>
      <w:r>
        <w:tab/>
      </w:r>
      <w:r>
        <w:fldChar w:fldCharType="begin"/>
      </w:r>
      <w:r>
        <w:instrText xml:space="preserve"> PAGEREF _Toc17693 \h </w:instrText>
      </w:r>
      <w:r>
        <w:fldChar w:fldCharType="separate"/>
      </w:r>
      <w:r>
        <w:t>14</w:t>
      </w:r>
      <w:r>
        <w:fldChar w:fldCharType="end"/>
      </w:r>
      <w:r>
        <w:rPr>
          <w:rFonts w:ascii="宋体" w:hAnsi="宋体" w:cstheme="minorHAnsi"/>
          <w:bCs/>
          <w:caps w:val="0"/>
          <w:smallCaps w:val="0"/>
          <w:szCs w:val="28"/>
        </w:rPr>
        <w:fldChar w:fldCharType="end"/>
      </w:r>
    </w:p>
    <w:p w14:paraId="71CE8C34">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_Toc2513 </w:instrText>
      </w:r>
      <w:r>
        <w:rPr>
          <w:rFonts w:ascii="宋体" w:hAnsi="宋体" w:cstheme="minorHAnsi"/>
          <w:bCs/>
          <w:caps w:val="0"/>
          <w:smallCaps w:val="0"/>
          <w:szCs w:val="28"/>
        </w:rPr>
        <w:fldChar w:fldCharType="separate"/>
      </w:r>
      <w:r>
        <w:rPr>
          <w:rFonts w:hint="default" w:ascii="宋体" w:hAnsi="宋体" w:eastAsia="宋体" w:cs="宋体"/>
          <w:szCs w:val="24"/>
        </w:rPr>
        <w:t xml:space="preserve">3.2 </w:t>
      </w:r>
      <w:r>
        <w:rPr>
          <w:rFonts w:hint="eastAsia" w:ascii="宋体" w:hAnsi="宋体" w:eastAsia="宋体" w:cs="宋体"/>
          <w:szCs w:val="24"/>
        </w:rPr>
        <w:t>施工进度计划</w:t>
      </w:r>
      <w:r>
        <w:tab/>
      </w:r>
      <w:r>
        <w:fldChar w:fldCharType="begin"/>
      </w:r>
      <w:r>
        <w:instrText xml:space="preserve"> PAGEREF _Toc2513 \h </w:instrText>
      </w:r>
      <w:r>
        <w:fldChar w:fldCharType="separate"/>
      </w:r>
      <w:r>
        <w:t>15</w:t>
      </w:r>
      <w:r>
        <w:fldChar w:fldCharType="end"/>
      </w:r>
      <w:r>
        <w:rPr>
          <w:rFonts w:ascii="宋体" w:hAnsi="宋体" w:cstheme="minorHAnsi"/>
          <w:bCs/>
          <w:caps w:val="0"/>
          <w:smallCaps w:val="0"/>
          <w:szCs w:val="28"/>
        </w:rPr>
        <w:fldChar w:fldCharType="end"/>
      </w:r>
    </w:p>
    <w:p w14:paraId="0DFC3570">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_Toc5563 </w:instrText>
      </w:r>
      <w:r>
        <w:rPr>
          <w:rFonts w:ascii="宋体" w:hAnsi="宋体" w:cstheme="minorHAnsi"/>
          <w:bCs/>
          <w:caps w:val="0"/>
          <w:smallCaps w:val="0"/>
          <w:szCs w:val="28"/>
        </w:rPr>
        <w:fldChar w:fldCharType="separate"/>
      </w:r>
      <w:r>
        <w:rPr>
          <w:rFonts w:hint="default" w:ascii="宋体" w:hAnsi="宋体" w:eastAsia="宋体" w:cs="宋体"/>
          <w:szCs w:val="24"/>
        </w:rPr>
        <w:t xml:space="preserve">3.3 </w:t>
      </w:r>
      <w:r>
        <w:rPr>
          <w:rFonts w:hint="eastAsia" w:ascii="宋体" w:hAnsi="宋体" w:eastAsia="宋体" w:cs="宋体"/>
          <w:szCs w:val="24"/>
        </w:rPr>
        <w:t>材料及设备计划</w:t>
      </w:r>
      <w:r>
        <w:tab/>
      </w:r>
      <w:r>
        <w:fldChar w:fldCharType="begin"/>
      </w:r>
      <w:r>
        <w:instrText xml:space="preserve"> PAGEREF _Toc5563 \h </w:instrText>
      </w:r>
      <w:r>
        <w:fldChar w:fldCharType="separate"/>
      </w:r>
      <w:r>
        <w:t>16</w:t>
      </w:r>
      <w:r>
        <w:fldChar w:fldCharType="end"/>
      </w:r>
      <w:r>
        <w:rPr>
          <w:rFonts w:ascii="宋体" w:hAnsi="宋体" w:cstheme="minorHAnsi"/>
          <w:bCs/>
          <w:caps w:val="0"/>
          <w:smallCaps w:val="0"/>
          <w:szCs w:val="28"/>
        </w:rPr>
        <w:fldChar w:fldCharType="end"/>
      </w:r>
    </w:p>
    <w:p w14:paraId="11FE5414">
      <w:pPr>
        <w:pStyle w:val="28"/>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_Toc20377 </w:instrText>
      </w:r>
      <w:r>
        <w:rPr>
          <w:rFonts w:ascii="宋体" w:hAnsi="宋体" w:cstheme="minorHAnsi"/>
          <w:bCs/>
          <w:caps w:val="0"/>
          <w:smallCaps w:val="0"/>
          <w:szCs w:val="28"/>
        </w:rPr>
        <w:fldChar w:fldCharType="separate"/>
      </w:r>
      <w:r>
        <w:rPr>
          <w:rFonts w:hint="default" w:ascii="宋体" w:hAnsi="宋体" w:eastAsia="宋体" w:cs="宋体"/>
          <w:szCs w:val="24"/>
        </w:rPr>
        <w:t xml:space="preserve">4. </w:t>
      </w:r>
      <w:r>
        <w:rPr>
          <w:rFonts w:hint="eastAsia" w:ascii="宋体" w:hAnsi="宋体" w:eastAsia="宋体" w:cs="宋体"/>
          <w:szCs w:val="24"/>
        </w:rPr>
        <w:t>施工工艺</w:t>
      </w:r>
      <w:r>
        <w:tab/>
      </w:r>
      <w:r>
        <w:fldChar w:fldCharType="begin"/>
      </w:r>
      <w:r>
        <w:instrText xml:space="preserve"> PAGEREF _Toc20377 \h </w:instrText>
      </w:r>
      <w:r>
        <w:fldChar w:fldCharType="separate"/>
      </w:r>
      <w:r>
        <w:t>17</w:t>
      </w:r>
      <w:r>
        <w:fldChar w:fldCharType="end"/>
      </w:r>
      <w:r>
        <w:rPr>
          <w:rFonts w:ascii="宋体" w:hAnsi="宋体" w:cstheme="minorHAnsi"/>
          <w:bCs/>
          <w:caps w:val="0"/>
          <w:smallCaps w:val="0"/>
          <w:szCs w:val="28"/>
        </w:rPr>
        <w:fldChar w:fldCharType="end"/>
      </w:r>
    </w:p>
    <w:p w14:paraId="794946AE">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_Toc1566 </w:instrText>
      </w:r>
      <w:r>
        <w:rPr>
          <w:rFonts w:ascii="宋体" w:hAnsi="宋体" w:cstheme="minorHAnsi"/>
          <w:bCs/>
          <w:caps w:val="0"/>
          <w:smallCaps w:val="0"/>
          <w:szCs w:val="28"/>
        </w:rPr>
        <w:fldChar w:fldCharType="separate"/>
      </w:r>
      <w:r>
        <w:rPr>
          <w:rFonts w:hint="default" w:ascii="宋体" w:hAnsi="宋体" w:eastAsia="宋体" w:cs="宋体"/>
          <w:szCs w:val="24"/>
        </w:rPr>
        <w:t xml:space="preserve">4.1 </w:t>
      </w:r>
      <w:r>
        <w:rPr>
          <w:rFonts w:hint="eastAsia" w:ascii="宋体" w:hAnsi="宋体" w:eastAsia="宋体" w:cs="宋体"/>
          <w:szCs w:val="24"/>
        </w:rPr>
        <w:t>塔吊</w:t>
      </w:r>
      <w:r>
        <w:rPr>
          <w:rFonts w:hint="eastAsia" w:cs="宋体"/>
          <w:szCs w:val="24"/>
          <w:lang w:eastAsia="zh-CN"/>
        </w:rPr>
        <w:t>拆除</w:t>
      </w:r>
      <w:r>
        <w:rPr>
          <w:rFonts w:hint="eastAsia" w:ascii="宋体" w:hAnsi="宋体" w:eastAsia="宋体" w:cs="宋体"/>
          <w:szCs w:val="24"/>
        </w:rPr>
        <w:t>施工工艺流程</w:t>
      </w:r>
      <w:r>
        <w:tab/>
      </w:r>
      <w:r>
        <w:fldChar w:fldCharType="begin"/>
      </w:r>
      <w:r>
        <w:instrText xml:space="preserve"> PAGEREF _Toc1566 \h </w:instrText>
      </w:r>
      <w:r>
        <w:fldChar w:fldCharType="separate"/>
      </w:r>
      <w:r>
        <w:t>17</w:t>
      </w:r>
      <w:r>
        <w:fldChar w:fldCharType="end"/>
      </w:r>
      <w:r>
        <w:rPr>
          <w:rFonts w:ascii="宋体" w:hAnsi="宋体" w:cstheme="minorHAnsi"/>
          <w:bCs/>
          <w:caps w:val="0"/>
          <w:smallCaps w:val="0"/>
          <w:szCs w:val="28"/>
        </w:rPr>
        <w:fldChar w:fldCharType="end"/>
      </w:r>
    </w:p>
    <w:p w14:paraId="13496617">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_Toc32606 </w:instrText>
      </w:r>
      <w:r>
        <w:rPr>
          <w:rFonts w:ascii="宋体" w:hAnsi="宋体" w:cstheme="minorHAnsi"/>
          <w:bCs/>
          <w:caps w:val="0"/>
          <w:smallCaps w:val="0"/>
          <w:szCs w:val="28"/>
        </w:rPr>
        <w:fldChar w:fldCharType="separate"/>
      </w:r>
      <w:r>
        <w:rPr>
          <w:rFonts w:hint="default" w:ascii="宋体" w:hAnsi="宋体" w:eastAsia="宋体" w:cs="宋体"/>
          <w:szCs w:val="24"/>
        </w:rPr>
        <w:t xml:space="preserve">4.2 </w:t>
      </w:r>
      <w:r>
        <w:rPr>
          <w:rFonts w:hint="eastAsia" w:ascii="宋体" w:hAnsi="宋体" w:eastAsia="宋体" w:cs="宋体"/>
          <w:szCs w:val="24"/>
        </w:rPr>
        <w:t>主要设备选型</w:t>
      </w:r>
      <w:r>
        <w:tab/>
      </w:r>
      <w:r>
        <w:fldChar w:fldCharType="begin"/>
      </w:r>
      <w:r>
        <w:instrText xml:space="preserve"> PAGEREF _Toc32606 \h </w:instrText>
      </w:r>
      <w:r>
        <w:fldChar w:fldCharType="separate"/>
      </w:r>
      <w:r>
        <w:t>17</w:t>
      </w:r>
      <w:r>
        <w:fldChar w:fldCharType="end"/>
      </w:r>
      <w:r>
        <w:rPr>
          <w:rFonts w:ascii="宋体" w:hAnsi="宋体" w:cstheme="minorHAnsi"/>
          <w:bCs/>
          <w:caps w:val="0"/>
          <w:smallCaps w:val="0"/>
          <w:szCs w:val="28"/>
        </w:rPr>
        <w:fldChar w:fldCharType="end"/>
      </w:r>
    </w:p>
    <w:p w14:paraId="086DB221">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_Toc8611 </w:instrText>
      </w:r>
      <w:r>
        <w:rPr>
          <w:rFonts w:ascii="宋体" w:hAnsi="宋体" w:cstheme="minorHAnsi"/>
          <w:bCs/>
          <w:caps w:val="0"/>
          <w:smallCaps w:val="0"/>
          <w:szCs w:val="28"/>
        </w:rPr>
        <w:fldChar w:fldCharType="separate"/>
      </w:r>
      <w:r>
        <w:rPr>
          <w:rFonts w:hint="default" w:ascii="宋体" w:hAnsi="宋体" w:eastAsia="宋体" w:cs="宋体"/>
          <w:szCs w:val="24"/>
        </w:rPr>
        <w:t xml:space="preserve">4.3 </w:t>
      </w:r>
      <w:r>
        <w:rPr>
          <w:rFonts w:hint="eastAsia" w:ascii="宋体" w:hAnsi="宋体" w:eastAsia="宋体" w:cs="宋体"/>
          <w:szCs w:val="24"/>
        </w:rPr>
        <w:t>塔吊</w:t>
      </w:r>
      <w:r>
        <w:rPr>
          <w:rFonts w:hint="eastAsia" w:cs="宋体"/>
          <w:szCs w:val="24"/>
          <w:lang w:eastAsia="zh-CN"/>
        </w:rPr>
        <w:t>拆除</w:t>
      </w:r>
      <w:r>
        <w:rPr>
          <w:rFonts w:hint="eastAsia" w:ascii="宋体" w:hAnsi="宋体" w:eastAsia="宋体" w:cs="宋体"/>
          <w:szCs w:val="24"/>
        </w:rPr>
        <w:t>前施工准备</w:t>
      </w:r>
      <w:r>
        <w:tab/>
      </w:r>
      <w:r>
        <w:fldChar w:fldCharType="begin"/>
      </w:r>
      <w:r>
        <w:instrText xml:space="preserve"> PAGEREF _Toc8611 \h </w:instrText>
      </w:r>
      <w:r>
        <w:fldChar w:fldCharType="separate"/>
      </w:r>
      <w:r>
        <w:t>20</w:t>
      </w:r>
      <w:r>
        <w:fldChar w:fldCharType="end"/>
      </w:r>
      <w:r>
        <w:rPr>
          <w:rFonts w:ascii="宋体" w:hAnsi="宋体" w:cstheme="minorHAnsi"/>
          <w:bCs/>
          <w:caps w:val="0"/>
          <w:smallCaps w:val="0"/>
          <w:szCs w:val="28"/>
        </w:rPr>
        <w:fldChar w:fldCharType="end"/>
      </w:r>
    </w:p>
    <w:p w14:paraId="789BB511">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_Toc9078 </w:instrText>
      </w:r>
      <w:r>
        <w:rPr>
          <w:rFonts w:ascii="宋体" w:hAnsi="宋体" w:cstheme="minorHAnsi"/>
          <w:bCs/>
          <w:caps w:val="0"/>
          <w:smallCaps w:val="0"/>
          <w:szCs w:val="28"/>
        </w:rPr>
        <w:fldChar w:fldCharType="separate"/>
      </w:r>
      <w:r>
        <w:rPr>
          <w:rFonts w:hint="default" w:ascii="宋体" w:hAnsi="宋体" w:eastAsia="宋体" w:cs="宋体"/>
          <w:szCs w:val="24"/>
        </w:rPr>
        <w:t xml:space="preserve">4.4 </w:t>
      </w:r>
      <w:r>
        <w:rPr>
          <w:rFonts w:hint="eastAsia" w:ascii="宋体" w:hAnsi="宋体" w:eastAsia="宋体" w:cs="宋体"/>
          <w:szCs w:val="24"/>
        </w:rPr>
        <w:t>塔吊</w:t>
      </w:r>
      <w:r>
        <w:rPr>
          <w:rFonts w:hint="eastAsia" w:cs="宋体"/>
          <w:szCs w:val="24"/>
          <w:lang w:eastAsia="zh-CN"/>
        </w:rPr>
        <w:t>拆除</w:t>
      </w:r>
      <w:r>
        <w:rPr>
          <w:rFonts w:hint="eastAsia" w:ascii="宋体" w:hAnsi="宋体" w:eastAsia="宋体" w:cs="宋体"/>
          <w:szCs w:val="24"/>
        </w:rPr>
        <w:t>具体步骤</w:t>
      </w:r>
      <w:r>
        <w:tab/>
      </w:r>
      <w:r>
        <w:fldChar w:fldCharType="begin"/>
      </w:r>
      <w:r>
        <w:instrText xml:space="preserve"> PAGEREF _Toc9078 \h </w:instrText>
      </w:r>
      <w:r>
        <w:fldChar w:fldCharType="separate"/>
      </w:r>
      <w:r>
        <w:t>21</w:t>
      </w:r>
      <w:r>
        <w:fldChar w:fldCharType="end"/>
      </w:r>
      <w:r>
        <w:rPr>
          <w:rFonts w:ascii="宋体" w:hAnsi="宋体" w:cstheme="minorHAnsi"/>
          <w:bCs/>
          <w:caps w:val="0"/>
          <w:smallCaps w:val="0"/>
          <w:szCs w:val="28"/>
        </w:rPr>
        <w:fldChar w:fldCharType="end"/>
      </w:r>
    </w:p>
    <w:p w14:paraId="056AB51B">
      <w:pPr>
        <w:pStyle w:val="28"/>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_Toc27658 </w:instrText>
      </w:r>
      <w:r>
        <w:rPr>
          <w:rFonts w:ascii="宋体" w:hAnsi="宋体" w:cstheme="minorHAnsi"/>
          <w:bCs/>
          <w:caps w:val="0"/>
          <w:smallCaps w:val="0"/>
          <w:szCs w:val="28"/>
        </w:rPr>
        <w:fldChar w:fldCharType="separate"/>
      </w:r>
      <w:r>
        <w:rPr>
          <w:rFonts w:hint="default" w:ascii="宋体" w:hAnsi="宋体" w:eastAsia="宋体" w:cs="宋体"/>
          <w:szCs w:val="24"/>
        </w:rPr>
        <w:t xml:space="preserve">5. </w:t>
      </w:r>
      <w:r>
        <w:rPr>
          <w:rFonts w:hint="eastAsia" w:ascii="宋体" w:hAnsi="宋体" w:eastAsia="宋体" w:cs="宋体"/>
          <w:szCs w:val="24"/>
        </w:rPr>
        <w:t>质量控制措施</w:t>
      </w:r>
      <w:r>
        <w:tab/>
      </w:r>
      <w:r>
        <w:fldChar w:fldCharType="begin"/>
      </w:r>
      <w:r>
        <w:instrText xml:space="preserve"> PAGEREF _Toc27658 \h </w:instrText>
      </w:r>
      <w:r>
        <w:fldChar w:fldCharType="separate"/>
      </w:r>
      <w:r>
        <w:t>31</w:t>
      </w:r>
      <w:r>
        <w:fldChar w:fldCharType="end"/>
      </w:r>
      <w:r>
        <w:rPr>
          <w:rFonts w:ascii="宋体" w:hAnsi="宋体" w:cstheme="minorHAnsi"/>
          <w:bCs/>
          <w:caps w:val="0"/>
          <w:smallCaps w:val="0"/>
          <w:szCs w:val="28"/>
        </w:rPr>
        <w:fldChar w:fldCharType="end"/>
      </w:r>
    </w:p>
    <w:p w14:paraId="1EB015BB">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_Toc20568 </w:instrText>
      </w:r>
      <w:r>
        <w:rPr>
          <w:rFonts w:ascii="宋体" w:hAnsi="宋体" w:cstheme="minorHAnsi"/>
          <w:bCs/>
          <w:caps w:val="0"/>
          <w:smallCaps w:val="0"/>
          <w:szCs w:val="28"/>
        </w:rPr>
        <w:fldChar w:fldCharType="separate"/>
      </w:r>
      <w:r>
        <w:rPr>
          <w:rFonts w:hint="default" w:ascii="宋体" w:hAnsi="宋体" w:eastAsia="宋体" w:cs="宋体"/>
          <w:szCs w:val="24"/>
        </w:rPr>
        <w:t xml:space="preserve">5.1 </w:t>
      </w:r>
      <w:r>
        <w:rPr>
          <w:rFonts w:hint="eastAsia" w:ascii="宋体" w:hAnsi="宋体" w:eastAsia="宋体" w:cs="宋体"/>
          <w:szCs w:val="24"/>
        </w:rPr>
        <w:t>质量通病及质量通病预防</w:t>
      </w:r>
      <w:r>
        <w:tab/>
      </w:r>
      <w:r>
        <w:fldChar w:fldCharType="begin"/>
      </w:r>
      <w:r>
        <w:instrText xml:space="preserve"> PAGEREF _Toc20568 \h </w:instrText>
      </w:r>
      <w:r>
        <w:fldChar w:fldCharType="separate"/>
      </w:r>
      <w:r>
        <w:t>31</w:t>
      </w:r>
      <w:r>
        <w:fldChar w:fldCharType="end"/>
      </w:r>
      <w:r>
        <w:rPr>
          <w:rFonts w:ascii="宋体" w:hAnsi="宋体" w:cstheme="minorHAnsi"/>
          <w:bCs/>
          <w:caps w:val="0"/>
          <w:smallCaps w:val="0"/>
          <w:szCs w:val="28"/>
        </w:rPr>
        <w:fldChar w:fldCharType="end"/>
      </w:r>
    </w:p>
    <w:p w14:paraId="4D3C6FC7">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_Toc12477 </w:instrText>
      </w:r>
      <w:r>
        <w:rPr>
          <w:rFonts w:ascii="宋体" w:hAnsi="宋体" w:cstheme="minorHAnsi"/>
          <w:bCs/>
          <w:caps w:val="0"/>
          <w:smallCaps w:val="0"/>
          <w:szCs w:val="28"/>
        </w:rPr>
        <w:fldChar w:fldCharType="separate"/>
      </w:r>
      <w:r>
        <w:rPr>
          <w:rFonts w:hint="default" w:ascii="宋体" w:hAnsi="宋体" w:eastAsia="宋体" w:cs="宋体"/>
          <w:szCs w:val="24"/>
        </w:rPr>
        <w:t xml:space="preserve">5.2 </w:t>
      </w:r>
      <w:r>
        <w:rPr>
          <w:rFonts w:hint="eastAsia" w:ascii="宋体" w:hAnsi="宋体" w:eastAsia="宋体" w:cs="宋体"/>
          <w:szCs w:val="24"/>
        </w:rPr>
        <w:t>质量保证措施</w:t>
      </w:r>
      <w:r>
        <w:tab/>
      </w:r>
      <w:r>
        <w:fldChar w:fldCharType="begin"/>
      </w:r>
      <w:r>
        <w:instrText xml:space="preserve"> PAGEREF _Toc12477 \h </w:instrText>
      </w:r>
      <w:r>
        <w:fldChar w:fldCharType="separate"/>
      </w:r>
      <w:r>
        <w:t>32</w:t>
      </w:r>
      <w:r>
        <w:fldChar w:fldCharType="end"/>
      </w:r>
      <w:r>
        <w:rPr>
          <w:rFonts w:ascii="宋体" w:hAnsi="宋体" w:cstheme="minorHAnsi"/>
          <w:bCs/>
          <w:caps w:val="0"/>
          <w:smallCaps w:val="0"/>
          <w:szCs w:val="28"/>
        </w:rPr>
        <w:fldChar w:fldCharType="end"/>
      </w:r>
    </w:p>
    <w:p w14:paraId="388DB641">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_Toc20817 </w:instrText>
      </w:r>
      <w:r>
        <w:rPr>
          <w:rFonts w:ascii="宋体" w:hAnsi="宋体" w:cstheme="minorHAnsi"/>
          <w:bCs/>
          <w:caps w:val="0"/>
          <w:smallCaps w:val="0"/>
          <w:szCs w:val="28"/>
        </w:rPr>
        <w:fldChar w:fldCharType="separate"/>
      </w:r>
      <w:r>
        <w:rPr>
          <w:rFonts w:hint="default" w:ascii="宋体" w:hAnsi="宋体" w:eastAsia="宋体" w:cs="宋体"/>
          <w:szCs w:val="24"/>
        </w:rPr>
        <w:t xml:space="preserve">5.3 </w:t>
      </w:r>
      <w:r>
        <w:rPr>
          <w:rFonts w:hint="eastAsia" w:ascii="宋体" w:hAnsi="宋体" w:eastAsia="宋体" w:cs="宋体"/>
          <w:szCs w:val="24"/>
        </w:rPr>
        <w:t>作业过程中控制点的设置</w:t>
      </w:r>
      <w:r>
        <w:tab/>
      </w:r>
      <w:r>
        <w:fldChar w:fldCharType="begin"/>
      </w:r>
      <w:r>
        <w:instrText xml:space="preserve"> PAGEREF _Toc20817 \h </w:instrText>
      </w:r>
      <w:r>
        <w:fldChar w:fldCharType="separate"/>
      </w:r>
      <w:r>
        <w:t>32</w:t>
      </w:r>
      <w:r>
        <w:fldChar w:fldCharType="end"/>
      </w:r>
      <w:r>
        <w:rPr>
          <w:rFonts w:ascii="宋体" w:hAnsi="宋体" w:cstheme="minorHAnsi"/>
          <w:bCs/>
          <w:caps w:val="0"/>
          <w:smallCaps w:val="0"/>
          <w:szCs w:val="28"/>
        </w:rPr>
        <w:fldChar w:fldCharType="end"/>
      </w:r>
    </w:p>
    <w:p w14:paraId="4A3C0FA9">
      <w:pPr>
        <w:pStyle w:val="28"/>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_Toc11577 </w:instrText>
      </w:r>
      <w:r>
        <w:rPr>
          <w:rFonts w:ascii="宋体" w:hAnsi="宋体" w:cstheme="minorHAnsi"/>
          <w:bCs/>
          <w:caps w:val="0"/>
          <w:smallCaps w:val="0"/>
          <w:szCs w:val="28"/>
        </w:rPr>
        <w:fldChar w:fldCharType="separate"/>
      </w:r>
      <w:r>
        <w:rPr>
          <w:rFonts w:hint="default" w:ascii="宋体" w:hAnsi="宋体" w:eastAsia="宋体" w:cs="宋体"/>
          <w:szCs w:val="24"/>
        </w:rPr>
        <w:t xml:space="preserve">6. </w:t>
      </w:r>
      <w:r>
        <w:rPr>
          <w:rFonts w:hint="eastAsia" w:ascii="宋体" w:hAnsi="宋体" w:eastAsia="宋体" w:cs="宋体"/>
          <w:szCs w:val="24"/>
        </w:rPr>
        <w:t>施工安全保障措施</w:t>
      </w:r>
      <w:r>
        <w:tab/>
      </w:r>
      <w:r>
        <w:fldChar w:fldCharType="begin"/>
      </w:r>
      <w:r>
        <w:instrText xml:space="preserve"> PAGEREF _Toc11577 \h </w:instrText>
      </w:r>
      <w:r>
        <w:fldChar w:fldCharType="separate"/>
      </w:r>
      <w:r>
        <w:t>32</w:t>
      </w:r>
      <w:r>
        <w:fldChar w:fldCharType="end"/>
      </w:r>
      <w:r>
        <w:rPr>
          <w:rFonts w:ascii="宋体" w:hAnsi="宋体" w:cstheme="minorHAnsi"/>
          <w:bCs/>
          <w:caps w:val="0"/>
          <w:smallCaps w:val="0"/>
          <w:szCs w:val="28"/>
        </w:rPr>
        <w:fldChar w:fldCharType="end"/>
      </w:r>
    </w:p>
    <w:p w14:paraId="1F21031F">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_Toc6086 </w:instrText>
      </w:r>
      <w:r>
        <w:rPr>
          <w:rFonts w:ascii="宋体" w:hAnsi="宋体" w:cstheme="minorHAnsi"/>
          <w:bCs/>
          <w:caps w:val="0"/>
          <w:smallCaps w:val="0"/>
          <w:szCs w:val="28"/>
        </w:rPr>
        <w:fldChar w:fldCharType="separate"/>
      </w:r>
      <w:r>
        <w:rPr>
          <w:rFonts w:hint="default" w:ascii="宋体" w:hAnsi="宋体" w:eastAsia="宋体" w:cs="宋体"/>
          <w:szCs w:val="24"/>
        </w:rPr>
        <w:t xml:space="preserve">6.1 </w:t>
      </w:r>
      <w:r>
        <w:rPr>
          <w:rFonts w:hint="eastAsia" w:ascii="宋体" w:hAnsi="宋体" w:eastAsia="宋体" w:cs="宋体"/>
          <w:szCs w:val="24"/>
        </w:rPr>
        <w:t>组织保障措施</w:t>
      </w:r>
      <w:r>
        <w:tab/>
      </w:r>
      <w:r>
        <w:fldChar w:fldCharType="begin"/>
      </w:r>
      <w:r>
        <w:instrText xml:space="preserve"> PAGEREF _Toc6086 \h </w:instrText>
      </w:r>
      <w:r>
        <w:fldChar w:fldCharType="separate"/>
      </w:r>
      <w:r>
        <w:t>33</w:t>
      </w:r>
      <w:r>
        <w:fldChar w:fldCharType="end"/>
      </w:r>
      <w:r>
        <w:rPr>
          <w:rFonts w:ascii="宋体" w:hAnsi="宋体" w:cstheme="minorHAnsi"/>
          <w:bCs/>
          <w:caps w:val="0"/>
          <w:smallCaps w:val="0"/>
          <w:szCs w:val="28"/>
        </w:rPr>
        <w:fldChar w:fldCharType="end"/>
      </w:r>
    </w:p>
    <w:p w14:paraId="6D37EA46">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_Toc30660 </w:instrText>
      </w:r>
      <w:r>
        <w:rPr>
          <w:rFonts w:ascii="宋体" w:hAnsi="宋体" w:cstheme="minorHAnsi"/>
          <w:bCs/>
          <w:caps w:val="0"/>
          <w:smallCaps w:val="0"/>
          <w:szCs w:val="28"/>
        </w:rPr>
        <w:fldChar w:fldCharType="separate"/>
      </w:r>
      <w:r>
        <w:rPr>
          <w:rFonts w:hint="default" w:ascii="宋体" w:hAnsi="宋体" w:eastAsia="宋体" w:cs="宋体"/>
          <w:szCs w:val="24"/>
        </w:rPr>
        <w:t xml:space="preserve">6.2 </w:t>
      </w:r>
      <w:r>
        <w:rPr>
          <w:rFonts w:hint="eastAsia" w:ascii="宋体" w:hAnsi="宋体" w:eastAsia="宋体" w:cs="宋体"/>
          <w:szCs w:val="24"/>
        </w:rPr>
        <w:t>施工安全技术措施</w:t>
      </w:r>
      <w:r>
        <w:tab/>
      </w:r>
      <w:r>
        <w:fldChar w:fldCharType="begin"/>
      </w:r>
      <w:r>
        <w:instrText xml:space="preserve"> PAGEREF _Toc30660 \h </w:instrText>
      </w:r>
      <w:r>
        <w:fldChar w:fldCharType="separate"/>
      </w:r>
      <w:r>
        <w:t>33</w:t>
      </w:r>
      <w:r>
        <w:fldChar w:fldCharType="end"/>
      </w:r>
      <w:r>
        <w:rPr>
          <w:rFonts w:ascii="宋体" w:hAnsi="宋体" w:cstheme="minorHAnsi"/>
          <w:bCs/>
          <w:caps w:val="0"/>
          <w:smallCaps w:val="0"/>
          <w:szCs w:val="28"/>
        </w:rPr>
        <w:fldChar w:fldCharType="end"/>
      </w:r>
    </w:p>
    <w:p w14:paraId="1F145C0E">
      <w:pPr>
        <w:pStyle w:val="28"/>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_Toc27021 </w:instrText>
      </w:r>
      <w:r>
        <w:rPr>
          <w:rFonts w:ascii="宋体" w:hAnsi="宋体" w:cstheme="minorHAnsi"/>
          <w:bCs/>
          <w:caps w:val="0"/>
          <w:smallCaps w:val="0"/>
          <w:szCs w:val="28"/>
        </w:rPr>
        <w:fldChar w:fldCharType="separate"/>
      </w:r>
      <w:r>
        <w:rPr>
          <w:rFonts w:hint="default" w:ascii="宋体" w:hAnsi="宋体" w:eastAsia="宋体" w:cs="宋体"/>
          <w:szCs w:val="24"/>
        </w:rPr>
        <w:t xml:space="preserve">7. </w:t>
      </w:r>
      <w:r>
        <w:rPr>
          <w:rFonts w:hint="eastAsia" w:ascii="宋体" w:hAnsi="宋体" w:eastAsia="宋体" w:cs="宋体"/>
          <w:szCs w:val="24"/>
        </w:rPr>
        <w:t>施工管理及作业人员配备和分工</w:t>
      </w:r>
      <w:r>
        <w:tab/>
      </w:r>
      <w:r>
        <w:fldChar w:fldCharType="begin"/>
      </w:r>
      <w:r>
        <w:instrText xml:space="preserve"> PAGEREF _Toc27021 \h </w:instrText>
      </w:r>
      <w:r>
        <w:fldChar w:fldCharType="separate"/>
      </w:r>
      <w:r>
        <w:t>46</w:t>
      </w:r>
      <w:r>
        <w:fldChar w:fldCharType="end"/>
      </w:r>
      <w:r>
        <w:rPr>
          <w:rFonts w:ascii="宋体" w:hAnsi="宋体" w:cstheme="minorHAnsi"/>
          <w:bCs/>
          <w:caps w:val="0"/>
          <w:smallCaps w:val="0"/>
          <w:szCs w:val="28"/>
        </w:rPr>
        <w:fldChar w:fldCharType="end"/>
      </w:r>
    </w:p>
    <w:p w14:paraId="7B0571AF">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_Toc19672 </w:instrText>
      </w:r>
      <w:r>
        <w:rPr>
          <w:rFonts w:ascii="宋体" w:hAnsi="宋体" w:cstheme="minorHAnsi"/>
          <w:bCs/>
          <w:caps w:val="0"/>
          <w:smallCaps w:val="0"/>
          <w:szCs w:val="28"/>
        </w:rPr>
        <w:fldChar w:fldCharType="separate"/>
      </w:r>
      <w:r>
        <w:rPr>
          <w:rFonts w:hint="default" w:ascii="宋体" w:hAnsi="宋体" w:eastAsia="宋体" w:cs="宋体"/>
          <w:szCs w:val="24"/>
        </w:rPr>
        <w:t xml:space="preserve">7.1 </w:t>
      </w:r>
      <w:r>
        <w:rPr>
          <w:rFonts w:hint="eastAsia" w:ascii="宋体" w:hAnsi="宋体" w:eastAsia="宋体" w:cs="宋体"/>
          <w:szCs w:val="24"/>
        </w:rPr>
        <w:t>施工管理人员配备和分工</w:t>
      </w:r>
      <w:r>
        <w:tab/>
      </w:r>
      <w:r>
        <w:fldChar w:fldCharType="begin"/>
      </w:r>
      <w:r>
        <w:instrText xml:space="preserve"> PAGEREF _Toc19672 \h </w:instrText>
      </w:r>
      <w:r>
        <w:fldChar w:fldCharType="separate"/>
      </w:r>
      <w:r>
        <w:t>46</w:t>
      </w:r>
      <w:r>
        <w:fldChar w:fldCharType="end"/>
      </w:r>
      <w:r>
        <w:rPr>
          <w:rFonts w:ascii="宋体" w:hAnsi="宋体" w:cstheme="minorHAnsi"/>
          <w:bCs/>
          <w:caps w:val="0"/>
          <w:smallCaps w:val="0"/>
          <w:szCs w:val="28"/>
        </w:rPr>
        <w:fldChar w:fldCharType="end"/>
      </w:r>
    </w:p>
    <w:p w14:paraId="672E9551">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_Toc28464 </w:instrText>
      </w:r>
      <w:r>
        <w:rPr>
          <w:rFonts w:ascii="宋体" w:hAnsi="宋体" w:cstheme="minorHAnsi"/>
          <w:bCs/>
          <w:caps w:val="0"/>
          <w:smallCaps w:val="0"/>
          <w:szCs w:val="28"/>
        </w:rPr>
        <w:fldChar w:fldCharType="separate"/>
      </w:r>
      <w:r>
        <w:rPr>
          <w:rFonts w:hint="default" w:ascii="宋体" w:hAnsi="宋体" w:eastAsia="宋体" w:cs="宋体"/>
          <w:szCs w:val="24"/>
        </w:rPr>
        <w:t xml:space="preserve">7.2 </w:t>
      </w:r>
      <w:r>
        <w:rPr>
          <w:rFonts w:hint="eastAsia" w:ascii="宋体" w:hAnsi="宋体" w:eastAsia="宋体" w:cs="宋体"/>
          <w:szCs w:val="24"/>
        </w:rPr>
        <w:t>专职安全生产管理人员配备和分工</w:t>
      </w:r>
      <w:r>
        <w:tab/>
      </w:r>
      <w:r>
        <w:fldChar w:fldCharType="begin"/>
      </w:r>
      <w:r>
        <w:instrText xml:space="preserve"> PAGEREF _Toc28464 \h </w:instrText>
      </w:r>
      <w:r>
        <w:fldChar w:fldCharType="separate"/>
      </w:r>
      <w:r>
        <w:t>46</w:t>
      </w:r>
      <w:r>
        <w:fldChar w:fldCharType="end"/>
      </w:r>
      <w:r>
        <w:rPr>
          <w:rFonts w:ascii="宋体" w:hAnsi="宋体" w:cstheme="minorHAnsi"/>
          <w:bCs/>
          <w:caps w:val="0"/>
          <w:smallCaps w:val="0"/>
          <w:szCs w:val="28"/>
        </w:rPr>
        <w:fldChar w:fldCharType="end"/>
      </w:r>
    </w:p>
    <w:p w14:paraId="3A2A8E00">
      <w:pPr>
        <w:pStyle w:val="28"/>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_Toc240 </w:instrText>
      </w:r>
      <w:r>
        <w:rPr>
          <w:rFonts w:ascii="宋体" w:hAnsi="宋体" w:cstheme="minorHAnsi"/>
          <w:bCs/>
          <w:caps w:val="0"/>
          <w:smallCaps w:val="0"/>
          <w:szCs w:val="28"/>
        </w:rPr>
        <w:fldChar w:fldCharType="separate"/>
      </w:r>
      <w:r>
        <w:rPr>
          <w:rFonts w:hint="default" w:ascii="宋体" w:hAnsi="宋体" w:eastAsia="宋体" w:cs="宋体"/>
          <w:szCs w:val="24"/>
        </w:rPr>
        <w:t xml:space="preserve">8. </w:t>
      </w:r>
      <w:r>
        <w:rPr>
          <w:rFonts w:hint="eastAsia" w:ascii="宋体" w:hAnsi="宋体" w:eastAsia="宋体" w:cs="宋体"/>
          <w:szCs w:val="24"/>
        </w:rPr>
        <w:t>验收要求</w:t>
      </w:r>
      <w:r>
        <w:tab/>
      </w:r>
      <w:r>
        <w:fldChar w:fldCharType="begin"/>
      </w:r>
      <w:r>
        <w:instrText xml:space="preserve"> PAGEREF _Toc240 \h </w:instrText>
      </w:r>
      <w:r>
        <w:fldChar w:fldCharType="separate"/>
      </w:r>
      <w:r>
        <w:t>47</w:t>
      </w:r>
      <w:r>
        <w:fldChar w:fldCharType="end"/>
      </w:r>
      <w:r>
        <w:rPr>
          <w:rFonts w:ascii="宋体" w:hAnsi="宋体" w:cstheme="minorHAnsi"/>
          <w:bCs/>
          <w:caps w:val="0"/>
          <w:smallCaps w:val="0"/>
          <w:szCs w:val="28"/>
        </w:rPr>
        <w:fldChar w:fldCharType="end"/>
      </w:r>
    </w:p>
    <w:p w14:paraId="65E33249">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_Toc2316 </w:instrText>
      </w:r>
      <w:r>
        <w:rPr>
          <w:rFonts w:ascii="宋体" w:hAnsi="宋体" w:cstheme="minorHAnsi"/>
          <w:bCs/>
          <w:caps w:val="0"/>
          <w:smallCaps w:val="0"/>
          <w:szCs w:val="28"/>
        </w:rPr>
        <w:fldChar w:fldCharType="separate"/>
      </w:r>
      <w:r>
        <w:rPr>
          <w:rFonts w:hint="default" w:ascii="宋体" w:hAnsi="宋体" w:eastAsia="宋体" w:cs="宋体"/>
          <w:szCs w:val="24"/>
        </w:rPr>
        <w:t xml:space="preserve">8.1 </w:t>
      </w:r>
      <w:r>
        <w:rPr>
          <w:rFonts w:hint="eastAsia" w:ascii="宋体" w:hAnsi="宋体" w:eastAsia="宋体" w:cs="宋体"/>
          <w:szCs w:val="24"/>
        </w:rPr>
        <w:t>验收标准</w:t>
      </w:r>
      <w:r>
        <w:tab/>
      </w:r>
      <w:r>
        <w:fldChar w:fldCharType="begin"/>
      </w:r>
      <w:r>
        <w:instrText xml:space="preserve"> PAGEREF _Toc2316 \h </w:instrText>
      </w:r>
      <w:r>
        <w:fldChar w:fldCharType="separate"/>
      </w:r>
      <w:r>
        <w:t>47</w:t>
      </w:r>
      <w:r>
        <w:fldChar w:fldCharType="end"/>
      </w:r>
      <w:r>
        <w:rPr>
          <w:rFonts w:ascii="宋体" w:hAnsi="宋体" w:cstheme="minorHAnsi"/>
          <w:bCs/>
          <w:caps w:val="0"/>
          <w:smallCaps w:val="0"/>
          <w:szCs w:val="28"/>
        </w:rPr>
        <w:fldChar w:fldCharType="end"/>
      </w:r>
    </w:p>
    <w:p w14:paraId="7E071AC5">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_Toc399 </w:instrText>
      </w:r>
      <w:r>
        <w:rPr>
          <w:rFonts w:ascii="宋体" w:hAnsi="宋体" w:cstheme="minorHAnsi"/>
          <w:bCs/>
          <w:caps w:val="0"/>
          <w:smallCaps w:val="0"/>
          <w:szCs w:val="28"/>
        </w:rPr>
        <w:fldChar w:fldCharType="separate"/>
      </w:r>
      <w:r>
        <w:rPr>
          <w:rFonts w:hint="default" w:ascii="宋体" w:hAnsi="宋体" w:eastAsia="宋体" w:cs="宋体"/>
          <w:szCs w:val="24"/>
        </w:rPr>
        <w:t xml:space="preserve">8.2 </w:t>
      </w:r>
      <w:r>
        <w:rPr>
          <w:rFonts w:hint="eastAsia" w:ascii="宋体" w:hAnsi="宋体" w:eastAsia="宋体" w:cs="宋体"/>
          <w:szCs w:val="24"/>
        </w:rPr>
        <w:t>验收程序和使用登记程序</w:t>
      </w:r>
      <w:r>
        <w:tab/>
      </w:r>
      <w:r>
        <w:fldChar w:fldCharType="begin"/>
      </w:r>
      <w:r>
        <w:instrText xml:space="preserve"> PAGEREF _Toc399 \h </w:instrText>
      </w:r>
      <w:r>
        <w:fldChar w:fldCharType="separate"/>
      </w:r>
      <w:r>
        <w:t>48</w:t>
      </w:r>
      <w:r>
        <w:fldChar w:fldCharType="end"/>
      </w:r>
      <w:r>
        <w:rPr>
          <w:rFonts w:ascii="宋体" w:hAnsi="宋体" w:cstheme="minorHAnsi"/>
          <w:bCs/>
          <w:caps w:val="0"/>
          <w:smallCaps w:val="0"/>
          <w:szCs w:val="28"/>
        </w:rPr>
        <w:fldChar w:fldCharType="end"/>
      </w:r>
    </w:p>
    <w:p w14:paraId="5FFC5795">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_Toc19121 </w:instrText>
      </w:r>
      <w:r>
        <w:rPr>
          <w:rFonts w:ascii="宋体" w:hAnsi="宋体" w:cstheme="minorHAnsi"/>
          <w:bCs/>
          <w:caps w:val="0"/>
          <w:smallCaps w:val="0"/>
          <w:szCs w:val="28"/>
        </w:rPr>
        <w:fldChar w:fldCharType="separate"/>
      </w:r>
      <w:r>
        <w:rPr>
          <w:rFonts w:hint="default" w:ascii="宋体" w:hAnsi="宋体" w:eastAsia="宋体" w:cs="宋体"/>
          <w:szCs w:val="24"/>
        </w:rPr>
        <w:t xml:space="preserve">8.3 </w:t>
      </w:r>
      <w:r>
        <w:rPr>
          <w:rFonts w:hint="eastAsia" w:ascii="宋体" w:hAnsi="宋体" w:eastAsia="宋体" w:cs="宋体"/>
          <w:szCs w:val="24"/>
        </w:rPr>
        <w:t>验收内容</w:t>
      </w:r>
      <w:r>
        <w:tab/>
      </w:r>
      <w:r>
        <w:fldChar w:fldCharType="begin"/>
      </w:r>
      <w:r>
        <w:instrText xml:space="preserve"> PAGEREF _Toc19121 \h </w:instrText>
      </w:r>
      <w:r>
        <w:fldChar w:fldCharType="separate"/>
      </w:r>
      <w:r>
        <w:t>48</w:t>
      </w:r>
      <w:r>
        <w:fldChar w:fldCharType="end"/>
      </w:r>
      <w:r>
        <w:rPr>
          <w:rFonts w:ascii="宋体" w:hAnsi="宋体" w:cstheme="minorHAnsi"/>
          <w:bCs/>
          <w:caps w:val="0"/>
          <w:smallCaps w:val="0"/>
          <w:szCs w:val="28"/>
        </w:rPr>
        <w:fldChar w:fldCharType="end"/>
      </w:r>
    </w:p>
    <w:p w14:paraId="24CB3AE2">
      <w:pPr>
        <w:pStyle w:val="28"/>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_Toc26559 </w:instrText>
      </w:r>
      <w:r>
        <w:rPr>
          <w:rFonts w:ascii="宋体" w:hAnsi="宋体" w:cstheme="minorHAnsi"/>
          <w:bCs/>
          <w:caps w:val="0"/>
          <w:smallCaps w:val="0"/>
          <w:szCs w:val="28"/>
        </w:rPr>
        <w:fldChar w:fldCharType="separate"/>
      </w:r>
      <w:r>
        <w:rPr>
          <w:rFonts w:hint="default" w:ascii="宋体" w:hAnsi="宋体" w:eastAsia="宋体" w:cs="宋体"/>
          <w:szCs w:val="24"/>
        </w:rPr>
        <w:t xml:space="preserve">9. </w:t>
      </w:r>
      <w:r>
        <w:rPr>
          <w:rFonts w:hint="eastAsia" w:ascii="宋体" w:hAnsi="宋体" w:eastAsia="宋体" w:cs="宋体"/>
          <w:szCs w:val="24"/>
        </w:rPr>
        <w:t>应急处置措施</w:t>
      </w:r>
      <w:r>
        <w:tab/>
      </w:r>
      <w:r>
        <w:fldChar w:fldCharType="begin"/>
      </w:r>
      <w:r>
        <w:instrText xml:space="preserve"> PAGEREF _Toc26559 \h </w:instrText>
      </w:r>
      <w:r>
        <w:fldChar w:fldCharType="separate"/>
      </w:r>
      <w:r>
        <w:t>55</w:t>
      </w:r>
      <w:r>
        <w:fldChar w:fldCharType="end"/>
      </w:r>
      <w:r>
        <w:rPr>
          <w:rFonts w:ascii="宋体" w:hAnsi="宋体" w:cstheme="minorHAnsi"/>
          <w:bCs/>
          <w:caps w:val="0"/>
          <w:smallCaps w:val="0"/>
          <w:szCs w:val="28"/>
        </w:rPr>
        <w:fldChar w:fldCharType="end"/>
      </w:r>
    </w:p>
    <w:p w14:paraId="549C8280">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_Toc13800 </w:instrText>
      </w:r>
      <w:r>
        <w:rPr>
          <w:rFonts w:ascii="宋体" w:hAnsi="宋体" w:cstheme="minorHAnsi"/>
          <w:bCs/>
          <w:caps w:val="0"/>
          <w:smallCaps w:val="0"/>
          <w:szCs w:val="28"/>
        </w:rPr>
        <w:fldChar w:fldCharType="separate"/>
      </w:r>
      <w:r>
        <w:rPr>
          <w:rFonts w:hint="default" w:ascii="宋体" w:hAnsi="宋体" w:eastAsia="宋体" w:cs="宋体"/>
          <w:szCs w:val="24"/>
        </w:rPr>
        <w:t xml:space="preserve">9.1 </w:t>
      </w:r>
      <w:r>
        <w:rPr>
          <w:rFonts w:hint="eastAsia" w:ascii="宋体" w:hAnsi="宋体" w:eastAsia="宋体" w:cs="宋体"/>
          <w:szCs w:val="24"/>
        </w:rPr>
        <w:t>风险源辨识及分析</w:t>
      </w:r>
      <w:r>
        <w:tab/>
      </w:r>
      <w:r>
        <w:fldChar w:fldCharType="begin"/>
      </w:r>
      <w:r>
        <w:instrText xml:space="preserve"> PAGEREF _Toc13800 \h </w:instrText>
      </w:r>
      <w:r>
        <w:fldChar w:fldCharType="separate"/>
      </w:r>
      <w:r>
        <w:t>55</w:t>
      </w:r>
      <w:r>
        <w:fldChar w:fldCharType="end"/>
      </w:r>
      <w:r>
        <w:rPr>
          <w:rFonts w:ascii="宋体" w:hAnsi="宋体" w:cstheme="minorHAnsi"/>
          <w:bCs/>
          <w:caps w:val="0"/>
          <w:smallCaps w:val="0"/>
          <w:szCs w:val="28"/>
        </w:rPr>
        <w:fldChar w:fldCharType="end"/>
      </w:r>
    </w:p>
    <w:p w14:paraId="05F67F7C">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_Toc28512 </w:instrText>
      </w:r>
      <w:r>
        <w:rPr>
          <w:rFonts w:ascii="宋体" w:hAnsi="宋体" w:cstheme="minorHAnsi"/>
          <w:bCs/>
          <w:caps w:val="0"/>
          <w:smallCaps w:val="0"/>
          <w:szCs w:val="28"/>
        </w:rPr>
        <w:fldChar w:fldCharType="separate"/>
      </w:r>
      <w:r>
        <w:rPr>
          <w:rFonts w:hint="default" w:ascii="宋体" w:hAnsi="宋体" w:eastAsia="宋体" w:cs="宋体"/>
          <w:szCs w:val="24"/>
        </w:rPr>
        <w:t xml:space="preserve">9.2 </w:t>
      </w:r>
      <w:r>
        <w:rPr>
          <w:rFonts w:hint="eastAsia" w:ascii="宋体" w:hAnsi="宋体" w:eastAsia="宋体" w:cs="宋体"/>
          <w:szCs w:val="24"/>
        </w:rPr>
        <w:t>组织机构</w:t>
      </w:r>
      <w:r>
        <w:tab/>
      </w:r>
      <w:r>
        <w:fldChar w:fldCharType="begin"/>
      </w:r>
      <w:r>
        <w:instrText xml:space="preserve"> PAGEREF _Toc28512 \h </w:instrText>
      </w:r>
      <w:r>
        <w:fldChar w:fldCharType="separate"/>
      </w:r>
      <w:r>
        <w:t>64</w:t>
      </w:r>
      <w:r>
        <w:fldChar w:fldCharType="end"/>
      </w:r>
      <w:r>
        <w:rPr>
          <w:rFonts w:ascii="宋体" w:hAnsi="宋体" w:cstheme="minorHAnsi"/>
          <w:bCs/>
          <w:caps w:val="0"/>
          <w:smallCaps w:val="0"/>
          <w:szCs w:val="28"/>
        </w:rPr>
        <w:fldChar w:fldCharType="end"/>
      </w:r>
    </w:p>
    <w:p w14:paraId="4C3FB8D6">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_Toc23373 </w:instrText>
      </w:r>
      <w:r>
        <w:rPr>
          <w:rFonts w:ascii="宋体" w:hAnsi="宋体" w:cstheme="minorHAnsi"/>
          <w:bCs/>
          <w:caps w:val="0"/>
          <w:smallCaps w:val="0"/>
          <w:szCs w:val="28"/>
        </w:rPr>
        <w:fldChar w:fldCharType="separate"/>
      </w:r>
      <w:r>
        <w:rPr>
          <w:rFonts w:hint="default" w:ascii="宋体" w:hAnsi="宋体" w:eastAsia="宋体" w:cs="宋体"/>
          <w:szCs w:val="24"/>
        </w:rPr>
        <w:t xml:space="preserve">9.3 </w:t>
      </w:r>
      <w:r>
        <w:rPr>
          <w:rFonts w:hint="eastAsia" w:ascii="宋体" w:hAnsi="宋体" w:eastAsia="宋体" w:cs="宋体"/>
          <w:szCs w:val="24"/>
        </w:rPr>
        <w:t>处置流程</w:t>
      </w:r>
      <w:r>
        <w:tab/>
      </w:r>
      <w:r>
        <w:fldChar w:fldCharType="begin"/>
      </w:r>
      <w:r>
        <w:instrText xml:space="preserve"> PAGEREF _Toc23373 \h </w:instrText>
      </w:r>
      <w:r>
        <w:fldChar w:fldCharType="separate"/>
      </w:r>
      <w:r>
        <w:t>66</w:t>
      </w:r>
      <w:r>
        <w:fldChar w:fldCharType="end"/>
      </w:r>
      <w:r>
        <w:rPr>
          <w:rFonts w:ascii="宋体" w:hAnsi="宋体" w:cstheme="minorHAnsi"/>
          <w:bCs/>
          <w:caps w:val="0"/>
          <w:smallCaps w:val="0"/>
          <w:szCs w:val="28"/>
        </w:rPr>
        <w:fldChar w:fldCharType="end"/>
      </w:r>
    </w:p>
    <w:p w14:paraId="02088A48">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_Toc501 </w:instrText>
      </w:r>
      <w:r>
        <w:rPr>
          <w:rFonts w:ascii="宋体" w:hAnsi="宋体" w:cstheme="minorHAnsi"/>
          <w:bCs/>
          <w:caps w:val="0"/>
          <w:smallCaps w:val="0"/>
          <w:szCs w:val="28"/>
        </w:rPr>
        <w:fldChar w:fldCharType="separate"/>
      </w:r>
      <w:r>
        <w:rPr>
          <w:rFonts w:hint="default" w:ascii="宋体" w:hAnsi="宋体" w:eastAsia="宋体" w:cs="宋体"/>
          <w:szCs w:val="24"/>
        </w:rPr>
        <w:t xml:space="preserve">9.4 </w:t>
      </w:r>
      <w:r>
        <w:rPr>
          <w:rFonts w:hint="eastAsia" w:ascii="宋体" w:hAnsi="宋体" w:eastAsia="宋体" w:cs="宋体"/>
          <w:szCs w:val="24"/>
        </w:rPr>
        <w:t>应急处置措施</w:t>
      </w:r>
      <w:r>
        <w:tab/>
      </w:r>
      <w:r>
        <w:fldChar w:fldCharType="begin"/>
      </w:r>
      <w:r>
        <w:instrText xml:space="preserve"> PAGEREF _Toc501 \h </w:instrText>
      </w:r>
      <w:r>
        <w:fldChar w:fldCharType="separate"/>
      </w:r>
      <w:r>
        <w:t>68</w:t>
      </w:r>
      <w:r>
        <w:fldChar w:fldCharType="end"/>
      </w:r>
      <w:r>
        <w:rPr>
          <w:rFonts w:ascii="宋体" w:hAnsi="宋体" w:cstheme="minorHAnsi"/>
          <w:bCs/>
          <w:caps w:val="0"/>
          <w:smallCaps w:val="0"/>
          <w:szCs w:val="28"/>
        </w:rPr>
        <w:fldChar w:fldCharType="end"/>
      </w:r>
    </w:p>
    <w:p w14:paraId="0CBC6BBF">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_Toc29796 </w:instrText>
      </w:r>
      <w:r>
        <w:rPr>
          <w:rFonts w:ascii="宋体" w:hAnsi="宋体" w:cstheme="minorHAnsi"/>
          <w:bCs/>
          <w:caps w:val="0"/>
          <w:smallCaps w:val="0"/>
          <w:szCs w:val="28"/>
        </w:rPr>
        <w:fldChar w:fldCharType="separate"/>
      </w:r>
      <w:r>
        <w:rPr>
          <w:rFonts w:hint="default" w:ascii="宋体" w:hAnsi="宋体" w:eastAsia="宋体" w:cs="宋体"/>
          <w:szCs w:val="24"/>
        </w:rPr>
        <w:t xml:space="preserve">9.5 </w:t>
      </w:r>
      <w:r>
        <w:rPr>
          <w:rFonts w:hint="eastAsia" w:ascii="宋体" w:hAnsi="宋体" w:eastAsia="宋体" w:cs="宋体"/>
          <w:szCs w:val="24"/>
        </w:rPr>
        <w:t>应急车辆、物资及设备</w:t>
      </w:r>
      <w:r>
        <w:tab/>
      </w:r>
      <w:r>
        <w:fldChar w:fldCharType="begin"/>
      </w:r>
      <w:r>
        <w:instrText xml:space="preserve"> PAGEREF _Toc29796 \h </w:instrText>
      </w:r>
      <w:r>
        <w:fldChar w:fldCharType="separate"/>
      </w:r>
      <w:r>
        <w:t>72</w:t>
      </w:r>
      <w:r>
        <w:fldChar w:fldCharType="end"/>
      </w:r>
      <w:r>
        <w:rPr>
          <w:rFonts w:ascii="宋体" w:hAnsi="宋体" w:cstheme="minorHAnsi"/>
          <w:bCs/>
          <w:caps w:val="0"/>
          <w:smallCaps w:val="0"/>
          <w:szCs w:val="28"/>
        </w:rPr>
        <w:fldChar w:fldCharType="end"/>
      </w:r>
    </w:p>
    <w:p w14:paraId="3D0B6F45">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_Toc14547 </w:instrText>
      </w:r>
      <w:r>
        <w:rPr>
          <w:rFonts w:ascii="宋体" w:hAnsi="宋体" w:cstheme="minorHAnsi"/>
          <w:bCs/>
          <w:caps w:val="0"/>
          <w:smallCaps w:val="0"/>
          <w:szCs w:val="28"/>
        </w:rPr>
        <w:fldChar w:fldCharType="separate"/>
      </w:r>
      <w:r>
        <w:rPr>
          <w:rFonts w:hint="default" w:ascii="宋体" w:hAnsi="宋体" w:eastAsia="宋体" w:cs="宋体"/>
          <w:szCs w:val="24"/>
        </w:rPr>
        <w:t xml:space="preserve">9.6 </w:t>
      </w:r>
      <w:r>
        <w:rPr>
          <w:rFonts w:hint="eastAsia" w:ascii="宋体" w:hAnsi="宋体" w:eastAsia="宋体" w:cs="宋体"/>
          <w:szCs w:val="24"/>
        </w:rPr>
        <w:t>应急医院及线路图</w:t>
      </w:r>
      <w:r>
        <w:tab/>
      </w:r>
      <w:r>
        <w:fldChar w:fldCharType="begin"/>
      </w:r>
      <w:r>
        <w:instrText xml:space="preserve"> PAGEREF _Toc14547 \h </w:instrText>
      </w:r>
      <w:r>
        <w:fldChar w:fldCharType="separate"/>
      </w:r>
      <w:r>
        <w:t>73</w:t>
      </w:r>
      <w:r>
        <w:fldChar w:fldCharType="end"/>
      </w:r>
      <w:r>
        <w:rPr>
          <w:rFonts w:ascii="宋体" w:hAnsi="宋体" w:cstheme="minorHAnsi"/>
          <w:bCs/>
          <w:caps w:val="0"/>
          <w:smallCaps w:val="0"/>
          <w:szCs w:val="28"/>
        </w:rPr>
        <w:fldChar w:fldCharType="end"/>
      </w:r>
    </w:p>
    <w:p w14:paraId="217341D2">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_Toc27525 </w:instrText>
      </w:r>
      <w:r>
        <w:rPr>
          <w:rFonts w:ascii="宋体" w:hAnsi="宋体" w:cstheme="minorHAnsi"/>
          <w:bCs/>
          <w:caps w:val="0"/>
          <w:smallCaps w:val="0"/>
          <w:szCs w:val="28"/>
        </w:rPr>
        <w:fldChar w:fldCharType="separate"/>
      </w:r>
      <w:r>
        <w:rPr>
          <w:rFonts w:hint="default" w:ascii="宋体" w:hAnsi="宋体" w:eastAsia="宋体" w:cs="宋体"/>
          <w:szCs w:val="24"/>
        </w:rPr>
        <w:t xml:space="preserve">9.7 </w:t>
      </w:r>
      <w:r>
        <w:rPr>
          <w:rFonts w:hint="eastAsia" w:ascii="宋体" w:hAnsi="宋体" w:eastAsia="宋体" w:cs="宋体"/>
          <w:szCs w:val="24"/>
        </w:rPr>
        <w:t>事故善后及恢复生产</w:t>
      </w:r>
      <w:r>
        <w:tab/>
      </w:r>
      <w:r>
        <w:fldChar w:fldCharType="begin"/>
      </w:r>
      <w:r>
        <w:instrText xml:space="preserve"> PAGEREF _Toc27525 \h </w:instrText>
      </w:r>
      <w:r>
        <w:fldChar w:fldCharType="separate"/>
      </w:r>
      <w:r>
        <w:t>74</w:t>
      </w:r>
      <w:r>
        <w:fldChar w:fldCharType="end"/>
      </w:r>
      <w:r>
        <w:rPr>
          <w:rFonts w:ascii="宋体" w:hAnsi="宋体" w:cstheme="minorHAnsi"/>
          <w:bCs/>
          <w:caps w:val="0"/>
          <w:smallCaps w:val="0"/>
          <w:szCs w:val="28"/>
        </w:rPr>
        <w:fldChar w:fldCharType="end"/>
      </w:r>
    </w:p>
    <w:p w14:paraId="770D5CC8">
      <w:pPr>
        <w:pStyle w:val="28"/>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_Toc6625 </w:instrText>
      </w:r>
      <w:r>
        <w:rPr>
          <w:rFonts w:ascii="宋体" w:hAnsi="宋体" w:cstheme="minorHAnsi"/>
          <w:bCs/>
          <w:caps w:val="0"/>
          <w:smallCaps w:val="0"/>
          <w:szCs w:val="28"/>
        </w:rPr>
        <w:fldChar w:fldCharType="separate"/>
      </w:r>
      <w:r>
        <w:rPr>
          <w:rFonts w:hint="default" w:ascii="宋体" w:hAnsi="宋体" w:eastAsia="宋体" w:cs="宋体"/>
          <w:szCs w:val="24"/>
        </w:rPr>
        <w:t xml:space="preserve">10. </w:t>
      </w:r>
      <w:r>
        <w:rPr>
          <w:rFonts w:hint="eastAsia" w:ascii="宋体" w:hAnsi="宋体" w:eastAsia="宋体" w:cs="宋体"/>
          <w:szCs w:val="24"/>
        </w:rPr>
        <w:t>绿色及文明施工</w:t>
      </w:r>
      <w:r>
        <w:rPr>
          <w:rFonts w:hint="eastAsia" w:ascii="宋体" w:hAnsi="宋体" w:eastAsia="宋体" w:cs="宋体"/>
          <w:szCs w:val="24"/>
          <w:lang w:val="en-US" w:eastAsia="zh-CN"/>
        </w:rPr>
        <w:t>措施</w:t>
      </w:r>
      <w:r>
        <w:tab/>
      </w:r>
      <w:r>
        <w:fldChar w:fldCharType="begin"/>
      </w:r>
      <w:r>
        <w:instrText xml:space="preserve"> PAGEREF _Toc6625 \h </w:instrText>
      </w:r>
      <w:r>
        <w:fldChar w:fldCharType="separate"/>
      </w:r>
      <w:r>
        <w:t>75</w:t>
      </w:r>
      <w:r>
        <w:fldChar w:fldCharType="end"/>
      </w:r>
      <w:r>
        <w:rPr>
          <w:rFonts w:ascii="宋体" w:hAnsi="宋体" w:cstheme="minorHAnsi"/>
          <w:bCs/>
          <w:caps w:val="0"/>
          <w:smallCaps w:val="0"/>
          <w:szCs w:val="28"/>
        </w:rPr>
        <w:fldChar w:fldCharType="end"/>
      </w:r>
    </w:p>
    <w:p w14:paraId="5E8D8BF2">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_Toc10274 </w:instrText>
      </w:r>
      <w:r>
        <w:rPr>
          <w:rFonts w:ascii="宋体" w:hAnsi="宋体" w:cstheme="minorHAnsi"/>
          <w:bCs/>
          <w:caps w:val="0"/>
          <w:smallCaps w:val="0"/>
          <w:szCs w:val="28"/>
        </w:rPr>
        <w:fldChar w:fldCharType="separate"/>
      </w:r>
      <w:r>
        <w:rPr>
          <w:rFonts w:hint="default" w:ascii="宋体" w:hAnsi="宋体" w:eastAsia="宋体" w:cs="宋体"/>
          <w:szCs w:val="24"/>
        </w:rPr>
        <w:t xml:space="preserve">10.1 </w:t>
      </w:r>
      <w:r>
        <w:rPr>
          <w:rFonts w:hint="eastAsia" w:ascii="宋体" w:hAnsi="宋体" w:eastAsia="宋体" w:cs="宋体"/>
          <w:szCs w:val="24"/>
        </w:rPr>
        <w:t>组织机构</w:t>
      </w:r>
      <w:r>
        <w:tab/>
      </w:r>
      <w:r>
        <w:fldChar w:fldCharType="begin"/>
      </w:r>
      <w:r>
        <w:instrText xml:space="preserve"> PAGEREF _Toc10274 \h </w:instrText>
      </w:r>
      <w:r>
        <w:fldChar w:fldCharType="separate"/>
      </w:r>
      <w:r>
        <w:t>75</w:t>
      </w:r>
      <w:r>
        <w:fldChar w:fldCharType="end"/>
      </w:r>
      <w:r>
        <w:rPr>
          <w:rFonts w:ascii="宋体" w:hAnsi="宋体" w:cstheme="minorHAnsi"/>
          <w:bCs/>
          <w:caps w:val="0"/>
          <w:smallCaps w:val="0"/>
          <w:szCs w:val="28"/>
        </w:rPr>
        <w:fldChar w:fldCharType="end"/>
      </w:r>
    </w:p>
    <w:p w14:paraId="55C1DF79">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_Toc11088 </w:instrText>
      </w:r>
      <w:r>
        <w:rPr>
          <w:rFonts w:ascii="宋体" w:hAnsi="宋体" w:cstheme="minorHAnsi"/>
          <w:bCs/>
          <w:caps w:val="0"/>
          <w:smallCaps w:val="0"/>
          <w:szCs w:val="28"/>
        </w:rPr>
        <w:fldChar w:fldCharType="separate"/>
      </w:r>
      <w:r>
        <w:rPr>
          <w:rFonts w:hint="default" w:ascii="宋体" w:hAnsi="宋体" w:eastAsia="宋体" w:cs="宋体"/>
          <w:szCs w:val="24"/>
        </w:rPr>
        <w:t xml:space="preserve">10.2 </w:t>
      </w:r>
      <w:r>
        <w:rPr>
          <w:rFonts w:hint="eastAsia" w:ascii="宋体" w:hAnsi="宋体" w:eastAsia="宋体" w:cs="宋体"/>
          <w:szCs w:val="24"/>
        </w:rPr>
        <w:t>保证措施</w:t>
      </w:r>
      <w:r>
        <w:tab/>
      </w:r>
      <w:r>
        <w:fldChar w:fldCharType="begin"/>
      </w:r>
      <w:r>
        <w:instrText xml:space="preserve"> PAGEREF _Toc11088 \h </w:instrText>
      </w:r>
      <w:r>
        <w:fldChar w:fldCharType="separate"/>
      </w:r>
      <w:r>
        <w:t>76</w:t>
      </w:r>
      <w:r>
        <w:fldChar w:fldCharType="end"/>
      </w:r>
      <w:r>
        <w:rPr>
          <w:rFonts w:ascii="宋体" w:hAnsi="宋体" w:cstheme="minorHAnsi"/>
          <w:bCs/>
          <w:caps w:val="0"/>
          <w:smallCaps w:val="0"/>
          <w:szCs w:val="28"/>
        </w:rPr>
        <w:fldChar w:fldCharType="end"/>
      </w:r>
    </w:p>
    <w:p w14:paraId="11E2AEA4">
      <w:pPr>
        <w:pStyle w:val="28"/>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_Toc27177 </w:instrText>
      </w:r>
      <w:r>
        <w:rPr>
          <w:rFonts w:ascii="宋体" w:hAnsi="宋体" w:cstheme="minorHAnsi"/>
          <w:bCs/>
          <w:caps w:val="0"/>
          <w:smallCaps w:val="0"/>
          <w:szCs w:val="28"/>
        </w:rPr>
        <w:fldChar w:fldCharType="separate"/>
      </w:r>
      <w:r>
        <w:rPr>
          <w:rFonts w:hint="default" w:ascii="宋体" w:hAnsi="宋体" w:eastAsia="宋体" w:cs="宋体"/>
          <w:szCs w:val="24"/>
        </w:rPr>
        <w:t xml:space="preserve">11. </w:t>
      </w:r>
      <w:r>
        <w:rPr>
          <w:rFonts w:hint="eastAsia" w:ascii="宋体" w:hAnsi="宋体" w:eastAsia="宋体" w:cs="宋体"/>
          <w:szCs w:val="24"/>
        </w:rPr>
        <w:t>计算书</w:t>
      </w:r>
      <w:r>
        <w:tab/>
      </w:r>
      <w:r>
        <w:fldChar w:fldCharType="begin"/>
      </w:r>
      <w:r>
        <w:instrText xml:space="preserve"> PAGEREF _Toc27177 \h </w:instrText>
      </w:r>
      <w:r>
        <w:fldChar w:fldCharType="separate"/>
      </w:r>
      <w:r>
        <w:t>78</w:t>
      </w:r>
      <w:r>
        <w:fldChar w:fldCharType="end"/>
      </w:r>
      <w:r>
        <w:rPr>
          <w:rFonts w:ascii="宋体" w:hAnsi="宋体" w:cstheme="minorHAnsi"/>
          <w:bCs/>
          <w:caps w:val="0"/>
          <w:smallCaps w:val="0"/>
          <w:szCs w:val="28"/>
        </w:rPr>
        <w:fldChar w:fldCharType="end"/>
      </w:r>
    </w:p>
    <w:p w14:paraId="2A880BE5">
      <w:pPr>
        <w:pStyle w:val="33"/>
        <w:tabs>
          <w:tab w:val="right" w:leader="dot" w:pos="9639"/>
        </w:tabs>
      </w:pPr>
      <w:r>
        <w:rPr>
          <w:rFonts w:ascii="宋体" w:hAnsi="宋体" w:cstheme="minorHAnsi"/>
          <w:bCs/>
          <w:caps w:val="0"/>
          <w:smallCaps w:val="0"/>
          <w:szCs w:val="28"/>
        </w:rPr>
        <w:fldChar w:fldCharType="begin"/>
      </w:r>
      <w:r>
        <w:rPr>
          <w:rFonts w:ascii="宋体" w:hAnsi="宋体" w:cstheme="minorHAnsi"/>
          <w:bCs/>
          <w:caps w:val="0"/>
          <w:smallCaps w:val="0"/>
          <w:szCs w:val="28"/>
        </w:rPr>
        <w:instrText xml:space="preserve"> HYPERLINK \l _Toc7651 </w:instrText>
      </w:r>
      <w:r>
        <w:rPr>
          <w:rFonts w:ascii="宋体" w:hAnsi="宋体" w:cstheme="minorHAnsi"/>
          <w:bCs/>
          <w:caps w:val="0"/>
          <w:smallCaps w:val="0"/>
          <w:szCs w:val="28"/>
        </w:rPr>
        <w:fldChar w:fldCharType="separate"/>
      </w:r>
      <w:r>
        <w:rPr>
          <w:rFonts w:hint="default" w:ascii="宋体" w:hAnsi="宋体" w:eastAsia="宋体" w:cs="宋体"/>
          <w:szCs w:val="24"/>
        </w:rPr>
        <w:t xml:space="preserve">11.1 </w:t>
      </w:r>
      <w:r>
        <w:rPr>
          <w:rFonts w:hint="eastAsia" w:ascii="宋体" w:hAnsi="宋体" w:eastAsia="宋体" w:cs="宋体"/>
          <w:szCs w:val="24"/>
        </w:rPr>
        <w:t>选用的吊索受力计算</w:t>
      </w:r>
      <w:r>
        <w:tab/>
      </w:r>
      <w:r>
        <w:fldChar w:fldCharType="begin"/>
      </w:r>
      <w:r>
        <w:instrText xml:space="preserve"> PAGEREF _Toc7651 \h </w:instrText>
      </w:r>
      <w:r>
        <w:fldChar w:fldCharType="separate"/>
      </w:r>
      <w:r>
        <w:t>78</w:t>
      </w:r>
      <w:r>
        <w:fldChar w:fldCharType="end"/>
      </w:r>
      <w:r>
        <w:rPr>
          <w:rFonts w:ascii="宋体" w:hAnsi="宋体" w:cstheme="minorHAnsi"/>
          <w:bCs/>
          <w:caps w:val="0"/>
          <w:smallCaps w:val="0"/>
          <w:szCs w:val="28"/>
        </w:rPr>
        <w:fldChar w:fldCharType="end"/>
      </w:r>
    </w:p>
    <w:p w14:paraId="2C7093FD">
      <w:pPr>
        <w:keepNext w:val="0"/>
        <w:keepLines w:val="0"/>
        <w:pageBreakBefore w:val="0"/>
        <w:widowControl w:val="0"/>
        <w:kinsoku/>
        <w:wordWrap/>
        <w:overflowPunct/>
        <w:topLinePunct w:val="0"/>
        <w:autoSpaceDE/>
        <w:autoSpaceDN/>
        <w:bidi w:val="0"/>
        <w:adjustRightInd/>
        <w:snapToGrid/>
        <w:spacing w:line="560" w:lineRule="exact"/>
        <w:ind w:firstLine="480"/>
        <w:textAlignment w:val="auto"/>
        <w:rPr>
          <w:rFonts w:ascii="宋体" w:hAnsi="宋体" w:cstheme="minorHAnsi"/>
          <w:bCs/>
          <w:caps/>
          <w:szCs w:val="24"/>
        </w:rPr>
        <w:sectPr>
          <w:headerReference r:id="rId5" w:type="default"/>
          <w:footerReference r:id="rId6" w:type="default"/>
          <w:pgSz w:w="11906" w:h="16838"/>
          <w:pgMar w:top="1134" w:right="850" w:bottom="1134" w:left="1417" w:header="851" w:footer="624" w:gutter="0"/>
          <w:pgBorders>
            <w:top w:val="none" w:sz="0" w:space="0"/>
            <w:left w:val="none" w:sz="0" w:space="0"/>
            <w:bottom w:val="none" w:sz="0" w:space="0"/>
            <w:right w:val="none" w:sz="0" w:space="0"/>
          </w:pgBorders>
          <w:pgNumType w:fmt="decimal" w:start="1"/>
          <w:cols w:space="425" w:num="1"/>
          <w:rtlGutter w:val="0"/>
          <w:docGrid w:type="lines" w:linePitch="326" w:charSpace="0"/>
        </w:sectPr>
      </w:pPr>
      <w:r>
        <w:rPr>
          <w:rFonts w:ascii="宋体" w:hAnsi="宋体" w:cstheme="minorHAnsi"/>
          <w:bCs/>
          <w:caps w:val="0"/>
          <w:smallCaps w:val="0"/>
          <w:szCs w:val="28"/>
        </w:rPr>
        <w:fldChar w:fldCharType="end"/>
      </w:r>
    </w:p>
    <w:bookmarkEnd w:id="0"/>
    <w:bookmarkEnd w:id="1"/>
    <w:bookmarkEnd w:id="2"/>
    <w:bookmarkEnd w:id="3"/>
    <w:bookmarkEnd w:id="4"/>
    <w:p w14:paraId="1C9E794F">
      <w:pPr>
        <w:pStyle w:val="2"/>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5" w:name="_Toc14929"/>
      <w:r>
        <w:rPr>
          <w:rFonts w:hint="eastAsia" w:ascii="宋体" w:hAnsi="宋体" w:eastAsia="宋体" w:cs="宋体"/>
          <w:sz w:val="24"/>
          <w:szCs w:val="24"/>
        </w:rPr>
        <w:t>编制说明</w:t>
      </w:r>
      <w:bookmarkEnd w:id="5"/>
    </w:p>
    <w:p w14:paraId="323ABCF8">
      <w:pPr>
        <w:pStyle w:val="3"/>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6" w:name="_Toc13382"/>
      <w:r>
        <w:rPr>
          <w:rFonts w:hint="eastAsia" w:ascii="宋体" w:hAnsi="宋体" w:eastAsia="宋体" w:cs="宋体"/>
          <w:sz w:val="24"/>
          <w:szCs w:val="24"/>
        </w:rPr>
        <w:t>编制说明</w:t>
      </w:r>
      <w:bookmarkEnd w:id="6"/>
    </w:p>
    <w:p w14:paraId="1C85309C">
      <w:pPr>
        <w:bidi w:val="0"/>
        <w:rPr>
          <w:rFonts w:hint="eastAsia"/>
          <w:lang w:val="en-US" w:eastAsia="zh-CN"/>
        </w:rPr>
      </w:pPr>
      <w:r>
        <w:rPr>
          <w:rFonts w:hint="eastAsia"/>
          <w:lang w:eastAsia="zh-CN"/>
        </w:rPr>
        <w:t>G9221杭甬高速宁波段三期工程威海路至柴桥段SG02 标小浃江特大桥引桥</w:t>
      </w:r>
      <w:r>
        <w:rPr>
          <w:rFonts w:hint="eastAsia"/>
        </w:rPr>
        <w:t>需采用</w:t>
      </w:r>
      <w:r>
        <w:rPr>
          <w:rFonts w:hint="eastAsia"/>
          <w:lang w:val="en-US" w:eastAsia="zh-CN"/>
        </w:rPr>
        <w:t>4</w:t>
      </w:r>
      <w:r>
        <w:rPr>
          <w:rFonts w:hint="eastAsia"/>
        </w:rPr>
        <w:t>台</w:t>
      </w:r>
      <w:r>
        <w:rPr>
          <w:rFonts w:hint="eastAsia"/>
          <w:lang w:eastAsia="zh-CN"/>
        </w:rPr>
        <w:t>QTZp160（T6515-10）</w:t>
      </w:r>
      <w:r>
        <w:rPr>
          <w:rFonts w:hint="eastAsia"/>
        </w:rPr>
        <w:t>塔式起重机进行施工吊装作业，为认真、全面、系统地做好起重机的</w:t>
      </w:r>
      <w:r>
        <w:rPr>
          <w:rFonts w:hint="eastAsia"/>
          <w:lang w:eastAsia="zh-CN"/>
        </w:rPr>
        <w:t>拆除</w:t>
      </w:r>
      <w:r>
        <w:rPr>
          <w:rFonts w:hint="eastAsia"/>
        </w:rPr>
        <w:t>作业，确保过程质量和安全，合理安排施工工期，特</w:t>
      </w:r>
      <w:r>
        <w:rPr>
          <w:rFonts w:hint="eastAsia"/>
          <w:lang w:val="en-US" w:eastAsia="zh-CN"/>
        </w:rPr>
        <w:t>编制本塔式起重机拆除专项施工方案。</w:t>
      </w:r>
    </w:p>
    <w:p w14:paraId="08D41257">
      <w:pPr>
        <w:pStyle w:val="3"/>
        <w:keepNext w:val="0"/>
        <w:widowControl w:val="0"/>
        <w:kinsoku/>
        <w:wordWrap/>
        <w:overflowPunct/>
        <w:topLinePunct w:val="0"/>
        <w:autoSpaceDE/>
        <w:autoSpaceDN/>
        <w:bidi w:val="0"/>
        <w:adjustRightInd/>
        <w:snapToGrid/>
        <w:spacing w:line="480" w:lineRule="atLeast"/>
        <w:ind w:left="573" w:hanging="573"/>
        <w:textAlignment w:val="auto"/>
        <w:rPr>
          <w:rFonts w:hint="eastAsia" w:ascii="宋体" w:hAnsi="宋体" w:eastAsia="宋体" w:cs="宋体"/>
          <w:sz w:val="24"/>
          <w:szCs w:val="24"/>
        </w:rPr>
      </w:pPr>
      <w:bookmarkStart w:id="7" w:name="_Toc1046"/>
      <w:r>
        <w:rPr>
          <w:rFonts w:hint="eastAsia" w:ascii="宋体" w:hAnsi="宋体" w:eastAsia="宋体" w:cs="宋体"/>
          <w:sz w:val="24"/>
          <w:szCs w:val="24"/>
        </w:rPr>
        <w:t>引用文件</w:t>
      </w:r>
      <w:bookmarkEnd w:id="7"/>
    </w:p>
    <w:p w14:paraId="07E50016">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《中华人民共和国特种设备安全法》（中华人民共和国主席令第12届第4号）</w:t>
      </w:r>
    </w:p>
    <w:p w14:paraId="7381A19A">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《特种设备安全监察条例》（中华人民共和国国务院令第549号）</w:t>
      </w:r>
    </w:p>
    <w:p w14:paraId="7A0B8C73">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《特种设备作业人员监督管理办法》（中华人民共和国质检总局令第140号）</w:t>
      </w:r>
    </w:p>
    <w:p w14:paraId="435B8D77">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《起重机械安全规程 第1部分：总则》（GB/T6067.1-2010）</w:t>
      </w:r>
    </w:p>
    <w:p w14:paraId="5C40DEBF">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《塔式起重机安全规程》（GB5144-2006）</w:t>
      </w:r>
    </w:p>
    <w:p w14:paraId="7A800144">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《塔式起重机》（GB/T5031-2019）</w:t>
      </w:r>
    </w:p>
    <w:p w14:paraId="350AD3A5">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《重要用途钢丝绳》（GB/T8918－2006）</w:t>
      </w:r>
    </w:p>
    <w:p w14:paraId="2555CAFB">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《起重机手势信号》（GB/T 5082-2019）</w:t>
      </w:r>
    </w:p>
    <w:p w14:paraId="5211C372">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《施工现场临时用电安全技术规范》（JGJ46-2005）</w:t>
      </w:r>
    </w:p>
    <w:p w14:paraId="38EAEA5A">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《建筑施工高处作业安全技术规范》（JGJ80-2016）</w:t>
      </w:r>
    </w:p>
    <w:p w14:paraId="489BB7A5">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《建筑机械使用安全技术规程》(JGJ33-2012)</w:t>
      </w:r>
    </w:p>
    <w:p w14:paraId="62F3D9AA">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《建筑施工塔式起重机</w:t>
      </w:r>
      <w:r>
        <w:rPr>
          <w:rFonts w:hint="eastAsia"/>
          <w:lang w:eastAsia="zh-CN"/>
        </w:rPr>
        <w:t>拆除</w:t>
      </w:r>
      <w:r>
        <w:rPr>
          <w:rFonts w:hint="eastAsia"/>
        </w:rPr>
        <w:t>、使用、拆卸安全技术规程》（JGJ196-2010）</w:t>
      </w:r>
    </w:p>
    <w:p w14:paraId="346D4E69">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《特种设备作业人员考核规则》（TSGZ6001-2019）</w:t>
      </w:r>
    </w:p>
    <w:p w14:paraId="341FC3CC">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《特种设备使用管理规则》（TSG 08-2017）</w:t>
      </w:r>
    </w:p>
    <w:p w14:paraId="6FB4289A">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《起重机械</w:t>
      </w:r>
      <w:r>
        <w:rPr>
          <w:rFonts w:hint="eastAsia"/>
          <w:lang w:eastAsia="zh-CN"/>
        </w:rPr>
        <w:t>拆除</w:t>
      </w:r>
      <w:r>
        <w:rPr>
          <w:rFonts w:hint="eastAsia"/>
        </w:rPr>
        <w:t>改造重大修理监督检验规则》（TSGQ7016-2016）</w:t>
      </w:r>
    </w:p>
    <w:p w14:paraId="28B717D4">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w:t>
      </w:r>
      <w:r>
        <w:rPr>
          <w:rFonts w:hint="eastAsia"/>
          <w:lang w:eastAsia="zh-CN"/>
        </w:rPr>
        <w:t>QTZp160（T6515-10）</w:t>
      </w:r>
      <w:r>
        <w:rPr>
          <w:rFonts w:hint="eastAsia"/>
        </w:rPr>
        <w:t>塔式起重机说明书》</w:t>
      </w:r>
      <w:r>
        <w:rPr>
          <w:rFonts w:hint="eastAsia"/>
          <w:lang w:val="en-US" w:eastAsia="zh-CN"/>
        </w:rPr>
        <w:t xml:space="preserve"> 浙江虎霸建设机械有限公司</w:t>
      </w:r>
    </w:p>
    <w:p w14:paraId="5D843D72">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《特种作业岗位培训及其证书管理规定》（Q/ZHDB304004-2020）</w:t>
      </w:r>
    </w:p>
    <w:p w14:paraId="16E38CFE">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《起重机械安全监控管理系统》（GB∕T 28264-2017）</w:t>
      </w:r>
    </w:p>
    <w:p w14:paraId="7A7AF4F5">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《建筑施工扣件式钢管脚手架安全技术规范》（JGJ130- 2011）</w:t>
      </w:r>
    </w:p>
    <w:p w14:paraId="0C3F47BB">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配合机械起重性能表</w:t>
      </w:r>
    </w:p>
    <w:p w14:paraId="78FD4229">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《起重机械安全技术规程》TSG51-2023</w:t>
      </w:r>
    </w:p>
    <w:p w14:paraId="09C93F9A">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lang w:eastAsia="zh-CN"/>
        </w:rPr>
        <w:t>《</w:t>
      </w:r>
      <w:r>
        <w:rPr>
          <w:rFonts w:hint="eastAsia"/>
        </w:rPr>
        <w:t>特种设备生产和充装单位许可规则</w:t>
      </w:r>
      <w:r>
        <w:rPr>
          <w:rFonts w:hint="eastAsia"/>
          <w:lang w:eastAsia="zh-CN"/>
        </w:rPr>
        <w:t>》</w:t>
      </w:r>
      <w:r>
        <w:rPr>
          <w:rFonts w:hint="eastAsia"/>
        </w:rPr>
        <w:t>TSG07-2019</w:t>
      </w:r>
    </w:p>
    <w:p w14:paraId="584D082C">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《建筑施工特种作业人员管理规定》(建设部建质[2008]75号)</w:t>
      </w:r>
    </w:p>
    <w:p w14:paraId="4B51005B">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lang w:eastAsia="zh-CN"/>
        </w:rPr>
        <w:t>《</w:t>
      </w:r>
      <w:r>
        <w:rPr>
          <w:rFonts w:hint="eastAsia"/>
        </w:rPr>
        <w:t>建筑施工易发事故防治安全标准</w:t>
      </w:r>
      <w:r>
        <w:rPr>
          <w:rFonts w:hint="eastAsia"/>
          <w:lang w:eastAsia="zh-CN"/>
        </w:rPr>
        <w:t>》</w:t>
      </w:r>
      <w:r>
        <w:rPr>
          <w:rFonts w:hint="eastAsia"/>
        </w:rPr>
        <w:t>JGJ/T 429-2018</w:t>
      </w:r>
    </w:p>
    <w:p w14:paraId="24DC6589">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lang w:val="en-US" w:eastAsia="zh-CN"/>
        </w:rPr>
      </w:pPr>
      <w:r>
        <w:rPr>
          <w:rFonts w:hint="eastAsia"/>
          <w:lang w:val="en-US" w:eastAsia="zh-CN"/>
        </w:rPr>
        <w:t>《平臂吊租赁合同》</w:t>
      </w:r>
    </w:p>
    <w:p w14:paraId="0BCC2D09">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lang w:val="en-US" w:eastAsia="zh-CN"/>
        </w:rPr>
      </w:pPr>
      <w:r>
        <w:rPr>
          <w:rFonts w:hint="eastAsia"/>
          <w:lang w:val="en-US" w:eastAsia="zh-CN"/>
        </w:rPr>
        <w:t>《G9221杭甬高速宁波段三期工程威海路至柴桥段SG02标小浃江特大桥施工组织设计》</w:t>
      </w:r>
    </w:p>
    <w:p w14:paraId="12698A08">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lang w:val="en-US" w:eastAsia="zh-CN"/>
        </w:rPr>
      </w:pPr>
      <w:r>
        <w:rPr>
          <w:rFonts w:hint="eastAsia"/>
          <w:lang w:val="en-US" w:eastAsia="zh-CN"/>
        </w:rPr>
        <w:t>《起重机钢丝绳保养、维护、检验和报废》</w:t>
      </w:r>
      <w:r>
        <w:rPr>
          <w:rFonts w:hint="eastAsia"/>
        </w:rPr>
        <w:t>GB/T 5972</w:t>
      </w:r>
      <w:r>
        <w:rPr>
          <w:rFonts w:hint="eastAsia"/>
          <w:lang w:val="en-US" w:eastAsia="zh-CN"/>
        </w:rPr>
        <w:t>-2023</w:t>
      </w:r>
    </w:p>
    <w:p w14:paraId="4A8B5D31">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firstLine="0" w:firstLineChars="0"/>
        <w:textAlignment w:val="auto"/>
        <w:rPr>
          <w:rFonts w:hint="eastAsia"/>
          <w:lang w:val="en-US" w:eastAsia="zh-CN"/>
        </w:rPr>
      </w:pPr>
      <w:r>
        <w:rPr>
          <w:rFonts w:hint="eastAsia"/>
          <w:lang w:val="en-US" w:eastAsia="zh-CN"/>
        </w:rPr>
        <w:t>《塔式起重机设计规范》</w:t>
      </w:r>
      <w:r>
        <w:rPr>
          <w:rFonts w:hint="eastAsia"/>
          <w:lang w:val="en-US" w:eastAsia="zh-CN"/>
        </w:rPr>
        <w:fldChar w:fldCharType="begin"/>
      </w:r>
      <w:r>
        <w:rPr>
          <w:rFonts w:hint="eastAsia"/>
          <w:lang w:val="en-US" w:eastAsia="zh-CN"/>
        </w:rPr>
        <w:instrText xml:space="preserve"> HYPERLINK "http://www.baidu.com/link?url=kAeVhOsPlhIYHCi9K_rErYzN5x0y_BfFv6soSXaboeq2frgRTX1DiVQLBdoh8wo7EhsSWbOVHMaXgEB6Qq__qmAJlTPyHbVCyBDl8xcpOYR16soQG9ZH9pGdUlXjqBY_IGuO0_bO-BvE4RfUKpibGK" \t "https://www.baidu.com/_blank" </w:instrText>
      </w:r>
      <w:r>
        <w:rPr>
          <w:rFonts w:hint="eastAsia"/>
          <w:lang w:val="en-US" w:eastAsia="zh-CN"/>
        </w:rPr>
        <w:fldChar w:fldCharType="separate"/>
      </w:r>
      <w:r>
        <w:rPr>
          <w:rFonts w:hint="eastAsia"/>
        </w:rPr>
        <w:t>GB</w:t>
      </w:r>
      <w:r>
        <w:rPr>
          <w:rFonts w:hint="eastAsia"/>
          <w:lang w:val="en-US" w:eastAsia="zh-CN"/>
        </w:rPr>
        <w:t>/</w:t>
      </w:r>
      <w:r>
        <w:rPr>
          <w:rFonts w:hint="eastAsia"/>
        </w:rPr>
        <w:t>T 13752-2016</w:t>
      </w:r>
      <w:r>
        <w:rPr>
          <w:rFonts w:hint="eastAsia"/>
          <w:lang w:val="en-US" w:eastAsia="zh-CN"/>
        </w:rPr>
        <w:fldChar w:fldCharType="end"/>
      </w:r>
    </w:p>
    <w:p w14:paraId="24BC2751">
      <w:pPr>
        <w:pStyle w:val="3"/>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8" w:name="_Toc22411"/>
      <w:r>
        <w:rPr>
          <w:rFonts w:hint="eastAsia" w:ascii="宋体" w:hAnsi="宋体" w:eastAsia="宋体" w:cs="宋体"/>
          <w:sz w:val="24"/>
          <w:szCs w:val="24"/>
        </w:rPr>
        <w:t>编制原则</w:t>
      </w:r>
      <w:bookmarkEnd w:id="8"/>
    </w:p>
    <w:p w14:paraId="59555028">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firstLine="0" w:firstLineChars="0"/>
        <w:textAlignment w:val="auto"/>
        <w:rPr>
          <w:rFonts w:hint="eastAsia"/>
          <w:lang w:eastAsia="zh-CN"/>
        </w:rPr>
      </w:pPr>
      <w:r>
        <w:rPr>
          <w:rFonts w:hint="eastAsia"/>
          <w:lang w:eastAsia="zh-CN"/>
        </w:rPr>
        <w:t>严格贯彻“安全第一”的原则，针对风险细化安全技术措施，预防和杜绝安全事故的发生；</w:t>
      </w:r>
    </w:p>
    <w:p w14:paraId="77EC79E2">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firstLine="0" w:firstLineChars="0"/>
        <w:textAlignment w:val="auto"/>
        <w:rPr>
          <w:rFonts w:hint="eastAsia"/>
          <w:lang w:eastAsia="zh-CN"/>
        </w:rPr>
      </w:pPr>
      <w:r>
        <w:rPr>
          <w:rFonts w:hint="eastAsia"/>
          <w:lang w:eastAsia="zh-CN"/>
        </w:rPr>
        <w:t>严格按照ISO9001标准质量体系质量程序控制原则，实施拆除过程动态管理；</w:t>
      </w:r>
    </w:p>
    <w:p w14:paraId="23B558F1">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firstLine="0" w:firstLineChars="0"/>
        <w:textAlignment w:val="auto"/>
        <w:rPr>
          <w:rFonts w:hint="eastAsia"/>
          <w:lang w:eastAsia="zh-CN"/>
        </w:rPr>
      </w:pPr>
      <w:r>
        <w:rPr>
          <w:rFonts w:hint="eastAsia"/>
          <w:lang w:eastAsia="zh-CN"/>
        </w:rPr>
        <w:t>科学合理制定拆除计划，提高拆除功效；</w:t>
      </w:r>
    </w:p>
    <w:p w14:paraId="159340AD">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left="0" w:firstLine="0" w:firstLineChars="0"/>
        <w:textAlignment w:val="auto"/>
        <w:rPr>
          <w:rFonts w:hint="eastAsia"/>
          <w:lang w:eastAsia="zh-CN"/>
        </w:rPr>
      </w:pPr>
      <w:r>
        <w:rPr>
          <w:rFonts w:hint="eastAsia"/>
          <w:lang w:eastAsia="zh-CN"/>
        </w:rPr>
        <w:t>加强过程管控，合理配置拆除资源，合理降低拆除成本。</w:t>
      </w:r>
    </w:p>
    <w:p w14:paraId="0AAF37E0">
      <w:pPr>
        <w:pStyle w:val="3"/>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9" w:name="_Toc24748"/>
      <w:r>
        <w:rPr>
          <w:rFonts w:hint="eastAsia" w:ascii="宋体" w:hAnsi="宋体" w:eastAsia="宋体" w:cs="宋体"/>
          <w:sz w:val="24"/>
          <w:szCs w:val="24"/>
        </w:rPr>
        <w:t>适用范围</w:t>
      </w:r>
      <w:bookmarkEnd w:id="9"/>
    </w:p>
    <w:p w14:paraId="503B5B6B">
      <w:pPr>
        <w:bidi w:val="0"/>
        <w:rPr>
          <w:rFonts w:hint="eastAsia" w:ascii="宋体" w:hAnsi="宋体" w:eastAsia="宋体" w:cs="宋体"/>
          <w:lang w:val="en-US" w:eastAsia="zh-CN"/>
        </w:rPr>
      </w:pPr>
      <w:r>
        <w:rPr>
          <w:rFonts w:hint="eastAsia" w:ascii="宋体" w:hAnsi="宋体" w:eastAsia="宋体" w:cs="宋体"/>
        </w:rPr>
        <w:t>本方案仅适用于</w:t>
      </w:r>
      <w:r>
        <w:rPr>
          <w:rFonts w:hint="eastAsia" w:ascii="宋体" w:hAnsi="宋体" w:eastAsia="宋体" w:cs="宋体"/>
          <w:lang w:eastAsia="zh-CN"/>
        </w:rPr>
        <w:t>G9221杭甬高速宁波段三期工程威海路至柴桥段SG02 标小浃江特大桥引桥</w:t>
      </w:r>
      <w:r>
        <w:rPr>
          <w:rFonts w:hint="eastAsia" w:ascii="宋体" w:hAnsi="宋体" w:eastAsia="宋体" w:cs="宋体"/>
          <w:lang w:val="en-US" w:eastAsia="zh-CN"/>
        </w:rPr>
        <w:t>4</w:t>
      </w:r>
      <w:r>
        <w:rPr>
          <w:rFonts w:hint="eastAsia" w:ascii="宋体" w:hAnsi="宋体" w:eastAsia="宋体" w:cs="宋体"/>
        </w:rPr>
        <w:t>台</w:t>
      </w:r>
      <w:r>
        <w:rPr>
          <w:rFonts w:hint="eastAsia" w:ascii="宋体" w:hAnsi="宋体" w:eastAsia="宋体" w:cs="宋体"/>
          <w:lang w:eastAsia="zh-CN"/>
        </w:rPr>
        <w:t>QTZp160（T6515-10）</w:t>
      </w:r>
      <w:r>
        <w:rPr>
          <w:rFonts w:hint="eastAsia" w:ascii="宋体" w:hAnsi="宋体" w:eastAsia="宋体" w:cs="宋体"/>
        </w:rPr>
        <w:t>塔式起重</w:t>
      </w:r>
      <w:r>
        <w:rPr>
          <w:rFonts w:hint="eastAsia" w:ascii="宋体" w:hAnsi="宋体" w:eastAsia="宋体" w:cs="宋体"/>
          <w:lang w:val="en-US" w:eastAsia="zh-CN"/>
        </w:rPr>
        <w:t>机</w:t>
      </w:r>
      <w:r>
        <w:rPr>
          <w:rFonts w:hint="eastAsia" w:cs="宋体"/>
          <w:lang w:val="en-US" w:eastAsia="zh-CN"/>
        </w:rPr>
        <w:t>拆除</w:t>
      </w:r>
      <w:r>
        <w:rPr>
          <w:rFonts w:hint="eastAsia" w:ascii="宋体" w:hAnsi="宋体" w:eastAsia="宋体" w:cs="宋体"/>
          <w:lang w:val="en-US" w:eastAsia="zh-CN"/>
        </w:rPr>
        <w:t>工程。本台塔机由重庆桥渝工程机械租赁有限公司</w:t>
      </w:r>
      <w:r>
        <w:rPr>
          <w:rFonts w:hint="eastAsia" w:cs="宋体"/>
          <w:lang w:val="en-US" w:eastAsia="zh-CN"/>
        </w:rPr>
        <w:t>拆除</w:t>
      </w:r>
      <w:r>
        <w:rPr>
          <w:rFonts w:hint="eastAsia" w:ascii="宋体" w:hAnsi="宋体" w:eastAsia="宋体" w:cs="宋体"/>
          <w:lang w:val="en-US" w:eastAsia="zh-CN"/>
        </w:rPr>
        <w:t>。</w:t>
      </w:r>
    </w:p>
    <w:p w14:paraId="139605CC">
      <w:pPr>
        <w:pStyle w:val="2"/>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10" w:name="_Toc5691"/>
      <w:r>
        <w:rPr>
          <w:rFonts w:hint="eastAsia" w:ascii="宋体" w:hAnsi="宋体" w:eastAsia="宋体" w:cs="宋体"/>
          <w:sz w:val="24"/>
          <w:szCs w:val="24"/>
        </w:rPr>
        <w:t>工程概况</w:t>
      </w:r>
      <w:bookmarkEnd w:id="10"/>
    </w:p>
    <w:p w14:paraId="472CB2C0">
      <w:pPr>
        <w:pStyle w:val="3"/>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11" w:name="_Toc12399"/>
      <w:r>
        <w:rPr>
          <w:rFonts w:hint="eastAsia" w:ascii="宋体" w:hAnsi="宋体" w:eastAsia="宋体" w:cs="宋体"/>
          <w:sz w:val="24"/>
          <w:szCs w:val="24"/>
        </w:rPr>
        <w:t>工程概况</w:t>
      </w:r>
      <w:bookmarkEnd w:id="11"/>
    </w:p>
    <w:p w14:paraId="244B2F5D">
      <w:pPr>
        <w:keepNext w:val="0"/>
        <w:keepLines w:val="0"/>
        <w:widowControl w:val="0"/>
        <w:numPr>
          <w:ilvl w:val="2"/>
          <w:numId w:val="1"/>
        </w:numPr>
        <w:bidi w:val="0"/>
        <w:spacing w:line="480" w:lineRule="exact"/>
        <w:ind w:left="0" w:firstLine="0" w:firstLineChars="0"/>
        <w:jc w:val="left"/>
        <w:outlineLvl w:val="2"/>
        <w:rPr>
          <w:rFonts w:ascii="宋体" w:hAnsi="宋体" w:eastAsia="宋体" w:cstheme="majorBidi"/>
          <w:bCs/>
          <w:kern w:val="2"/>
          <w:sz w:val="24"/>
          <w:szCs w:val="21"/>
          <w:lang w:val="en-US" w:eastAsia="zh-CN" w:bidi="ar-SA"/>
        </w:rPr>
      </w:pPr>
      <w:bookmarkStart w:id="12" w:name="_Toc161477937"/>
      <w:bookmarkStart w:id="13" w:name="_Toc103061465"/>
      <w:r>
        <w:rPr>
          <w:rFonts w:hint="eastAsia" w:ascii="宋体" w:hAnsi="宋体" w:eastAsia="宋体" w:cstheme="majorBidi"/>
          <w:bCs/>
          <w:kern w:val="2"/>
          <w:sz w:val="24"/>
          <w:szCs w:val="21"/>
          <w:lang w:val="en-US" w:eastAsia="zh-CN" w:bidi="ar-SA"/>
        </w:rPr>
        <w:t>项目总体概况</w:t>
      </w:r>
      <w:bookmarkEnd w:id="12"/>
    </w:p>
    <w:p w14:paraId="3697AF32">
      <w:pPr>
        <w:bidi w:val="0"/>
        <w:rPr>
          <w:rFonts w:ascii="Times New Roman" w:hAnsi="Times New Roman" w:eastAsia="宋体" w:cs="Times New Roman"/>
          <w:szCs w:val="21"/>
        </w:rPr>
      </w:pPr>
      <w:r>
        <w:rPr>
          <w:rFonts w:hint="eastAsia"/>
        </w:rPr>
        <w:t>本项目路线起于镇海区，接杭甬高速宁波段一期工程威海互通，沿海涂向东经过镇海港区、甬江、小浃江、永祥铸造厂、小港污水处理厂、宁波亚洲浆纸业厂区内堆场、戚家山等地区，止于北仑柴桥附近，接正在施工的六横公路大桥一期工程柴桥枢纽预留节点，路线全长26.15km。全线共设置桥梁23.041km/7座，隧道1.14km/1座，桥隧比为92.47％。设置互通式立交5处（威海互通、戚家山复合枢纽、富春江互通、陈华霞浦复合枢纽、柴桥枢纽），服务区1处（千亩岙服务区）、养护工区1处、路段管理及监控分中心1处、桥隧管理所1处、匝道收费站3处。</w:t>
      </w:r>
    </w:p>
    <w:p w14:paraId="056F257C">
      <w:pPr>
        <w:spacing w:line="360" w:lineRule="auto"/>
        <w:ind w:firstLine="480" w:firstLineChars="200"/>
        <w:rPr>
          <w:rFonts w:ascii="Times New Roman" w:hAnsi="Times New Roman" w:eastAsia="宋体" w:cs="Times New Roman"/>
          <w:sz w:val="24"/>
          <w:szCs w:val="21"/>
        </w:rPr>
      </w:pPr>
      <w:r>
        <w:rPr>
          <w:rFonts w:ascii="Times New Roman" w:hAnsi="Times New Roman" w:eastAsia="宋体" w:cs="Times New Roman"/>
          <w:sz w:val="24"/>
          <w:szCs w:val="21"/>
        </w:rPr>
        <w:drawing>
          <wp:inline distT="0" distB="0" distL="114300" distR="114300">
            <wp:extent cx="5676900" cy="2990850"/>
            <wp:effectExtent l="0" t="0" r="7620" b="1143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12"/>
                    <a:stretch>
                      <a:fillRect/>
                    </a:stretch>
                  </pic:blipFill>
                  <pic:spPr>
                    <a:xfrm>
                      <a:off x="0" y="0"/>
                      <a:ext cx="5676900" cy="2990850"/>
                    </a:xfrm>
                    <a:prstGeom prst="rect">
                      <a:avLst/>
                    </a:prstGeom>
                    <a:noFill/>
                    <a:ln>
                      <a:noFill/>
                    </a:ln>
                  </pic:spPr>
                </pic:pic>
              </a:graphicData>
            </a:graphic>
          </wp:inline>
        </w:drawing>
      </w:r>
    </w:p>
    <w:p w14:paraId="7CA6B1C6">
      <w:pPr>
        <w:spacing w:line="360" w:lineRule="auto"/>
        <w:ind w:firstLine="480" w:firstLineChars="200"/>
        <w:jc w:val="center"/>
        <w:rPr>
          <w:rFonts w:ascii="Times New Roman" w:hAnsi="Times New Roman" w:eastAsia="宋体" w:cs="Times New Roman"/>
          <w:sz w:val="24"/>
          <w:szCs w:val="21"/>
        </w:rPr>
      </w:pPr>
      <w:r>
        <w:rPr>
          <w:rFonts w:hint="eastAsia" w:ascii="Times New Roman" w:hAnsi="Times New Roman" w:eastAsia="宋体" w:cs="Times New Roman"/>
          <w:sz w:val="24"/>
          <w:szCs w:val="21"/>
        </w:rPr>
        <w:t>图</w:t>
      </w:r>
      <w:r>
        <w:rPr>
          <w:rFonts w:hint="eastAsia" w:ascii="Times New Roman" w:hAnsi="Times New Roman" w:eastAsia="宋体" w:cs="Times New Roman"/>
          <w:sz w:val="24"/>
          <w:szCs w:val="21"/>
          <w:lang w:val="en-US" w:eastAsia="zh-CN"/>
        </w:rPr>
        <w:t>2.1.1</w:t>
      </w:r>
      <w:r>
        <w:rPr>
          <w:rFonts w:ascii="Times New Roman" w:hAnsi="Times New Roman" w:eastAsia="宋体" w:cs="Times New Roman"/>
          <w:sz w:val="24"/>
          <w:szCs w:val="21"/>
        </w:rPr>
        <w:noBreakHyphen/>
      </w:r>
      <w:r>
        <w:rPr>
          <w:rFonts w:ascii="Times New Roman" w:hAnsi="Times New Roman" w:eastAsia="宋体" w:cs="Times New Roman"/>
          <w:sz w:val="24"/>
          <w:szCs w:val="21"/>
        </w:rPr>
        <w:fldChar w:fldCharType="begin"/>
      </w:r>
      <w:r>
        <w:rPr>
          <w:rFonts w:ascii="Times New Roman" w:hAnsi="Times New Roman" w:eastAsia="宋体" w:cs="Times New Roman"/>
          <w:sz w:val="24"/>
          <w:szCs w:val="21"/>
        </w:rPr>
        <w:instrText xml:space="preserve"> </w:instrText>
      </w:r>
      <w:r>
        <w:rPr>
          <w:rFonts w:hint="eastAsia" w:ascii="Times New Roman" w:hAnsi="Times New Roman" w:eastAsia="宋体" w:cs="Times New Roman"/>
          <w:sz w:val="24"/>
          <w:szCs w:val="21"/>
        </w:rPr>
        <w:instrText xml:space="preserve">SEQ 图 \* ARABIC \s 2</w:instrText>
      </w:r>
      <w:r>
        <w:rPr>
          <w:rFonts w:ascii="Times New Roman" w:hAnsi="Times New Roman" w:eastAsia="宋体" w:cs="Times New Roman"/>
          <w:sz w:val="24"/>
          <w:szCs w:val="21"/>
        </w:rPr>
        <w:instrText xml:space="preserve"> </w:instrText>
      </w:r>
      <w:r>
        <w:rPr>
          <w:rFonts w:ascii="Times New Roman" w:hAnsi="Times New Roman" w:eastAsia="宋体" w:cs="Times New Roman"/>
          <w:sz w:val="24"/>
          <w:szCs w:val="21"/>
        </w:rPr>
        <w:fldChar w:fldCharType="separate"/>
      </w:r>
      <w:r>
        <w:rPr>
          <w:rFonts w:ascii="Times New Roman" w:hAnsi="Times New Roman" w:eastAsia="宋体" w:cs="Times New Roman"/>
          <w:sz w:val="24"/>
          <w:szCs w:val="21"/>
        </w:rPr>
        <w:t>1</w:t>
      </w:r>
      <w:r>
        <w:rPr>
          <w:rFonts w:ascii="Times New Roman" w:hAnsi="Times New Roman" w:eastAsia="宋体" w:cs="Times New Roman"/>
          <w:sz w:val="24"/>
          <w:szCs w:val="21"/>
        </w:rPr>
        <w:fldChar w:fldCharType="end"/>
      </w:r>
      <w:r>
        <w:rPr>
          <w:rFonts w:hint="eastAsia" w:ascii="Times New Roman" w:hAnsi="Times New Roman" w:eastAsia="宋体" w:cs="Times New Roman"/>
          <w:sz w:val="24"/>
          <w:szCs w:val="21"/>
        </w:rPr>
        <w:t>项目地理位置图</w:t>
      </w:r>
    </w:p>
    <w:p w14:paraId="5FA877A2">
      <w:pPr>
        <w:bidi w:val="0"/>
      </w:pPr>
      <w:r>
        <w:rPr>
          <w:rFonts w:hint="eastAsia"/>
        </w:rPr>
        <w:t>SG02标段（K2+740～K5+911.46）起于宁波市镇海港区输煤廊道处海堤，接本项目威海互通及海域桥梁段，路线向东南方向经过甬江至北仑戚家山街道，再经过小浃江、戚家山至终点沈家湾水库，接本项目SG03标段，全长3.17146km。包含跨港区及甬江特大桥（三塔斜拉）一座（1730m），小浃江特大桥（5跨刚构-连续梁）及东西侧引桥一座（1245m），路基196.46m。</w:t>
      </w:r>
    </w:p>
    <w:bookmarkEnd w:id="13"/>
    <w:p w14:paraId="75B06EC1">
      <w:pPr>
        <w:keepNext w:val="0"/>
        <w:keepLines w:val="0"/>
        <w:widowControl w:val="0"/>
        <w:numPr>
          <w:ilvl w:val="2"/>
          <w:numId w:val="1"/>
        </w:numPr>
        <w:bidi w:val="0"/>
        <w:spacing w:line="480" w:lineRule="exact"/>
        <w:ind w:left="0" w:firstLine="0" w:firstLineChars="0"/>
        <w:jc w:val="left"/>
        <w:outlineLvl w:val="2"/>
        <w:rPr>
          <w:rFonts w:ascii="宋体" w:hAnsi="宋体" w:eastAsia="宋体" w:cstheme="majorBidi"/>
          <w:bCs/>
          <w:kern w:val="2"/>
          <w:sz w:val="24"/>
          <w:szCs w:val="21"/>
          <w:lang w:val="en-US" w:eastAsia="zh-CN" w:bidi="ar-SA"/>
        </w:rPr>
      </w:pPr>
      <w:r>
        <w:rPr>
          <w:rFonts w:hint="eastAsia" w:ascii="宋体" w:hAnsi="宋体" w:eastAsia="宋体" w:cstheme="majorBidi"/>
          <w:bCs/>
          <w:kern w:val="2"/>
          <w:sz w:val="24"/>
          <w:szCs w:val="21"/>
          <w:lang w:val="en-US" w:eastAsia="zh-CN" w:bidi="ar-SA"/>
        </w:rPr>
        <w:t>小浃江特大桥概况</w:t>
      </w:r>
    </w:p>
    <w:p w14:paraId="1C0D11E4">
      <w:pPr>
        <w:pStyle w:val="5"/>
        <w:bidi w:val="0"/>
        <w:ind w:left="864" w:hanging="864"/>
      </w:pPr>
      <w:bookmarkStart w:id="14" w:name="_Toc161477939"/>
      <w:bookmarkStart w:id="15" w:name="_Toc103061466"/>
      <w:r>
        <w:rPr>
          <w:rFonts w:hint="eastAsia"/>
        </w:rPr>
        <w:t>小浃江特大桥工程概况</w:t>
      </w:r>
      <w:bookmarkEnd w:id="14"/>
      <w:bookmarkEnd w:id="15"/>
    </w:p>
    <w:p w14:paraId="74E3D67D">
      <w:pPr>
        <w:spacing w:line="360" w:lineRule="auto"/>
        <w:ind w:firstLine="480" w:firstLineChars="200"/>
        <w:rPr>
          <w:rFonts w:hint="eastAsia"/>
        </w:rPr>
      </w:pPr>
      <w:r>
        <w:rPr>
          <w:rFonts w:hint="eastAsia"/>
        </w:rPr>
        <w:t>小浃江特大桥主桥为五跨现浇预应力混凝土刚构-连续梁桥，跨径布置为119+212+182+152+85=750m，3#、4#、5#主墩与主梁固结，6#主墩、2#、7#边墩均设置活动支座，下部结构3#～5#主墩为双肢薄壁加承台加钻孔灌注桩基础，6#主墩为薄壁墩加承台加钻孔灌注桩基础，所有主墩左右桥幅均共用下部承台桩基。</w:t>
      </w:r>
    </w:p>
    <w:p w14:paraId="1B59FB85">
      <w:pPr>
        <w:spacing w:line="360" w:lineRule="auto"/>
        <w:ind w:firstLine="480" w:firstLineChars="200"/>
        <w:rPr>
          <w:rFonts w:ascii="Times New Roman" w:hAnsi="Times New Roman" w:eastAsia="宋体" w:cs="Times New Roman"/>
          <w:sz w:val="24"/>
          <w:szCs w:val="21"/>
        </w:rPr>
      </w:pPr>
      <w:r>
        <w:drawing>
          <wp:inline distT="0" distB="0" distL="0" distR="0">
            <wp:extent cx="5759450" cy="1072515"/>
            <wp:effectExtent l="0" t="0" r="12700" b="13335"/>
            <wp:docPr id="18344709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70921" name="图片 1"/>
                    <pic:cNvPicPr>
                      <a:picLocks noChangeAspect="1"/>
                    </pic:cNvPicPr>
                  </pic:nvPicPr>
                  <pic:blipFill>
                    <a:blip r:embed="rId13"/>
                    <a:stretch>
                      <a:fillRect/>
                    </a:stretch>
                  </pic:blipFill>
                  <pic:spPr>
                    <a:xfrm>
                      <a:off x="0" y="0"/>
                      <a:ext cx="5759450" cy="1072515"/>
                    </a:xfrm>
                    <a:prstGeom prst="rect">
                      <a:avLst/>
                    </a:prstGeom>
                  </pic:spPr>
                </pic:pic>
              </a:graphicData>
            </a:graphic>
          </wp:inline>
        </w:drawing>
      </w:r>
    </w:p>
    <w:p w14:paraId="65E9FB97">
      <w:pPr>
        <w:spacing w:line="360" w:lineRule="auto"/>
        <w:ind w:firstLine="480" w:firstLineChars="200"/>
        <w:jc w:val="center"/>
        <w:rPr>
          <w:rFonts w:ascii="Times New Roman" w:hAnsi="Times New Roman" w:eastAsia="宋体" w:cs="Times New Roman"/>
          <w:sz w:val="24"/>
          <w:szCs w:val="21"/>
        </w:rPr>
      </w:pPr>
      <w:r>
        <w:rPr>
          <w:rFonts w:ascii="Times New Roman" w:hAnsi="Times New Roman" w:eastAsia="宋体" w:cs="Times New Roman"/>
          <w:sz w:val="24"/>
          <w:szCs w:val="21"/>
        </w:rPr>
        <w:t>图</w:t>
      </w:r>
      <w:r>
        <w:rPr>
          <w:rFonts w:hint="eastAsia" w:ascii="Times New Roman" w:hAnsi="Times New Roman" w:eastAsia="宋体" w:cs="Times New Roman"/>
          <w:sz w:val="24"/>
          <w:szCs w:val="21"/>
          <w:lang w:val="en-US" w:eastAsia="zh-CN"/>
        </w:rPr>
        <w:t>2.1.2.1</w:t>
      </w:r>
      <w:r>
        <w:rPr>
          <w:rFonts w:ascii="Times New Roman" w:hAnsi="Times New Roman" w:eastAsia="宋体" w:cs="Times New Roman"/>
          <w:sz w:val="24"/>
          <w:szCs w:val="21"/>
        </w:rPr>
        <w:noBreakHyphen/>
      </w:r>
      <w:r>
        <w:rPr>
          <w:rFonts w:ascii="Times New Roman" w:hAnsi="Times New Roman" w:eastAsia="宋体" w:cs="Times New Roman"/>
          <w:sz w:val="24"/>
          <w:szCs w:val="21"/>
        </w:rPr>
        <w:fldChar w:fldCharType="begin"/>
      </w:r>
      <w:r>
        <w:rPr>
          <w:rFonts w:ascii="Times New Roman" w:hAnsi="Times New Roman" w:eastAsia="宋体" w:cs="Times New Roman"/>
          <w:sz w:val="24"/>
          <w:szCs w:val="21"/>
        </w:rPr>
        <w:instrText xml:space="preserve"> SEQ 图 \* ARABIC \s 2 </w:instrText>
      </w:r>
      <w:r>
        <w:rPr>
          <w:rFonts w:ascii="Times New Roman" w:hAnsi="Times New Roman" w:eastAsia="宋体" w:cs="Times New Roman"/>
          <w:sz w:val="24"/>
          <w:szCs w:val="21"/>
        </w:rPr>
        <w:fldChar w:fldCharType="separate"/>
      </w:r>
      <w:r>
        <w:rPr>
          <w:rFonts w:ascii="Times New Roman" w:hAnsi="Times New Roman" w:eastAsia="宋体" w:cs="Times New Roman"/>
          <w:sz w:val="24"/>
          <w:szCs w:val="21"/>
        </w:rPr>
        <w:t>1</w:t>
      </w:r>
      <w:r>
        <w:rPr>
          <w:rFonts w:ascii="Times New Roman" w:hAnsi="Times New Roman" w:eastAsia="宋体" w:cs="Times New Roman"/>
          <w:sz w:val="24"/>
          <w:szCs w:val="21"/>
        </w:rPr>
        <w:fldChar w:fldCharType="end"/>
      </w:r>
      <w:r>
        <w:rPr>
          <w:rFonts w:hint="eastAsia" w:ascii="Times New Roman" w:hAnsi="Times New Roman" w:cs="Times New Roman"/>
          <w:sz w:val="24"/>
          <w:szCs w:val="21"/>
          <w:lang w:eastAsia="zh-CN"/>
        </w:rPr>
        <w:t>小浃江特大桥</w:t>
      </w:r>
      <w:r>
        <w:rPr>
          <w:rFonts w:hint="eastAsia" w:ascii="Times New Roman" w:hAnsi="Times New Roman" w:eastAsia="宋体" w:cs="Times New Roman"/>
          <w:sz w:val="24"/>
          <w:szCs w:val="21"/>
        </w:rPr>
        <w:t>桥型布置图</w:t>
      </w:r>
    </w:p>
    <w:p w14:paraId="2075EF28">
      <w:pPr>
        <w:spacing w:line="360" w:lineRule="auto"/>
        <w:ind w:left="0" w:leftChars="0" w:firstLine="240" w:firstLineChars="100"/>
        <w:jc w:val="center"/>
        <w:rPr>
          <w:rFonts w:ascii="Times New Roman" w:hAnsi="Times New Roman" w:eastAsia="宋体" w:cs="Times New Roman"/>
          <w:sz w:val="24"/>
          <w:szCs w:val="21"/>
        </w:rPr>
      </w:pPr>
      <w:r>
        <w:drawing>
          <wp:inline distT="0" distB="0" distL="0" distR="0">
            <wp:extent cx="4765040" cy="1742440"/>
            <wp:effectExtent l="0" t="0" r="16510" b="10160"/>
            <wp:docPr id="5122" name="图片 173" descr="be8f222a480479f8af6fa73a86f41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图片 173" descr="be8f222a480479f8af6fa73a86f418c"/>
                    <pic:cNvPicPr>
                      <a:picLocks noChangeAspect="1" noChangeArrowheads="1"/>
                    </pic:cNvPicPr>
                  </pic:nvPicPr>
                  <pic:blipFill>
                    <a:blip r:embed="rId14" cstate="print">
                      <a:extLst>
                        <a:ext uri="{28A0092B-C50C-407E-A947-70E740481C1C}">
                          <a14:useLocalDpi xmlns:a14="http://schemas.microsoft.com/office/drawing/2010/main" val="0"/>
                        </a:ext>
                      </a:extLst>
                    </a:blip>
                    <a:srcRect t="22553" b="17802"/>
                    <a:stretch>
                      <a:fillRect/>
                    </a:stretch>
                  </pic:blipFill>
                  <pic:spPr>
                    <a:xfrm>
                      <a:off x="0" y="0"/>
                      <a:ext cx="4765040" cy="1742440"/>
                    </a:xfrm>
                    <a:prstGeom prst="rect">
                      <a:avLst/>
                    </a:prstGeom>
                    <a:noFill/>
                    <a:ln>
                      <a:noFill/>
                    </a:ln>
                  </pic:spPr>
                </pic:pic>
              </a:graphicData>
            </a:graphic>
          </wp:inline>
        </w:drawing>
      </w:r>
    </w:p>
    <w:p w14:paraId="4B62BEF9">
      <w:pPr>
        <w:spacing w:line="360" w:lineRule="auto"/>
        <w:ind w:firstLine="480" w:firstLineChars="200"/>
        <w:jc w:val="center"/>
        <w:rPr>
          <w:rFonts w:ascii="Times New Roman" w:hAnsi="Times New Roman" w:eastAsia="宋体" w:cs="Times New Roman"/>
          <w:sz w:val="24"/>
          <w:szCs w:val="21"/>
        </w:rPr>
      </w:pPr>
      <w:r>
        <w:rPr>
          <w:rFonts w:ascii="Times New Roman" w:hAnsi="Times New Roman" w:eastAsia="宋体" w:cs="Times New Roman"/>
          <w:sz w:val="24"/>
          <w:szCs w:val="21"/>
        </w:rPr>
        <w:t>图</w:t>
      </w:r>
      <w:r>
        <w:rPr>
          <w:rFonts w:hint="eastAsia" w:ascii="Times New Roman" w:hAnsi="Times New Roman" w:eastAsia="宋体" w:cs="Times New Roman"/>
          <w:sz w:val="24"/>
          <w:szCs w:val="21"/>
          <w:lang w:val="en-US" w:eastAsia="zh-CN"/>
        </w:rPr>
        <w:t>2.1.2.1</w:t>
      </w:r>
      <w:r>
        <w:rPr>
          <w:rFonts w:ascii="Times New Roman" w:hAnsi="Times New Roman" w:eastAsia="宋体" w:cs="Times New Roman"/>
          <w:sz w:val="24"/>
          <w:szCs w:val="21"/>
        </w:rPr>
        <w:noBreakHyphen/>
      </w:r>
      <w:r>
        <w:rPr>
          <w:rFonts w:ascii="Times New Roman" w:hAnsi="Times New Roman" w:eastAsia="宋体" w:cs="Times New Roman"/>
          <w:sz w:val="24"/>
          <w:szCs w:val="21"/>
        </w:rPr>
        <w:fldChar w:fldCharType="begin"/>
      </w:r>
      <w:r>
        <w:rPr>
          <w:rFonts w:ascii="Times New Roman" w:hAnsi="Times New Roman" w:eastAsia="宋体" w:cs="Times New Roman"/>
          <w:sz w:val="24"/>
          <w:szCs w:val="21"/>
        </w:rPr>
        <w:instrText xml:space="preserve"> SEQ 图 \* ARABIC \s 2 </w:instrText>
      </w:r>
      <w:r>
        <w:rPr>
          <w:rFonts w:ascii="Times New Roman" w:hAnsi="Times New Roman" w:eastAsia="宋体" w:cs="Times New Roman"/>
          <w:sz w:val="24"/>
          <w:szCs w:val="21"/>
        </w:rPr>
        <w:fldChar w:fldCharType="separate"/>
      </w:r>
      <w:r>
        <w:rPr>
          <w:rFonts w:ascii="Times New Roman" w:hAnsi="Times New Roman" w:eastAsia="宋体" w:cs="Times New Roman"/>
          <w:sz w:val="24"/>
          <w:szCs w:val="21"/>
        </w:rPr>
        <w:t>2</w:t>
      </w:r>
      <w:r>
        <w:rPr>
          <w:rFonts w:ascii="Times New Roman" w:hAnsi="Times New Roman" w:eastAsia="宋体" w:cs="Times New Roman"/>
          <w:sz w:val="24"/>
          <w:szCs w:val="21"/>
        </w:rPr>
        <w:fldChar w:fldCharType="end"/>
      </w:r>
      <w:r>
        <w:rPr>
          <w:rFonts w:hint="eastAsia" w:ascii="Times New Roman" w:hAnsi="Times New Roman" w:eastAsia="宋体" w:cs="Times New Roman"/>
          <w:sz w:val="24"/>
          <w:szCs w:val="21"/>
        </w:rPr>
        <w:t>小浃江特大桥效果示意图</w:t>
      </w:r>
    </w:p>
    <w:p w14:paraId="20C53C34">
      <w:pPr>
        <w:pStyle w:val="5"/>
        <w:bidi w:val="0"/>
        <w:ind w:left="864" w:hanging="864"/>
      </w:pPr>
      <w:r>
        <w:rPr>
          <w:rFonts w:hint="eastAsia" w:ascii="宋体" w:hAnsi="宋体" w:eastAsia="宋体" w:cstheme="majorBidi"/>
          <w:bCs/>
          <w:kern w:val="2"/>
          <w:sz w:val="24"/>
          <w:szCs w:val="21"/>
          <w:lang w:val="en-US" w:eastAsia="zh-CN" w:bidi="ar-SA"/>
        </w:rPr>
        <w:t>主桥墩身概况</w:t>
      </w:r>
    </w:p>
    <w:p w14:paraId="6F01AA7C">
      <w:pPr>
        <w:spacing w:line="360" w:lineRule="auto"/>
        <w:ind w:firstLine="480" w:firstLineChars="200"/>
        <w:jc w:val="both"/>
        <w:rPr>
          <w:rFonts w:hint="eastAsia" w:ascii="Times New Roman" w:hAnsi="Times New Roman" w:eastAsia="宋体" w:cs="Times New Roman"/>
          <w:sz w:val="24"/>
          <w:szCs w:val="21"/>
        </w:rPr>
      </w:pPr>
      <w:r>
        <w:rPr>
          <w:rFonts w:hint="eastAsia" w:ascii="Times New Roman" w:hAnsi="Times New Roman" w:eastAsia="宋体" w:cs="Times New Roman"/>
          <w:sz w:val="24"/>
          <w:szCs w:val="21"/>
        </w:rPr>
        <w:t>3#～5#主墩为双肢薄壁，墩宽均为8.15m，3#、4#墩厚2.2m，双肢净距4.6m，5#墩墩厚2m，双肢净距4m。双幅桥共用承台，承台为八边形，厚4.5m，3#、4#墩平面尺寸27×16m。6#主墩为薄壁空心墩，尺寸8.15×4m，壁厚1m，也采用双幅桥共用承台的形式，承台为八边形，厚4.5m，平面尺寸27×15m。</w:t>
      </w:r>
    </w:p>
    <w:p w14:paraId="66462D5A">
      <w:pPr>
        <w:spacing w:line="360" w:lineRule="auto"/>
        <w:ind w:firstLine="480" w:firstLineChars="200"/>
        <w:jc w:val="both"/>
        <w:rPr>
          <w:rFonts w:hint="eastAsia" w:ascii="Times New Roman" w:hAnsi="Times New Roman" w:eastAsia="宋体" w:cs="Times New Roman"/>
          <w:sz w:val="24"/>
          <w:szCs w:val="21"/>
        </w:rPr>
      </w:pPr>
      <w:r>
        <w:rPr>
          <w:rFonts w:hint="eastAsia" w:ascii="Times New Roman" w:hAnsi="Times New Roman" w:eastAsia="宋体" w:cs="Times New Roman"/>
          <w:sz w:val="24"/>
          <w:szCs w:val="21"/>
        </w:rPr>
        <w:t>3#～5#主墩墩身采用C50海工混凝土，6#主墩墩身采用C40海工混凝土。主墩墩身主筋采用HRB500E钢筋。3-6#墩外表面防腐采用环氧涂层涂装防护，防腐涂装在小浃江特大桥合龙完成后施工，具体详见《桥梁涂装专项施工方案》。</w:t>
      </w:r>
    </w:p>
    <w:p w14:paraId="6025ACF6">
      <w:pPr>
        <w:pStyle w:val="17"/>
        <w:spacing w:line="240" w:lineRule="auto"/>
        <w:ind w:firstLine="0" w:firstLineChars="0"/>
        <w:jc w:val="center"/>
        <w:rPr>
          <w:rFonts w:hint="eastAsia"/>
        </w:rPr>
      </w:pPr>
      <w:r>
        <w:drawing>
          <wp:inline distT="0" distB="0" distL="0" distR="0">
            <wp:extent cx="4984115" cy="1873885"/>
            <wp:effectExtent l="0" t="0" r="6985" b="12065"/>
            <wp:docPr id="844628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628850" name="图片 1"/>
                    <pic:cNvPicPr>
                      <a:picLocks noChangeAspect="1"/>
                    </pic:cNvPicPr>
                  </pic:nvPicPr>
                  <pic:blipFill>
                    <a:blip r:embed="rId15"/>
                    <a:stretch>
                      <a:fillRect/>
                    </a:stretch>
                  </pic:blipFill>
                  <pic:spPr>
                    <a:xfrm>
                      <a:off x="0" y="0"/>
                      <a:ext cx="4984115" cy="1873885"/>
                    </a:xfrm>
                    <a:prstGeom prst="rect">
                      <a:avLst/>
                    </a:prstGeom>
                  </pic:spPr>
                </pic:pic>
              </a:graphicData>
            </a:graphic>
          </wp:inline>
        </w:drawing>
      </w:r>
    </w:p>
    <w:p w14:paraId="66FC79D1">
      <w:pPr>
        <w:spacing w:line="360" w:lineRule="auto"/>
        <w:ind w:firstLine="480" w:firstLineChars="200"/>
        <w:jc w:val="center"/>
        <w:rPr>
          <w:rFonts w:hint="eastAsia" w:ascii="Times New Roman" w:hAnsi="Times New Roman" w:eastAsia="宋体" w:cs="Times New Roman"/>
          <w:sz w:val="24"/>
          <w:szCs w:val="21"/>
        </w:rPr>
      </w:pPr>
      <w:r>
        <w:rPr>
          <w:rFonts w:hint="eastAsia" w:ascii="Times New Roman" w:hAnsi="Times New Roman" w:eastAsia="宋体" w:cs="Times New Roman"/>
          <w:sz w:val="24"/>
          <w:szCs w:val="21"/>
        </w:rPr>
        <w:t>图</w:t>
      </w:r>
      <w:r>
        <w:rPr>
          <w:rFonts w:hint="eastAsia" w:ascii="Times New Roman" w:hAnsi="Times New Roman" w:eastAsia="宋体" w:cs="Times New Roman"/>
          <w:sz w:val="24"/>
          <w:szCs w:val="21"/>
          <w:lang w:val="en-US" w:eastAsia="zh-CN"/>
        </w:rPr>
        <w:t>2.1.3.1</w:t>
      </w:r>
      <w:r>
        <w:rPr>
          <w:rFonts w:ascii="Times New Roman" w:hAnsi="Times New Roman" w:eastAsia="宋体" w:cs="Times New Roman"/>
          <w:sz w:val="24"/>
          <w:szCs w:val="21"/>
        </w:rPr>
        <w:noBreakHyphen/>
      </w:r>
      <w:r>
        <w:rPr>
          <w:rFonts w:hint="eastAsia" w:ascii="Times New Roman" w:hAnsi="Times New Roman" w:eastAsia="宋体" w:cs="Times New Roman"/>
          <w:sz w:val="24"/>
          <w:szCs w:val="21"/>
          <w:lang w:val="en-US" w:eastAsia="zh-CN"/>
        </w:rPr>
        <w:t>1</w:t>
      </w:r>
      <w:r>
        <w:rPr>
          <w:rFonts w:hint="eastAsia" w:ascii="Times New Roman" w:hAnsi="Times New Roman" w:cs="Times New Roman"/>
          <w:sz w:val="24"/>
          <w:szCs w:val="21"/>
          <w:lang w:val="en-US" w:eastAsia="zh-CN"/>
        </w:rPr>
        <w:t xml:space="preserve">  </w:t>
      </w:r>
      <w:r>
        <w:rPr>
          <w:rFonts w:hint="eastAsia" w:ascii="Times New Roman" w:hAnsi="Times New Roman" w:eastAsia="宋体" w:cs="Times New Roman"/>
          <w:sz w:val="24"/>
          <w:szCs w:val="21"/>
        </w:rPr>
        <w:t>3/4#墩身一般构造图</w:t>
      </w:r>
    </w:p>
    <w:p w14:paraId="4769514B">
      <w:pPr>
        <w:pStyle w:val="17"/>
        <w:spacing w:line="240" w:lineRule="auto"/>
        <w:ind w:firstLine="0" w:firstLineChars="0"/>
        <w:jc w:val="center"/>
      </w:pPr>
      <w:r>
        <w:drawing>
          <wp:inline distT="0" distB="0" distL="0" distR="0">
            <wp:extent cx="4565015" cy="1806575"/>
            <wp:effectExtent l="0" t="0" r="6985" b="3175"/>
            <wp:docPr id="822645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45646" name="图片 1"/>
                    <pic:cNvPicPr>
                      <a:picLocks noChangeAspect="1"/>
                    </pic:cNvPicPr>
                  </pic:nvPicPr>
                  <pic:blipFill>
                    <a:blip r:embed="rId16"/>
                    <a:stretch>
                      <a:fillRect/>
                    </a:stretch>
                  </pic:blipFill>
                  <pic:spPr>
                    <a:xfrm>
                      <a:off x="0" y="0"/>
                      <a:ext cx="4565015" cy="1806575"/>
                    </a:xfrm>
                    <a:prstGeom prst="rect">
                      <a:avLst/>
                    </a:prstGeom>
                  </pic:spPr>
                </pic:pic>
              </a:graphicData>
            </a:graphic>
          </wp:inline>
        </w:drawing>
      </w:r>
    </w:p>
    <w:p w14:paraId="70DAA55B">
      <w:pPr>
        <w:spacing w:line="360" w:lineRule="auto"/>
        <w:ind w:firstLine="480" w:firstLineChars="200"/>
        <w:jc w:val="center"/>
        <w:rPr>
          <w:rFonts w:hint="eastAsia" w:ascii="Times New Roman" w:hAnsi="Times New Roman" w:eastAsia="宋体" w:cs="Times New Roman"/>
          <w:sz w:val="24"/>
          <w:szCs w:val="21"/>
        </w:rPr>
      </w:pPr>
      <w:r>
        <w:rPr>
          <w:rFonts w:hint="eastAsia" w:ascii="Times New Roman" w:hAnsi="Times New Roman" w:eastAsia="宋体" w:cs="Times New Roman"/>
          <w:sz w:val="24"/>
          <w:szCs w:val="21"/>
        </w:rPr>
        <w:t>图</w:t>
      </w:r>
      <w:r>
        <w:rPr>
          <w:rFonts w:hint="eastAsia" w:ascii="Times New Roman" w:hAnsi="Times New Roman" w:eastAsia="宋体" w:cs="Times New Roman"/>
          <w:sz w:val="24"/>
          <w:szCs w:val="21"/>
          <w:lang w:val="en-US" w:eastAsia="zh-CN"/>
        </w:rPr>
        <w:t>2.1.3.1</w:t>
      </w:r>
      <w:r>
        <w:rPr>
          <w:rFonts w:ascii="Times New Roman" w:hAnsi="Times New Roman" w:eastAsia="宋体" w:cs="Times New Roman"/>
          <w:sz w:val="24"/>
          <w:szCs w:val="21"/>
        </w:rPr>
        <w:noBreakHyphen/>
      </w:r>
      <w:r>
        <w:rPr>
          <w:rFonts w:hint="eastAsia" w:ascii="Times New Roman" w:hAnsi="Times New Roman" w:cs="Times New Roman"/>
          <w:sz w:val="24"/>
          <w:szCs w:val="21"/>
          <w:lang w:val="en-US" w:eastAsia="zh-CN"/>
        </w:rPr>
        <w:t xml:space="preserve">2  </w:t>
      </w:r>
      <w:r>
        <w:rPr>
          <w:rFonts w:hint="eastAsia" w:ascii="Times New Roman" w:hAnsi="Times New Roman" w:eastAsia="宋体" w:cs="Times New Roman"/>
          <w:sz w:val="24"/>
          <w:szCs w:val="21"/>
        </w:rPr>
        <w:t>5#墩身一般构造图</w:t>
      </w:r>
    </w:p>
    <w:p w14:paraId="6AA90E97">
      <w:pPr>
        <w:pStyle w:val="17"/>
        <w:spacing w:line="240" w:lineRule="auto"/>
        <w:ind w:firstLine="0" w:firstLineChars="0"/>
        <w:jc w:val="center"/>
        <w:rPr>
          <w:rFonts w:hint="eastAsia"/>
        </w:rPr>
      </w:pPr>
      <w:r>
        <w:drawing>
          <wp:inline distT="0" distB="0" distL="0" distR="0">
            <wp:extent cx="5379720" cy="2778760"/>
            <wp:effectExtent l="0" t="0" r="11430" b="2540"/>
            <wp:docPr id="17796547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654788" name="图片 1"/>
                    <pic:cNvPicPr>
                      <a:picLocks noChangeAspect="1"/>
                    </pic:cNvPicPr>
                  </pic:nvPicPr>
                  <pic:blipFill>
                    <a:blip r:embed="rId17"/>
                    <a:stretch>
                      <a:fillRect/>
                    </a:stretch>
                  </pic:blipFill>
                  <pic:spPr>
                    <a:xfrm>
                      <a:off x="0" y="0"/>
                      <a:ext cx="5384977" cy="2781545"/>
                    </a:xfrm>
                    <a:prstGeom prst="rect">
                      <a:avLst/>
                    </a:prstGeom>
                  </pic:spPr>
                </pic:pic>
              </a:graphicData>
            </a:graphic>
          </wp:inline>
        </w:drawing>
      </w:r>
    </w:p>
    <w:p w14:paraId="30DA051B">
      <w:pPr>
        <w:spacing w:line="360" w:lineRule="auto"/>
        <w:ind w:firstLine="480" w:firstLineChars="200"/>
        <w:jc w:val="center"/>
        <w:rPr>
          <w:rFonts w:hint="eastAsia"/>
        </w:rPr>
      </w:pPr>
      <w:r>
        <w:rPr>
          <w:rFonts w:hint="eastAsia" w:ascii="Times New Roman" w:hAnsi="Times New Roman" w:eastAsia="宋体" w:cs="Times New Roman"/>
          <w:sz w:val="24"/>
          <w:szCs w:val="21"/>
        </w:rPr>
        <w:t>图</w:t>
      </w:r>
      <w:r>
        <w:rPr>
          <w:rFonts w:hint="eastAsia" w:ascii="Times New Roman" w:hAnsi="Times New Roman" w:eastAsia="宋体" w:cs="Times New Roman"/>
          <w:sz w:val="24"/>
          <w:szCs w:val="21"/>
          <w:lang w:val="en-US" w:eastAsia="zh-CN"/>
        </w:rPr>
        <w:t>2.1.3.1</w:t>
      </w:r>
      <w:r>
        <w:rPr>
          <w:rFonts w:ascii="Times New Roman" w:hAnsi="Times New Roman" w:eastAsia="宋体" w:cs="Times New Roman"/>
          <w:sz w:val="24"/>
          <w:szCs w:val="21"/>
        </w:rPr>
        <w:noBreakHyphen/>
      </w:r>
      <w:r>
        <w:rPr>
          <w:rFonts w:hint="eastAsia" w:ascii="Times New Roman" w:hAnsi="Times New Roman" w:cs="Times New Roman"/>
          <w:sz w:val="24"/>
          <w:szCs w:val="21"/>
          <w:lang w:val="en-US" w:eastAsia="zh-CN"/>
        </w:rPr>
        <w:t>3  6#墩身一般构造图</w:t>
      </w:r>
    </w:p>
    <w:p w14:paraId="54A74B6B">
      <w:pPr>
        <w:spacing w:line="360" w:lineRule="auto"/>
        <w:ind w:firstLine="480" w:firstLineChars="200"/>
        <w:jc w:val="center"/>
        <w:rPr>
          <w:rFonts w:hint="eastAsia" w:ascii="Times New Roman" w:hAnsi="Times New Roman" w:eastAsia="宋体" w:cs="Times New Roman"/>
          <w:sz w:val="24"/>
          <w:szCs w:val="21"/>
        </w:rPr>
      </w:pPr>
      <w:r>
        <w:rPr>
          <w:rFonts w:hint="eastAsia" w:ascii="Times New Roman" w:hAnsi="Times New Roman" w:eastAsia="宋体" w:cs="Times New Roman"/>
          <w:sz w:val="24"/>
          <w:szCs w:val="21"/>
        </w:rPr>
        <w:t>表</w:t>
      </w:r>
      <w:r>
        <w:rPr>
          <w:rFonts w:hint="eastAsia" w:ascii="Times New Roman" w:hAnsi="Times New Roman" w:eastAsia="宋体" w:cs="Times New Roman"/>
          <w:sz w:val="24"/>
          <w:szCs w:val="21"/>
          <w:lang w:val="en-US" w:eastAsia="zh-CN"/>
        </w:rPr>
        <w:t>2.1.3.2</w:t>
      </w:r>
      <w:r>
        <w:rPr>
          <w:rFonts w:ascii="Times New Roman" w:hAnsi="Times New Roman" w:eastAsia="宋体" w:cs="Times New Roman"/>
          <w:sz w:val="24"/>
          <w:szCs w:val="21"/>
        </w:rPr>
        <w:noBreakHyphen/>
      </w:r>
      <w:r>
        <w:rPr>
          <w:rFonts w:ascii="Times New Roman" w:hAnsi="Times New Roman" w:eastAsia="宋体" w:cs="Times New Roman"/>
          <w:sz w:val="24"/>
          <w:szCs w:val="21"/>
        </w:rPr>
        <w:fldChar w:fldCharType="begin"/>
      </w:r>
      <w:r>
        <w:rPr>
          <w:rFonts w:ascii="Times New Roman" w:hAnsi="Times New Roman" w:eastAsia="宋体" w:cs="Times New Roman"/>
          <w:sz w:val="24"/>
          <w:szCs w:val="21"/>
        </w:rPr>
        <w:instrText xml:space="preserve"> </w:instrText>
      </w:r>
      <w:r>
        <w:rPr>
          <w:rFonts w:hint="eastAsia" w:ascii="Times New Roman" w:hAnsi="Times New Roman" w:eastAsia="宋体" w:cs="Times New Roman"/>
          <w:sz w:val="24"/>
          <w:szCs w:val="21"/>
        </w:rPr>
        <w:instrText xml:space="preserve">SEQ 表 \* ARABIC \s 2</w:instrText>
      </w:r>
      <w:r>
        <w:rPr>
          <w:rFonts w:ascii="Times New Roman" w:hAnsi="Times New Roman" w:eastAsia="宋体" w:cs="Times New Roman"/>
          <w:sz w:val="24"/>
          <w:szCs w:val="21"/>
        </w:rPr>
        <w:instrText xml:space="preserve"> </w:instrText>
      </w:r>
      <w:r>
        <w:rPr>
          <w:rFonts w:ascii="Times New Roman" w:hAnsi="Times New Roman" w:eastAsia="宋体" w:cs="Times New Roman"/>
          <w:sz w:val="24"/>
          <w:szCs w:val="21"/>
        </w:rPr>
        <w:fldChar w:fldCharType="separate"/>
      </w:r>
      <w:r>
        <w:rPr>
          <w:rFonts w:ascii="Times New Roman" w:hAnsi="Times New Roman" w:eastAsia="宋体" w:cs="Times New Roman"/>
          <w:sz w:val="24"/>
          <w:szCs w:val="21"/>
        </w:rPr>
        <w:t>1</w:t>
      </w:r>
      <w:r>
        <w:rPr>
          <w:rFonts w:ascii="Times New Roman" w:hAnsi="Times New Roman" w:eastAsia="宋体" w:cs="Times New Roman"/>
          <w:sz w:val="24"/>
          <w:szCs w:val="21"/>
        </w:rPr>
        <w:fldChar w:fldCharType="end"/>
      </w:r>
      <w:r>
        <w:rPr>
          <w:rFonts w:hint="eastAsia" w:ascii="Times New Roman" w:hAnsi="Times New Roman" w:eastAsia="宋体" w:cs="Times New Roman"/>
          <w:sz w:val="24"/>
          <w:szCs w:val="21"/>
        </w:rPr>
        <w:t xml:space="preserve"> </w:t>
      </w:r>
      <w:r>
        <w:rPr>
          <w:rFonts w:hint="eastAsia"/>
        </w:rPr>
        <w:t>小浃江特大桥主桥墩身设计参数一览表</w:t>
      </w:r>
    </w:p>
    <w:tbl>
      <w:tblPr>
        <w:tblStyle w:val="126"/>
        <w:tblW w:w="5000" w:type="pct"/>
        <w:tblInd w:w="0" w:type="dxa"/>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Layout w:type="autofit"/>
        <w:tblCellMar>
          <w:top w:w="0" w:type="dxa"/>
          <w:left w:w="108" w:type="dxa"/>
          <w:bottom w:w="0" w:type="dxa"/>
          <w:right w:w="108" w:type="dxa"/>
        </w:tblCellMar>
      </w:tblPr>
      <w:tblGrid>
        <w:gridCol w:w="910"/>
        <w:gridCol w:w="1553"/>
        <w:gridCol w:w="1232"/>
        <w:gridCol w:w="1232"/>
        <w:gridCol w:w="1232"/>
        <w:gridCol w:w="1232"/>
        <w:gridCol w:w="1232"/>
        <w:gridCol w:w="1232"/>
      </w:tblGrid>
      <w:tr w14:paraId="4B0F146D">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blHeader/>
        </w:trPr>
        <w:tc>
          <w:tcPr>
            <w:tcW w:w="462" w:type="pct"/>
            <w:vMerge w:val="restart"/>
            <w:shd w:val="clear" w:color="auto" w:fill="9CC2E5"/>
            <w:vAlign w:val="center"/>
          </w:tcPr>
          <w:p w14:paraId="0B004751">
            <w:pPr>
              <w:pStyle w:val="49"/>
              <w:widowControl w:val="0"/>
              <w:rPr>
                <w:b/>
              </w:rPr>
            </w:pPr>
            <w:r>
              <w:rPr>
                <w:rFonts w:hint="eastAsia"/>
                <w:b/>
              </w:rPr>
              <w:t>墩号</w:t>
            </w:r>
          </w:p>
        </w:tc>
        <w:tc>
          <w:tcPr>
            <w:tcW w:w="788" w:type="pct"/>
            <w:vMerge w:val="restart"/>
            <w:shd w:val="clear" w:color="auto" w:fill="9CC2E5"/>
            <w:vAlign w:val="center"/>
          </w:tcPr>
          <w:p w14:paraId="24BCB250">
            <w:pPr>
              <w:pStyle w:val="49"/>
              <w:widowControl w:val="0"/>
              <w:rPr>
                <w:b/>
              </w:rPr>
            </w:pPr>
            <w:r>
              <w:rPr>
                <w:rFonts w:hint="eastAsia"/>
                <w:b/>
              </w:rPr>
              <w:t>结构形式</w:t>
            </w:r>
          </w:p>
        </w:tc>
        <w:tc>
          <w:tcPr>
            <w:tcW w:w="1250" w:type="pct"/>
            <w:gridSpan w:val="2"/>
            <w:shd w:val="clear" w:color="auto" w:fill="9CC2E5"/>
            <w:vAlign w:val="center"/>
          </w:tcPr>
          <w:p w14:paraId="160CCC4E">
            <w:pPr>
              <w:pStyle w:val="49"/>
              <w:widowControl w:val="0"/>
              <w:rPr>
                <w:b/>
              </w:rPr>
            </w:pPr>
            <w:r>
              <w:rPr>
                <w:rFonts w:hint="eastAsia"/>
                <w:b/>
              </w:rPr>
              <w:t>墩身尺寸（m）</w:t>
            </w:r>
          </w:p>
        </w:tc>
        <w:tc>
          <w:tcPr>
            <w:tcW w:w="2500" w:type="pct"/>
            <w:gridSpan w:val="4"/>
            <w:vMerge w:val="restart"/>
            <w:shd w:val="clear" w:color="auto" w:fill="9CC2E5"/>
            <w:vAlign w:val="center"/>
          </w:tcPr>
          <w:p w14:paraId="018DE9A2">
            <w:pPr>
              <w:pStyle w:val="49"/>
              <w:widowControl w:val="0"/>
              <w:rPr>
                <w:b/>
              </w:rPr>
            </w:pPr>
            <w:r>
              <w:rPr>
                <w:rFonts w:hint="eastAsia"/>
                <w:b/>
              </w:rPr>
              <w:t>墩高（m）</w:t>
            </w:r>
          </w:p>
        </w:tc>
      </w:tr>
      <w:tr w14:paraId="5F5735F9">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blHeader/>
        </w:trPr>
        <w:tc>
          <w:tcPr>
            <w:tcW w:w="462" w:type="pct"/>
            <w:vMerge w:val="continue"/>
            <w:shd w:val="clear" w:color="auto" w:fill="9CC2E5"/>
            <w:vAlign w:val="center"/>
          </w:tcPr>
          <w:p w14:paraId="1C8F820D">
            <w:pPr>
              <w:pStyle w:val="49"/>
              <w:widowControl w:val="0"/>
              <w:rPr>
                <w:b/>
              </w:rPr>
            </w:pPr>
          </w:p>
        </w:tc>
        <w:tc>
          <w:tcPr>
            <w:tcW w:w="788" w:type="pct"/>
            <w:vMerge w:val="continue"/>
            <w:shd w:val="clear" w:color="auto" w:fill="9CC2E5"/>
            <w:vAlign w:val="center"/>
          </w:tcPr>
          <w:p w14:paraId="487CE824">
            <w:pPr>
              <w:pStyle w:val="49"/>
              <w:widowControl w:val="0"/>
              <w:rPr>
                <w:b/>
              </w:rPr>
            </w:pPr>
          </w:p>
        </w:tc>
        <w:tc>
          <w:tcPr>
            <w:tcW w:w="625" w:type="pct"/>
            <w:shd w:val="clear" w:color="auto" w:fill="9CC2E5"/>
            <w:vAlign w:val="center"/>
          </w:tcPr>
          <w:p w14:paraId="7AE2887D">
            <w:pPr>
              <w:pStyle w:val="49"/>
              <w:widowControl w:val="0"/>
              <w:rPr>
                <w:b/>
              </w:rPr>
            </w:pPr>
            <w:r>
              <w:rPr>
                <w:rFonts w:hint="eastAsia"/>
                <w:b/>
              </w:rPr>
              <w:t>下部</w:t>
            </w:r>
          </w:p>
        </w:tc>
        <w:tc>
          <w:tcPr>
            <w:tcW w:w="625" w:type="pct"/>
            <w:shd w:val="clear" w:color="auto" w:fill="9CC2E5"/>
            <w:vAlign w:val="center"/>
          </w:tcPr>
          <w:p w14:paraId="5F9B1453">
            <w:pPr>
              <w:pStyle w:val="49"/>
              <w:widowControl w:val="0"/>
              <w:rPr>
                <w:b/>
              </w:rPr>
            </w:pPr>
            <w:r>
              <w:rPr>
                <w:rFonts w:hint="eastAsia"/>
                <w:b/>
              </w:rPr>
              <w:t>上部</w:t>
            </w:r>
          </w:p>
        </w:tc>
        <w:tc>
          <w:tcPr>
            <w:tcW w:w="2500" w:type="pct"/>
            <w:gridSpan w:val="4"/>
            <w:vMerge w:val="continue"/>
            <w:shd w:val="clear" w:color="auto" w:fill="9CC2E5"/>
            <w:vAlign w:val="center"/>
          </w:tcPr>
          <w:p w14:paraId="4E913DCD">
            <w:pPr>
              <w:pStyle w:val="49"/>
              <w:widowControl w:val="0"/>
              <w:rPr>
                <w:b/>
              </w:rPr>
            </w:pPr>
          </w:p>
        </w:tc>
      </w:tr>
      <w:tr w14:paraId="709634EC">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c>
          <w:tcPr>
            <w:tcW w:w="462" w:type="pct"/>
            <w:shd w:val="clear" w:color="auto" w:fill="BDD6EE"/>
            <w:vAlign w:val="center"/>
          </w:tcPr>
          <w:p w14:paraId="4C7918B7">
            <w:pPr>
              <w:pStyle w:val="49"/>
              <w:widowControl w:val="0"/>
            </w:pPr>
            <w:r>
              <w:rPr>
                <w:rFonts w:hint="eastAsia"/>
              </w:rPr>
              <w:t>3</w:t>
            </w:r>
          </w:p>
        </w:tc>
        <w:tc>
          <w:tcPr>
            <w:tcW w:w="788" w:type="pct"/>
            <w:shd w:val="clear" w:color="auto" w:fill="BDD6EE"/>
            <w:vAlign w:val="center"/>
          </w:tcPr>
          <w:p w14:paraId="5CB6079C">
            <w:pPr>
              <w:pStyle w:val="49"/>
              <w:widowControl w:val="0"/>
            </w:pPr>
            <w:r>
              <w:rPr>
                <w:rFonts w:hint="eastAsia"/>
              </w:rPr>
              <w:t>双肢薄壁</w:t>
            </w:r>
          </w:p>
        </w:tc>
        <w:tc>
          <w:tcPr>
            <w:tcW w:w="1250" w:type="pct"/>
            <w:gridSpan w:val="2"/>
            <w:shd w:val="clear" w:color="auto" w:fill="BDD6EE"/>
            <w:vAlign w:val="center"/>
          </w:tcPr>
          <w:p w14:paraId="40C50FB3">
            <w:pPr>
              <w:pStyle w:val="49"/>
              <w:widowControl w:val="0"/>
            </w:pPr>
            <w:r>
              <w:rPr>
                <w:rFonts w:hint="eastAsia"/>
              </w:rPr>
              <w:t>8.15×2.2</w:t>
            </w:r>
          </w:p>
        </w:tc>
        <w:tc>
          <w:tcPr>
            <w:tcW w:w="625" w:type="pct"/>
            <w:shd w:val="clear" w:color="auto" w:fill="BDD6EE"/>
            <w:vAlign w:val="center"/>
          </w:tcPr>
          <w:p w14:paraId="62F81C58">
            <w:pPr>
              <w:pStyle w:val="49"/>
              <w:widowControl w:val="0"/>
            </w:pPr>
            <w:r>
              <w:rPr>
                <w:rFonts w:hint="eastAsia"/>
              </w:rPr>
              <w:t>36.78</w:t>
            </w:r>
          </w:p>
        </w:tc>
        <w:tc>
          <w:tcPr>
            <w:tcW w:w="625" w:type="pct"/>
            <w:shd w:val="clear" w:color="auto" w:fill="BDD6EE"/>
            <w:vAlign w:val="center"/>
          </w:tcPr>
          <w:p w14:paraId="63643F66">
            <w:pPr>
              <w:pStyle w:val="49"/>
              <w:widowControl w:val="0"/>
            </w:pPr>
            <w:r>
              <w:rPr>
                <w:rFonts w:hint="eastAsia"/>
              </w:rPr>
              <w:t>36.66</w:t>
            </w:r>
          </w:p>
        </w:tc>
        <w:tc>
          <w:tcPr>
            <w:tcW w:w="625" w:type="pct"/>
            <w:shd w:val="clear" w:color="auto" w:fill="BDD6EE"/>
            <w:vAlign w:val="center"/>
          </w:tcPr>
          <w:p w14:paraId="17E10752">
            <w:pPr>
              <w:pStyle w:val="49"/>
              <w:widowControl w:val="0"/>
            </w:pPr>
            <w:r>
              <w:rPr>
                <w:rFonts w:hint="eastAsia"/>
              </w:rPr>
              <w:t>36.63</w:t>
            </w:r>
          </w:p>
        </w:tc>
        <w:tc>
          <w:tcPr>
            <w:tcW w:w="625" w:type="pct"/>
            <w:shd w:val="clear" w:color="auto" w:fill="BDD6EE"/>
            <w:vAlign w:val="center"/>
          </w:tcPr>
          <w:p w14:paraId="2EE29168">
            <w:pPr>
              <w:pStyle w:val="49"/>
              <w:widowControl w:val="0"/>
            </w:pPr>
            <w:r>
              <w:rPr>
                <w:rFonts w:hint="eastAsia"/>
              </w:rPr>
              <w:t>36.51</w:t>
            </w:r>
          </w:p>
        </w:tc>
      </w:tr>
      <w:tr w14:paraId="72E55B4D">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c>
          <w:tcPr>
            <w:tcW w:w="462" w:type="pct"/>
            <w:shd w:val="clear" w:color="auto" w:fill="BDD6EE"/>
            <w:vAlign w:val="center"/>
          </w:tcPr>
          <w:p w14:paraId="4D793DAA">
            <w:pPr>
              <w:pStyle w:val="49"/>
              <w:widowControl w:val="0"/>
            </w:pPr>
            <w:r>
              <w:rPr>
                <w:rFonts w:hint="eastAsia"/>
              </w:rPr>
              <w:t>4</w:t>
            </w:r>
          </w:p>
        </w:tc>
        <w:tc>
          <w:tcPr>
            <w:tcW w:w="788" w:type="pct"/>
            <w:shd w:val="clear" w:color="auto" w:fill="BDD6EE"/>
            <w:vAlign w:val="center"/>
          </w:tcPr>
          <w:p w14:paraId="3F3F8D62">
            <w:pPr>
              <w:pStyle w:val="49"/>
              <w:widowControl w:val="0"/>
            </w:pPr>
            <w:r>
              <w:rPr>
                <w:rFonts w:hint="eastAsia"/>
              </w:rPr>
              <w:t>双肢薄壁</w:t>
            </w:r>
          </w:p>
        </w:tc>
        <w:tc>
          <w:tcPr>
            <w:tcW w:w="1250" w:type="pct"/>
            <w:gridSpan w:val="2"/>
            <w:shd w:val="clear" w:color="auto" w:fill="BDD6EE"/>
            <w:vAlign w:val="center"/>
          </w:tcPr>
          <w:p w14:paraId="4E6DFD83">
            <w:pPr>
              <w:pStyle w:val="49"/>
              <w:widowControl w:val="0"/>
            </w:pPr>
            <w:r>
              <w:rPr>
                <w:rFonts w:hint="eastAsia"/>
              </w:rPr>
              <w:t>8.15×2.2</w:t>
            </w:r>
          </w:p>
        </w:tc>
        <w:tc>
          <w:tcPr>
            <w:tcW w:w="625" w:type="pct"/>
            <w:shd w:val="clear" w:color="auto" w:fill="BDD6EE"/>
            <w:vAlign w:val="center"/>
          </w:tcPr>
          <w:p w14:paraId="6CA36001">
            <w:pPr>
              <w:pStyle w:val="49"/>
              <w:widowControl w:val="0"/>
            </w:pPr>
            <w:r>
              <w:rPr>
                <w:rFonts w:hint="eastAsia"/>
              </w:rPr>
              <w:t>33.61</w:t>
            </w:r>
          </w:p>
        </w:tc>
        <w:tc>
          <w:tcPr>
            <w:tcW w:w="625" w:type="pct"/>
            <w:shd w:val="clear" w:color="auto" w:fill="BDD6EE"/>
            <w:vAlign w:val="center"/>
          </w:tcPr>
          <w:p w14:paraId="52A70943">
            <w:pPr>
              <w:pStyle w:val="49"/>
              <w:widowControl w:val="0"/>
            </w:pPr>
            <w:r>
              <w:rPr>
                <w:rFonts w:hint="eastAsia"/>
              </w:rPr>
              <w:t>33.49</w:t>
            </w:r>
          </w:p>
        </w:tc>
        <w:tc>
          <w:tcPr>
            <w:tcW w:w="625" w:type="pct"/>
            <w:shd w:val="clear" w:color="auto" w:fill="BDD6EE"/>
            <w:vAlign w:val="center"/>
          </w:tcPr>
          <w:p w14:paraId="6D1B35C4">
            <w:pPr>
              <w:pStyle w:val="49"/>
              <w:widowControl w:val="0"/>
            </w:pPr>
            <w:r>
              <w:rPr>
                <w:rFonts w:hint="eastAsia"/>
              </w:rPr>
              <w:t>33.32</w:t>
            </w:r>
          </w:p>
        </w:tc>
        <w:tc>
          <w:tcPr>
            <w:tcW w:w="625" w:type="pct"/>
            <w:shd w:val="clear" w:color="auto" w:fill="BDD6EE"/>
            <w:vAlign w:val="center"/>
          </w:tcPr>
          <w:p w14:paraId="47EA85A8">
            <w:pPr>
              <w:pStyle w:val="49"/>
              <w:widowControl w:val="0"/>
            </w:pPr>
            <w:r>
              <w:rPr>
                <w:rFonts w:hint="eastAsia"/>
              </w:rPr>
              <w:t>33.20</w:t>
            </w:r>
          </w:p>
        </w:tc>
      </w:tr>
      <w:tr w14:paraId="3FEF045E">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c>
          <w:tcPr>
            <w:tcW w:w="462" w:type="pct"/>
            <w:shd w:val="clear" w:color="auto" w:fill="BDD6EE"/>
            <w:vAlign w:val="center"/>
          </w:tcPr>
          <w:p w14:paraId="63EC9906">
            <w:pPr>
              <w:pStyle w:val="49"/>
              <w:widowControl w:val="0"/>
            </w:pPr>
            <w:r>
              <w:rPr>
                <w:rFonts w:hint="eastAsia"/>
              </w:rPr>
              <w:t>5</w:t>
            </w:r>
          </w:p>
        </w:tc>
        <w:tc>
          <w:tcPr>
            <w:tcW w:w="788" w:type="pct"/>
            <w:shd w:val="clear" w:color="auto" w:fill="BDD6EE"/>
            <w:vAlign w:val="center"/>
          </w:tcPr>
          <w:p w14:paraId="06B7655B">
            <w:pPr>
              <w:pStyle w:val="49"/>
              <w:widowControl w:val="0"/>
            </w:pPr>
            <w:r>
              <w:rPr>
                <w:rFonts w:hint="eastAsia"/>
              </w:rPr>
              <w:t>双肢薄壁</w:t>
            </w:r>
          </w:p>
        </w:tc>
        <w:tc>
          <w:tcPr>
            <w:tcW w:w="1250" w:type="pct"/>
            <w:gridSpan w:val="2"/>
            <w:shd w:val="clear" w:color="auto" w:fill="BDD6EE"/>
            <w:vAlign w:val="center"/>
          </w:tcPr>
          <w:p w14:paraId="653C2AF6">
            <w:pPr>
              <w:pStyle w:val="49"/>
              <w:widowControl w:val="0"/>
            </w:pPr>
            <w:r>
              <w:rPr>
                <w:rFonts w:hint="eastAsia"/>
              </w:rPr>
              <w:t>8.15×2.0</w:t>
            </w:r>
          </w:p>
        </w:tc>
        <w:tc>
          <w:tcPr>
            <w:tcW w:w="625" w:type="pct"/>
            <w:shd w:val="clear" w:color="auto" w:fill="BDD6EE"/>
            <w:vAlign w:val="center"/>
          </w:tcPr>
          <w:p w14:paraId="504918E6">
            <w:pPr>
              <w:pStyle w:val="49"/>
              <w:widowControl w:val="0"/>
            </w:pPr>
            <w:r>
              <w:rPr>
                <w:rFonts w:hint="eastAsia"/>
              </w:rPr>
              <w:t>33.40</w:t>
            </w:r>
          </w:p>
        </w:tc>
        <w:tc>
          <w:tcPr>
            <w:tcW w:w="625" w:type="pct"/>
            <w:shd w:val="clear" w:color="auto" w:fill="BDD6EE"/>
            <w:vAlign w:val="center"/>
          </w:tcPr>
          <w:p w14:paraId="1F4D2139">
            <w:pPr>
              <w:pStyle w:val="49"/>
              <w:widowControl w:val="0"/>
            </w:pPr>
            <w:r>
              <w:rPr>
                <w:rFonts w:hint="eastAsia"/>
              </w:rPr>
              <w:t>33.30</w:t>
            </w:r>
          </w:p>
        </w:tc>
        <w:tc>
          <w:tcPr>
            <w:tcW w:w="625" w:type="pct"/>
            <w:shd w:val="clear" w:color="auto" w:fill="BDD6EE"/>
            <w:vAlign w:val="center"/>
          </w:tcPr>
          <w:p w14:paraId="6D00503C">
            <w:pPr>
              <w:pStyle w:val="49"/>
              <w:widowControl w:val="0"/>
            </w:pPr>
            <w:r>
              <w:rPr>
                <w:rFonts w:hint="eastAsia"/>
              </w:rPr>
              <w:t>32.96</w:t>
            </w:r>
          </w:p>
        </w:tc>
        <w:tc>
          <w:tcPr>
            <w:tcW w:w="625" w:type="pct"/>
            <w:shd w:val="clear" w:color="auto" w:fill="BDD6EE"/>
            <w:vAlign w:val="center"/>
          </w:tcPr>
          <w:p w14:paraId="40130768">
            <w:pPr>
              <w:pStyle w:val="49"/>
              <w:widowControl w:val="0"/>
            </w:pPr>
            <w:r>
              <w:rPr>
                <w:rFonts w:hint="eastAsia"/>
              </w:rPr>
              <w:t>32.85</w:t>
            </w:r>
          </w:p>
        </w:tc>
      </w:tr>
      <w:tr w14:paraId="711644D9">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c>
          <w:tcPr>
            <w:tcW w:w="462" w:type="pct"/>
            <w:shd w:val="clear" w:color="auto" w:fill="BDD6EE"/>
            <w:vAlign w:val="center"/>
          </w:tcPr>
          <w:p w14:paraId="1DAD6F5B">
            <w:pPr>
              <w:pStyle w:val="49"/>
              <w:widowControl w:val="0"/>
            </w:pPr>
            <w:r>
              <w:rPr>
                <w:rFonts w:hint="eastAsia"/>
              </w:rPr>
              <w:t>6</w:t>
            </w:r>
          </w:p>
        </w:tc>
        <w:tc>
          <w:tcPr>
            <w:tcW w:w="788" w:type="pct"/>
            <w:shd w:val="clear" w:color="auto" w:fill="BDD6EE"/>
            <w:vAlign w:val="center"/>
          </w:tcPr>
          <w:p w14:paraId="2195B440">
            <w:pPr>
              <w:pStyle w:val="49"/>
              <w:widowControl w:val="0"/>
            </w:pPr>
            <w:r>
              <w:rPr>
                <w:rFonts w:hint="eastAsia"/>
              </w:rPr>
              <w:t>薄壁空心墩</w:t>
            </w:r>
          </w:p>
        </w:tc>
        <w:tc>
          <w:tcPr>
            <w:tcW w:w="1250" w:type="pct"/>
            <w:gridSpan w:val="2"/>
            <w:shd w:val="clear" w:color="auto" w:fill="BDD6EE"/>
            <w:vAlign w:val="center"/>
          </w:tcPr>
          <w:p w14:paraId="760CF4CD">
            <w:pPr>
              <w:pStyle w:val="49"/>
              <w:widowControl w:val="0"/>
            </w:pPr>
            <w:r>
              <w:rPr>
                <w:rFonts w:hint="eastAsia"/>
              </w:rPr>
              <w:t>8.15×4.0</w:t>
            </w:r>
          </w:p>
        </w:tc>
        <w:tc>
          <w:tcPr>
            <w:tcW w:w="1250" w:type="pct"/>
            <w:gridSpan w:val="2"/>
            <w:shd w:val="clear" w:color="auto" w:fill="BDD6EE"/>
            <w:vAlign w:val="center"/>
          </w:tcPr>
          <w:p w14:paraId="44322463">
            <w:pPr>
              <w:pStyle w:val="49"/>
              <w:widowControl w:val="0"/>
            </w:pPr>
            <w:r>
              <w:rPr>
                <w:rFonts w:hint="eastAsia"/>
              </w:rPr>
              <w:t>29.87</w:t>
            </w:r>
          </w:p>
        </w:tc>
        <w:tc>
          <w:tcPr>
            <w:tcW w:w="1250" w:type="pct"/>
            <w:gridSpan w:val="2"/>
            <w:shd w:val="clear" w:color="auto" w:fill="BDD6EE"/>
            <w:vAlign w:val="center"/>
          </w:tcPr>
          <w:p w14:paraId="7C3AA699">
            <w:pPr>
              <w:pStyle w:val="49"/>
              <w:widowControl w:val="0"/>
            </w:pPr>
            <w:r>
              <w:rPr>
                <w:rFonts w:hint="eastAsia"/>
              </w:rPr>
              <w:t>29.43</w:t>
            </w:r>
          </w:p>
        </w:tc>
      </w:tr>
    </w:tbl>
    <w:p w14:paraId="23CFBF5E">
      <w:pPr>
        <w:pStyle w:val="3"/>
        <w:keepNext w:val="0"/>
        <w:widowControl w:val="0"/>
        <w:kinsoku/>
        <w:wordWrap/>
        <w:overflowPunct/>
        <w:topLinePunct w:val="0"/>
        <w:autoSpaceDE/>
        <w:autoSpaceDN/>
        <w:bidi w:val="0"/>
        <w:adjustRightInd/>
        <w:snapToGrid/>
        <w:spacing w:line="480" w:lineRule="atLeast"/>
        <w:ind w:left="573" w:hanging="573"/>
        <w:textAlignment w:val="auto"/>
        <w:rPr>
          <w:rFonts w:hint="eastAsia" w:ascii="宋体" w:hAnsi="宋体" w:eastAsia="宋体" w:cs="宋体"/>
          <w:color w:val="000000" w:themeColor="text1"/>
          <w:sz w:val="24"/>
          <w:szCs w:val="24"/>
          <w14:textFill>
            <w14:solidFill>
              <w14:schemeClr w14:val="tx1"/>
            </w14:solidFill>
          </w14:textFill>
        </w:rPr>
      </w:pPr>
      <w:bookmarkStart w:id="16" w:name="_Toc26655"/>
      <w:r>
        <w:rPr>
          <w:rFonts w:hint="eastAsia" w:cs="宋体"/>
          <w:color w:val="000000" w:themeColor="text1"/>
          <w:sz w:val="24"/>
          <w:szCs w:val="24"/>
          <w:lang w:eastAsia="zh-CN"/>
          <w14:textFill>
            <w14:solidFill>
              <w14:schemeClr w14:val="tx1"/>
            </w14:solidFill>
          </w14:textFill>
        </w:rPr>
        <w:t>拆除</w:t>
      </w:r>
      <w:r>
        <w:rPr>
          <w:rFonts w:hint="eastAsia" w:ascii="宋体" w:hAnsi="宋体" w:eastAsia="宋体" w:cs="宋体"/>
          <w:color w:val="000000" w:themeColor="text1"/>
          <w:sz w:val="24"/>
          <w:szCs w:val="24"/>
          <w14:textFill>
            <w14:solidFill>
              <w14:schemeClr w14:val="tx1"/>
            </w14:solidFill>
          </w14:textFill>
        </w:rPr>
        <w:t>现场工作环境及条件</w:t>
      </w:r>
      <w:bookmarkEnd w:id="16"/>
    </w:p>
    <w:p w14:paraId="67D128ED">
      <w:pPr>
        <w:bidi w:val="0"/>
        <w:rPr>
          <w:rFonts w:hint="eastAsia"/>
          <w:color w:val="auto"/>
          <w:highlight w:val="none"/>
        </w:rPr>
      </w:pPr>
      <w:r>
        <w:rPr>
          <w:rFonts w:hint="eastAsia"/>
        </w:rPr>
        <w:t>根据本工程及周边环境情况，综合考虑施工效率、现场材料吊重要求、施工合同要求等，我公司在小浃江特大桥</w:t>
      </w:r>
      <w:r>
        <w:rPr>
          <w:rFonts w:hint="eastAsia"/>
          <w:lang w:eastAsia="zh-CN"/>
        </w:rPr>
        <w:t>引桥</w:t>
      </w:r>
      <w:r>
        <w:rPr>
          <w:rFonts w:hint="eastAsia"/>
        </w:rPr>
        <w:t>区域拟定</w:t>
      </w:r>
      <w:r>
        <w:rPr>
          <w:rFonts w:hint="eastAsia"/>
          <w:lang w:eastAsia="zh-CN"/>
        </w:rPr>
        <w:t>拆除</w:t>
      </w:r>
      <w:r>
        <w:rPr>
          <w:rFonts w:hint="eastAsia"/>
          <w:lang w:val="en-US" w:eastAsia="zh-CN"/>
        </w:rPr>
        <w:t>4</w:t>
      </w:r>
      <w:r>
        <w:rPr>
          <w:rFonts w:hint="eastAsia"/>
        </w:rPr>
        <w:t>台</w:t>
      </w:r>
      <w:r>
        <w:rPr>
          <w:rFonts w:hint="eastAsia"/>
          <w:lang w:eastAsia="zh-CN"/>
        </w:rPr>
        <w:t>虎霸QTZp160（T6515-10）</w:t>
      </w:r>
      <w:r>
        <w:rPr>
          <w:rFonts w:hint="eastAsia"/>
        </w:rPr>
        <w:t>塔式起重机。主要是</w:t>
      </w:r>
      <w:r>
        <w:rPr>
          <w:rFonts w:hint="eastAsia"/>
          <w:lang w:val="en-US" w:eastAsia="zh-CN"/>
        </w:rPr>
        <w:t>主墩</w:t>
      </w:r>
      <w:r>
        <w:rPr>
          <w:rFonts w:hint="eastAsia"/>
        </w:rPr>
        <w:t>及周边材料进场和吊装，塔机概况如</w:t>
      </w:r>
      <w:r>
        <w:rPr>
          <w:rFonts w:hint="eastAsia"/>
        </w:rPr>
        <w:fldChar w:fldCharType="begin"/>
      </w:r>
      <w:r>
        <w:rPr>
          <w:rFonts w:hint="eastAsia"/>
        </w:rPr>
        <w:instrText xml:space="preserve"> REF _Ref123064453 \h  \* MERGEFORMAT </w:instrText>
      </w:r>
      <w:r>
        <w:rPr>
          <w:rFonts w:hint="eastAsia"/>
        </w:rPr>
        <w:fldChar w:fldCharType="separate"/>
      </w:r>
      <w:r>
        <w:rPr>
          <w:rFonts w:hint="eastAsia"/>
        </w:rPr>
        <w:t>表2.2</w:t>
      </w:r>
      <w:r>
        <w:rPr>
          <w:rFonts w:hint="eastAsia"/>
          <w:lang w:eastAsia="zh-CN"/>
        </w:rPr>
        <w:t>-</w:t>
      </w:r>
      <w:r>
        <w:rPr>
          <w:rFonts w:hint="eastAsia"/>
        </w:rPr>
        <w:t>1</w:t>
      </w:r>
      <w:r>
        <w:rPr>
          <w:rFonts w:hint="eastAsia"/>
        </w:rPr>
        <w:fldChar w:fldCharType="end"/>
      </w:r>
      <w:r>
        <w:rPr>
          <w:rFonts w:hint="eastAsia"/>
        </w:rPr>
        <w:t>。</w:t>
      </w:r>
      <w:r>
        <w:rPr>
          <w:rFonts w:hint="eastAsia"/>
          <w:color w:val="auto"/>
          <w:highlight w:val="none"/>
          <w:lang w:val="en-US" w:eastAsia="zh-CN"/>
        </w:rPr>
        <w:t>本台塔机由重庆桥渝工程机械租赁有限公司拆除。</w:t>
      </w:r>
    </w:p>
    <w:p w14:paraId="1C19709B">
      <w:pPr>
        <w:pStyle w:val="13"/>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4"/>
          <w:szCs w:val="24"/>
          <w:highlight w:val="none"/>
        </w:rPr>
      </w:pPr>
      <w:bookmarkStart w:id="17" w:name="_Ref123064453"/>
      <w:r>
        <w:rPr>
          <w:rFonts w:hint="eastAsia" w:ascii="宋体" w:hAnsi="宋体" w:eastAsia="宋体" w:cs="宋体"/>
          <w:color w:val="auto"/>
          <w:sz w:val="24"/>
          <w:szCs w:val="24"/>
          <w:highlight w:val="none"/>
        </w:rPr>
        <w:t xml:space="preserve">表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STYLEREF 3 \s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2.2</w:t>
      </w:r>
      <w:r>
        <w:rPr>
          <w:rFonts w:hint="eastAsia" w:ascii="宋体" w:hAnsi="宋体" w:eastAsia="宋体" w:cs="宋体"/>
          <w:color w:val="auto"/>
          <w:sz w:val="24"/>
          <w:szCs w:val="24"/>
          <w:highlight w:val="none"/>
        </w:rPr>
        <w:fldChar w:fldCharType="end"/>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表 \* ARABIC \s 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bookmarkEnd w:id="17"/>
      <w:r>
        <w:rPr>
          <w:rFonts w:hint="eastAsia" w:ascii="宋体" w:hAnsi="宋体" w:eastAsia="宋体" w:cs="宋体"/>
          <w:color w:val="auto"/>
          <w:sz w:val="24"/>
          <w:szCs w:val="24"/>
          <w:highlight w:val="none"/>
        </w:rPr>
        <w:t>塔机概况表</w:t>
      </w:r>
    </w:p>
    <w:tbl>
      <w:tblPr>
        <w:tblStyle w:val="42"/>
        <w:tblW w:w="9599" w:type="dxa"/>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1070"/>
        <w:gridCol w:w="1623"/>
        <w:gridCol w:w="1064"/>
        <w:gridCol w:w="1341"/>
        <w:gridCol w:w="1012"/>
        <w:gridCol w:w="1256"/>
        <w:gridCol w:w="2233"/>
      </w:tblGrid>
      <w:tr w14:paraId="2F30C6ED">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504" w:hRule="atLeast"/>
          <w:jc w:val="center"/>
        </w:trPr>
        <w:tc>
          <w:tcPr>
            <w:tcW w:w="1070" w:type="dxa"/>
            <w:tcBorders>
              <w:tl2br w:val="nil"/>
              <w:tr2bl w:val="nil"/>
            </w:tcBorders>
            <w:vAlign w:val="center"/>
          </w:tcPr>
          <w:p w14:paraId="0A380EF8">
            <w:pPr>
              <w:kinsoku/>
              <w:overflowPunct/>
              <w:topLinePunct w:val="0"/>
              <w:bidi w:val="0"/>
              <w:spacing w:line="360" w:lineRule="atLeast"/>
              <w:ind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塔机编号</w:t>
            </w:r>
          </w:p>
        </w:tc>
        <w:tc>
          <w:tcPr>
            <w:tcW w:w="1623" w:type="dxa"/>
            <w:tcBorders>
              <w:tl2br w:val="nil"/>
              <w:tr2bl w:val="nil"/>
            </w:tcBorders>
            <w:vAlign w:val="center"/>
          </w:tcPr>
          <w:p w14:paraId="1C2AA499">
            <w:pPr>
              <w:kinsoku/>
              <w:overflowPunct/>
              <w:topLinePunct w:val="0"/>
              <w:bidi w:val="0"/>
              <w:spacing w:line="360" w:lineRule="atLeast"/>
              <w:ind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塔机型号</w:t>
            </w:r>
          </w:p>
        </w:tc>
        <w:tc>
          <w:tcPr>
            <w:tcW w:w="1064" w:type="dxa"/>
            <w:tcBorders>
              <w:tl2br w:val="nil"/>
              <w:tr2bl w:val="nil"/>
            </w:tcBorders>
            <w:vAlign w:val="center"/>
          </w:tcPr>
          <w:p w14:paraId="2EB9C146">
            <w:pPr>
              <w:kinsoku/>
              <w:overflowPunct/>
              <w:topLinePunct w:val="0"/>
              <w:bidi w:val="0"/>
              <w:spacing w:line="360" w:lineRule="atLeast"/>
              <w:ind w:firstLine="0" w:firstLineChars="0"/>
              <w:jc w:val="center"/>
              <w:rPr>
                <w:rFonts w:hint="eastAsia" w:ascii="宋体" w:hAnsi="宋体" w:eastAsia="宋体" w:cs="宋体"/>
                <w:b/>
                <w:bCs w:val="0"/>
                <w:color w:val="auto"/>
                <w:sz w:val="21"/>
                <w:szCs w:val="21"/>
                <w:highlight w:val="none"/>
              </w:rPr>
            </w:pPr>
            <w:r>
              <w:rPr>
                <w:rFonts w:hint="eastAsia" w:cs="宋体"/>
                <w:b/>
                <w:bCs w:val="0"/>
                <w:color w:val="auto"/>
                <w:sz w:val="21"/>
                <w:szCs w:val="21"/>
                <w:highlight w:val="none"/>
                <w:lang w:eastAsia="zh-CN"/>
              </w:rPr>
              <w:t>拆除</w:t>
            </w:r>
            <w:r>
              <w:rPr>
                <w:rFonts w:hint="eastAsia" w:ascii="宋体" w:hAnsi="宋体" w:eastAsia="宋体" w:cs="宋体"/>
                <w:b/>
                <w:bCs w:val="0"/>
                <w:color w:val="auto"/>
                <w:sz w:val="21"/>
                <w:szCs w:val="21"/>
                <w:highlight w:val="none"/>
              </w:rPr>
              <w:t>高度m</w:t>
            </w:r>
          </w:p>
        </w:tc>
        <w:tc>
          <w:tcPr>
            <w:tcW w:w="1341" w:type="dxa"/>
            <w:tcBorders>
              <w:tl2br w:val="nil"/>
              <w:tr2bl w:val="nil"/>
            </w:tcBorders>
            <w:vAlign w:val="center"/>
          </w:tcPr>
          <w:p w14:paraId="62F335D4">
            <w:pPr>
              <w:kinsoku/>
              <w:overflowPunct/>
              <w:topLinePunct w:val="0"/>
              <w:bidi w:val="0"/>
              <w:spacing w:line="360" w:lineRule="atLeast"/>
              <w:ind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预埋形式</w:t>
            </w:r>
          </w:p>
        </w:tc>
        <w:tc>
          <w:tcPr>
            <w:tcW w:w="1012" w:type="dxa"/>
            <w:tcBorders>
              <w:tl2br w:val="nil"/>
              <w:tr2bl w:val="nil"/>
            </w:tcBorders>
            <w:vAlign w:val="center"/>
          </w:tcPr>
          <w:p w14:paraId="1BECEE97">
            <w:pPr>
              <w:kinsoku/>
              <w:overflowPunct/>
              <w:topLinePunct w:val="0"/>
              <w:bidi w:val="0"/>
              <w:spacing w:line="360" w:lineRule="atLeast"/>
              <w:ind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起重臂长度m</w:t>
            </w:r>
          </w:p>
        </w:tc>
        <w:tc>
          <w:tcPr>
            <w:tcW w:w="1256" w:type="dxa"/>
            <w:tcBorders>
              <w:tl2br w:val="nil"/>
              <w:tr2bl w:val="nil"/>
            </w:tcBorders>
            <w:vAlign w:val="center"/>
          </w:tcPr>
          <w:p w14:paraId="34CE0068">
            <w:pPr>
              <w:kinsoku/>
              <w:overflowPunct/>
              <w:topLinePunct w:val="0"/>
              <w:bidi w:val="0"/>
              <w:spacing w:line="360" w:lineRule="atLeast"/>
              <w:ind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起重臂</w:t>
            </w:r>
          </w:p>
          <w:p w14:paraId="2AFCDA71">
            <w:pPr>
              <w:kinsoku/>
              <w:overflowPunct/>
              <w:topLinePunct w:val="0"/>
              <w:bidi w:val="0"/>
              <w:spacing w:line="360" w:lineRule="atLeast"/>
              <w:ind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顶升方向</w:t>
            </w:r>
          </w:p>
        </w:tc>
        <w:tc>
          <w:tcPr>
            <w:tcW w:w="2233" w:type="dxa"/>
            <w:tcBorders>
              <w:tl2br w:val="nil"/>
              <w:tr2bl w:val="nil"/>
            </w:tcBorders>
            <w:vAlign w:val="center"/>
          </w:tcPr>
          <w:p w14:paraId="66240A7B">
            <w:pPr>
              <w:kinsoku/>
              <w:overflowPunct/>
              <w:topLinePunct w:val="0"/>
              <w:bidi w:val="0"/>
              <w:spacing w:line="360" w:lineRule="atLeast"/>
              <w:ind w:firstLine="0" w:firstLineChars="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基础顶标高</w:t>
            </w:r>
          </w:p>
        </w:tc>
      </w:tr>
      <w:tr w14:paraId="36250C07">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424" w:hRule="atLeast"/>
          <w:jc w:val="center"/>
        </w:trPr>
        <w:tc>
          <w:tcPr>
            <w:tcW w:w="1070" w:type="dxa"/>
            <w:tcBorders>
              <w:tl2br w:val="nil"/>
              <w:tr2bl w:val="nil"/>
            </w:tcBorders>
            <w:vAlign w:val="center"/>
          </w:tcPr>
          <w:p w14:paraId="2C4F8550">
            <w:pPr>
              <w:kinsoku/>
              <w:overflowPunct/>
              <w:topLinePunct w:val="0"/>
              <w:bidi w:val="0"/>
              <w:spacing w:line="360" w:lineRule="atLeast"/>
              <w:ind w:firstLine="0" w:firstLineChars="0"/>
              <w:jc w:val="center"/>
              <w:rPr>
                <w:rFonts w:hint="default" w:ascii="宋体" w:hAnsi="宋体" w:eastAsia="宋体" w:cs="宋体"/>
                <w:bCs/>
                <w:color w:val="auto"/>
                <w:sz w:val="21"/>
                <w:szCs w:val="21"/>
                <w:highlight w:val="none"/>
                <w:lang w:val="en-US" w:eastAsia="zh-CN"/>
              </w:rPr>
            </w:pPr>
            <w:r>
              <w:rPr>
                <w:rFonts w:hint="eastAsia" w:cs="宋体"/>
                <w:bCs/>
                <w:color w:val="auto"/>
                <w:sz w:val="21"/>
                <w:szCs w:val="21"/>
                <w:highlight w:val="none"/>
                <w:lang w:val="en-US" w:eastAsia="zh-CN"/>
              </w:rPr>
              <w:t>3#</w:t>
            </w:r>
          </w:p>
        </w:tc>
        <w:tc>
          <w:tcPr>
            <w:tcW w:w="1623" w:type="dxa"/>
            <w:tcBorders>
              <w:tl2br w:val="nil"/>
              <w:tr2bl w:val="nil"/>
            </w:tcBorders>
            <w:vAlign w:val="center"/>
          </w:tcPr>
          <w:p w14:paraId="03F849E7">
            <w:pPr>
              <w:kinsoku/>
              <w:overflowPunct/>
              <w:topLinePunct w:val="0"/>
              <w:bidi w:val="0"/>
              <w:spacing w:line="360" w:lineRule="atLeast"/>
              <w:ind w:firstLine="0" w:firstLineChars="0"/>
              <w:jc w:val="center"/>
              <w:rPr>
                <w:rFonts w:hint="eastAsia" w:cs="宋体"/>
                <w:bCs/>
                <w:color w:val="auto"/>
                <w:sz w:val="21"/>
                <w:szCs w:val="21"/>
                <w:highlight w:val="none"/>
                <w:lang w:val="en-US" w:eastAsia="zh-CN"/>
              </w:rPr>
            </w:pPr>
            <w:r>
              <w:rPr>
                <w:rFonts w:hint="eastAsia" w:cs="宋体"/>
                <w:bCs/>
                <w:color w:val="auto"/>
                <w:sz w:val="21"/>
                <w:szCs w:val="21"/>
                <w:highlight w:val="none"/>
                <w:lang w:val="en-US" w:eastAsia="zh-CN"/>
              </w:rPr>
              <w:t>QTZp160（T6515-10）</w:t>
            </w:r>
          </w:p>
        </w:tc>
        <w:tc>
          <w:tcPr>
            <w:tcW w:w="1064" w:type="dxa"/>
            <w:tcBorders>
              <w:tl2br w:val="nil"/>
              <w:tr2bl w:val="nil"/>
            </w:tcBorders>
            <w:vAlign w:val="center"/>
          </w:tcPr>
          <w:p w14:paraId="1E084F37">
            <w:pPr>
              <w:kinsoku/>
              <w:overflowPunct/>
              <w:topLinePunct w:val="0"/>
              <w:bidi w:val="0"/>
              <w:spacing w:line="360" w:lineRule="atLeast"/>
              <w:ind w:firstLine="0" w:firstLineChars="0"/>
              <w:jc w:val="center"/>
              <w:rPr>
                <w:rFonts w:hint="default" w:cs="宋体"/>
                <w:bCs/>
                <w:color w:val="auto"/>
                <w:sz w:val="21"/>
                <w:szCs w:val="21"/>
                <w:highlight w:val="none"/>
                <w:lang w:val="en-US" w:eastAsia="zh-CN"/>
              </w:rPr>
            </w:pPr>
            <w:r>
              <w:rPr>
                <w:rFonts w:hint="eastAsia" w:cs="宋体"/>
                <w:bCs/>
                <w:color w:val="auto"/>
                <w:sz w:val="21"/>
                <w:szCs w:val="21"/>
                <w:highlight w:val="none"/>
                <w:lang w:val="en-US" w:eastAsia="zh-CN"/>
              </w:rPr>
              <w:t>69.2</w:t>
            </w:r>
          </w:p>
        </w:tc>
        <w:tc>
          <w:tcPr>
            <w:tcW w:w="1341" w:type="dxa"/>
            <w:tcBorders>
              <w:tl2br w:val="nil"/>
              <w:tr2bl w:val="nil"/>
            </w:tcBorders>
            <w:vAlign w:val="center"/>
          </w:tcPr>
          <w:p w14:paraId="0A6029F8">
            <w:pPr>
              <w:kinsoku/>
              <w:overflowPunct/>
              <w:topLinePunct w:val="0"/>
              <w:bidi w:val="0"/>
              <w:spacing w:line="360" w:lineRule="atLeast"/>
              <w:ind w:left="0" w:leftChars="0" w:firstLine="0" w:firstLineChars="0"/>
              <w:jc w:val="center"/>
              <w:rPr>
                <w:rFonts w:hint="default" w:cs="宋体"/>
                <w:bCs/>
                <w:color w:val="auto"/>
                <w:sz w:val="21"/>
                <w:szCs w:val="21"/>
                <w:highlight w:val="none"/>
                <w:lang w:val="en-US" w:eastAsia="zh-CN"/>
              </w:rPr>
            </w:pPr>
            <w:r>
              <w:rPr>
                <w:rFonts w:hint="eastAsia"/>
              </w:rPr>
              <w:t>桥墩承台预埋螺栓</w:t>
            </w:r>
          </w:p>
        </w:tc>
        <w:tc>
          <w:tcPr>
            <w:tcW w:w="1012" w:type="dxa"/>
            <w:tcBorders>
              <w:tl2br w:val="nil"/>
              <w:tr2bl w:val="nil"/>
            </w:tcBorders>
            <w:vAlign w:val="center"/>
          </w:tcPr>
          <w:p w14:paraId="00F353AF">
            <w:pPr>
              <w:kinsoku/>
              <w:overflowPunct/>
              <w:topLinePunct w:val="0"/>
              <w:bidi w:val="0"/>
              <w:spacing w:line="360" w:lineRule="atLeast"/>
              <w:ind w:firstLine="0" w:firstLineChars="0"/>
              <w:jc w:val="center"/>
              <w:rPr>
                <w:rFonts w:hint="default" w:cs="宋体"/>
                <w:bCs/>
                <w:color w:val="auto"/>
                <w:sz w:val="21"/>
                <w:szCs w:val="21"/>
                <w:highlight w:val="none"/>
                <w:lang w:val="en-US" w:eastAsia="zh-CN"/>
              </w:rPr>
            </w:pPr>
            <w:r>
              <w:rPr>
                <w:rFonts w:hint="eastAsia" w:cs="宋体"/>
                <w:bCs/>
                <w:color w:val="auto"/>
                <w:sz w:val="21"/>
                <w:szCs w:val="21"/>
                <w:highlight w:val="none"/>
                <w:lang w:val="en-US" w:eastAsia="zh-CN"/>
              </w:rPr>
              <w:t>50</w:t>
            </w:r>
          </w:p>
        </w:tc>
        <w:tc>
          <w:tcPr>
            <w:tcW w:w="1256" w:type="dxa"/>
            <w:tcBorders>
              <w:tl2br w:val="nil"/>
              <w:tr2bl w:val="nil"/>
            </w:tcBorders>
            <w:vAlign w:val="center"/>
          </w:tcPr>
          <w:p w14:paraId="4F99D756">
            <w:pPr>
              <w:kinsoku/>
              <w:overflowPunct/>
              <w:topLinePunct w:val="0"/>
              <w:bidi w:val="0"/>
              <w:spacing w:line="360" w:lineRule="atLeast"/>
              <w:ind w:left="0" w:leftChars="0" w:firstLine="0" w:firstLineChars="0"/>
              <w:jc w:val="center"/>
              <w:rPr>
                <w:rFonts w:hint="default" w:cs="宋体"/>
                <w:bCs/>
                <w:color w:val="auto"/>
                <w:sz w:val="21"/>
                <w:szCs w:val="21"/>
                <w:highlight w:val="none"/>
                <w:lang w:val="en-US" w:eastAsia="zh-CN"/>
              </w:rPr>
            </w:pPr>
            <w:r>
              <w:rPr>
                <w:rFonts w:hint="eastAsia"/>
              </w:rPr>
              <w:t>顺桥向</w:t>
            </w:r>
          </w:p>
        </w:tc>
        <w:tc>
          <w:tcPr>
            <w:tcW w:w="2233" w:type="dxa"/>
            <w:tcBorders>
              <w:tl2br w:val="nil"/>
              <w:tr2bl w:val="nil"/>
            </w:tcBorders>
            <w:vAlign w:val="center"/>
          </w:tcPr>
          <w:p w14:paraId="3976E476">
            <w:pPr>
              <w:kinsoku/>
              <w:overflowPunct/>
              <w:topLinePunct w:val="0"/>
              <w:bidi w:val="0"/>
              <w:spacing w:line="360" w:lineRule="atLeast"/>
              <w:ind w:firstLine="0" w:firstLineChars="0"/>
              <w:jc w:val="center"/>
              <w:rPr>
                <w:rFonts w:hint="default" w:cs="宋体"/>
                <w:bCs/>
                <w:color w:val="auto"/>
                <w:sz w:val="21"/>
                <w:szCs w:val="21"/>
                <w:highlight w:val="none"/>
                <w:lang w:val="en-US" w:eastAsia="zh-CN"/>
              </w:rPr>
            </w:pPr>
            <w:r>
              <w:rPr>
                <w:rFonts w:hint="eastAsia" w:cs="宋体"/>
                <w:bCs/>
                <w:color w:val="auto"/>
                <w:sz w:val="21"/>
                <w:szCs w:val="21"/>
                <w:highlight w:val="none"/>
                <w:lang w:val="en-US" w:eastAsia="zh-CN"/>
              </w:rPr>
              <w:t>3.4</w:t>
            </w:r>
          </w:p>
        </w:tc>
      </w:tr>
      <w:tr w14:paraId="4712C569">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424" w:hRule="atLeast"/>
          <w:jc w:val="center"/>
        </w:trPr>
        <w:tc>
          <w:tcPr>
            <w:tcW w:w="1070" w:type="dxa"/>
            <w:tcBorders>
              <w:tl2br w:val="nil"/>
              <w:tr2bl w:val="nil"/>
            </w:tcBorders>
            <w:vAlign w:val="center"/>
          </w:tcPr>
          <w:p w14:paraId="36885A75">
            <w:pPr>
              <w:kinsoku/>
              <w:overflowPunct/>
              <w:topLinePunct w:val="0"/>
              <w:bidi w:val="0"/>
              <w:spacing w:line="360" w:lineRule="atLeast"/>
              <w:ind w:firstLine="0" w:firstLineChars="0"/>
              <w:jc w:val="center"/>
              <w:rPr>
                <w:rFonts w:hint="default" w:ascii="宋体" w:hAnsi="宋体" w:eastAsia="宋体" w:cs="宋体"/>
                <w:bCs/>
                <w:color w:val="auto"/>
                <w:sz w:val="21"/>
                <w:szCs w:val="21"/>
                <w:highlight w:val="none"/>
                <w:lang w:val="en-US" w:eastAsia="zh-CN"/>
              </w:rPr>
            </w:pPr>
            <w:r>
              <w:rPr>
                <w:rFonts w:hint="eastAsia" w:cs="宋体"/>
                <w:bCs/>
                <w:color w:val="auto"/>
                <w:sz w:val="21"/>
                <w:szCs w:val="21"/>
                <w:highlight w:val="none"/>
                <w:lang w:val="en-US" w:eastAsia="zh-CN"/>
              </w:rPr>
              <w:t>4#</w:t>
            </w:r>
          </w:p>
        </w:tc>
        <w:tc>
          <w:tcPr>
            <w:tcW w:w="1623" w:type="dxa"/>
            <w:tcBorders>
              <w:tl2br w:val="nil"/>
              <w:tr2bl w:val="nil"/>
            </w:tcBorders>
            <w:vAlign w:val="center"/>
          </w:tcPr>
          <w:p w14:paraId="75A9AD56">
            <w:pPr>
              <w:kinsoku/>
              <w:overflowPunct/>
              <w:topLinePunct w:val="0"/>
              <w:bidi w:val="0"/>
              <w:spacing w:line="360" w:lineRule="atLeast"/>
              <w:ind w:firstLine="0" w:firstLineChars="0"/>
              <w:jc w:val="center"/>
              <w:rPr>
                <w:rFonts w:hint="eastAsia" w:cs="宋体"/>
                <w:bCs/>
                <w:color w:val="auto"/>
                <w:sz w:val="21"/>
                <w:szCs w:val="21"/>
                <w:highlight w:val="none"/>
                <w:lang w:val="en-US" w:eastAsia="zh-CN"/>
              </w:rPr>
            </w:pPr>
            <w:r>
              <w:rPr>
                <w:rFonts w:hint="eastAsia" w:cs="宋体"/>
                <w:bCs/>
                <w:color w:val="auto"/>
                <w:sz w:val="21"/>
                <w:szCs w:val="21"/>
                <w:highlight w:val="none"/>
                <w:lang w:val="en-US" w:eastAsia="zh-CN"/>
              </w:rPr>
              <w:t>QTZp160（T6515-10）</w:t>
            </w:r>
          </w:p>
        </w:tc>
        <w:tc>
          <w:tcPr>
            <w:tcW w:w="1064" w:type="dxa"/>
            <w:tcBorders>
              <w:tl2br w:val="nil"/>
              <w:tr2bl w:val="nil"/>
            </w:tcBorders>
            <w:vAlign w:val="center"/>
          </w:tcPr>
          <w:p w14:paraId="6C54E059">
            <w:pPr>
              <w:kinsoku/>
              <w:overflowPunct/>
              <w:topLinePunct w:val="0"/>
              <w:bidi w:val="0"/>
              <w:spacing w:line="360" w:lineRule="atLeast"/>
              <w:ind w:firstLine="0" w:firstLineChars="0"/>
              <w:jc w:val="center"/>
              <w:rPr>
                <w:rFonts w:hint="default"/>
                <w:lang w:val="en-US" w:eastAsia="zh-CN"/>
              </w:rPr>
            </w:pPr>
            <w:r>
              <w:rPr>
                <w:rFonts w:hint="eastAsia"/>
                <w:lang w:val="en-US" w:eastAsia="zh-CN"/>
              </w:rPr>
              <w:t>66.2</w:t>
            </w:r>
          </w:p>
        </w:tc>
        <w:tc>
          <w:tcPr>
            <w:tcW w:w="1341" w:type="dxa"/>
            <w:tcBorders>
              <w:tl2br w:val="nil"/>
              <w:tr2bl w:val="nil"/>
            </w:tcBorders>
            <w:vAlign w:val="center"/>
          </w:tcPr>
          <w:p w14:paraId="56DDA87E">
            <w:pPr>
              <w:kinsoku/>
              <w:overflowPunct/>
              <w:topLinePunct w:val="0"/>
              <w:bidi w:val="0"/>
              <w:spacing w:line="360" w:lineRule="atLeast"/>
              <w:ind w:left="0" w:leftChars="0" w:firstLine="0" w:firstLineChars="0"/>
              <w:jc w:val="center"/>
              <w:rPr>
                <w:rFonts w:hint="eastAsia" w:cs="宋体"/>
                <w:bCs/>
                <w:color w:val="auto"/>
                <w:sz w:val="21"/>
                <w:szCs w:val="21"/>
                <w:highlight w:val="none"/>
                <w:lang w:val="en-US" w:eastAsia="zh-CN"/>
              </w:rPr>
            </w:pPr>
            <w:r>
              <w:rPr>
                <w:rFonts w:hint="eastAsia"/>
              </w:rPr>
              <w:t>桥墩承台预埋螺栓</w:t>
            </w:r>
          </w:p>
        </w:tc>
        <w:tc>
          <w:tcPr>
            <w:tcW w:w="1012" w:type="dxa"/>
            <w:tcBorders>
              <w:tl2br w:val="nil"/>
              <w:tr2bl w:val="nil"/>
            </w:tcBorders>
            <w:vAlign w:val="center"/>
          </w:tcPr>
          <w:p w14:paraId="311F5176">
            <w:pPr>
              <w:kinsoku/>
              <w:overflowPunct/>
              <w:topLinePunct w:val="0"/>
              <w:bidi w:val="0"/>
              <w:spacing w:line="360" w:lineRule="atLeast"/>
              <w:ind w:firstLine="0" w:firstLineChars="0"/>
              <w:jc w:val="center"/>
              <w:rPr>
                <w:rFonts w:hint="eastAsia" w:cs="宋体"/>
                <w:bCs/>
                <w:color w:val="auto"/>
                <w:sz w:val="21"/>
                <w:szCs w:val="21"/>
                <w:highlight w:val="none"/>
                <w:lang w:val="en-US" w:eastAsia="zh-CN"/>
              </w:rPr>
            </w:pPr>
            <w:r>
              <w:rPr>
                <w:rFonts w:hint="eastAsia" w:cs="宋体"/>
                <w:bCs/>
                <w:color w:val="auto"/>
                <w:sz w:val="21"/>
                <w:szCs w:val="21"/>
                <w:highlight w:val="none"/>
                <w:lang w:val="en-US" w:eastAsia="zh-CN"/>
              </w:rPr>
              <w:t>50</w:t>
            </w:r>
          </w:p>
        </w:tc>
        <w:tc>
          <w:tcPr>
            <w:tcW w:w="1256" w:type="dxa"/>
            <w:tcBorders>
              <w:tl2br w:val="nil"/>
              <w:tr2bl w:val="nil"/>
            </w:tcBorders>
            <w:vAlign w:val="center"/>
          </w:tcPr>
          <w:p w14:paraId="1ABDC390">
            <w:pPr>
              <w:kinsoku/>
              <w:overflowPunct/>
              <w:topLinePunct w:val="0"/>
              <w:bidi w:val="0"/>
              <w:spacing w:line="360" w:lineRule="atLeast"/>
              <w:ind w:left="0" w:leftChars="0" w:firstLine="0" w:firstLineChars="0"/>
              <w:jc w:val="center"/>
              <w:rPr>
                <w:rFonts w:hint="eastAsia" w:cs="宋体"/>
                <w:bCs/>
                <w:color w:val="auto"/>
                <w:sz w:val="21"/>
                <w:szCs w:val="21"/>
                <w:highlight w:val="none"/>
                <w:lang w:val="en-US" w:eastAsia="zh-CN"/>
              </w:rPr>
            </w:pPr>
            <w:r>
              <w:rPr>
                <w:rFonts w:hint="eastAsia"/>
              </w:rPr>
              <w:t>顺桥向</w:t>
            </w:r>
          </w:p>
        </w:tc>
        <w:tc>
          <w:tcPr>
            <w:tcW w:w="2233" w:type="dxa"/>
            <w:tcBorders>
              <w:tl2br w:val="nil"/>
              <w:tr2bl w:val="nil"/>
            </w:tcBorders>
            <w:vAlign w:val="center"/>
          </w:tcPr>
          <w:p w14:paraId="7FE5070C">
            <w:pPr>
              <w:kinsoku/>
              <w:overflowPunct/>
              <w:topLinePunct w:val="0"/>
              <w:bidi w:val="0"/>
              <w:spacing w:line="360" w:lineRule="atLeast"/>
              <w:ind w:firstLine="0" w:firstLineChars="0"/>
              <w:jc w:val="center"/>
              <w:rPr>
                <w:rFonts w:hint="default" w:cs="宋体"/>
                <w:bCs/>
                <w:color w:val="auto"/>
                <w:sz w:val="21"/>
                <w:szCs w:val="21"/>
                <w:highlight w:val="none"/>
                <w:lang w:val="en-US" w:eastAsia="zh-CN"/>
              </w:rPr>
            </w:pPr>
            <w:r>
              <w:rPr>
                <w:rFonts w:hint="eastAsia" w:cs="宋体"/>
                <w:bCs/>
                <w:color w:val="auto"/>
                <w:sz w:val="21"/>
                <w:szCs w:val="21"/>
                <w:highlight w:val="none"/>
                <w:lang w:val="en-US" w:eastAsia="zh-CN"/>
              </w:rPr>
              <w:t>2.9</w:t>
            </w:r>
          </w:p>
        </w:tc>
      </w:tr>
      <w:tr w14:paraId="1426B085">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424" w:hRule="atLeast"/>
          <w:jc w:val="center"/>
        </w:trPr>
        <w:tc>
          <w:tcPr>
            <w:tcW w:w="1070" w:type="dxa"/>
            <w:tcBorders>
              <w:tl2br w:val="nil"/>
              <w:tr2bl w:val="nil"/>
            </w:tcBorders>
            <w:vAlign w:val="center"/>
          </w:tcPr>
          <w:p w14:paraId="40F4EF1E">
            <w:pPr>
              <w:kinsoku/>
              <w:overflowPunct/>
              <w:topLinePunct w:val="0"/>
              <w:bidi w:val="0"/>
              <w:spacing w:line="360" w:lineRule="atLeast"/>
              <w:ind w:firstLine="0" w:firstLineChars="0"/>
              <w:jc w:val="center"/>
              <w:rPr>
                <w:rFonts w:hint="default" w:ascii="宋体" w:hAnsi="宋体" w:eastAsia="宋体" w:cs="宋体"/>
                <w:bCs/>
                <w:color w:val="auto"/>
                <w:sz w:val="21"/>
                <w:szCs w:val="21"/>
                <w:highlight w:val="none"/>
                <w:lang w:val="en-US" w:eastAsia="zh-CN"/>
              </w:rPr>
            </w:pPr>
            <w:r>
              <w:rPr>
                <w:rFonts w:hint="eastAsia" w:cs="宋体"/>
                <w:bCs/>
                <w:color w:val="auto"/>
                <w:sz w:val="21"/>
                <w:szCs w:val="21"/>
                <w:highlight w:val="none"/>
                <w:lang w:val="en-US" w:eastAsia="zh-CN"/>
              </w:rPr>
              <w:t>5#</w:t>
            </w:r>
          </w:p>
        </w:tc>
        <w:tc>
          <w:tcPr>
            <w:tcW w:w="1623" w:type="dxa"/>
            <w:tcBorders>
              <w:tl2br w:val="nil"/>
              <w:tr2bl w:val="nil"/>
            </w:tcBorders>
            <w:vAlign w:val="center"/>
          </w:tcPr>
          <w:p w14:paraId="5EF9B8E4">
            <w:pPr>
              <w:kinsoku/>
              <w:overflowPunct/>
              <w:topLinePunct w:val="0"/>
              <w:bidi w:val="0"/>
              <w:spacing w:line="360" w:lineRule="atLeast"/>
              <w:ind w:firstLine="0" w:firstLineChars="0"/>
              <w:jc w:val="center"/>
              <w:rPr>
                <w:rFonts w:hint="eastAsia" w:cs="宋体"/>
                <w:bCs/>
                <w:color w:val="auto"/>
                <w:sz w:val="21"/>
                <w:szCs w:val="21"/>
                <w:highlight w:val="none"/>
                <w:lang w:val="en-US" w:eastAsia="zh-CN"/>
              </w:rPr>
            </w:pPr>
            <w:r>
              <w:rPr>
                <w:rFonts w:hint="eastAsia" w:cs="宋体"/>
                <w:bCs/>
                <w:color w:val="auto"/>
                <w:sz w:val="21"/>
                <w:szCs w:val="21"/>
                <w:highlight w:val="none"/>
                <w:lang w:val="en-US" w:eastAsia="zh-CN"/>
              </w:rPr>
              <w:t>QTZp160（T6515-10）</w:t>
            </w:r>
          </w:p>
        </w:tc>
        <w:tc>
          <w:tcPr>
            <w:tcW w:w="1064" w:type="dxa"/>
            <w:tcBorders>
              <w:tl2br w:val="nil"/>
              <w:tr2bl w:val="nil"/>
            </w:tcBorders>
            <w:vAlign w:val="center"/>
          </w:tcPr>
          <w:p w14:paraId="41179A34">
            <w:pPr>
              <w:kinsoku/>
              <w:overflowPunct/>
              <w:topLinePunct w:val="0"/>
              <w:bidi w:val="0"/>
              <w:spacing w:line="360" w:lineRule="atLeast"/>
              <w:ind w:firstLine="0" w:firstLineChars="0"/>
              <w:jc w:val="center"/>
              <w:rPr>
                <w:rFonts w:hint="default"/>
                <w:lang w:val="en-US" w:eastAsia="zh-CN"/>
              </w:rPr>
            </w:pPr>
            <w:r>
              <w:rPr>
                <w:rFonts w:hint="eastAsia"/>
                <w:lang w:val="en-US" w:eastAsia="zh-CN"/>
              </w:rPr>
              <w:t>63.2</w:t>
            </w:r>
          </w:p>
        </w:tc>
        <w:tc>
          <w:tcPr>
            <w:tcW w:w="1341" w:type="dxa"/>
            <w:tcBorders>
              <w:tl2br w:val="nil"/>
              <w:tr2bl w:val="nil"/>
            </w:tcBorders>
            <w:vAlign w:val="center"/>
          </w:tcPr>
          <w:p w14:paraId="555C99F6">
            <w:pPr>
              <w:kinsoku/>
              <w:overflowPunct/>
              <w:topLinePunct w:val="0"/>
              <w:bidi w:val="0"/>
              <w:spacing w:line="360" w:lineRule="atLeast"/>
              <w:ind w:left="0" w:leftChars="0" w:firstLine="0" w:firstLineChars="0"/>
              <w:jc w:val="center"/>
              <w:rPr>
                <w:rFonts w:hint="eastAsia" w:cs="宋体"/>
                <w:bCs/>
                <w:color w:val="auto"/>
                <w:sz w:val="21"/>
                <w:szCs w:val="21"/>
                <w:highlight w:val="none"/>
                <w:lang w:val="en-US" w:eastAsia="zh-CN"/>
              </w:rPr>
            </w:pPr>
            <w:r>
              <w:rPr>
                <w:rFonts w:hint="eastAsia"/>
              </w:rPr>
              <w:t>桥墩承台预埋螺栓</w:t>
            </w:r>
          </w:p>
        </w:tc>
        <w:tc>
          <w:tcPr>
            <w:tcW w:w="1012" w:type="dxa"/>
            <w:tcBorders>
              <w:tl2br w:val="nil"/>
              <w:tr2bl w:val="nil"/>
            </w:tcBorders>
            <w:vAlign w:val="center"/>
          </w:tcPr>
          <w:p w14:paraId="26998F80">
            <w:pPr>
              <w:kinsoku/>
              <w:overflowPunct/>
              <w:topLinePunct w:val="0"/>
              <w:bidi w:val="0"/>
              <w:spacing w:line="360" w:lineRule="atLeast"/>
              <w:ind w:firstLine="0" w:firstLineChars="0"/>
              <w:jc w:val="center"/>
              <w:rPr>
                <w:rFonts w:hint="eastAsia" w:cs="宋体"/>
                <w:bCs/>
                <w:color w:val="auto"/>
                <w:sz w:val="21"/>
                <w:szCs w:val="21"/>
                <w:highlight w:val="none"/>
                <w:lang w:val="en-US" w:eastAsia="zh-CN"/>
              </w:rPr>
            </w:pPr>
            <w:r>
              <w:rPr>
                <w:rFonts w:hint="eastAsia" w:cs="宋体"/>
                <w:bCs/>
                <w:color w:val="auto"/>
                <w:sz w:val="21"/>
                <w:szCs w:val="21"/>
                <w:highlight w:val="none"/>
                <w:lang w:val="en-US" w:eastAsia="zh-CN"/>
              </w:rPr>
              <w:t>50</w:t>
            </w:r>
          </w:p>
        </w:tc>
        <w:tc>
          <w:tcPr>
            <w:tcW w:w="1256" w:type="dxa"/>
            <w:tcBorders>
              <w:tl2br w:val="nil"/>
              <w:tr2bl w:val="nil"/>
            </w:tcBorders>
            <w:vAlign w:val="center"/>
          </w:tcPr>
          <w:p w14:paraId="0FACC2C7">
            <w:pPr>
              <w:kinsoku/>
              <w:overflowPunct/>
              <w:topLinePunct w:val="0"/>
              <w:bidi w:val="0"/>
              <w:spacing w:line="360" w:lineRule="atLeast"/>
              <w:ind w:left="0" w:leftChars="0" w:firstLine="0" w:firstLineChars="0"/>
              <w:jc w:val="center"/>
              <w:rPr>
                <w:rFonts w:hint="eastAsia" w:cs="宋体"/>
                <w:bCs/>
                <w:color w:val="auto"/>
                <w:sz w:val="21"/>
                <w:szCs w:val="21"/>
                <w:highlight w:val="none"/>
                <w:lang w:val="en-US" w:eastAsia="zh-CN"/>
              </w:rPr>
            </w:pPr>
            <w:r>
              <w:rPr>
                <w:rFonts w:hint="eastAsia"/>
              </w:rPr>
              <w:t>顺桥向</w:t>
            </w:r>
          </w:p>
        </w:tc>
        <w:tc>
          <w:tcPr>
            <w:tcW w:w="2233" w:type="dxa"/>
            <w:tcBorders>
              <w:tl2br w:val="nil"/>
              <w:tr2bl w:val="nil"/>
            </w:tcBorders>
            <w:vAlign w:val="center"/>
          </w:tcPr>
          <w:p w14:paraId="46835214">
            <w:pPr>
              <w:kinsoku/>
              <w:overflowPunct/>
              <w:topLinePunct w:val="0"/>
              <w:bidi w:val="0"/>
              <w:spacing w:line="360" w:lineRule="atLeast"/>
              <w:ind w:firstLine="0" w:firstLineChars="0"/>
              <w:jc w:val="center"/>
              <w:rPr>
                <w:rFonts w:hint="default" w:cs="宋体"/>
                <w:bCs/>
                <w:color w:val="auto"/>
                <w:sz w:val="21"/>
                <w:szCs w:val="21"/>
                <w:highlight w:val="none"/>
                <w:lang w:val="en-US" w:eastAsia="zh-CN"/>
              </w:rPr>
            </w:pPr>
            <w:r>
              <w:rPr>
                <w:rFonts w:hint="eastAsia" w:cs="宋体"/>
                <w:bCs/>
                <w:color w:val="auto"/>
                <w:sz w:val="21"/>
                <w:szCs w:val="21"/>
                <w:highlight w:val="none"/>
                <w:lang w:val="en-US" w:eastAsia="zh-CN"/>
              </w:rPr>
              <w:t>3.6</w:t>
            </w:r>
          </w:p>
        </w:tc>
      </w:tr>
      <w:tr w14:paraId="13AD8DF1">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424" w:hRule="atLeast"/>
          <w:jc w:val="center"/>
        </w:trPr>
        <w:tc>
          <w:tcPr>
            <w:tcW w:w="1070" w:type="dxa"/>
            <w:tcBorders>
              <w:tl2br w:val="nil"/>
              <w:tr2bl w:val="nil"/>
            </w:tcBorders>
            <w:vAlign w:val="center"/>
          </w:tcPr>
          <w:p w14:paraId="657115C8">
            <w:pPr>
              <w:kinsoku/>
              <w:overflowPunct/>
              <w:topLinePunct w:val="0"/>
              <w:bidi w:val="0"/>
              <w:spacing w:line="360" w:lineRule="atLeast"/>
              <w:ind w:firstLine="0" w:firstLineChars="0"/>
              <w:jc w:val="center"/>
              <w:rPr>
                <w:rFonts w:hint="default" w:ascii="宋体" w:hAnsi="宋体" w:eastAsia="宋体" w:cs="宋体"/>
                <w:bCs/>
                <w:color w:val="auto"/>
                <w:sz w:val="21"/>
                <w:szCs w:val="21"/>
                <w:highlight w:val="none"/>
                <w:lang w:val="en-US" w:eastAsia="zh-CN"/>
              </w:rPr>
            </w:pPr>
            <w:r>
              <w:rPr>
                <w:rFonts w:hint="eastAsia" w:cs="宋体"/>
                <w:bCs/>
                <w:color w:val="auto"/>
                <w:sz w:val="21"/>
                <w:szCs w:val="21"/>
                <w:highlight w:val="none"/>
                <w:lang w:val="en-US" w:eastAsia="zh-CN"/>
              </w:rPr>
              <w:t>6#</w:t>
            </w:r>
          </w:p>
        </w:tc>
        <w:tc>
          <w:tcPr>
            <w:tcW w:w="1623" w:type="dxa"/>
            <w:tcBorders>
              <w:tl2br w:val="nil"/>
              <w:tr2bl w:val="nil"/>
            </w:tcBorders>
            <w:vAlign w:val="center"/>
          </w:tcPr>
          <w:p w14:paraId="149B30C2">
            <w:pPr>
              <w:kinsoku/>
              <w:overflowPunct/>
              <w:topLinePunct w:val="0"/>
              <w:bidi w:val="0"/>
              <w:spacing w:line="360" w:lineRule="atLeast"/>
              <w:ind w:firstLine="0" w:firstLineChars="0"/>
              <w:jc w:val="center"/>
              <w:rPr>
                <w:rFonts w:hint="eastAsia" w:cs="宋体"/>
                <w:bCs/>
                <w:color w:val="auto"/>
                <w:sz w:val="21"/>
                <w:szCs w:val="21"/>
                <w:highlight w:val="none"/>
                <w:lang w:val="en-US" w:eastAsia="zh-CN"/>
              </w:rPr>
            </w:pPr>
            <w:r>
              <w:rPr>
                <w:rFonts w:hint="eastAsia" w:cs="宋体"/>
                <w:bCs/>
                <w:color w:val="auto"/>
                <w:sz w:val="21"/>
                <w:szCs w:val="21"/>
                <w:highlight w:val="none"/>
                <w:lang w:val="en-US" w:eastAsia="zh-CN"/>
              </w:rPr>
              <w:t>QTZp160（T6515-10）</w:t>
            </w:r>
          </w:p>
        </w:tc>
        <w:tc>
          <w:tcPr>
            <w:tcW w:w="1064" w:type="dxa"/>
            <w:tcBorders>
              <w:tl2br w:val="nil"/>
              <w:tr2bl w:val="nil"/>
            </w:tcBorders>
            <w:vAlign w:val="center"/>
          </w:tcPr>
          <w:p w14:paraId="3173F3A6">
            <w:pPr>
              <w:kinsoku/>
              <w:overflowPunct/>
              <w:topLinePunct w:val="0"/>
              <w:bidi w:val="0"/>
              <w:spacing w:line="360" w:lineRule="atLeast"/>
              <w:ind w:firstLine="0" w:firstLineChars="0"/>
              <w:jc w:val="center"/>
              <w:rPr>
                <w:rFonts w:hint="default"/>
                <w:lang w:val="en-US" w:eastAsia="zh-CN"/>
              </w:rPr>
            </w:pPr>
            <w:r>
              <w:rPr>
                <w:rFonts w:hint="eastAsia"/>
                <w:lang w:val="en-US" w:eastAsia="zh-CN"/>
              </w:rPr>
              <w:t>60</w:t>
            </w:r>
          </w:p>
        </w:tc>
        <w:tc>
          <w:tcPr>
            <w:tcW w:w="1341" w:type="dxa"/>
            <w:tcBorders>
              <w:tl2br w:val="nil"/>
              <w:tr2bl w:val="nil"/>
            </w:tcBorders>
            <w:vAlign w:val="center"/>
          </w:tcPr>
          <w:p w14:paraId="30C56891">
            <w:pPr>
              <w:kinsoku/>
              <w:overflowPunct/>
              <w:topLinePunct w:val="0"/>
              <w:bidi w:val="0"/>
              <w:spacing w:line="360" w:lineRule="atLeast"/>
              <w:ind w:left="0" w:leftChars="0" w:firstLine="0" w:firstLineChars="0"/>
              <w:jc w:val="center"/>
              <w:rPr>
                <w:rFonts w:hint="eastAsia" w:cs="宋体"/>
                <w:bCs/>
                <w:color w:val="auto"/>
                <w:sz w:val="21"/>
                <w:szCs w:val="21"/>
                <w:highlight w:val="none"/>
                <w:lang w:val="en-US" w:eastAsia="zh-CN"/>
              </w:rPr>
            </w:pPr>
            <w:r>
              <w:rPr>
                <w:rFonts w:hint="eastAsia"/>
              </w:rPr>
              <w:t>桥墩承台预埋螺栓</w:t>
            </w:r>
          </w:p>
        </w:tc>
        <w:tc>
          <w:tcPr>
            <w:tcW w:w="1012" w:type="dxa"/>
            <w:tcBorders>
              <w:tl2br w:val="nil"/>
              <w:tr2bl w:val="nil"/>
            </w:tcBorders>
            <w:vAlign w:val="center"/>
          </w:tcPr>
          <w:p w14:paraId="5814E955">
            <w:pPr>
              <w:kinsoku/>
              <w:overflowPunct/>
              <w:topLinePunct w:val="0"/>
              <w:bidi w:val="0"/>
              <w:spacing w:line="360" w:lineRule="atLeast"/>
              <w:ind w:firstLine="0" w:firstLineChars="0"/>
              <w:jc w:val="center"/>
              <w:rPr>
                <w:rFonts w:hint="eastAsia" w:cs="宋体"/>
                <w:bCs/>
                <w:color w:val="auto"/>
                <w:sz w:val="21"/>
                <w:szCs w:val="21"/>
                <w:highlight w:val="none"/>
                <w:lang w:val="en-US" w:eastAsia="zh-CN"/>
              </w:rPr>
            </w:pPr>
            <w:r>
              <w:rPr>
                <w:rFonts w:hint="eastAsia" w:cs="宋体"/>
                <w:bCs/>
                <w:color w:val="auto"/>
                <w:sz w:val="21"/>
                <w:szCs w:val="21"/>
                <w:highlight w:val="none"/>
                <w:lang w:val="en-US" w:eastAsia="zh-CN"/>
              </w:rPr>
              <w:t>50</w:t>
            </w:r>
          </w:p>
        </w:tc>
        <w:tc>
          <w:tcPr>
            <w:tcW w:w="1256" w:type="dxa"/>
            <w:tcBorders>
              <w:tl2br w:val="nil"/>
              <w:tr2bl w:val="nil"/>
            </w:tcBorders>
            <w:vAlign w:val="center"/>
          </w:tcPr>
          <w:p w14:paraId="0F284213">
            <w:pPr>
              <w:kinsoku/>
              <w:overflowPunct/>
              <w:topLinePunct w:val="0"/>
              <w:bidi w:val="0"/>
              <w:spacing w:line="360" w:lineRule="atLeast"/>
              <w:ind w:left="0" w:leftChars="0" w:firstLine="0" w:firstLineChars="0"/>
              <w:jc w:val="center"/>
              <w:rPr>
                <w:rFonts w:hint="eastAsia" w:cs="宋体"/>
                <w:bCs/>
                <w:color w:val="auto"/>
                <w:sz w:val="21"/>
                <w:szCs w:val="21"/>
                <w:highlight w:val="none"/>
                <w:lang w:val="en-US" w:eastAsia="zh-CN"/>
              </w:rPr>
            </w:pPr>
            <w:r>
              <w:rPr>
                <w:rFonts w:hint="eastAsia"/>
              </w:rPr>
              <w:t>顺桥向</w:t>
            </w:r>
          </w:p>
        </w:tc>
        <w:tc>
          <w:tcPr>
            <w:tcW w:w="2233" w:type="dxa"/>
            <w:tcBorders>
              <w:tl2br w:val="nil"/>
              <w:tr2bl w:val="nil"/>
            </w:tcBorders>
            <w:vAlign w:val="center"/>
          </w:tcPr>
          <w:p w14:paraId="592C648A">
            <w:pPr>
              <w:kinsoku/>
              <w:overflowPunct/>
              <w:topLinePunct w:val="0"/>
              <w:bidi w:val="0"/>
              <w:spacing w:line="360" w:lineRule="atLeast"/>
              <w:ind w:firstLine="0" w:firstLineChars="0"/>
              <w:jc w:val="center"/>
              <w:rPr>
                <w:rFonts w:hint="default" w:cs="宋体"/>
                <w:bCs/>
                <w:color w:val="auto"/>
                <w:sz w:val="21"/>
                <w:szCs w:val="21"/>
                <w:highlight w:val="none"/>
                <w:lang w:val="en-US" w:eastAsia="zh-CN"/>
              </w:rPr>
            </w:pPr>
            <w:r>
              <w:rPr>
                <w:rFonts w:hint="eastAsia" w:cs="宋体"/>
                <w:bCs/>
                <w:color w:val="auto"/>
                <w:sz w:val="21"/>
                <w:szCs w:val="21"/>
                <w:highlight w:val="none"/>
                <w:lang w:val="en-US" w:eastAsia="zh-CN"/>
              </w:rPr>
              <w:t>3.6</w:t>
            </w:r>
          </w:p>
        </w:tc>
      </w:tr>
    </w:tbl>
    <w:p w14:paraId="61F2D8D8">
      <w:pPr>
        <w:bidi w:val="0"/>
        <w:rPr>
          <w:rFonts w:hint="eastAsia"/>
        </w:rPr>
      </w:pPr>
      <w:r>
        <w:rPr>
          <w:rFonts w:hint="eastAsia"/>
          <w:lang w:eastAsia="zh-CN"/>
        </w:rPr>
        <w:t>拆除</w:t>
      </w:r>
      <w:r>
        <w:rPr>
          <w:rFonts w:hint="eastAsia"/>
        </w:rPr>
        <w:t>时，应有足够的辅助</w:t>
      </w:r>
      <w:r>
        <w:rPr>
          <w:rFonts w:hint="eastAsia"/>
          <w:lang w:eastAsia="zh-CN"/>
        </w:rPr>
        <w:t>汽车吊</w:t>
      </w:r>
      <w:r>
        <w:rPr>
          <w:rFonts w:hint="eastAsia"/>
          <w:lang w:val="en-US" w:eastAsia="zh-CN"/>
        </w:rPr>
        <w:t>作业</w:t>
      </w:r>
      <w:r>
        <w:rPr>
          <w:rFonts w:hint="eastAsia"/>
        </w:rPr>
        <w:t>场地，及塔机零部件组装场地，</w:t>
      </w:r>
      <w:r>
        <w:rPr>
          <w:rFonts w:hint="eastAsia"/>
          <w:lang w:eastAsia="zh-CN"/>
        </w:rPr>
        <w:t>汽车吊</w:t>
      </w:r>
      <w:r>
        <w:rPr>
          <w:rFonts w:hint="eastAsia"/>
          <w:lang w:val="en-US" w:eastAsia="zh-CN"/>
        </w:rPr>
        <w:t>作业</w:t>
      </w:r>
      <w:r>
        <w:rPr>
          <w:rFonts w:hint="eastAsia"/>
        </w:rPr>
        <w:t>场</w:t>
      </w:r>
      <w:r>
        <w:rPr>
          <w:rFonts w:hint="eastAsia"/>
          <w:lang w:val="en-US" w:eastAsia="zh-CN"/>
        </w:rPr>
        <w:t>的</w:t>
      </w:r>
      <w:r>
        <w:rPr>
          <w:rFonts w:hint="eastAsia"/>
        </w:rPr>
        <w:t>地基承载能力</w:t>
      </w:r>
      <w:r>
        <w:rPr>
          <w:rFonts w:hint="eastAsia"/>
          <w:lang w:val="en-US" w:eastAsia="zh-CN"/>
        </w:rPr>
        <w:t>满足汽车吊的作业要求</w:t>
      </w:r>
      <w:r>
        <w:rPr>
          <w:rFonts w:hint="eastAsia"/>
        </w:rPr>
        <w:t>。车辆行驶路线应满足车辆行驶。本塔机利用辅助</w:t>
      </w:r>
      <w:r>
        <w:rPr>
          <w:rFonts w:hint="eastAsia"/>
          <w:lang w:eastAsia="zh-CN"/>
        </w:rPr>
        <w:t>汽车吊拆除</w:t>
      </w:r>
      <w:r>
        <w:rPr>
          <w:rFonts w:hint="eastAsia"/>
        </w:rPr>
        <w:t>，</w:t>
      </w:r>
      <w:r>
        <w:rPr>
          <w:rFonts w:hint="eastAsia"/>
          <w:lang w:eastAsia="zh-CN"/>
        </w:rPr>
        <w:t>拆除</w:t>
      </w:r>
      <w:r>
        <w:rPr>
          <w:rFonts w:hint="eastAsia"/>
        </w:rPr>
        <w:t>高度应超过其回转范围内最高施工机具的高度，以满足各塔机的顶升时臂架的旋转。</w:t>
      </w:r>
    </w:p>
    <w:p w14:paraId="5953BE7E">
      <w:pPr>
        <w:pStyle w:val="13"/>
        <w:kinsoku/>
        <w:overflowPunct/>
        <w:topLinePunct w:val="0"/>
        <w:bidi w:val="0"/>
        <w:spacing w:line="360" w:lineRule="atLeast"/>
        <w:rPr>
          <w:rFonts w:hint="eastAsia" w:ascii="宋体" w:hAnsi="宋体" w:eastAsia="宋体" w:cs="宋体"/>
        </w:rPr>
      </w:pPr>
      <w:r>
        <w:drawing>
          <wp:inline distT="0" distB="0" distL="114300" distR="114300">
            <wp:extent cx="6170295" cy="1964055"/>
            <wp:effectExtent l="0" t="0" r="1905" b="17145"/>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8"/>
                    <a:stretch>
                      <a:fillRect/>
                    </a:stretch>
                  </pic:blipFill>
                  <pic:spPr>
                    <a:xfrm>
                      <a:off x="0" y="0"/>
                      <a:ext cx="6170295" cy="1964055"/>
                    </a:xfrm>
                    <a:prstGeom prst="rect">
                      <a:avLst/>
                    </a:prstGeom>
                    <a:noFill/>
                    <a:ln>
                      <a:noFill/>
                    </a:ln>
                  </pic:spPr>
                </pic:pic>
              </a:graphicData>
            </a:graphic>
          </wp:inline>
        </w:drawing>
      </w:r>
    </w:p>
    <w:p w14:paraId="516A6B19">
      <w:pPr>
        <w:pStyle w:val="13"/>
        <w:kinsoku/>
        <w:overflowPunct/>
        <w:topLinePunct w:val="0"/>
        <w:bidi w:val="0"/>
        <w:spacing w:line="360" w:lineRule="atLeast"/>
        <w:rPr>
          <w:rFonts w:hint="eastAsia" w:ascii="宋体" w:hAnsi="宋体" w:eastAsia="宋体" w:cs="宋体"/>
          <w:color w:val="auto"/>
          <w:sz w:val="24"/>
          <w:szCs w:val="24"/>
        </w:rPr>
      </w:pPr>
      <w:r>
        <w:rPr>
          <w:rFonts w:hint="eastAsia" w:ascii="宋体" w:hAnsi="宋体" w:eastAsia="宋体" w:cs="宋体"/>
          <w:color w:val="auto"/>
          <w:sz w:val="24"/>
          <w:szCs w:val="24"/>
        </w:rPr>
        <w:t>图</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STYLEREF 3 \s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2.2</w:t>
      </w:r>
      <w:r>
        <w:rPr>
          <w:rFonts w:hint="eastAsia" w:ascii="宋体" w:hAnsi="宋体" w:eastAsia="宋体" w:cs="宋体"/>
          <w:color w:val="auto"/>
          <w:sz w:val="24"/>
          <w:szCs w:val="24"/>
        </w:rPr>
        <w:fldChar w:fldCharType="end"/>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SEQ 图 \* ARABIC \s 3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塔吊</w:t>
      </w:r>
      <w:r>
        <w:rPr>
          <w:rFonts w:hint="eastAsia" w:ascii="宋体" w:hAnsi="宋体" w:cs="宋体"/>
          <w:color w:val="auto"/>
          <w:sz w:val="24"/>
          <w:szCs w:val="24"/>
          <w:lang w:eastAsia="zh-CN"/>
        </w:rPr>
        <w:t>拆除位置</w:t>
      </w:r>
      <w:r>
        <w:rPr>
          <w:rFonts w:hint="eastAsia" w:ascii="宋体" w:hAnsi="宋体" w:cs="宋体"/>
          <w:color w:val="auto"/>
          <w:sz w:val="24"/>
          <w:szCs w:val="24"/>
          <w:lang w:val="en-US" w:eastAsia="zh-CN"/>
        </w:rPr>
        <w:t>平面分部</w:t>
      </w:r>
      <w:r>
        <w:rPr>
          <w:rFonts w:hint="eastAsia" w:ascii="宋体" w:hAnsi="宋体" w:eastAsia="宋体" w:cs="宋体"/>
          <w:color w:val="auto"/>
          <w:sz w:val="24"/>
          <w:szCs w:val="24"/>
        </w:rPr>
        <w:t>图</w:t>
      </w:r>
    </w:p>
    <w:p w14:paraId="42AE8D14">
      <w:pPr>
        <w:kinsoku/>
        <w:overflowPunct/>
        <w:topLinePunct w:val="0"/>
        <w:bidi w:val="0"/>
        <w:spacing w:line="360" w:lineRule="atLeast"/>
        <w:ind w:left="0" w:leftChars="0" w:firstLine="0" w:firstLineChars="0"/>
        <w:jc w:val="center"/>
        <w:rPr>
          <w:rFonts w:hint="eastAsia" w:ascii="宋体" w:hAnsi="宋体" w:eastAsia="宋体" w:cs="宋体"/>
          <w:sz w:val="21"/>
          <w:szCs w:val="21"/>
          <w:lang w:eastAsia="zh-CN"/>
        </w:rPr>
      </w:pPr>
      <w:r>
        <w:rPr>
          <w:rFonts w:ascii="宋体" w:hAnsi="宋体" w:eastAsia="宋体" w:cs="宋体"/>
        </w:rPr>
        <w:drawing>
          <wp:inline distT="0" distB="0" distL="114300" distR="114300">
            <wp:extent cx="6120130" cy="5158105"/>
            <wp:effectExtent l="0" t="0" r="13970" b="4445"/>
            <wp:docPr id="1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
                    <pic:cNvPicPr>
                      <a:picLocks noChangeAspect="1"/>
                    </pic:cNvPicPr>
                  </pic:nvPicPr>
                  <pic:blipFill>
                    <a:blip r:embed="rId19"/>
                    <a:stretch>
                      <a:fillRect/>
                    </a:stretch>
                  </pic:blipFill>
                  <pic:spPr>
                    <a:xfrm>
                      <a:off x="0" y="0"/>
                      <a:ext cx="6120130" cy="5158105"/>
                    </a:xfrm>
                    <a:prstGeom prst="rect">
                      <a:avLst/>
                    </a:prstGeom>
                    <a:noFill/>
                    <a:ln>
                      <a:noFill/>
                    </a:ln>
                  </pic:spPr>
                </pic:pic>
              </a:graphicData>
            </a:graphic>
          </wp:inline>
        </w:drawing>
      </w:r>
      <w:r>
        <w:rPr>
          <w:rFonts w:ascii="宋体" w:hAnsi="宋体" w:eastAsia="宋体" w:cs="宋体"/>
        </w:rPr>
        <w:drawing>
          <wp:inline distT="0" distB="0" distL="114300" distR="114300">
            <wp:extent cx="6114415" cy="5855970"/>
            <wp:effectExtent l="0" t="0" r="635" b="11430"/>
            <wp:docPr id="10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
                    <pic:cNvPicPr>
                      <a:picLocks noChangeAspect="1"/>
                    </pic:cNvPicPr>
                  </pic:nvPicPr>
                  <pic:blipFill>
                    <a:blip r:embed="rId20"/>
                    <a:stretch>
                      <a:fillRect/>
                    </a:stretch>
                  </pic:blipFill>
                  <pic:spPr>
                    <a:xfrm>
                      <a:off x="0" y="0"/>
                      <a:ext cx="6114415" cy="5855970"/>
                    </a:xfrm>
                    <a:prstGeom prst="rect">
                      <a:avLst/>
                    </a:prstGeom>
                    <a:noFill/>
                    <a:ln>
                      <a:noFill/>
                    </a:ln>
                  </pic:spPr>
                </pic:pic>
              </a:graphicData>
            </a:graphic>
          </wp:inline>
        </w:drawing>
      </w:r>
      <w:r>
        <w:rPr>
          <w:rFonts w:ascii="宋体" w:hAnsi="宋体" w:eastAsia="宋体" w:cs="宋体"/>
        </w:rPr>
        <w:drawing>
          <wp:inline distT="0" distB="0" distL="114300" distR="114300">
            <wp:extent cx="6117590" cy="5539740"/>
            <wp:effectExtent l="0" t="0" r="16510" b="3810"/>
            <wp:docPr id="10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
                    <pic:cNvPicPr>
                      <a:picLocks noChangeAspect="1"/>
                    </pic:cNvPicPr>
                  </pic:nvPicPr>
                  <pic:blipFill>
                    <a:blip r:embed="rId21"/>
                    <a:stretch>
                      <a:fillRect/>
                    </a:stretch>
                  </pic:blipFill>
                  <pic:spPr>
                    <a:xfrm>
                      <a:off x="0" y="0"/>
                      <a:ext cx="6117590" cy="5539740"/>
                    </a:xfrm>
                    <a:prstGeom prst="rect">
                      <a:avLst/>
                    </a:prstGeom>
                    <a:noFill/>
                    <a:ln>
                      <a:noFill/>
                    </a:ln>
                  </pic:spPr>
                </pic:pic>
              </a:graphicData>
            </a:graphic>
          </wp:inline>
        </w:drawing>
      </w:r>
      <w:r>
        <w:drawing>
          <wp:inline distT="0" distB="0" distL="114300" distR="114300">
            <wp:extent cx="6117590" cy="5437505"/>
            <wp:effectExtent l="0" t="0" r="16510" b="1079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22"/>
                    <a:stretch>
                      <a:fillRect/>
                    </a:stretch>
                  </pic:blipFill>
                  <pic:spPr>
                    <a:xfrm>
                      <a:off x="0" y="0"/>
                      <a:ext cx="6117590" cy="5437505"/>
                    </a:xfrm>
                    <a:prstGeom prst="rect">
                      <a:avLst/>
                    </a:prstGeom>
                    <a:noFill/>
                    <a:ln>
                      <a:noFill/>
                    </a:ln>
                  </pic:spPr>
                </pic:pic>
              </a:graphicData>
            </a:graphic>
          </wp:inline>
        </w:drawing>
      </w:r>
      <w:bookmarkStart w:id="177" w:name="_GoBack"/>
      <w:bookmarkEnd w:id="177"/>
    </w:p>
    <w:p w14:paraId="03ECB8B7">
      <w:pPr>
        <w:widowControl w:val="0"/>
        <w:kinsoku/>
        <w:overflowPunct/>
        <w:topLinePunct w:val="0"/>
        <w:bidi w:val="0"/>
        <w:spacing w:line="360" w:lineRule="atLeast"/>
        <w:ind w:firstLine="0" w:firstLine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图</w:t>
      </w: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STYLEREF 3 \s </w:instrText>
      </w:r>
      <w:r>
        <w:rPr>
          <w:rFonts w:hint="eastAsia" w:ascii="宋体" w:hAnsi="宋体" w:eastAsia="宋体" w:cs="宋体"/>
          <w:color w:val="auto"/>
          <w:kern w:val="2"/>
          <w:sz w:val="24"/>
          <w:szCs w:val="24"/>
          <w:lang w:val="en-US" w:eastAsia="zh-CN" w:bidi="ar-SA"/>
        </w:rPr>
        <w:fldChar w:fldCharType="separate"/>
      </w:r>
      <w:r>
        <w:rPr>
          <w:rFonts w:hint="eastAsia" w:ascii="宋体" w:hAnsi="宋体" w:eastAsia="宋体" w:cs="宋体"/>
          <w:color w:val="auto"/>
          <w:kern w:val="2"/>
          <w:sz w:val="24"/>
          <w:szCs w:val="24"/>
          <w:lang w:val="en-US" w:eastAsia="zh-CN" w:bidi="ar-SA"/>
        </w:rPr>
        <w:t>2.2</w:t>
      </w:r>
      <w:r>
        <w:rPr>
          <w:rFonts w:hint="eastAsia" w:ascii="宋体" w:hAnsi="宋体" w:eastAsia="宋体" w:cs="宋体"/>
          <w:color w:val="auto"/>
          <w:kern w:val="2"/>
          <w:sz w:val="24"/>
          <w:szCs w:val="24"/>
          <w:lang w:val="en-US" w:eastAsia="zh-CN" w:bidi="ar-SA"/>
        </w:rPr>
        <w:fldChar w:fldCharType="end"/>
      </w:r>
      <w:r>
        <w:rPr>
          <w:rFonts w:hint="eastAsia" w:ascii="宋体" w:hAnsi="宋体" w:eastAsia="宋体" w:cs="宋体"/>
          <w:color w:val="auto"/>
          <w:kern w:val="2"/>
          <w:sz w:val="24"/>
          <w:szCs w:val="24"/>
          <w:lang w:val="en-US" w:eastAsia="zh-CN" w:bidi="ar-SA"/>
        </w:rPr>
        <w:t>-2塔吊平面布置图</w:t>
      </w:r>
    </w:p>
    <w:p w14:paraId="56C259C2">
      <w:pPr>
        <w:widowControl w:val="0"/>
        <w:kinsoku/>
        <w:overflowPunct/>
        <w:topLinePunct w:val="0"/>
        <w:bidi w:val="0"/>
        <w:spacing w:line="360" w:lineRule="atLeast"/>
        <w:ind w:firstLine="0" w:firstLineChars="0"/>
        <w:jc w:val="center"/>
        <w:rPr>
          <w:rFonts w:ascii="Times New Roman" w:hAnsi="Times New Roman" w:eastAsia="宋体" w:cstheme="majorBidi"/>
          <w:kern w:val="2"/>
          <w:sz w:val="24"/>
          <w:szCs w:val="20"/>
          <w:lang w:val="en-US" w:eastAsia="zh-CN" w:bidi="ar-SA"/>
        </w:rPr>
      </w:pPr>
      <w:r>
        <w:rPr>
          <w:rFonts w:ascii="Times New Roman" w:hAnsi="Times New Roman" w:eastAsia="宋体" w:cstheme="majorBidi"/>
          <w:kern w:val="2"/>
          <w:sz w:val="24"/>
          <w:szCs w:val="20"/>
          <w:lang w:val="en-US" w:eastAsia="zh-CN" w:bidi="ar-SA"/>
        </w:rPr>
        <w:drawing>
          <wp:inline distT="0" distB="0" distL="114300" distR="114300">
            <wp:extent cx="5753100" cy="6019800"/>
            <wp:effectExtent l="0" t="0" r="0" b="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23"/>
                    <a:stretch>
                      <a:fillRect/>
                    </a:stretch>
                  </pic:blipFill>
                  <pic:spPr>
                    <a:xfrm>
                      <a:off x="0" y="0"/>
                      <a:ext cx="5753100" cy="6019800"/>
                    </a:xfrm>
                    <a:prstGeom prst="rect">
                      <a:avLst/>
                    </a:prstGeom>
                    <a:noFill/>
                    <a:ln>
                      <a:noFill/>
                    </a:ln>
                  </pic:spPr>
                </pic:pic>
              </a:graphicData>
            </a:graphic>
          </wp:inline>
        </w:drawing>
      </w:r>
    </w:p>
    <w:p w14:paraId="3B5CBA7F">
      <w:pPr>
        <w:widowControl w:val="0"/>
        <w:kinsoku/>
        <w:overflowPunct/>
        <w:topLinePunct w:val="0"/>
        <w:bidi w:val="0"/>
        <w:spacing w:line="360" w:lineRule="atLeast"/>
        <w:ind w:firstLine="0" w:firstLine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图</w:t>
      </w: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STYLEREF 3 \s </w:instrText>
      </w:r>
      <w:r>
        <w:rPr>
          <w:rFonts w:hint="eastAsia" w:ascii="宋体" w:hAnsi="宋体" w:eastAsia="宋体" w:cs="宋体"/>
          <w:color w:val="auto"/>
          <w:kern w:val="2"/>
          <w:sz w:val="24"/>
          <w:szCs w:val="24"/>
          <w:lang w:val="en-US" w:eastAsia="zh-CN" w:bidi="ar-SA"/>
        </w:rPr>
        <w:fldChar w:fldCharType="separate"/>
      </w:r>
      <w:r>
        <w:rPr>
          <w:rFonts w:hint="eastAsia" w:ascii="宋体" w:hAnsi="宋体" w:eastAsia="宋体" w:cs="宋体"/>
          <w:color w:val="auto"/>
          <w:kern w:val="2"/>
          <w:sz w:val="24"/>
          <w:szCs w:val="24"/>
          <w:lang w:val="en-US" w:eastAsia="zh-CN" w:bidi="ar-SA"/>
        </w:rPr>
        <w:t>2.2</w:t>
      </w:r>
      <w:r>
        <w:rPr>
          <w:rFonts w:hint="eastAsia" w:ascii="宋体" w:hAnsi="宋体" w:eastAsia="宋体" w:cs="宋体"/>
          <w:color w:val="auto"/>
          <w:kern w:val="2"/>
          <w:sz w:val="24"/>
          <w:szCs w:val="24"/>
          <w:lang w:val="en-US" w:eastAsia="zh-CN" w:bidi="ar-SA"/>
        </w:rPr>
        <w:fldChar w:fldCharType="end"/>
      </w:r>
      <w:r>
        <w:rPr>
          <w:rFonts w:hint="eastAsia" w:ascii="宋体" w:hAnsi="宋体" w:eastAsia="宋体" w:cs="宋体"/>
          <w:color w:val="auto"/>
          <w:kern w:val="2"/>
          <w:sz w:val="24"/>
          <w:szCs w:val="24"/>
          <w:lang w:val="en-US" w:eastAsia="zh-CN" w:bidi="ar-SA"/>
        </w:rPr>
        <w:t>-3 3#墩塔吊立面布置图</w:t>
      </w:r>
    </w:p>
    <w:p w14:paraId="3329F75A">
      <w:pPr>
        <w:widowControl w:val="0"/>
        <w:kinsoku/>
        <w:overflowPunct/>
        <w:topLinePunct w:val="0"/>
        <w:bidi w:val="0"/>
        <w:spacing w:line="360" w:lineRule="atLeast"/>
        <w:ind w:firstLine="480" w:firstLineChars="200"/>
        <w:jc w:val="center"/>
        <w:rPr>
          <w:rFonts w:ascii="Calibri" w:hAnsi="Calibri" w:eastAsia="宋体" w:cs="宋体"/>
          <w:kern w:val="2"/>
          <w:sz w:val="24"/>
          <w:szCs w:val="22"/>
          <w:lang w:val="en-US" w:eastAsia="zh-CN" w:bidi="ar-SA"/>
        </w:rPr>
      </w:pPr>
    </w:p>
    <w:p w14:paraId="4943530F">
      <w:pPr>
        <w:widowControl w:val="0"/>
        <w:kinsoku/>
        <w:overflowPunct/>
        <w:topLinePunct w:val="0"/>
        <w:bidi w:val="0"/>
        <w:spacing w:line="360" w:lineRule="atLeast"/>
        <w:ind w:firstLine="0" w:firstLineChars="0"/>
        <w:jc w:val="center"/>
        <w:rPr>
          <w:rFonts w:ascii="Times New Roman" w:hAnsi="Times New Roman" w:eastAsia="宋体" w:cstheme="majorBidi"/>
          <w:kern w:val="2"/>
          <w:sz w:val="24"/>
          <w:szCs w:val="20"/>
          <w:lang w:val="en-US" w:eastAsia="zh-CN" w:bidi="ar-SA"/>
        </w:rPr>
      </w:pPr>
      <w:r>
        <w:rPr>
          <w:rFonts w:ascii="Times New Roman" w:hAnsi="Times New Roman" w:eastAsia="宋体" w:cstheme="majorBidi"/>
          <w:kern w:val="2"/>
          <w:sz w:val="24"/>
          <w:szCs w:val="20"/>
          <w:lang w:val="en-US" w:eastAsia="zh-CN" w:bidi="ar-SA"/>
        </w:rPr>
        <w:drawing>
          <wp:inline distT="0" distB="0" distL="114300" distR="114300">
            <wp:extent cx="5448300" cy="5657850"/>
            <wp:effectExtent l="0" t="0" r="0" b="0"/>
            <wp:docPr id="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
                    <pic:cNvPicPr>
                      <a:picLocks noChangeAspect="1"/>
                    </pic:cNvPicPr>
                  </pic:nvPicPr>
                  <pic:blipFill>
                    <a:blip r:embed="rId24"/>
                    <a:stretch>
                      <a:fillRect/>
                    </a:stretch>
                  </pic:blipFill>
                  <pic:spPr>
                    <a:xfrm>
                      <a:off x="0" y="0"/>
                      <a:ext cx="5448300" cy="5657850"/>
                    </a:xfrm>
                    <a:prstGeom prst="rect">
                      <a:avLst/>
                    </a:prstGeom>
                    <a:noFill/>
                    <a:ln>
                      <a:noFill/>
                    </a:ln>
                  </pic:spPr>
                </pic:pic>
              </a:graphicData>
            </a:graphic>
          </wp:inline>
        </w:drawing>
      </w:r>
    </w:p>
    <w:p w14:paraId="58215A7C">
      <w:pPr>
        <w:widowControl w:val="0"/>
        <w:kinsoku/>
        <w:overflowPunct/>
        <w:topLinePunct w:val="0"/>
        <w:bidi w:val="0"/>
        <w:spacing w:line="360" w:lineRule="atLeast"/>
        <w:ind w:firstLine="0" w:firstLine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图</w:t>
      </w: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STYLEREF 3 \s </w:instrText>
      </w:r>
      <w:r>
        <w:rPr>
          <w:rFonts w:hint="eastAsia" w:ascii="宋体" w:hAnsi="宋体" w:eastAsia="宋体" w:cs="宋体"/>
          <w:color w:val="auto"/>
          <w:kern w:val="2"/>
          <w:sz w:val="24"/>
          <w:szCs w:val="24"/>
          <w:lang w:val="en-US" w:eastAsia="zh-CN" w:bidi="ar-SA"/>
        </w:rPr>
        <w:fldChar w:fldCharType="separate"/>
      </w:r>
      <w:r>
        <w:rPr>
          <w:rFonts w:hint="eastAsia" w:ascii="宋体" w:hAnsi="宋体" w:eastAsia="宋体" w:cs="宋体"/>
          <w:color w:val="auto"/>
          <w:kern w:val="2"/>
          <w:sz w:val="24"/>
          <w:szCs w:val="24"/>
          <w:lang w:val="en-US" w:eastAsia="zh-CN" w:bidi="ar-SA"/>
        </w:rPr>
        <w:t>2.2</w:t>
      </w:r>
      <w:r>
        <w:rPr>
          <w:rFonts w:hint="eastAsia" w:ascii="宋体" w:hAnsi="宋体" w:eastAsia="宋体" w:cs="宋体"/>
          <w:color w:val="auto"/>
          <w:kern w:val="2"/>
          <w:sz w:val="24"/>
          <w:szCs w:val="24"/>
          <w:lang w:val="en-US" w:eastAsia="zh-CN" w:bidi="ar-SA"/>
        </w:rPr>
        <w:fldChar w:fldCharType="end"/>
      </w:r>
      <w:r>
        <w:rPr>
          <w:rFonts w:hint="eastAsia" w:ascii="宋体" w:hAnsi="宋体" w:eastAsia="宋体" w:cs="宋体"/>
          <w:color w:val="auto"/>
          <w:kern w:val="2"/>
          <w:sz w:val="24"/>
          <w:szCs w:val="24"/>
          <w:lang w:val="en-US" w:eastAsia="zh-CN" w:bidi="ar-SA"/>
        </w:rPr>
        <w:t>-4 4#墩塔吊立面布置图</w:t>
      </w:r>
    </w:p>
    <w:p w14:paraId="2355B649">
      <w:pPr>
        <w:widowControl w:val="0"/>
        <w:kinsoku/>
        <w:overflowPunct/>
        <w:topLinePunct w:val="0"/>
        <w:bidi w:val="0"/>
        <w:spacing w:line="360" w:lineRule="atLeast"/>
        <w:ind w:firstLine="0" w:firstLineChars="0"/>
        <w:jc w:val="center"/>
        <w:rPr>
          <w:rFonts w:ascii="Times New Roman" w:hAnsi="Times New Roman" w:eastAsia="宋体" w:cstheme="majorBidi"/>
          <w:kern w:val="2"/>
          <w:sz w:val="24"/>
          <w:szCs w:val="20"/>
          <w:lang w:val="en-US" w:eastAsia="zh-CN" w:bidi="ar-SA"/>
        </w:rPr>
      </w:pPr>
      <w:r>
        <w:rPr>
          <w:rFonts w:ascii="Times New Roman" w:hAnsi="Times New Roman" w:eastAsia="宋体" w:cstheme="majorBidi"/>
          <w:kern w:val="2"/>
          <w:sz w:val="24"/>
          <w:szCs w:val="20"/>
          <w:lang w:val="en-US" w:eastAsia="zh-CN" w:bidi="ar-SA"/>
        </w:rPr>
        <w:drawing>
          <wp:inline distT="0" distB="0" distL="114300" distR="114300">
            <wp:extent cx="5867400" cy="5495925"/>
            <wp:effectExtent l="0" t="0" r="0" b="9525"/>
            <wp:docPr id="1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6"/>
                    <pic:cNvPicPr>
                      <a:picLocks noChangeAspect="1"/>
                    </pic:cNvPicPr>
                  </pic:nvPicPr>
                  <pic:blipFill>
                    <a:blip r:embed="rId25"/>
                    <a:stretch>
                      <a:fillRect/>
                    </a:stretch>
                  </pic:blipFill>
                  <pic:spPr>
                    <a:xfrm>
                      <a:off x="0" y="0"/>
                      <a:ext cx="5867400" cy="5495925"/>
                    </a:xfrm>
                    <a:prstGeom prst="rect">
                      <a:avLst/>
                    </a:prstGeom>
                    <a:noFill/>
                    <a:ln>
                      <a:noFill/>
                    </a:ln>
                  </pic:spPr>
                </pic:pic>
              </a:graphicData>
            </a:graphic>
          </wp:inline>
        </w:drawing>
      </w:r>
    </w:p>
    <w:p w14:paraId="5C10E949">
      <w:pPr>
        <w:widowControl w:val="0"/>
        <w:kinsoku/>
        <w:overflowPunct/>
        <w:topLinePunct w:val="0"/>
        <w:bidi w:val="0"/>
        <w:spacing w:line="360" w:lineRule="atLeast"/>
        <w:ind w:firstLine="0" w:firstLineChars="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图</w:t>
      </w:r>
      <w:r>
        <w:rPr>
          <w:rFonts w:hint="eastAsia" w:ascii="宋体" w:hAnsi="宋体" w:eastAsia="宋体" w:cs="宋体"/>
          <w:color w:val="auto"/>
          <w:kern w:val="2"/>
          <w:sz w:val="24"/>
          <w:szCs w:val="24"/>
          <w:lang w:val="en-US" w:eastAsia="zh-CN" w:bidi="ar-SA"/>
        </w:rPr>
        <w:fldChar w:fldCharType="begin"/>
      </w:r>
      <w:r>
        <w:rPr>
          <w:rFonts w:hint="eastAsia" w:ascii="宋体" w:hAnsi="宋体" w:eastAsia="宋体" w:cs="宋体"/>
          <w:color w:val="auto"/>
          <w:kern w:val="2"/>
          <w:sz w:val="24"/>
          <w:szCs w:val="24"/>
          <w:lang w:val="en-US" w:eastAsia="zh-CN" w:bidi="ar-SA"/>
        </w:rPr>
        <w:instrText xml:space="preserve"> STYLEREF 3 \s </w:instrText>
      </w:r>
      <w:r>
        <w:rPr>
          <w:rFonts w:hint="eastAsia" w:ascii="宋体" w:hAnsi="宋体" w:eastAsia="宋体" w:cs="宋体"/>
          <w:color w:val="auto"/>
          <w:kern w:val="2"/>
          <w:sz w:val="24"/>
          <w:szCs w:val="24"/>
          <w:lang w:val="en-US" w:eastAsia="zh-CN" w:bidi="ar-SA"/>
        </w:rPr>
        <w:fldChar w:fldCharType="separate"/>
      </w:r>
      <w:r>
        <w:rPr>
          <w:rFonts w:hint="eastAsia" w:ascii="宋体" w:hAnsi="宋体" w:eastAsia="宋体" w:cs="宋体"/>
          <w:color w:val="auto"/>
          <w:kern w:val="2"/>
          <w:sz w:val="24"/>
          <w:szCs w:val="24"/>
          <w:lang w:val="en-US" w:eastAsia="zh-CN" w:bidi="ar-SA"/>
        </w:rPr>
        <w:t>2.2</w:t>
      </w:r>
      <w:r>
        <w:rPr>
          <w:rFonts w:hint="eastAsia" w:ascii="宋体" w:hAnsi="宋体" w:eastAsia="宋体" w:cs="宋体"/>
          <w:color w:val="auto"/>
          <w:kern w:val="2"/>
          <w:sz w:val="24"/>
          <w:szCs w:val="24"/>
          <w:lang w:val="en-US" w:eastAsia="zh-CN" w:bidi="ar-SA"/>
        </w:rPr>
        <w:fldChar w:fldCharType="end"/>
      </w:r>
      <w:r>
        <w:rPr>
          <w:rFonts w:hint="eastAsia" w:ascii="宋体" w:hAnsi="宋体" w:eastAsia="宋体" w:cs="宋体"/>
          <w:color w:val="auto"/>
          <w:kern w:val="2"/>
          <w:sz w:val="24"/>
          <w:szCs w:val="24"/>
          <w:lang w:val="en-US" w:eastAsia="zh-CN" w:bidi="ar-SA"/>
        </w:rPr>
        <w:t>-5 5#墩塔吊立面布置图</w:t>
      </w:r>
    </w:p>
    <w:p w14:paraId="50C82BF5">
      <w:pPr>
        <w:pStyle w:val="13"/>
        <w:kinsoku/>
        <w:overflowPunct/>
        <w:topLinePunct w:val="0"/>
        <w:bidi w:val="0"/>
        <w:spacing w:line="360" w:lineRule="atLeast"/>
        <w:rPr>
          <w:rFonts w:ascii="Calibri" w:hAnsi="Calibri" w:eastAsia="宋体" w:cs="宋体"/>
          <w:kern w:val="2"/>
          <w:sz w:val="24"/>
          <w:szCs w:val="22"/>
          <w:lang w:val="en-US" w:eastAsia="zh-CN" w:bidi="ar-SA"/>
        </w:rPr>
      </w:pPr>
      <w:r>
        <w:drawing>
          <wp:inline distT="0" distB="0" distL="114300" distR="114300">
            <wp:extent cx="5715000" cy="5476875"/>
            <wp:effectExtent l="0" t="0" r="0" b="952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6"/>
                    <a:stretch>
                      <a:fillRect/>
                    </a:stretch>
                  </pic:blipFill>
                  <pic:spPr>
                    <a:xfrm>
                      <a:off x="0" y="0"/>
                      <a:ext cx="5715000" cy="5476875"/>
                    </a:xfrm>
                    <a:prstGeom prst="rect">
                      <a:avLst/>
                    </a:prstGeom>
                    <a:noFill/>
                    <a:ln>
                      <a:noFill/>
                    </a:ln>
                  </pic:spPr>
                </pic:pic>
              </a:graphicData>
            </a:graphic>
          </wp:inline>
        </w:drawing>
      </w:r>
    </w:p>
    <w:p w14:paraId="0DE08245">
      <w:pPr>
        <w:pStyle w:val="13"/>
        <w:kinsoku/>
        <w:overflowPunct/>
        <w:topLinePunct w:val="0"/>
        <w:bidi w:val="0"/>
        <w:spacing w:line="360" w:lineRule="atLeast"/>
        <w:rPr>
          <w:rFonts w:hint="eastAsia" w:ascii="宋体" w:hAnsi="宋体" w:eastAsia="宋体" w:cs="宋体"/>
          <w:color w:val="auto"/>
          <w:sz w:val="24"/>
          <w:szCs w:val="24"/>
        </w:rPr>
      </w:pPr>
      <w:r>
        <w:rPr>
          <w:rFonts w:hint="eastAsia" w:ascii="宋体" w:hAnsi="宋体" w:eastAsia="宋体" w:cs="宋体"/>
          <w:color w:val="auto"/>
          <w:sz w:val="24"/>
          <w:szCs w:val="24"/>
        </w:rPr>
        <w:t>图</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STYLEREF 3 \s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2.2</w:t>
      </w:r>
      <w:r>
        <w:rPr>
          <w:rFonts w:hint="eastAsia" w:ascii="宋体" w:hAnsi="宋体" w:eastAsia="宋体" w:cs="宋体"/>
          <w:color w:val="auto"/>
          <w:sz w:val="24"/>
          <w:szCs w:val="24"/>
        </w:rPr>
        <w:fldChar w:fldCharType="end"/>
      </w:r>
      <w:r>
        <w:rPr>
          <w:rFonts w:hint="eastAsia" w:ascii="宋体" w:hAnsi="宋体" w:cs="宋体"/>
          <w:color w:val="auto"/>
          <w:sz w:val="24"/>
          <w:szCs w:val="24"/>
          <w:lang w:eastAsia="zh-CN"/>
        </w:rPr>
        <w:t>-</w:t>
      </w:r>
      <w:r>
        <w:rPr>
          <w:rFonts w:hint="eastAsia" w:ascii="宋体" w:hAnsi="宋体" w:eastAsia="宋体" w:cs="宋体"/>
          <w:color w:val="auto"/>
          <w:sz w:val="24"/>
          <w:szCs w:val="24"/>
          <w:lang w:val="en-US" w:eastAsia="zh-CN"/>
        </w:rPr>
        <w:t>6 6#墩</w:t>
      </w:r>
      <w:r>
        <w:rPr>
          <w:rFonts w:hint="eastAsia" w:ascii="宋体" w:hAnsi="宋体" w:eastAsia="宋体" w:cs="宋体"/>
          <w:color w:val="auto"/>
          <w:sz w:val="24"/>
          <w:szCs w:val="24"/>
        </w:rPr>
        <w:t>塔吊</w:t>
      </w:r>
      <w:r>
        <w:rPr>
          <w:rFonts w:hint="eastAsia" w:ascii="宋体" w:hAnsi="宋体" w:eastAsia="宋体" w:cs="宋体"/>
          <w:color w:val="auto"/>
          <w:sz w:val="24"/>
          <w:szCs w:val="24"/>
          <w:lang w:eastAsia="zh-CN"/>
        </w:rPr>
        <w:t>立</w:t>
      </w:r>
      <w:r>
        <w:rPr>
          <w:rFonts w:hint="eastAsia" w:ascii="宋体" w:hAnsi="宋体" w:eastAsia="宋体" w:cs="宋体"/>
          <w:color w:val="auto"/>
          <w:sz w:val="24"/>
          <w:szCs w:val="24"/>
        </w:rPr>
        <w:t>面布置图</w:t>
      </w:r>
    </w:p>
    <w:p w14:paraId="556B3E71">
      <w:pPr>
        <w:pStyle w:val="3"/>
        <w:keepNext w:val="0"/>
        <w:keepLines/>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18" w:name="_Toc18775"/>
      <w:r>
        <w:rPr>
          <w:rFonts w:hint="eastAsia" w:ascii="宋体" w:hAnsi="宋体" w:eastAsia="宋体" w:cs="宋体"/>
          <w:sz w:val="24"/>
          <w:szCs w:val="24"/>
        </w:rPr>
        <w:t>塔式起重机概况</w:t>
      </w:r>
      <w:bookmarkEnd w:id="18"/>
    </w:p>
    <w:p w14:paraId="7523D7F7">
      <w:pPr>
        <w:pStyle w:val="4"/>
        <w:keepNext w:val="0"/>
        <w:keepLines/>
        <w:pageBreakBefore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1"/>
          <w:szCs w:val="21"/>
        </w:rPr>
      </w:pPr>
      <w:r>
        <w:rPr>
          <w:rFonts w:hint="eastAsia" w:cs="宋体"/>
          <w:sz w:val="24"/>
          <w:szCs w:val="24"/>
          <w:lang w:eastAsia="zh-CN"/>
        </w:rPr>
        <w:t>虎霸QTZp160（T6515-10）</w:t>
      </w:r>
      <w:r>
        <w:rPr>
          <w:rFonts w:hint="eastAsia" w:ascii="宋体" w:hAnsi="宋体" w:eastAsia="宋体" w:cs="宋体"/>
          <w:sz w:val="24"/>
          <w:szCs w:val="24"/>
        </w:rPr>
        <w:t>塔机基本性能参数表</w:t>
      </w:r>
    </w:p>
    <w:p w14:paraId="43A92628">
      <w:pPr>
        <w:pStyle w:val="13"/>
        <w:keepNext w:val="0"/>
        <w:keepLines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STYLEREF 3 \s </w:instrText>
      </w:r>
      <w:r>
        <w:rPr>
          <w:rFonts w:hint="eastAsia" w:ascii="宋体" w:hAnsi="宋体" w:eastAsia="宋体" w:cs="宋体"/>
          <w:sz w:val="24"/>
          <w:szCs w:val="24"/>
        </w:rPr>
        <w:fldChar w:fldCharType="separate"/>
      </w:r>
      <w:r>
        <w:rPr>
          <w:rFonts w:hint="eastAsia" w:ascii="宋体" w:hAnsi="宋体" w:eastAsia="宋体" w:cs="宋体"/>
          <w:sz w:val="24"/>
          <w:szCs w:val="24"/>
        </w:rPr>
        <w:t>2.3.1</w:t>
      </w:r>
      <w:r>
        <w:rPr>
          <w:rFonts w:hint="eastAsia" w:ascii="宋体" w:hAnsi="宋体" w:eastAsia="宋体" w:cs="宋体"/>
          <w:sz w:val="24"/>
          <w:szCs w:val="24"/>
        </w:rPr>
        <w:fldChar w:fldCharType="end"/>
      </w:r>
      <w:r>
        <w:rPr>
          <w:rFonts w:hint="eastAsia" w:ascii="宋体" w:hAnsi="宋体" w:cs="宋体"/>
          <w:sz w:val="24"/>
          <w:szCs w:val="24"/>
          <w:lang w:val="en-US"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SEQ 表 \* ARABIC \s 3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cs="宋体"/>
          <w:sz w:val="24"/>
          <w:szCs w:val="24"/>
          <w:lang w:eastAsia="zh-CN"/>
        </w:rPr>
        <w:t>虎霸QTZp160（T6515-10）</w:t>
      </w:r>
      <w:r>
        <w:rPr>
          <w:rFonts w:hint="eastAsia" w:ascii="宋体" w:hAnsi="宋体" w:eastAsia="宋体" w:cs="宋体"/>
          <w:sz w:val="24"/>
          <w:szCs w:val="24"/>
        </w:rPr>
        <w:t>塔吊主要技术性能参数表</w:t>
      </w:r>
    </w:p>
    <w:p w14:paraId="63E7DDC1">
      <w:pPr>
        <w:pStyle w:val="13"/>
        <w:kinsoku/>
        <w:overflowPunct/>
        <w:topLinePunct w:val="0"/>
        <w:bidi w:val="0"/>
        <w:spacing w:line="360" w:lineRule="atLeast"/>
        <w:rPr>
          <w:rFonts w:hint="eastAsia" w:ascii="宋体" w:hAnsi="宋体" w:eastAsia="宋体" w:cs="宋体"/>
          <w:sz w:val="21"/>
          <w:szCs w:val="21"/>
        </w:rPr>
      </w:pPr>
      <w:r>
        <w:drawing>
          <wp:inline distT="0" distB="0" distL="114300" distR="114300">
            <wp:extent cx="6120765" cy="3000375"/>
            <wp:effectExtent l="0" t="0" r="0" b="0"/>
            <wp:docPr id="1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8"/>
                    <pic:cNvPicPr>
                      <a:picLocks noChangeAspect="1"/>
                    </pic:cNvPicPr>
                  </pic:nvPicPr>
                  <pic:blipFill>
                    <a:blip r:embed="rId27"/>
                    <a:srcRect b="59102"/>
                    <a:stretch>
                      <a:fillRect/>
                    </a:stretch>
                  </pic:blipFill>
                  <pic:spPr>
                    <a:xfrm>
                      <a:off x="0" y="0"/>
                      <a:ext cx="6120765" cy="3000375"/>
                    </a:xfrm>
                    <a:prstGeom prst="rect">
                      <a:avLst/>
                    </a:prstGeom>
                    <a:noFill/>
                    <a:ln>
                      <a:noFill/>
                    </a:ln>
                  </pic:spPr>
                </pic:pic>
              </a:graphicData>
            </a:graphic>
          </wp:inline>
        </w:drawing>
      </w:r>
    </w:p>
    <w:p w14:paraId="7DF0AB9E">
      <w:pPr>
        <w:pStyle w:val="13"/>
        <w:kinsoku/>
        <w:overflowPunct/>
        <w:topLinePunct w:val="0"/>
        <w:bidi w:val="0"/>
        <w:spacing w:line="360" w:lineRule="atLeast"/>
        <w:rPr>
          <w:rFonts w:hint="eastAsia" w:ascii="宋体" w:hAnsi="宋体" w:eastAsia="宋体" w:cs="宋体"/>
          <w:sz w:val="21"/>
          <w:szCs w:val="21"/>
          <w:lang w:eastAsia="zh-CN"/>
        </w:rPr>
      </w:pPr>
      <w:r>
        <w:drawing>
          <wp:inline distT="0" distB="0" distL="114300" distR="114300">
            <wp:extent cx="6120765" cy="4382135"/>
            <wp:effectExtent l="0" t="0" r="0" b="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27"/>
                    <a:srcRect t="40267"/>
                    <a:stretch>
                      <a:fillRect/>
                    </a:stretch>
                  </pic:blipFill>
                  <pic:spPr>
                    <a:xfrm>
                      <a:off x="0" y="0"/>
                      <a:ext cx="6120765" cy="4382135"/>
                    </a:xfrm>
                    <a:prstGeom prst="rect">
                      <a:avLst/>
                    </a:prstGeom>
                    <a:noFill/>
                    <a:ln>
                      <a:noFill/>
                    </a:ln>
                  </pic:spPr>
                </pic:pic>
              </a:graphicData>
            </a:graphic>
          </wp:inline>
        </w:drawing>
      </w:r>
    </w:p>
    <w:p w14:paraId="1B7F2D4B">
      <w:pPr>
        <w:kinsoku/>
        <w:overflowPunct/>
        <w:topLinePunct w:val="0"/>
        <w:bidi w:val="0"/>
        <w:spacing w:line="360" w:lineRule="atLeast"/>
        <w:ind w:firstLine="480"/>
        <w:jc w:val="center"/>
        <w:rPr>
          <w:rFonts w:hint="eastAsia" w:ascii="宋体" w:hAnsi="宋体" w:eastAsia="宋体" w:cs="宋体"/>
          <w:sz w:val="24"/>
          <w:szCs w:val="24"/>
        </w:rPr>
      </w:pPr>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STYLEREF 3 \s </w:instrText>
      </w:r>
      <w:r>
        <w:rPr>
          <w:rFonts w:hint="eastAsia" w:ascii="宋体" w:hAnsi="宋体" w:eastAsia="宋体" w:cs="宋体"/>
          <w:sz w:val="24"/>
          <w:szCs w:val="24"/>
        </w:rPr>
        <w:fldChar w:fldCharType="separate"/>
      </w:r>
      <w:r>
        <w:rPr>
          <w:rFonts w:hint="eastAsia" w:ascii="宋体" w:hAnsi="宋体" w:eastAsia="宋体" w:cs="宋体"/>
          <w:sz w:val="24"/>
          <w:szCs w:val="24"/>
        </w:rPr>
        <w:t>2.3.1</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SEQ 表 \* ARABIC \s 3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cs="宋体"/>
          <w:sz w:val="24"/>
          <w:szCs w:val="24"/>
          <w:lang w:eastAsia="zh-CN"/>
        </w:rPr>
        <w:t>虎霸QTZp160（T6515-10）</w:t>
      </w:r>
      <w:r>
        <w:rPr>
          <w:rFonts w:hint="eastAsia" w:ascii="宋体" w:hAnsi="宋体" w:eastAsia="宋体" w:cs="宋体"/>
          <w:sz w:val="24"/>
          <w:szCs w:val="24"/>
        </w:rPr>
        <w:t>起重性能表</w:t>
      </w:r>
    </w:p>
    <w:p w14:paraId="1F0B17F5">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sz w:val="24"/>
        </w:rPr>
        <mc:AlternateContent>
          <mc:Choice Requires="wps">
            <w:drawing>
              <wp:anchor distT="0" distB="0" distL="114300" distR="114300" simplePos="0" relativeHeight="251664384" behindDoc="0" locked="0" layoutInCell="1" allowOverlap="1">
                <wp:simplePos x="0" y="0"/>
                <wp:positionH relativeFrom="column">
                  <wp:posOffset>-12700</wp:posOffset>
                </wp:positionH>
                <wp:positionV relativeFrom="paragraph">
                  <wp:posOffset>97790</wp:posOffset>
                </wp:positionV>
                <wp:extent cx="5981700" cy="461645"/>
                <wp:effectExtent l="13970" t="13970" r="24130" b="19685"/>
                <wp:wrapNone/>
                <wp:docPr id="41" name="矩形 41"/>
                <wp:cNvGraphicFramePr/>
                <a:graphic xmlns:a="http://schemas.openxmlformats.org/drawingml/2006/main">
                  <a:graphicData uri="http://schemas.microsoft.com/office/word/2010/wordprocessingShape">
                    <wps:wsp>
                      <wps:cNvSpPr/>
                      <wps:spPr>
                        <a:xfrm>
                          <a:off x="805180" y="2389505"/>
                          <a:ext cx="5981700" cy="461645"/>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pt;margin-top:7.7pt;height:36.35pt;width:471pt;z-index:251664384;v-text-anchor:middle;mso-width-relative:page;mso-height-relative:page;" filled="f" stroked="t" coordsize="21600,21600" o:gfxdata="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zVNWWtkAAAALAQAADwAAAAAAAAABACAAAAAiAAAAZHJzL2Rvd25yZXYu&#10;eG1sUEsBAhQAFAAAAAgAh07iQMNE3gtsAgAAwQQAAA4AAAAAAAAAAQAgAAAAKAEAAGRycy9lMm9E&#10;b2MueG1sUEsFBgAAAAAGAAYAWQEAAAYGAAAAAA==&#10;">
                <v:fill on="f" focussize="0,0"/>
                <v:stroke weight="2.25pt" color="#FF0000 [2404]" joinstyle="round"/>
                <v:imagedata o:title=""/>
                <o:lock v:ext="edit" aspectratio="f"/>
              </v:rect>
            </w:pict>
          </mc:Fallback>
        </mc:AlternateContent>
      </w:r>
      <w:r>
        <w:drawing>
          <wp:inline distT="0" distB="0" distL="114300" distR="114300">
            <wp:extent cx="6118860" cy="3609975"/>
            <wp:effectExtent l="0" t="0" r="15240" b="9525"/>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9"/>
                    <pic:cNvPicPr>
                      <a:picLocks noChangeAspect="1"/>
                    </pic:cNvPicPr>
                  </pic:nvPicPr>
                  <pic:blipFill>
                    <a:blip r:embed="rId28"/>
                    <a:stretch>
                      <a:fillRect/>
                    </a:stretch>
                  </pic:blipFill>
                  <pic:spPr>
                    <a:xfrm>
                      <a:off x="0" y="0"/>
                      <a:ext cx="6118860" cy="3609975"/>
                    </a:xfrm>
                    <a:prstGeom prst="rect">
                      <a:avLst/>
                    </a:prstGeom>
                    <a:noFill/>
                    <a:ln>
                      <a:noFill/>
                    </a:ln>
                  </pic:spPr>
                </pic:pic>
              </a:graphicData>
            </a:graphic>
          </wp:inline>
        </w:drawing>
      </w:r>
    </w:p>
    <w:p w14:paraId="63B13D64">
      <w:pPr>
        <w:pStyle w:val="4"/>
        <w:keepNext w:val="0"/>
        <w:kinsoku/>
        <w:overflowPunct/>
        <w:topLinePunct w:val="0"/>
        <w:bidi w:val="0"/>
        <w:spacing w:line="360" w:lineRule="atLeast"/>
        <w:ind w:left="0" w:firstLine="0"/>
        <w:rPr>
          <w:rFonts w:hint="eastAsia" w:ascii="宋体" w:hAnsi="宋体" w:eastAsia="宋体" w:cs="宋体"/>
          <w:sz w:val="24"/>
          <w:szCs w:val="24"/>
        </w:rPr>
      </w:pPr>
      <w:bookmarkStart w:id="19" w:name="_Toc16276"/>
      <w:bookmarkStart w:id="20" w:name="_Toc10409776"/>
      <w:bookmarkStart w:id="21" w:name="_Toc15331"/>
      <w:r>
        <w:rPr>
          <w:rFonts w:hint="eastAsia" w:ascii="宋体" w:hAnsi="宋体" w:eastAsia="宋体" w:cs="宋体"/>
          <w:sz w:val="24"/>
          <w:szCs w:val="24"/>
        </w:rPr>
        <w:t>塔式起重机主要部件</w:t>
      </w:r>
      <w:bookmarkEnd w:id="19"/>
      <w:bookmarkEnd w:id="20"/>
      <w:bookmarkEnd w:id="21"/>
    </w:p>
    <w:p w14:paraId="760B949E">
      <w:pPr>
        <w:keepNext w:val="0"/>
        <w:keepLines w:val="0"/>
        <w:widowControl/>
        <w:suppressLineNumbers w:val="0"/>
        <w:spacing w:line="240" w:lineRule="auto"/>
        <w:ind w:firstLine="0" w:firstLineChars="0"/>
        <w:jc w:val="left"/>
      </w:pPr>
      <w:r>
        <w:drawing>
          <wp:inline distT="0" distB="0" distL="114300" distR="114300">
            <wp:extent cx="5426710" cy="4321175"/>
            <wp:effectExtent l="0" t="0" r="2540" b="3175"/>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29"/>
                    <a:stretch>
                      <a:fillRect/>
                    </a:stretch>
                  </pic:blipFill>
                  <pic:spPr>
                    <a:xfrm>
                      <a:off x="0" y="0"/>
                      <a:ext cx="5426710" cy="4321175"/>
                    </a:xfrm>
                    <a:prstGeom prst="rect">
                      <a:avLst/>
                    </a:prstGeom>
                    <a:noFill/>
                    <a:ln>
                      <a:noFill/>
                    </a:ln>
                  </pic:spPr>
                </pic:pic>
              </a:graphicData>
            </a:graphic>
          </wp:inline>
        </w:drawing>
      </w:r>
    </w:p>
    <w:p w14:paraId="55E5CF4E">
      <w:pPr>
        <w:pStyle w:val="13"/>
        <w:keepNext w:val="0"/>
        <w:keepLines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t xml:space="preserve">图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STYLEREF 3 \s </w:instrText>
      </w:r>
      <w:r>
        <w:rPr>
          <w:rFonts w:hint="eastAsia" w:ascii="宋体" w:hAnsi="宋体" w:eastAsia="宋体" w:cs="宋体"/>
          <w:sz w:val="24"/>
          <w:szCs w:val="24"/>
        </w:rPr>
        <w:fldChar w:fldCharType="separate"/>
      </w:r>
      <w:r>
        <w:rPr>
          <w:rFonts w:hint="eastAsia" w:ascii="宋体" w:hAnsi="宋体" w:eastAsia="宋体" w:cs="宋体"/>
          <w:sz w:val="24"/>
          <w:szCs w:val="24"/>
        </w:rPr>
        <w:t>2.3.2</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SEQ 图 \* ARABIC \s 3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cs="宋体"/>
          <w:sz w:val="24"/>
          <w:szCs w:val="24"/>
          <w:lang w:eastAsia="zh-CN"/>
        </w:rPr>
        <w:t>虎霸QTZp160（T6515-10）</w:t>
      </w:r>
      <w:r>
        <w:rPr>
          <w:rFonts w:hint="eastAsia" w:ascii="宋体" w:hAnsi="宋体" w:eastAsia="宋体" w:cs="宋体"/>
          <w:sz w:val="24"/>
          <w:szCs w:val="24"/>
        </w:rPr>
        <w:t>塔吊</w:t>
      </w:r>
      <w:r>
        <w:rPr>
          <w:rFonts w:hint="eastAsia" w:ascii="宋体" w:hAnsi="宋体" w:cs="宋体"/>
          <w:sz w:val="24"/>
          <w:szCs w:val="24"/>
          <w:lang w:eastAsia="zh-CN"/>
        </w:rPr>
        <w:t>拆除</w:t>
      </w:r>
      <w:r>
        <w:rPr>
          <w:rFonts w:hint="eastAsia" w:ascii="宋体" w:hAnsi="宋体" w:eastAsia="宋体" w:cs="宋体"/>
          <w:sz w:val="24"/>
          <w:szCs w:val="24"/>
        </w:rPr>
        <w:t>结构图</w:t>
      </w:r>
    </w:p>
    <w:p w14:paraId="0B69A454">
      <w:pPr>
        <w:keepNext w:val="0"/>
        <w:keepLines w:val="0"/>
        <w:widowControl/>
        <w:suppressLineNumbers w:val="0"/>
        <w:spacing w:line="240" w:lineRule="auto"/>
        <w:ind w:firstLine="560" w:firstLineChars="200"/>
        <w:jc w:val="left"/>
      </w:pPr>
      <w:r>
        <w:rPr>
          <w:rFonts w:hint="eastAsia" w:ascii="宋体" w:hAnsi="宋体" w:eastAsia="宋体" w:cs="宋体"/>
          <w:color w:val="000000"/>
          <w:kern w:val="0"/>
          <w:sz w:val="28"/>
          <w:szCs w:val="28"/>
          <w:lang w:val="en-US" w:eastAsia="zh-CN" w:bidi="ar"/>
        </w:rPr>
        <w:t xml:space="preserve">1.固定支脚（固定式）；2.过渡节；3.标准节；4.套架；5.顶升系统；6.回 转总成；7.回转机构；8.回转塔身； 9.平衡臂；10.起升机构；11.平衡重； </w:t>
      </w:r>
    </w:p>
    <w:p w14:paraId="5C3331DB">
      <w:pPr>
        <w:keepNext w:val="0"/>
        <w:keepLines w:val="0"/>
        <w:widowControl/>
        <w:suppressLineNumbers w:val="0"/>
        <w:ind w:left="0" w:leftChars="0" w:firstLine="0" w:firstLineChars="0"/>
        <w:jc w:val="left"/>
        <w:rPr>
          <w:rFonts w:hint="eastAsia"/>
        </w:rPr>
      </w:pPr>
      <w:r>
        <w:rPr>
          <w:rFonts w:hint="eastAsia" w:ascii="宋体" w:hAnsi="宋体" w:eastAsia="宋体" w:cs="宋体"/>
          <w:color w:val="000000"/>
          <w:kern w:val="0"/>
          <w:sz w:val="28"/>
          <w:szCs w:val="28"/>
          <w:lang w:val="en-US" w:eastAsia="zh-CN" w:bidi="ar"/>
        </w:rPr>
        <w:t xml:space="preserve">12.司机室；13.变幅机构；14. 吊钩总成；15.起重小车；16. 起重臂总成 </w:t>
      </w:r>
    </w:p>
    <w:p w14:paraId="520A901C">
      <w:pPr>
        <w:pStyle w:val="13"/>
        <w:keepNext w:val="0"/>
        <w:keepLines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t xml:space="preserve">表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STYLEREF 3 \s </w:instrText>
      </w:r>
      <w:r>
        <w:rPr>
          <w:rFonts w:hint="eastAsia" w:ascii="宋体" w:hAnsi="宋体" w:eastAsia="宋体" w:cs="宋体"/>
          <w:sz w:val="24"/>
          <w:szCs w:val="24"/>
        </w:rPr>
        <w:fldChar w:fldCharType="separate"/>
      </w:r>
      <w:r>
        <w:rPr>
          <w:rFonts w:hint="eastAsia" w:ascii="宋体" w:hAnsi="宋体" w:eastAsia="宋体" w:cs="宋体"/>
          <w:sz w:val="24"/>
          <w:szCs w:val="24"/>
        </w:rPr>
        <w:t>2.3.2</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SEQ 表 \* ARABIC \s 3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单个</w:t>
      </w:r>
      <w:r>
        <w:rPr>
          <w:rFonts w:hint="eastAsia" w:ascii="宋体" w:hAnsi="宋体" w:cs="宋体"/>
          <w:sz w:val="24"/>
          <w:szCs w:val="24"/>
          <w:lang w:eastAsia="zh-CN"/>
        </w:rPr>
        <w:t>虎霸QTZp160（T6515-10）</w:t>
      </w:r>
      <w:r>
        <w:rPr>
          <w:rFonts w:hint="eastAsia" w:ascii="宋体" w:hAnsi="宋体" w:eastAsia="宋体" w:cs="宋体"/>
          <w:sz w:val="24"/>
          <w:szCs w:val="24"/>
        </w:rPr>
        <w:t>塔吊</w:t>
      </w:r>
      <w:r>
        <w:rPr>
          <w:rFonts w:hint="eastAsia" w:ascii="宋体" w:hAnsi="宋体" w:cs="宋体"/>
          <w:sz w:val="24"/>
          <w:szCs w:val="24"/>
          <w:lang w:eastAsia="zh-CN"/>
        </w:rPr>
        <w:t>拆除</w:t>
      </w:r>
      <w:r>
        <w:rPr>
          <w:rFonts w:hint="eastAsia" w:ascii="宋体" w:hAnsi="宋体" w:cs="宋体"/>
          <w:sz w:val="24"/>
          <w:szCs w:val="24"/>
          <w:lang w:val="en-US" w:eastAsia="zh-CN"/>
        </w:rPr>
        <w:t>50M起重臂时</w:t>
      </w:r>
      <w:r>
        <w:rPr>
          <w:rFonts w:hint="eastAsia" w:ascii="宋体" w:hAnsi="宋体" w:eastAsia="宋体" w:cs="宋体"/>
          <w:sz w:val="24"/>
          <w:szCs w:val="24"/>
        </w:rPr>
        <w:t>主要结构尺寸参数表</w:t>
      </w:r>
    </w:p>
    <w:tbl>
      <w:tblPr>
        <w:tblStyle w:val="41"/>
        <w:tblW w:w="5000" w:type="pct"/>
        <w:jc w:val="center"/>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Layout w:type="autofit"/>
        <w:tblCellMar>
          <w:top w:w="0" w:type="dxa"/>
          <w:left w:w="108" w:type="dxa"/>
          <w:bottom w:w="0" w:type="dxa"/>
          <w:right w:w="108" w:type="dxa"/>
        </w:tblCellMar>
      </w:tblPr>
      <w:tblGrid>
        <w:gridCol w:w="797"/>
        <w:gridCol w:w="2840"/>
        <w:gridCol w:w="1248"/>
        <w:gridCol w:w="2570"/>
        <w:gridCol w:w="1603"/>
        <w:gridCol w:w="797"/>
      </w:tblGrid>
      <w:tr w14:paraId="3FDD8C5A">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14:paraId="0946E7E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bookmarkStart w:id="22" w:name="_Toc6722"/>
            <w:bookmarkStart w:id="23" w:name="_Toc13906"/>
            <w:r>
              <w:rPr>
                <w:rFonts w:hint="eastAsia" w:ascii="宋体" w:hAnsi="宋体" w:eastAsia="宋体" w:cs="宋体"/>
                <w:b w:val="0"/>
                <w:bCs w:val="0"/>
                <w:kern w:val="2"/>
                <w:sz w:val="24"/>
                <w:szCs w:val="24"/>
                <w:lang w:val="en-US" w:eastAsia="zh-CN" w:bidi="ar-SA"/>
              </w:rPr>
              <w:t>序号</w:t>
            </w:r>
          </w:p>
        </w:tc>
        <w:tc>
          <w:tcPr>
            <w:tcW w:w="1440" w:type="pct"/>
            <w:tcBorders>
              <w:top w:val="single" w:color="auto" w:sz="4" w:space="0"/>
              <w:left w:val="single" w:color="auto" w:sz="4" w:space="0"/>
              <w:bottom w:val="single" w:color="auto" w:sz="4" w:space="0"/>
              <w:right w:val="single" w:color="auto" w:sz="4" w:space="0"/>
            </w:tcBorders>
            <w:noWrap w:val="0"/>
            <w:vAlign w:val="center"/>
          </w:tcPr>
          <w:p w14:paraId="5E77A4B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吊装单元名称</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04B2230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数量</w:t>
            </w:r>
          </w:p>
        </w:tc>
        <w:tc>
          <w:tcPr>
            <w:tcW w:w="1303" w:type="pct"/>
            <w:tcBorders>
              <w:top w:val="single" w:color="auto" w:sz="4" w:space="0"/>
              <w:left w:val="single" w:color="auto" w:sz="4" w:space="0"/>
              <w:bottom w:val="single" w:color="auto" w:sz="4" w:space="0"/>
              <w:right w:val="single" w:color="auto" w:sz="4" w:space="0"/>
            </w:tcBorders>
            <w:noWrap w:val="0"/>
            <w:vAlign w:val="center"/>
          </w:tcPr>
          <w:p w14:paraId="77A13D7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外形尺寸（m）</w:t>
            </w:r>
          </w:p>
        </w:tc>
        <w:tc>
          <w:tcPr>
            <w:tcW w:w="813" w:type="pct"/>
            <w:tcBorders>
              <w:top w:val="single" w:color="auto" w:sz="4" w:space="0"/>
              <w:left w:val="single" w:color="auto" w:sz="4" w:space="0"/>
              <w:bottom w:val="single" w:color="auto" w:sz="4" w:space="0"/>
              <w:right w:val="single" w:color="auto" w:sz="4" w:space="0"/>
            </w:tcBorders>
            <w:noWrap w:val="0"/>
            <w:vAlign w:val="center"/>
          </w:tcPr>
          <w:p w14:paraId="52E6D12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重量（kg）</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1BFA379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备注</w:t>
            </w:r>
          </w:p>
        </w:tc>
      </w:tr>
      <w:tr w14:paraId="4003CDB8">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14:paraId="304FB16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w:t>
            </w:r>
          </w:p>
        </w:tc>
        <w:tc>
          <w:tcPr>
            <w:tcW w:w="1440" w:type="pct"/>
            <w:tcBorders>
              <w:top w:val="single" w:color="auto" w:sz="4" w:space="0"/>
              <w:left w:val="single" w:color="auto" w:sz="4" w:space="0"/>
              <w:bottom w:val="single" w:color="auto" w:sz="4" w:space="0"/>
              <w:right w:val="single" w:color="auto" w:sz="4" w:space="0"/>
            </w:tcBorders>
            <w:noWrap w:val="0"/>
            <w:vAlign w:val="center"/>
          </w:tcPr>
          <w:p w14:paraId="1BF87C5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cs="宋体"/>
                <w:b w:val="0"/>
                <w:bCs w:val="0"/>
                <w:kern w:val="2"/>
                <w:sz w:val="24"/>
                <w:szCs w:val="24"/>
                <w:lang w:val="en-US" w:eastAsia="zh-CN" w:bidi="ar-SA"/>
              </w:rPr>
              <w:t>过渡</w:t>
            </w:r>
            <w:r>
              <w:rPr>
                <w:rFonts w:hint="eastAsia" w:ascii="宋体" w:hAnsi="宋体" w:eastAsia="宋体" w:cs="宋体"/>
                <w:b w:val="0"/>
                <w:bCs w:val="0"/>
                <w:kern w:val="2"/>
                <w:sz w:val="24"/>
                <w:szCs w:val="24"/>
                <w:lang w:val="en-US" w:eastAsia="zh-CN" w:bidi="ar-SA"/>
              </w:rPr>
              <w:t>节</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29391E6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w:t>
            </w:r>
          </w:p>
        </w:tc>
        <w:tc>
          <w:tcPr>
            <w:tcW w:w="1303" w:type="pct"/>
            <w:tcBorders>
              <w:top w:val="single" w:color="auto" w:sz="4" w:space="0"/>
              <w:left w:val="single" w:color="auto" w:sz="4" w:space="0"/>
              <w:bottom w:val="single" w:color="auto" w:sz="4" w:space="0"/>
              <w:right w:val="single" w:color="auto" w:sz="4" w:space="0"/>
            </w:tcBorders>
            <w:noWrap w:val="0"/>
            <w:vAlign w:val="center"/>
          </w:tcPr>
          <w:p w14:paraId="02343BE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w:t>
            </w:r>
            <w:r>
              <w:rPr>
                <w:rFonts w:hint="eastAsia" w:cs="宋体"/>
                <w:b w:val="0"/>
                <w:bCs w:val="0"/>
                <w:kern w:val="2"/>
                <w:sz w:val="24"/>
                <w:szCs w:val="24"/>
                <w:lang w:val="en-US" w:eastAsia="zh-CN" w:bidi="ar-SA"/>
              </w:rPr>
              <w:t>12</w:t>
            </w:r>
            <w:r>
              <w:rPr>
                <w:rFonts w:hint="eastAsia" w:ascii="宋体" w:hAnsi="宋体" w:eastAsia="宋体" w:cs="宋体"/>
                <w:b w:val="0"/>
                <w:bCs w:val="0"/>
                <w:kern w:val="2"/>
                <w:sz w:val="24"/>
                <w:szCs w:val="24"/>
                <w:lang w:val="en-US" w:eastAsia="zh-CN" w:bidi="ar-SA"/>
              </w:rPr>
              <w:t>×2</w:t>
            </w:r>
            <w:r>
              <w:rPr>
                <w:rFonts w:hint="eastAsia" w:cs="宋体"/>
                <w:b w:val="0"/>
                <w:bCs w:val="0"/>
                <w:kern w:val="2"/>
                <w:sz w:val="24"/>
                <w:szCs w:val="24"/>
                <w:lang w:val="en-US" w:eastAsia="zh-CN" w:bidi="ar-SA"/>
              </w:rPr>
              <w:t>.12</w:t>
            </w:r>
            <w:r>
              <w:rPr>
                <w:rFonts w:hint="eastAsia" w:ascii="宋体" w:hAnsi="宋体" w:eastAsia="宋体" w:cs="宋体"/>
                <w:b w:val="0"/>
                <w:bCs w:val="0"/>
                <w:kern w:val="2"/>
                <w:sz w:val="24"/>
                <w:szCs w:val="24"/>
                <w:lang w:val="en-US" w:eastAsia="zh-CN" w:bidi="ar-SA"/>
              </w:rPr>
              <w:t>×</w:t>
            </w:r>
            <w:r>
              <w:rPr>
                <w:rFonts w:hint="eastAsia" w:cs="宋体"/>
                <w:b w:val="0"/>
                <w:bCs w:val="0"/>
                <w:kern w:val="2"/>
                <w:sz w:val="24"/>
                <w:szCs w:val="24"/>
                <w:lang w:val="en-US" w:eastAsia="zh-CN" w:bidi="ar-SA"/>
              </w:rPr>
              <w:t>7.807</w:t>
            </w:r>
          </w:p>
        </w:tc>
        <w:tc>
          <w:tcPr>
            <w:tcW w:w="813" w:type="pct"/>
            <w:tcBorders>
              <w:top w:val="single" w:color="auto" w:sz="4" w:space="0"/>
              <w:left w:val="single" w:color="auto" w:sz="4" w:space="0"/>
              <w:bottom w:val="single" w:color="auto" w:sz="4" w:space="0"/>
              <w:right w:val="single" w:color="auto" w:sz="4" w:space="0"/>
            </w:tcBorders>
            <w:noWrap w:val="0"/>
            <w:vAlign w:val="center"/>
          </w:tcPr>
          <w:p w14:paraId="7DDF4CB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lang w:val="en-US" w:eastAsia="zh-CN" w:bidi="ar-SA"/>
              </w:rPr>
            </w:pPr>
            <w:r>
              <w:rPr>
                <w:rFonts w:hint="eastAsia" w:cs="宋体"/>
                <w:b w:val="0"/>
                <w:bCs w:val="0"/>
                <w:kern w:val="2"/>
                <w:sz w:val="24"/>
                <w:szCs w:val="24"/>
                <w:lang w:val="en-US" w:eastAsia="zh-CN" w:bidi="ar-SA"/>
              </w:rPr>
              <w:t>4080</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0390878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p>
        </w:tc>
      </w:tr>
      <w:tr w14:paraId="55E3BB8B">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1025"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14:paraId="0BD0A7C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w:t>
            </w:r>
          </w:p>
        </w:tc>
        <w:tc>
          <w:tcPr>
            <w:tcW w:w="1440" w:type="pct"/>
            <w:tcBorders>
              <w:top w:val="single" w:color="auto" w:sz="4" w:space="0"/>
              <w:left w:val="single" w:color="auto" w:sz="4" w:space="0"/>
              <w:bottom w:val="single" w:color="auto" w:sz="4" w:space="0"/>
              <w:right w:val="single" w:color="auto" w:sz="4" w:space="0"/>
            </w:tcBorders>
            <w:noWrap w:val="0"/>
            <w:vAlign w:val="center"/>
          </w:tcPr>
          <w:p w14:paraId="7466EDE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标准节</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28EA844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N</w:t>
            </w:r>
          </w:p>
        </w:tc>
        <w:tc>
          <w:tcPr>
            <w:tcW w:w="1303" w:type="pct"/>
            <w:tcBorders>
              <w:top w:val="single" w:color="auto" w:sz="4" w:space="0"/>
              <w:left w:val="single" w:color="auto" w:sz="4" w:space="0"/>
              <w:bottom w:val="single" w:color="auto" w:sz="4" w:space="0"/>
              <w:right w:val="single" w:color="auto" w:sz="4" w:space="0"/>
            </w:tcBorders>
            <w:noWrap w:val="0"/>
            <w:vAlign w:val="center"/>
          </w:tcPr>
          <w:p w14:paraId="189A7A9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w:t>
            </w:r>
            <w:r>
              <w:rPr>
                <w:rFonts w:hint="eastAsia" w:cs="宋体"/>
                <w:b w:val="0"/>
                <w:bCs w:val="0"/>
                <w:kern w:val="2"/>
                <w:sz w:val="24"/>
                <w:szCs w:val="24"/>
                <w:lang w:val="en-US" w:eastAsia="zh-CN" w:bidi="ar-SA"/>
              </w:rPr>
              <w:t>12</w:t>
            </w:r>
            <w:r>
              <w:rPr>
                <w:rFonts w:hint="eastAsia" w:ascii="宋体" w:hAnsi="宋体" w:eastAsia="宋体" w:cs="宋体"/>
                <w:b w:val="0"/>
                <w:bCs w:val="0"/>
                <w:kern w:val="2"/>
                <w:sz w:val="24"/>
                <w:szCs w:val="24"/>
                <w:lang w:val="en-US" w:eastAsia="zh-CN" w:bidi="ar-SA"/>
              </w:rPr>
              <w:t>×2.</w:t>
            </w:r>
            <w:r>
              <w:rPr>
                <w:rFonts w:hint="eastAsia" w:cs="宋体"/>
                <w:b w:val="0"/>
                <w:bCs w:val="0"/>
                <w:kern w:val="2"/>
                <w:sz w:val="24"/>
                <w:szCs w:val="24"/>
                <w:lang w:val="en-US" w:eastAsia="zh-CN" w:bidi="ar-SA"/>
              </w:rPr>
              <w:t>12</w:t>
            </w:r>
            <w:r>
              <w:rPr>
                <w:rFonts w:hint="eastAsia" w:ascii="宋体" w:hAnsi="宋体" w:eastAsia="宋体" w:cs="宋体"/>
                <w:b w:val="0"/>
                <w:bCs w:val="0"/>
                <w:kern w:val="2"/>
                <w:sz w:val="24"/>
                <w:szCs w:val="24"/>
                <w:lang w:val="en-US" w:eastAsia="zh-CN" w:bidi="ar-SA"/>
              </w:rPr>
              <w:t>×</w:t>
            </w:r>
            <w:r>
              <w:rPr>
                <w:rFonts w:hint="eastAsia" w:cs="宋体"/>
                <w:b w:val="0"/>
                <w:bCs w:val="0"/>
                <w:kern w:val="2"/>
                <w:sz w:val="24"/>
                <w:szCs w:val="24"/>
                <w:lang w:val="en-US" w:eastAsia="zh-CN" w:bidi="ar-SA"/>
              </w:rPr>
              <w:t>3.307</w:t>
            </w:r>
          </w:p>
        </w:tc>
        <w:tc>
          <w:tcPr>
            <w:tcW w:w="813" w:type="pct"/>
            <w:tcBorders>
              <w:top w:val="single" w:color="auto" w:sz="4" w:space="0"/>
              <w:left w:val="single" w:color="auto" w:sz="4" w:space="0"/>
              <w:bottom w:val="single" w:color="auto" w:sz="4" w:space="0"/>
              <w:right w:val="single" w:color="auto" w:sz="4" w:space="0"/>
            </w:tcBorders>
            <w:noWrap w:val="0"/>
            <w:vAlign w:val="center"/>
          </w:tcPr>
          <w:p w14:paraId="30A5DDB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lang w:val="en-US" w:eastAsia="zh-CN" w:bidi="ar-SA"/>
              </w:rPr>
            </w:pPr>
            <w:r>
              <w:rPr>
                <w:rFonts w:hint="eastAsia" w:cs="宋体"/>
                <w:b w:val="0"/>
                <w:bCs w:val="0"/>
                <w:kern w:val="2"/>
                <w:sz w:val="24"/>
                <w:szCs w:val="24"/>
                <w:lang w:val="en-US" w:eastAsia="zh-CN" w:bidi="ar-SA"/>
              </w:rPr>
              <w:t>1760</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1AFF5E8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根据高度</w:t>
            </w:r>
          </w:p>
        </w:tc>
      </w:tr>
      <w:tr w14:paraId="7AE571B4">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14:paraId="259DE81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3</w:t>
            </w:r>
          </w:p>
        </w:tc>
        <w:tc>
          <w:tcPr>
            <w:tcW w:w="1440" w:type="pct"/>
            <w:tcBorders>
              <w:top w:val="single" w:color="auto" w:sz="4" w:space="0"/>
              <w:left w:val="single" w:color="auto" w:sz="4" w:space="0"/>
              <w:bottom w:val="single" w:color="auto" w:sz="4" w:space="0"/>
              <w:right w:val="single" w:color="auto" w:sz="4" w:space="0"/>
            </w:tcBorders>
            <w:noWrap w:val="0"/>
            <w:vAlign w:val="center"/>
          </w:tcPr>
          <w:p w14:paraId="2A2EF44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爬升架</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2F12AF0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w:t>
            </w:r>
          </w:p>
        </w:tc>
        <w:tc>
          <w:tcPr>
            <w:tcW w:w="1303" w:type="pct"/>
            <w:tcBorders>
              <w:top w:val="single" w:color="auto" w:sz="4" w:space="0"/>
              <w:left w:val="single" w:color="auto" w:sz="4" w:space="0"/>
              <w:bottom w:val="single" w:color="auto" w:sz="4" w:space="0"/>
              <w:right w:val="single" w:color="auto" w:sz="4" w:space="0"/>
            </w:tcBorders>
            <w:noWrap w:val="0"/>
            <w:vAlign w:val="center"/>
          </w:tcPr>
          <w:p w14:paraId="0E2D22D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lang w:val="en-US" w:eastAsia="zh-CN" w:bidi="ar-SA"/>
              </w:rPr>
            </w:pPr>
            <w:r>
              <w:rPr>
                <w:rFonts w:hint="eastAsia" w:cs="宋体"/>
                <w:b w:val="0"/>
                <w:bCs w:val="0"/>
                <w:kern w:val="2"/>
                <w:sz w:val="24"/>
                <w:szCs w:val="24"/>
                <w:lang w:val="en-US" w:eastAsia="zh-CN" w:bidi="ar-SA"/>
              </w:rPr>
              <w:t>2.557</w:t>
            </w:r>
            <w:r>
              <w:rPr>
                <w:rFonts w:hint="eastAsia" w:ascii="宋体" w:hAnsi="宋体" w:eastAsia="宋体" w:cs="宋体"/>
                <w:b w:val="0"/>
                <w:bCs w:val="0"/>
                <w:kern w:val="2"/>
                <w:sz w:val="24"/>
                <w:szCs w:val="24"/>
                <w:lang w:val="en-US" w:eastAsia="zh-CN" w:bidi="ar-SA"/>
              </w:rPr>
              <w:t>×</w:t>
            </w:r>
            <w:r>
              <w:rPr>
                <w:rFonts w:hint="eastAsia" w:cs="宋体"/>
                <w:b w:val="0"/>
                <w:bCs w:val="0"/>
                <w:kern w:val="2"/>
                <w:sz w:val="24"/>
                <w:szCs w:val="24"/>
                <w:lang w:val="en-US" w:eastAsia="zh-CN" w:bidi="ar-SA"/>
              </w:rPr>
              <w:t>2.496</w:t>
            </w:r>
            <w:r>
              <w:rPr>
                <w:rFonts w:hint="eastAsia" w:ascii="宋体" w:hAnsi="宋体" w:eastAsia="宋体" w:cs="宋体"/>
                <w:b w:val="0"/>
                <w:bCs w:val="0"/>
                <w:kern w:val="2"/>
                <w:sz w:val="24"/>
                <w:szCs w:val="24"/>
                <w:lang w:val="en-US" w:eastAsia="zh-CN" w:bidi="ar-SA"/>
              </w:rPr>
              <w:t>×</w:t>
            </w:r>
            <w:r>
              <w:rPr>
                <w:rFonts w:hint="eastAsia" w:cs="宋体"/>
                <w:b w:val="0"/>
                <w:bCs w:val="0"/>
                <w:kern w:val="2"/>
                <w:sz w:val="24"/>
                <w:szCs w:val="24"/>
                <w:lang w:val="en-US" w:eastAsia="zh-CN" w:bidi="ar-SA"/>
              </w:rPr>
              <w:t>7.26</w:t>
            </w:r>
          </w:p>
        </w:tc>
        <w:tc>
          <w:tcPr>
            <w:tcW w:w="813" w:type="pct"/>
            <w:tcBorders>
              <w:top w:val="single" w:color="auto" w:sz="4" w:space="0"/>
              <w:left w:val="single" w:color="auto" w:sz="4" w:space="0"/>
              <w:bottom w:val="single" w:color="auto" w:sz="4" w:space="0"/>
              <w:right w:val="single" w:color="auto" w:sz="4" w:space="0"/>
            </w:tcBorders>
            <w:noWrap w:val="0"/>
            <w:vAlign w:val="center"/>
          </w:tcPr>
          <w:p w14:paraId="00A886F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lang w:val="en-US" w:eastAsia="zh-CN" w:bidi="ar-SA"/>
              </w:rPr>
            </w:pPr>
            <w:r>
              <w:rPr>
                <w:rFonts w:hint="eastAsia" w:cs="宋体"/>
                <w:b w:val="0"/>
                <w:bCs w:val="0"/>
                <w:kern w:val="2"/>
                <w:sz w:val="24"/>
                <w:szCs w:val="24"/>
                <w:lang w:val="en-US" w:eastAsia="zh-CN" w:bidi="ar-SA"/>
              </w:rPr>
              <w:t>6471</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37ABDD7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p>
        </w:tc>
      </w:tr>
      <w:tr w14:paraId="05CF7761">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14:paraId="7ACFD66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4</w:t>
            </w:r>
          </w:p>
        </w:tc>
        <w:tc>
          <w:tcPr>
            <w:tcW w:w="1440" w:type="pct"/>
            <w:tcBorders>
              <w:top w:val="single" w:color="auto" w:sz="4" w:space="0"/>
              <w:left w:val="single" w:color="auto" w:sz="4" w:space="0"/>
              <w:bottom w:val="single" w:color="auto" w:sz="4" w:space="0"/>
              <w:right w:val="single" w:color="auto" w:sz="4" w:space="0"/>
            </w:tcBorders>
            <w:noWrap w:val="0"/>
            <w:vAlign w:val="center"/>
          </w:tcPr>
          <w:p w14:paraId="5BEFA3E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回转总成（含司机室）</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4666F77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w:t>
            </w:r>
          </w:p>
        </w:tc>
        <w:tc>
          <w:tcPr>
            <w:tcW w:w="1303" w:type="pct"/>
            <w:tcBorders>
              <w:top w:val="single" w:color="auto" w:sz="4" w:space="0"/>
              <w:left w:val="single" w:color="auto" w:sz="4" w:space="0"/>
              <w:bottom w:val="single" w:color="auto" w:sz="4" w:space="0"/>
              <w:right w:val="single" w:color="auto" w:sz="4" w:space="0"/>
            </w:tcBorders>
            <w:noWrap w:val="0"/>
            <w:vAlign w:val="center"/>
          </w:tcPr>
          <w:p w14:paraId="4AF94B9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lang w:val="en-US" w:eastAsia="zh-CN" w:bidi="ar-SA"/>
              </w:rPr>
            </w:pPr>
            <w:r>
              <w:rPr>
                <w:rFonts w:hint="eastAsia" w:cs="宋体"/>
                <w:b w:val="0"/>
                <w:bCs w:val="0"/>
                <w:kern w:val="2"/>
                <w:sz w:val="24"/>
                <w:szCs w:val="24"/>
                <w:lang w:val="en-US" w:eastAsia="zh-CN" w:bidi="ar-SA"/>
              </w:rPr>
              <w:t>2.495</w:t>
            </w:r>
            <w:r>
              <w:rPr>
                <w:rFonts w:hint="eastAsia" w:ascii="宋体" w:hAnsi="宋体" w:eastAsia="宋体" w:cs="宋体"/>
                <w:b w:val="0"/>
                <w:bCs w:val="0"/>
                <w:kern w:val="2"/>
                <w:sz w:val="24"/>
                <w:szCs w:val="24"/>
                <w:lang w:val="en-US" w:eastAsia="zh-CN" w:bidi="ar-SA"/>
              </w:rPr>
              <w:t>×</w:t>
            </w:r>
            <w:r>
              <w:rPr>
                <w:rFonts w:hint="eastAsia" w:cs="宋体"/>
                <w:b w:val="0"/>
                <w:bCs w:val="0"/>
                <w:kern w:val="2"/>
                <w:sz w:val="24"/>
                <w:szCs w:val="24"/>
                <w:lang w:val="en-US" w:eastAsia="zh-CN" w:bidi="ar-SA"/>
              </w:rPr>
              <w:t>2.52</w:t>
            </w:r>
            <w:r>
              <w:rPr>
                <w:rFonts w:hint="eastAsia" w:ascii="宋体" w:hAnsi="宋体" w:eastAsia="宋体" w:cs="宋体"/>
                <w:b w:val="0"/>
                <w:bCs w:val="0"/>
                <w:kern w:val="2"/>
                <w:sz w:val="24"/>
                <w:szCs w:val="24"/>
                <w:lang w:val="en-US" w:eastAsia="zh-CN" w:bidi="ar-SA"/>
              </w:rPr>
              <w:t>×</w:t>
            </w:r>
            <w:r>
              <w:rPr>
                <w:rFonts w:hint="eastAsia" w:cs="宋体"/>
                <w:b w:val="0"/>
                <w:bCs w:val="0"/>
                <w:kern w:val="2"/>
                <w:sz w:val="24"/>
                <w:szCs w:val="24"/>
                <w:lang w:val="en-US" w:eastAsia="zh-CN" w:bidi="ar-SA"/>
              </w:rPr>
              <w:t>2.465</w:t>
            </w:r>
          </w:p>
        </w:tc>
        <w:tc>
          <w:tcPr>
            <w:tcW w:w="813" w:type="pct"/>
            <w:tcBorders>
              <w:top w:val="single" w:color="auto" w:sz="4" w:space="0"/>
              <w:left w:val="single" w:color="auto" w:sz="4" w:space="0"/>
              <w:bottom w:val="single" w:color="auto" w:sz="4" w:space="0"/>
              <w:right w:val="single" w:color="auto" w:sz="4" w:space="0"/>
            </w:tcBorders>
            <w:noWrap w:val="0"/>
            <w:vAlign w:val="center"/>
          </w:tcPr>
          <w:p w14:paraId="19F9B6C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lang w:val="en-US" w:eastAsia="zh-CN" w:bidi="ar-SA"/>
              </w:rPr>
            </w:pPr>
            <w:r>
              <w:rPr>
                <w:rFonts w:hint="eastAsia" w:cs="宋体"/>
                <w:b w:val="0"/>
                <w:bCs w:val="0"/>
                <w:kern w:val="2"/>
                <w:sz w:val="24"/>
                <w:szCs w:val="24"/>
                <w:lang w:val="en-US" w:eastAsia="zh-CN" w:bidi="ar-SA"/>
              </w:rPr>
              <w:t>7200</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06FF651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p>
        </w:tc>
      </w:tr>
      <w:tr w14:paraId="1715ABC4">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14:paraId="66C7459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lang w:val="en-US" w:eastAsia="zh-CN" w:bidi="ar-SA"/>
              </w:rPr>
            </w:pPr>
            <w:r>
              <w:rPr>
                <w:rFonts w:hint="eastAsia" w:cs="宋体"/>
                <w:b w:val="0"/>
                <w:bCs w:val="0"/>
                <w:kern w:val="2"/>
                <w:sz w:val="24"/>
                <w:szCs w:val="24"/>
                <w:lang w:val="en-US" w:eastAsia="zh-CN" w:bidi="ar-SA"/>
              </w:rPr>
              <w:t>5</w:t>
            </w:r>
          </w:p>
        </w:tc>
        <w:tc>
          <w:tcPr>
            <w:tcW w:w="1440" w:type="pct"/>
            <w:tcBorders>
              <w:top w:val="single" w:color="auto" w:sz="4" w:space="0"/>
              <w:left w:val="single" w:color="auto" w:sz="4" w:space="0"/>
              <w:bottom w:val="single" w:color="auto" w:sz="4" w:space="0"/>
              <w:right w:val="single" w:color="auto" w:sz="4" w:space="0"/>
            </w:tcBorders>
            <w:noWrap w:val="0"/>
            <w:vAlign w:val="center"/>
          </w:tcPr>
          <w:p w14:paraId="43979BA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lang w:val="en-US" w:eastAsia="zh-CN" w:bidi="ar-SA"/>
              </w:rPr>
            </w:pPr>
            <w:r>
              <w:rPr>
                <w:rFonts w:hint="eastAsia" w:cs="宋体"/>
                <w:b w:val="0"/>
                <w:bCs w:val="0"/>
                <w:kern w:val="2"/>
                <w:sz w:val="24"/>
                <w:szCs w:val="24"/>
                <w:lang w:val="en-US" w:eastAsia="zh-CN" w:bidi="ar-SA"/>
              </w:rPr>
              <w:t>回转塔身</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7606C74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lang w:val="en-US" w:eastAsia="zh-CN" w:bidi="ar-SA"/>
              </w:rPr>
            </w:pPr>
            <w:r>
              <w:rPr>
                <w:rFonts w:hint="eastAsia" w:cs="宋体"/>
                <w:b w:val="0"/>
                <w:bCs w:val="0"/>
                <w:kern w:val="2"/>
                <w:sz w:val="24"/>
                <w:szCs w:val="24"/>
                <w:lang w:val="en-US" w:eastAsia="zh-CN" w:bidi="ar-SA"/>
              </w:rPr>
              <w:t>1</w:t>
            </w:r>
          </w:p>
        </w:tc>
        <w:tc>
          <w:tcPr>
            <w:tcW w:w="1303" w:type="pct"/>
            <w:tcBorders>
              <w:top w:val="single" w:color="auto" w:sz="4" w:space="0"/>
              <w:left w:val="single" w:color="auto" w:sz="4" w:space="0"/>
              <w:bottom w:val="single" w:color="auto" w:sz="4" w:space="0"/>
              <w:right w:val="single" w:color="auto" w:sz="4" w:space="0"/>
            </w:tcBorders>
            <w:noWrap w:val="0"/>
            <w:vAlign w:val="center"/>
          </w:tcPr>
          <w:p w14:paraId="6165DF8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s="宋体"/>
                <w:b w:val="0"/>
                <w:bCs w:val="0"/>
                <w:kern w:val="2"/>
                <w:sz w:val="24"/>
                <w:szCs w:val="24"/>
                <w:lang w:val="en-US" w:eastAsia="zh-CN" w:bidi="ar-SA"/>
              </w:rPr>
            </w:pPr>
            <w:r>
              <w:rPr>
                <w:rFonts w:hint="eastAsia" w:cs="宋体"/>
                <w:b w:val="0"/>
                <w:bCs w:val="0"/>
                <w:kern w:val="2"/>
                <w:sz w:val="24"/>
                <w:szCs w:val="24"/>
                <w:lang w:val="en-US" w:eastAsia="zh-CN" w:bidi="ar-SA"/>
              </w:rPr>
              <w:t>1.7</w:t>
            </w:r>
            <w:r>
              <w:rPr>
                <w:rFonts w:hint="eastAsia" w:ascii="宋体" w:hAnsi="宋体" w:eastAsia="宋体" w:cs="宋体"/>
                <w:b w:val="0"/>
                <w:bCs w:val="0"/>
                <w:kern w:val="2"/>
                <w:sz w:val="24"/>
                <w:szCs w:val="24"/>
                <w:lang w:val="en-US" w:eastAsia="zh-CN" w:bidi="ar-SA"/>
              </w:rPr>
              <w:t>×</w:t>
            </w:r>
            <w:r>
              <w:rPr>
                <w:rFonts w:hint="eastAsia" w:cs="宋体"/>
                <w:b w:val="0"/>
                <w:bCs w:val="0"/>
                <w:kern w:val="2"/>
                <w:sz w:val="24"/>
                <w:szCs w:val="24"/>
                <w:lang w:val="en-US" w:eastAsia="zh-CN" w:bidi="ar-SA"/>
              </w:rPr>
              <w:t>2.15</w:t>
            </w:r>
            <w:r>
              <w:rPr>
                <w:rFonts w:hint="eastAsia" w:ascii="宋体" w:hAnsi="宋体" w:eastAsia="宋体" w:cs="宋体"/>
                <w:b w:val="0"/>
                <w:bCs w:val="0"/>
                <w:kern w:val="2"/>
                <w:sz w:val="24"/>
                <w:szCs w:val="24"/>
                <w:lang w:val="en-US" w:eastAsia="zh-CN" w:bidi="ar-SA"/>
              </w:rPr>
              <w:t>×</w:t>
            </w:r>
            <w:r>
              <w:rPr>
                <w:rFonts w:hint="eastAsia" w:cs="宋体"/>
                <w:b w:val="0"/>
                <w:bCs w:val="0"/>
                <w:kern w:val="2"/>
                <w:sz w:val="24"/>
                <w:szCs w:val="24"/>
                <w:lang w:val="en-US" w:eastAsia="zh-CN" w:bidi="ar-SA"/>
              </w:rPr>
              <w:t>4.585</w:t>
            </w:r>
          </w:p>
        </w:tc>
        <w:tc>
          <w:tcPr>
            <w:tcW w:w="813" w:type="pct"/>
            <w:tcBorders>
              <w:top w:val="single" w:color="auto" w:sz="4" w:space="0"/>
              <w:left w:val="single" w:color="auto" w:sz="4" w:space="0"/>
              <w:bottom w:val="single" w:color="auto" w:sz="4" w:space="0"/>
              <w:right w:val="single" w:color="auto" w:sz="4" w:space="0"/>
            </w:tcBorders>
            <w:noWrap w:val="0"/>
            <w:vAlign w:val="center"/>
          </w:tcPr>
          <w:p w14:paraId="2F3F4D7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s="宋体"/>
                <w:b w:val="0"/>
                <w:bCs w:val="0"/>
                <w:kern w:val="2"/>
                <w:sz w:val="24"/>
                <w:szCs w:val="24"/>
                <w:lang w:val="en-US" w:eastAsia="zh-CN" w:bidi="ar-SA"/>
              </w:rPr>
            </w:pPr>
            <w:r>
              <w:rPr>
                <w:rFonts w:hint="eastAsia" w:cs="宋体"/>
                <w:b w:val="0"/>
                <w:bCs w:val="0"/>
                <w:kern w:val="2"/>
                <w:sz w:val="24"/>
                <w:szCs w:val="24"/>
                <w:lang w:val="en-US" w:eastAsia="zh-CN" w:bidi="ar-SA"/>
              </w:rPr>
              <w:t>2955</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38ED0EF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p>
        </w:tc>
      </w:tr>
      <w:tr w14:paraId="19EA9F50">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14:paraId="68BA868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lang w:val="en-US" w:eastAsia="zh-CN" w:bidi="ar-SA"/>
              </w:rPr>
            </w:pPr>
            <w:r>
              <w:rPr>
                <w:rFonts w:hint="eastAsia" w:cs="宋体"/>
                <w:b w:val="0"/>
                <w:bCs w:val="0"/>
                <w:kern w:val="2"/>
                <w:sz w:val="24"/>
                <w:szCs w:val="24"/>
                <w:lang w:val="en-US" w:eastAsia="zh-CN" w:bidi="ar-SA"/>
              </w:rPr>
              <w:t>6</w:t>
            </w:r>
          </w:p>
        </w:tc>
        <w:tc>
          <w:tcPr>
            <w:tcW w:w="1440" w:type="pct"/>
            <w:tcBorders>
              <w:top w:val="single" w:color="auto" w:sz="4" w:space="0"/>
              <w:left w:val="single" w:color="auto" w:sz="4" w:space="0"/>
              <w:bottom w:val="single" w:color="auto" w:sz="4" w:space="0"/>
              <w:right w:val="single" w:color="auto" w:sz="4" w:space="0"/>
            </w:tcBorders>
            <w:noWrap w:val="0"/>
            <w:vAlign w:val="center"/>
          </w:tcPr>
          <w:p w14:paraId="408BD50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cs="宋体"/>
                <w:b w:val="0"/>
                <w:bCs w:val="0"/>
                <w:kern w:val="2"/>
                <w:sz w:val="24"/>
                <w:szCs w:val="24"/>
                <w:lang w:val="en-US" w:eastAsia="zh-CN" w:bidi="ar-SA"/>
              </w:rPr>
              <w:t>平衡臂节一</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6A15667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2</w:t>
            </w:r>
          </w:p>
        </w:tc>
        <w:tc>
          <w:tcPr>
            <w:tcW w:w="1303" w:type="pct"/>
            <w:tcBorders>
              <w:top w:val="single" w:color="auto" w:sz="4" w:space="0"/>
              <w:left w:val="single" w:color="auto" w:sz="4" w:space="0"/>
              <w:bottom w:val="single" w:color="auto" w:sz="4" w:space="0"/>
              <w:right w:val="single" w:color="auto" w:sz="4" w:space="0"/>
            </w:tcBorders>
            <w:noWrap w:val="0"/>
            <w:vAlign w:val="center"/>
          </w:tcPr>
          <w:p w14:paraId="24BC609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lang w:val="en-US" w:eastAsia="zh-CN" w:bidi="ar-SA"/>
              </w:rPr>
            </w:pPr>
            <w:r>
              <w:rPr>
                <w:rFonts w:hint="eastAsia" w:cs="宋体"/>
                <w:b w:val="0"/>
                <w:bCs w:val="0"/>
                <w:kern w:val="2"/>
                <w:sz w:val="24"/>
                <w:szCs w:val="24"/>
                <w:lang w:val="en-US" w:eastAsia="zh-CN" w:bidi="ar-SA"/>
              </w:rPr>
              <w:t>8.105</w:t>
            </w:r>
            <w:r>
              <w:rPr>
                <w:rFonts w:hint="eastAsia" w:ascii="宋体" w:hAnsi="宋体" w:eastAsia="宋体" w:cs="宋体"/>
                <w:b w:val="0"/>
                <w:bCs w:val="0"/>
                <w:kern w:val="2"/>
                <w:sz w:val="24"/>
                <w:szCs w:val="24"/>
                <w:lang w:val="en-US" w:eastAsia="zh-CN" w:bidi="ar-SA"/>
              </w:rPr>
              <w:t>×</w:t>
            </w:r>
            <w:r>
              <w:rPr>
                <w:rFonts w:hint="eastAsia" w:cs="宋体"/>
                <w:b w:val="0"/>
                <w:bCs w:val="0"/>
                <w:kern w:val="2"/>
                <w:sz w:val="24"/>
                <w:szCs w:val="24"/>
                <w:lang w:val="en-US" w:eastAsia="zh-CN" w:bidi="ar-SA"/>
              </w:rPr>
              <w:t>1.54</w:t>
            </w:r>
            <w:r>
              <w:rPr>
                <w:rFonts w:hint="eastAsia" w:ascii="宋体" w:hAnsi="宋体" w:eastAsia="宋体" w:cs="宋体"/>
                <w:b w:val="0"/>
                <w:bCs w:val="0"/>
                <w:kern w:val="2"/>
                <w:sz w:val="24"/>
                <w:szCs w:val="24"/>
                <w:lang w:val="en-US" w:eastAsia="zh-CN" w:bidi="ar-SA"/>
              </w:rPr>
              <w:t>×</w:t>
            </w:r>
            <w:r>
              <w:rPr>
                <w:rFonts w:hint="eastAsia" w:cs="宋体"/>
                <w:b w:val="0"/>
                <w:bCs w:val="0"/>
                <w:kern w:val="2"/>
                <w:sz w:val="24"/>
                <w:szCs w:val="24"/>
                <w:lang w:val="en-US" w:eastAsia="zh-CN" w:bidi="ar-SA"/>
              </w:rPr>
              <w:t>2.475</w:t>
            </w:r>
          </w:p>
        </w:tc>
        <w:tc>
          <w:tcPr>
            <w:tcW w:w="813" w:type="pct"/>
            <w:tcBorders>
              <w:top w:val="single" w:color="auto" w:sz="4" w:space="0"/>
              <w:left w:val="single" w:color="auto" w:sz="4" w:space="0"/>
              <w:bottom w:val="single" w:color="auto" w:sz="4" w:space="0"/>
              <w:right w:val="single" w:color="auto" w:sz="4" w:space="0"/>
            </w:tcBorders>
            <w:noWrap w:val="0"/>
            <w:vAlign w:val="center"/>
          </w:tcPr>
          <w:p w14:paraId="3A94B24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lang w:val="en-US" w:eastAsia="zh-CN" w:bidi="ar-SA"/>
              </w:rPr>
            </w:pPr>
            <w:r>
              <w:rPr>
                <w:rFonts w:hint="eastAsia" w:cs="宋体"/>
                <w:b w:val="0"/>
                <w:bCs w:val="0"/>
                <w:kern w:val="2"/>
                <w:sz w:val="24"/>
                <w:szCs w:val="24"/>
                <w:lang w:val="en-US" w:eastAsia="zh-CN" w:bidi="ar-SA"/>
              </w:rPr>
              <w:t>2392</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5B63683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p>
        </w:tc>
      </w:tr>
      <w:tr w14:paraId="10DF36D2">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14:paraId="46A7219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cs="宋体"/>
                <w:b w:val="0"/>
                <w:bCs w:val="0"/>
                <w:kern w:val="2"/>
                <w:sz w:val="24"/>
                <w:szCs w:val="24"/>
                <w:lang w:val="en-US" w:eastAsia="zh-CN" w:bidi="ar-SA"/>
              </w:rPr>
              <w:t>7</w:t>
            </w:r>
          </w:p>
        </w:tc>
        <w:tc>
          <w:tcPr>
            <w:tcW w:w="1440" w:type="pct"/>
            <w:tcBorders>
              <w:top w:val="single" w:color="auto" w:sz="4" w:space="0"/>
              <w:left w:val="single" w:color="auto" w:sz="4" w:space="0"/>
              <w:bottom w:val="single" w:color="auto" w:sz="4" w:space="0"/>
              <w:right w:val="single" w:color="auto" w:sz="4" w:space="0"/>
            </w:tcBorders>
            <w:noWrap w:val="0"/>
            <w:vAlign w:val="center"/>
          </w:tcPr>
          <w:p w14:paraId="1BB0387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cs="宋体"/>
                <w:b w:val="0"/>
                <w:bCs w:val="0"/>
                <w:kern w:val="2"/>
                <w:sz w:val="24"/>
                <w:szCs w:val="24"/>
                <w:lang w:val="en-US" w:eastAsia="zh-CN" w:bidi="ar-SA"/>
              </w:rPr>
              <w:t>平衡臂节二</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4AE2B6A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1</w:t>
            </w:r>
          </w:p>
        </w:tc>
        <w:tc>
          <w:tcPr>
            <w:tcW w:w="1303" w:type="pct"/>
            <w:tcBorders>
              <w:top w:val="single" w:color="auto" w:sz="4" w:space="0"/>
              <w:left w:val="single" w:color="auto" w:sz="4" w:space="0"/>
              <w:bottom w:val="single" w:color="auto" w:sz="4" w:space="0"/>
              <w:right w:val="single" w:color="auto" w:sz="4" w:space="0"/>
            </w:tcBorders>
            <w:noWrap w:val="0"/>
            <w:vAlign w:val="center"/>
          </w:tcPr>
          <w:p w14:paraId="1B45D4C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lang w:val="en-US" w:eastAsia="zh-CN" w:bidi="ar-SA"/>
              </w:rPr>
            </w:pPr>
            <w:r>
              <w:rPr>
                <w:rFonts w:hint="eastAsia" w:cs="宋体"/>
                <w:b w:val="0"/>
                <w:bCs w:val="0"/>
                <w:kern w:val="2"/>
                <w:sz w:val="24"/>
                <w:szCs w:val="24"/>
                <w:lang w:val="en-US" w:eastAsia="zh-CN" w:bidi="ar-SA"/>
              </w:rPr>
              <w:t>8.06</w:t>
            </w:r>
            <w:r>
              <w:rPr>
                <w:rFonts w:hint="eastAsia" w:ascii="宋体" w:hAnsi="宋体" w:eastAsia="宋体" w:cs="宋体"/>
                <w:b w:val="0"/>
                <w:bCs w:val="0"/>
                <w:kern w:val="2"/>
                <w:sz w:val="24"/>
                <w:szCs w:val="24"/>
                <w:lang w:val="en-US" w:eastAsia="zh-CN" w:bidi="ar-SA"/>
              </w:rPr>
              <w:t>×</w:t>
            </w:r>
            <w:r>
              <w:rPr>
                <w:rFonts w:hint="eastAsia" w:cs="宋体"/>
                <w:b w:val="0"/>
                <w:bCs w:val="0"/>
                <w:kern w:val="2"/>
                <w:sz w:val="24"/>
                <w:szCs w:val="24"/>
                <w:lang w:val="en-US" w:eastAsia="zh-CN" w:bidi="ar-SA"/>
              </w:rPr>
              <w:t>1.617</w:t>
            </w:r>
            <w:r>
              <w:rPr>
                <w:rFonts w:hint="eastAsia" w:ascii="宋体" w:hAnsi="宋体" w:eastAsia="宋体" w:cs="宋体"/>
                <w:b w:val="0"/>
                <w:bCs w:val="0"/>
                <w:kern w:val="2"/>
                <w:sz w:val="24"/>
                <w:szCs w:val="24"/>
                <w:lang w:val="en-US" w:eastAsia="zh-CN" w:bidi="ar-SA"/>
              </w:rPr>
              <w:t>×</w:t>
            </w:r>
            <w:r>
              <w:rPr>
                <w:rFonts w:hint="eastAsia" w:cs="宋体"/>
                <w:b w:val="0"/>
                <w:bCs w:val="0"/>
                <w:kern w:val="2"/>
                <w:sz w:val="24"/>
                <w:szCs w:val="24"/>
                <w:lang w:val="en-US" w:eastAsia="zh-CN" w:bidi="ar-SA"/>
              </w:rPr>
              <w:t>0.61</w:t>
            </w:r>
          </w:p>
        </w:tc>
        <w:tc>
          <w:tcPr>
            <w:tcW w:w="813" w:type="pct"/>
            <w:tcBorders>
              <w:top w:val="single" w:color="auto" w:sz="4" w:space="0"/>
              <w:left w:val="single" w:color="auto" w:sz="4" w:space="0"/>
              <w:bottom w:val="single" w:color="auto" w:sz="4" w:space="0"/>
              <w:right w:val="single" w:color="auto" w:sz="4" w:space="0"/>
            </w:tcBorders>
            <w:noWrap w:val="0"/>
            <w:vAlign w:val="center"/>
          </w:tcPr>
          <w:p w14:paraId="4024712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lang w:val="en-US" w:eastAsia="zh-CN" w:bidi="ar-SA"/>
              </w:rPr>
            </w:pPr>
            <w:r>
              <w:rPr>
                <w:rFonts w:hint="eastAsia" w:cs="宋体"/>
                <w:b w:val="0"/>
                <w:bCs w:val="0"/>
                <w:kern w:val="2"/>
                <w:sz w:val="24"/>
                <w:szCs w:val="24"/>
                <w:lang w:val="en-US" w:eastAsia="zh-CN" w:bidi="ar-SA"/>
              </w:rPr>
              <w:t>5135</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640C8B3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p>
        </w:tc>
      </w:tr>
      <w:tr w14:paraId="588AAFCA">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91"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14:paraId="3075ECB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highlight w:val="yellow"/>
                <w:lang w:val="en-US" w:eastAsia="zh-CN" w:bidi="ar-SA"/>
              </w:rPr>
            </w:pPr>
            <w:r>
              <w:rPr>
                <w:rFonts w:hint="eastAsia" w:cs="宋体"/>
                <w:b w:val="0"/>
                <w:bCs w:val="0"/>
                <w:kern w:val="2"/>
                <w:sz w:val="24"/>
                <w:szCs w:val="24"/>
                <w:highlight w:val="none"/>
                <w:lang w:val="en-US" w:eastAsia="zh-CN" w:bidi="ar-SA"/>
              </w:rPr>
              <w:t>8</w:t>
            </w:r>
          </w:p>
        </w:tc>
        <w:tc>
          <w:tcPr>
            <w:tcW w:w="1440" w:type="pct"/>
            <w:tcBorders>
              <w:top w:val="single" w:color="auto" w:sz="4" w:space="0"/>
              <w:left w:val="single" w:color="auto" w:sz="4" w:space="0"/>
              <w:bottom w:val="single" w:color="auto" w:sz="4" w:space="0"/>
              <w:right w:val="single" w:color="auto" w:sz="4" w:space="0"/>
            </w:tcBorders>
            <w:noWrap w:val="0"/>
            <w:vAlign w:val="center"/>
          </w:tcPr>
          <w:p w14:paraId="4FF0B3F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平衡重A</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2951562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w:t>
            </w:r>
          </w:p>
        </w:tc>
        <w:tc>
          <w:tcPr>
            <w:tcW w:w="1303" w:type="pct"/>
            <w:tcBorders>
              <w:top w:val="single" w:color="auto" w:sz="4" w:space="0"/>
              <w:left w:val="single" w:color="auto" w:sz="4" w:space="0"/>
              <w:bottom w:val="single" w:color="auto" w:sz="4" w:space="0"/>
              <w:right w:val="single" w:color="auto" w:sz="4" w:space="0"/>
            </w:tcBorders>
            <w:noWrap w:val="0"/>
            <w:vAlign w:val="center"/>
          </w:tcPr>
          <w:p w14:paraId="7D491A3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1.2</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0.39</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4.07</w:t>
            </w:r>
          </w:p>
        </w:tc>
        <w:tc>
          <w:tcPr>
            <w:tcW w:w="813" w:type="pct"/>
            <w:tcBorders>
              <w:top w:val="single" w:color="auto" w:sz="4" w:space="0"/>
              <w:left w:val="single" w:color="auto" w:sz="4" w:space="0"/>
              <w:bottom w:val="single" w:color="auto" w:sz="4" w:space="0"/>
              <w:right w:val="single" w:color="auto" w:sz="4" w:space="0"/>
            </w:tcBorders>
            <w:noWrap w:val="0"/>
            <w:vAlign w:val="center"/>
          </w:tcPr>
          <w:p w14:paraId="36DE7BA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4500</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02348BA2">
            <w:pPr>
              <w:keepNext w:val="0"/>
              <w:keepLines w:val="0"/>
              <w:pageBreakBefore w:val="0"/>
              <w:widowControl w:val="0"/>
              <w:kinsoku/>
              <w:wordWrap/>
              <w:overflowPunct/>
              <w:topLinePunct w:val="0"/>
              <w:autoSpaceDE/>
              <w:autoSpaceDN/>
              <w:bidi w:val="0"/>
              <w:adjustRightInd/>
              <w:snapToGrid/>
              <w:spacing w:line="240" w:lineRule="exact"/>
              <w:ind w:firstLine="0" w:firstLineChars="0"/>
              <w:jc w:val="both"/>
              <w:textAlignment w:val="auto"/>
              <w:rPr>
                <w:rFonts w:hint="eastAsia" w:ascii="宋体" w:hAnsi="宋体" w:eastAsia="宋体" w:cs="宋体"/>
                <w:b w:val="0"/>
                <w:bCs w:val="0"/>
                <w:kern w:val="2"/>
                <w:sz w:val="24"/>
                <w:szCs w:val="24"/>
                <w:lang w:val="en-US" w:eastAsia="zh-CN" w:bidi="ar-SA"/>
              </w:rPr>
            </w:pPr>
          </w:p>
        </w:tc>
      </w:tr>
      <w:tr w14:paraId="134D7C47">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14:paraId="083F0A6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r>
              <w:rPr>
                <w:rFonts w:hint="eastAsia" w:cs="宋体"/>
                <w:b w:val="0"/>
                <w:bCs w:val="0"/>
                <w:kern w:val="2"/>
                <w:sz w:val="24"/>
                <w:szCs w:val="24"/>
                <w:highlight w:val="none"/>
                <w:lang w:val="en-US" w:eastAsia="zh-CN" w:bidi="ar-SA"/>
              </w:rPr>
              <w:t>9</w:t>
            </w:r>
          </w:p>
        </w:tc>
        <w:tc>
          <w:tcPr>
            <w:tcW w:w="1440" w:type="pct"/>
            <w:tcBorders>
              <w:top w:val="single" w:color="auto" w:sz="4" w:space="0"/>
              <w:left w:val="single" w:color="auto" w:sz="4" w:space="0"/>
              <w:bottom w:val="single" w:color="auto" w:sz="4" w:space="0"/>
              <w:right w:val="single" w:color="auto" w:sz="4" w:space="0"/>
            </w:tcBorders>
            <w:noWrap w:val="0"/>
            <w:vAlign w:val="center"/>
          </w:tcPr>
          <w:p w14:paraId="4790709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平衡重B</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5D5A121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2</w:t>
            </w:r>
          </w:p>
        </w:tc>
        <w:tc>
          <w:tcPr>
            <w:tcW w:w="1303" w:type="pct"/>
            <w:tcBorders>
              <w:top w:val="single" w:color="auto" w:sz="4" w:space="0"/>
              <w:left w:val="single" w:color="auto" w:sz="4" w:space="0"/>
              <w:bottom w:val="single" w:color="auto" w:sz="4" w:space="0"/>
              <w:right w:val="single" w:color="auto" w:sz="4" w:space="0"/>
            </w:tcBorders>
            <w:noWrap w:val="0"/>
            <w:vAlign w:val="center"/>
          </w:tcPr>
          <w:p w14:paraId="188C37E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1.2</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0.39</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3.64</w:t>
            </w:r>
          </w:p>
        </w:tc>
        <w:tc>
          <w:tcPr>
            <w:tcW w:w="813" w:type="pct"/>
            <w:tcBorders>
              <w:top w:val="single" w:color="auto" w:sz="4" w:space="0"/>
              <w:left w:val="single" w:color="auto" w:sz="4" w:space="0"/>
              <w:bottom w:val="single" w:color="auto" w:sz="4" w:space="0"/>
              <w:right w:val="single" w:color="auto" w:sz="4" w:space="0"/>
            </w:tcBorders>
            <w:noWrap w:val="0"/>
            <w:vAlign w:val="center"/>
          </w:tcPr>
          <w:p w14:paraId="4EE3F87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4000</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5A31C23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p>
        </w:tc>
      </w:tr>
      <w:tr w14:paraId="605B2F8A">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67"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14:paraId="0CEDF1F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宋体"/>
                <w:b w:val="0"/>
                <w:bCs w:val="0"/>
                <w:kern w:val="2"/>
                <w:sz w:val="24"/>
                <w:szCs w:val="24"/>
                <w:highlight w:val="none"/>
                <w:lang w:val="en-US" w:eastAsia="zh-CN" w:bidi="ar-SA"/>
              </w:rPr>
            </w:pPr>
          </w:p>
        </w:tc>
        <w:tc>
          <w:tcPr>
            <w:tcW w:w="1440" w:type="pct"/>
            <w:tcBorders>
              <w:top w:val="single" w:color="auto" w:sz="4" w:space="0"/>
              <w:left w:val="single" w:color="auto" w:sz="4" w:space="0"/>
              <w:bottom w:val="single" w:color="auto" w:sz="4" w:space="0"/>
              <w:right w:val="single" w:color="auto" w:sz="4" w:space="0"/>
            </w:tcBorders>
            <w:noWrap w:val="0"/>
            <w:vAlign w:val="center"/>
          </w:tcPr>
          <w:p w14:paraId="4BC4875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平衡重C</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5CC560E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w:t>
            </w:r>
          </w:p>
        </w:tc>
        <w:tc>
          <w:tcPr>
            <w:tcW w:w="1303" w:type="pct"/>
            <w:tcBorders>
              <w:top w:val="single" w:color="auto" w:sz="4" w:space="0"/>
              <w:left w:val="single" w:color="auto" w:sz="4" w:space="0"/>
              <w:bottom w:val="single" w:color="auto" w:sz="4" w:space="0"/>
              <w:right w:val="single" w:color="auto" w:sz="4" w:space="0"/>
            </w:tcBorders>
            <w:noWrap w:val="0"/>
            <w:vAlign w:val="center"/>
          </w:tcPr>
          <w:p w14:paraId="69D30C5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1.2</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0.39</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2.92</w:t>
            </w:r>
          </w:p>
        </w:tc>
        <w:tc>
          <w:tcPr>
            <w:tcW w:w="813" w:type="pct"/>
            <w:tcBorders>
              <w:top w:val="single" w:color="auto" w:sz="4" w:space="0"/>
              <w:left w:val="single" w:color="auto" w:sz="4" w:space="0"/>
              <w:bottom w:val="single" w:color="auto" w:sz="4" w:space="0"/>
              <w:right w:val="single" w:color="auto" w:sz="4" w:space="0"/>
            </w:tcBorders>
            <w:noWrap w:val="0"/>
            <w:vAlign w:val="center"/>
          </w:tcPr>
          <w:p w14:paraId="023CD96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3200</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6DDFC68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p>
        </w:tc>
      </w:tr>
      <w:tr w14:paraId="44EB70D5">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14:paraId="6C5FD34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宋体"/>
                <w:b w:val="0"/>
                <w:bCs w:val="0"/>
                <w:kern w:val="2"/>
                <w:sz w:val="24"/>
                <w:szCs w:val="24"/>
                <w:highlight w:val="none"/>
                <w:lang w:val="en-US" w:eastAsia="zh-CN" w:bidi="ar-SA"/>
              </w:rPr>
            </w:pPr>
          </w:p>
        </w:tc>
        <w:tc>
          <w:tcPr>
            <w:tcW w:w="1440" w:type="pct"/>
            <w:tcBorders>
              <w:top w:val="single" w:color="auto" w:sz="4" w:space="0"/>
              <w:left w:val="single" w:color="auto" w:sz="4" w:space="0"/>
              <w:bottom w:val="single" w:color="auto" w:sz="4" w:space="0"/>
              <w:right w:val="single" w:color="auto" w:sz="4" w:space="0"/>
            </w:tcBorders>
            <w:noWrap w:val="0"/>
            <w:vAlign w:val="center"/>
          </w:tcPr>
          <w:p w14:paraId="7FA932A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平衡重D</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5928604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w:t>
            </w:r>
          </w:p>
        </w:tc>
        <w:tc>
          <w:tcPr>
            <w:tcW w:w="1303" w:type="pct"/>
            <w:tcBorders>
              <w:top w:val="single" w:color="auto" w:sz="4" w:space="0"/>
              <w:left w:val="single" w:color="auto" w:sz="4" w:space="0"/>
              <w:bottom w:val="single" w:color="auto" w:sz="4" w:space="0"/>
              <w:right w:val="single" w:color="auto" w:sz="4" w:space="0"/>
            </w:tcBorders>
            <w:noWrap w:val="0"/>
            <w:vAlign w:val="center"/>
          </w:tcPr>
          <w:p w14:paraId="0DC078A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1.2</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0.39</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1.42</w:t>
            </w:r>
          </w:p>
        </w:tc>
        <w:tc>
          <w:tcPr>
            <w:tcW w:w="813" w:type="pct"/>
            <w:tcBorders>
              <w:top w:val="single" w:color="auto" w:sz="4" w:space="0"/>
              <w:left w:val="single" w:color="auto" w:sz="4" w:space="0"/>
              <w:bottom w:val="single" w:color="auto" w:sz="4" w:space="0"/>
              <w:right w:val="single" w:color="auto" w:sz="4" w:space="0"/>
            </w:tcBorders>
            <w:noWrap w:val="0"/>
            <w:vAlign w:val="center"/>
          </w:tcPr>
          <w:p w14:paraId="4CA2474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1500</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2A2A536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p>
        </w:tc>
      </w:tr>
      <w:tr w14:paraId="1A8C2B08">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14:paraId="3EC4BF0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宋体"/>
                <w:b w:val="0"/>
                <w:bCs w:val="0"/>
                <w:kern w:val="2"/>
                <w:sz w:val="24"/>
                <w:szCs w:val="24"/>
                <w:highlight w:val="none"/>
                <w:lang w:val="en-US" w:eastAsia="zh-CN" w:bidi="ar-SA"/>
              </w:rPr>
            </w:pPr>
          </w:p>
        </w:tc>
        <w:tc>
          <w:tcPr>
            <w:tcW w:w="1440" w:type="pct"/>
            <w:tcBorders>
              <w:top w:val="single" w:color="auto" w:sz="4" w:space="0"/>
              <w:left w:val="single" w:color="auto" w:sz="4" w:space="0"/>
              <w:bottom w:val="single" w:color="auto" w:sz="4" w:space="0"/>
              <w:right w:val="single" w:color="auto" w:sz="4" w:space="0"/>
            </w:tcBorders>
            <w:noWrap w:val="0"/>
            <w:vAlign w:val="center"/>
          </w:tcPr>
          <w:p w14:paraId="0559ACC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起重臂节一</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112A3E4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w:t>
            </w:r>
          </w:p>
        </w:tc>
        <w:tc>
          <w:tcPr>
            <w:tcW w:w="1303" w:type="pct"/>
            <w:tcBorders>
              <w:top w:val="single" w:color="auto" w:sz="4" w:space="0"/>
              <w:left w:val="single" w:color="auto" w:sz="4" w:space="0"/>
              <w:bottom w:val="single" w:color="auto" w:sz="4" w:space="0"/>
              <w:right w:val="single" w:color="auto" w:sz="4" w:space="0"/>
            </w:tcBorders>
            <w:noWrap w:val="0"/>
            <w:vAlign w:val="center"/>
          </w:tcPr>
          <w:p w14:paraId="10C92A1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10.295</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1.61</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2.4</w:t>
            </w:r>
          </w:p>
        </w:tc>
        <w:tc>
          <w:tcPr>
            <w:tcW w:w="813" w:type="pct"/>
            <w:tcBorders>
              <w:top w:val="single" w:color="auto" w:sz="4" w:space="0"/>
              <w:left w:val="single" w:color="auto" w:sz="4" w:space="0"/>
              <w:bottom w:val="single" w:color="auto" w:sz="4" w:space="0"/>
              <w:right w:val="single" w:color="auto" w:sz="4" w:space="0"/>
            </w:tcBorders>
            <w:noWrap w:val="0"/>
            <w:vAlign w:val="center"/>
          </w:tcPr>
          <w:p w14:paraId="2101794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4282</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18478E8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p>
        </w:tc>
      </w:tr>
      <w:tr w14:paraId="0644EE22">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14:paraId="2E8C261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宋体"/>
                <w:b w:val="0"/>
                <w:bCs w:val="0"/>
                <w:kern w:val="2"/>
                <w:sz w:val="24"/>
                <w:szCs w:val="24"/>
                <w:highlight w:val="none"/>
                <w:lang w:val="en-US" w:eastAsia="zh-CN" w:bidi="ar-SA"/>
              </w:rPr>
            </w:pPr>
          </w:p>
        </w:tc>
        <w:tc>
          <w:tcPr>
            <w:tcW w:w="1440" w:type="pct"/>
            <w:tcBorders>
              <w:top w:val="single" w:color="auto" w:sz="4" w:space="0"/>
              <w:left w:val="single" w:color="auto" w:sz="4" w:space="0"/>
              <w:bottom w:val="single" w:color="auto" w:sz="4" w:space="0"/>
              <w:right w:val="single" w:color="auto" w:sz="4" w:space="0"/>
            </w:tcBorders>
            <w:noWrap w:val="0"/>
            <w:vAlign w:val="center"/>
          </w:tcPr>
          <w:p w14:paraId="0FEE04E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起重臂节二</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4FF0A3F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w:t>
            </w:r>
          </w:p>
        </w:tc>
        <w:tc>
          <w:tcPr>
            <w:tcW w:w="1303" w:type="pct"/>
            <w:tcBorders>
              <w:top w:val="single" w:color="auto" w:sz="4" w:space="0"/>
              <w:left w:val="single" w:color="auto" w:sz="4" w:space="0"/>
              <w:bottom w:val="single" w:color="auto" w:sz="4" w:space="0"/>
              <w:right w:val="single" w:color="auto" w:sz="4" w:space="0"/>
            </w:tcBorders>
            <w:noWrap w:val="0"/>
            <w:vAlign w:val="center"/>
          </w:tcPr>
          <w:p w14:paraId="42E0BCFD">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5.245</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1.5</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2.325</w:t>
            </w:r>
          </w:p>
        </w:tc>
        <w:tc>
          <w:tcPr>
            <w:tcW w:w="813" w:type="pct"/>
            <w:tcBorders>
              <w:top w:val="single" w:color="auto" w:sz="4" w:space="0"/>
              <w:left w:val="single" w:color="auto" w:sz="4" w:space="0"/>
              <w:bottom w:val="single" w:color="auto" w:sz="4" w:space="0"/>
              <w:right w:val="single" w:color="auto" w:sz="4" w:space="0"/>
            </w:tcBorders>
            <w:noWrap w:val="0"/>
            <w:vAlign w:val="center"/>
          </w:tcPr>
          <w:p w14:paraId="643977E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1210</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3029051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p>
        </w:tc>
      </w:tr>
      <w:tr w14:paraId="74C59DC8">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14:paraId="122AA56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宋体"/>
                <w:b w:val="0"/>
                <w:bCs w:val="0"/>
                <w:kern w:val="2"/>
                <w:sz w:val="24"/>
                <w:szCs w:val="24"/>
                <w:highlight w:val="none"/>
                <w:lang w:val="en-US" w:eastAsia="zh-CN" w:bidi="ar-SA"/>
              </w:rPr>
            </w:pPr>
          </w:p>
        </w:tc>
        <w:tc>
          <w:tcPr>
            <w:tcW w:w="1440" w:type="pct"/>
            <w:tcBorders>
              <w:top w:val="single" w:color="auto" w:sz="4" w:space="0"/>
              <w:left w:val="single" w:color="auto" w:sz="4" w:space="0"/>
              <w:bottom w:val="single" w:color="auto" w:sz="4" w:space="0"/>
              <w:right w:val="single" w:color="auto" w:sz="4" w:space="0"/>
            </w:tcBorders>
            <w:noWrap w:val="0"/>
            <w:vAlign w:val="center"/>
          </w:tcPr>
          <w:p w14:paraId="2A98ED34">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起重臂节三</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472559B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w:t>
            </w:r>
          </w:p>
        </w:tc>
        <w:tc>
          <w:tcPr>
            <w:tcW w:w="1303" w:type="pct"/>
            <w:tcBorders>
              <w:top w:val="single" w:color="auto" w:sz="4" w:space="0"/>
              <w:left w:val="single" w:color="auto" w:sz="4" w:space="0"/>
              <w:bottom w:val="single" w:color="auto" w:sz="4" w:space="0"/>
              <w:right w:val="single" w:color="auto" w:sz="4" w:space="0"/>
            </w:tcBorders>
            <w:noWrap w:val="0"/>
            <w:vAlign w:val="center"/>
          </w:tcPr>
          <w:p w14:paraId="54812A5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10.23</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1.5</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2.3</w:t>
            </w:r>
          </w:p>
        </w:tc>
        <w:tc>
          <w:tcPr>
            <w:tcW w:w="813" w:type="pct"/>
            <w:tcBorders>
              <w:top w:val="single" w:color="auto" w:sz="4" w:space="0"/>
              <w:left w:val="single" w:color="auto" w:sz="4" w:space="0"/>
              <w:bottom w:val="single" w:color="auto" w:sz="4" w:space="0"/>
              <w:right w:val="single" w:color="auto" w:sz="4" w:space="0"/>
            </w:tcBorders>
            <w:noWrap w:val="0"/>
            <w:vAlign w:val="center"/>
          </w:tcPr>
          <w:p w14:paraId="347377A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2036</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377D27A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p>
        </w:tc>
      </w:tr>
      <w:tr w14:paraId="652539E9">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14:paraId="0DDFFF1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宋体"/>
                <w:b w:val="0"/>
                <w:bCs w:val="0"/>
                <w:kern w:val="2"/>
                <w:sz w:val="24"/>
                <w:szCs w:val="24"/>
                <w:highlight w:val="none"/>
                <w:lang w:val="en-US" w:eastAsia="zh-CN" w:bidi="ar-SA"/>
              </w:rPr>
            </w:pPr>
          </w:p>
        </w:tc>
        <w:tc>
          <w:tcPr>
            <w:tcW w:w="1440" w:type="pct"/>
            <w:tcBorders>
              <w:top w:val="single" w:color="auto" w:sz="4" w:space="0"/>
              <w:left w:val="single" w:color="auto" w:sz="4" w:space="0"/>
              <w:bottom w:val="single" w:color="auto" w:sz="4" w:space="0"/>
              <w:right w:val="single" w:color="auto" w:sz="4" w:space="0"/>
            </w:tcBorders>
            <w:noWrap w:val="0"/>
            <w:vAlign w:val="center"/>
          </w:tcPr>
          <w:p w14:paraId="288C28D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起重臂节四</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310E2C7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w:t>
            </w:r>
          </w:p>
        </w:tc>
        <w:tc>
          <w:tcPr>
            <w:tcW w:w="1303" w:type="pct"/>
            <w:tcBorders>
              <w:top w:val="single" w:color="auto" w:sz="4" w:space="0"/>
              <w:left w:val="single" w:color="auto" w:sz="4" w:space="0"/>
              <w:bottom w:val="single" w:color="auto" w:sz="4" w:space="0"/>
              <w:right w:val="single" w:color="auto" w:sz="4" w:space="0"/>
            </w:tcBorders>
            <w:noWrap w:val="0"/>
            <w:vAlign w:val="center"/>
          </w:tcPr>
          <w:p w14:paraId="43E3F94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10.21</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1.5</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2.304</w:t>
            </w:r>
          </w:p>
        </w:tc>
        <w:tc>
          <w:tcPr>
            <w:tcW w:w="813" w:type="pct"/>
            <w:tcBorders>
              <w:top w:val="single" w:color="auto" w:sz="4" w:space="0"/>
              <w:left w:val="single" w:color="auto" w:sz="4" w:space="0"/>
              <w:bottom w:val="single" w:color="auto" w:sz="4" w:space="0"/>
              <w:right w:val="single" w:color="auto" w:sz="4" w:space="0"/>
            </w:tcBorders>
            <w:noWrap w:val="0"/>
            <w:vAlign w:val="center"/>
          </w:tcPr>
          <w:p w14:paraId="76C8D72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1698</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453B824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p>
        </w:tc>
      </w:tr>
      <w:tr w14:paraId="05E53831">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14:paraId="2E65E67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宋体"/>
                <w:b w:val="0"/>
                <w:bCs w:val="0"/>
                <w:kern w:val="2"/>
                <w:sz w:val="24"/>
                <w:szCs w:val="24"/>
                <w:highlight w:val="none"/>
                <w:lang w:val="en-US" w:eastAsia="zh-CN" w:bidi="ar-SA"/>
              </w:rPr>
            </w:pPr>
          </w:p>
        </w:tc>
        <w:tc>
          <w:tcPr>
            <w:tcW w:w="1440" w:type="pct"/>
            <w:tcBorders>
              <w:top w:val="single" w:color="auto" w:sz="4" w:space="0"/>
              <w:left w:val="single" w:color="auto" w:sz="4" w:space="0"/>
              <w:bottom w:val="single" w:color="auto" w:sz="4" w:space="0"/>
              <w:right w:val="single" w:color="auto" w:sz="4" w:space="0"/>
            </w:tcBorders>
            <w:noWrap w:val="0"/>
            <w:vAlign w:val="center"/>
          </w:tcPr>
          <w:p w14:paraId="136A6169">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起重臂节五</w:t>
            </w:r>
          </w:p>
        </w:tc>
        <w:tc>
          <w:tcPr>
            <w:tcW w:w="633" w:type="pct"/>
            <w:tcBorders>
              <w:top w:val="single" w:color="auto" w:sz="4" w:space="0"/>
              <w:left w:val="single" w:color="auto" w:sz="4" w:space="0"/>
              <w:bottom w:val="single" w:color="auto" w:sz="4" w:space="0"/>
              <w:right w:val="single" w:color="auto" w:sz="4" w:space="0"/>
            </w:tcBorders>
            <w:noWrap w:val="0"/>
            <w:vAlign w:val="center"/>
          </w:tcPr>
          <w:p w14:paraId="64336EF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w:t>
            </w:r>
          </w:p>
        </w:tc>
        <w:tc>
          <w:tcPr>
            <w:tcW w:w="1303" w:type="pct"/>
            <w:tcBorders>
              <w:top w:val="single" w:color="auto" w:sz="4" w:space="0"/>
              <w:left w:val="single" w:color="auto" w:sz="4" w:space="0"/>
              <w:bottom w:val="single" w:color="auto" w:sz="4" w:space="0"/>
              <w:right w:val="single" w:color="auto" w:sz="4" w:space="0"/>
            </w:tcBorders>
            <w:noWrap w:val="0"/>
            <w:vAlign w:val="center"/>
          </w:tcPr>
          <w:p w14:paraId="6C68BC6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10.188</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1.5</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1.788</w:t>
            </w:r>
          </w:p>
        </w:tc>
        <w:tc>
          <w:tcPr>
            <w:tcW w:w="813" w:type="pct"/>
            <w:tcBorders>
              <w:top w:val="single" w:color="auto" w:sz="4" w:space="0"/>
              <w:left w:val="single" w:color="auto" w:sz="4" w:space="0"/>
              <w:bottom w:val="single" w:color="auto" w:sz="4" w:space="0"/>
              <w:right w:val="single" w:color="auto" w:sz="4" w:space="0"/>
            </w:tcBorders>
            <w:noWrap w:val="0"/>
            <w:vAlign w:val="center"/>
          </w:tcPr>
          <w:p w14:paraId="502E574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1294</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0B07785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p>
        </w:tc>
      </w:tr>
      <w:tr w14:paraId="021618F5">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14:paraId="2349BF1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宋体"/>
                <w:b w:val="0"/>
                <w:bCs w:val="0"/>
                <w:kern w:val="2"/>
                <w:sz w:val="24"/>
                <w:szCs w:val="24"/>
                <w:highlight w:val="none"/>
                <w:lang w:val="en-US" w:eastAsia="zh-CN" w:bidi="ar-SA"/>
              </w:rPr>
            </w:pPr>
          </w:p>
        </w:tc>
        <w:tc>
          <w:tcPr>
            <w:tcW w:w="2840" w:type="dxa"/>
            <w:tcBorders>
              <w:top w:val="single" w:color="auto" w:sz="4" w:space="0"/>
              <w:left w:val="single" w:color="auto" w:sz="4" w:space="0"/>
              <w:bottom w:val="single" w:color="auto" w:sz="4" w:space="0"/>
              <w:right w:val="single" w:color="auto" w:sz="4" w:space="0"/>
            </w:tcBorders>
            <w:noWrap w:val="0"/>
            <w:vAlign w:val="center"/>
          </w:tcPr>
          <w:p w14:paraId="1950724B">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起重臂节六</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6443422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w:t>
            </w:r>
          </w:p>
        </w:tc>
        <w:tc>
          <w:tcPr>
            <w:tcW w:w="2570" w:type="dxa"/>
            <w:tcBorders>
              <w:top w:val="single" w:color="auto" w:sz="4" w:space="0"/>
              <w:left w:val="single" w:color="auto" w:sz="4" w:space="0"/>
              <w:bottom w:val="single" w:color="auto" w:sz="4" w:space="0"/>
              <w:right w:val="single" w:color="auto" w:sz="4" w:space="0"/>
            </w:tcBorders>
            <w:noWrap w:val="0"/>
            <w:vAlign w:val="center"/>
          </w:tcPr>
          <w:p w14:paraId="197BA19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6.369</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1.54</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2.125</w:t>
            </w:r>
          </w:p>
        </w:tc>
        <w:tc>
          <w:tcPr>
            <w:tcW w:w="1603" w:type="dxa"/>
            <w:tcBorders>
              <w:top w:val="single" w:color="auto" w:sz="4" w:space="0"/>
              <w:left w:val="single" w:color="auto" w:sz="4" w:space="0"/>
              <w:bottom w:val="single" w:color="auto" w:sz="4" w:space="0"/>
              <w:right w:val="single" w:color="auto" w:sz="4" w:space="0"/>
            </w:tcBorders>
            <w:noWrap w:val="0"/>
            <w:vAlign w:val="center"/>
          </w:tcPr>
          <w:p w14:paraId="2819C4B7">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760</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0253B60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p>
        </w:tc>
      </w:tr>
      <w:tr w14:paraId="13CC6BC6">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14:paraId="330AD19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宋体"/>
                <w:b w:val="0"/>
                <w:bCs w:val="0"/>
                <w:kern w:val="2"/>
                <w:sz w:val="24"/>
                <w:szCs w:val="24"/>
                <w:highlight w:val="none"/>
                <w:lang w:val="en-US" w:eastAsia="zh-CN" w:bidi="ar-SA"/>
              </w:rPr>
            </w:pPr>
          </w:p>
        </w:tc>
        <w:tc>
          <w:tcPr>
            <w:tcW w:w="2840" w:type="dxa"/>
            <w:tcBorders>
              <w:top w:val="single" w:color="auto" w:sz="4" w:space="0"/>
              <w:left w:val="single" w:color="auto" w:sz="4" w:space="0"/>
              <w:bottom w:val="single" w:color="auto" w:sz="4" w:space="0"/>
              <w:right w:val="single" w:color="auto" w:sz="4" w:space="0"/>
            </w:tcBorders>
            <w:noWrap w:val="0"/>
            <w:vAlign w:val="center"/>
          </w:tcPr>
          <w:p w14:paraId="55DDDE0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起重臂节七</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5F036AE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w:t>
            </w:r>
          </w:p>
        </w:tc>
        <w:tc>
          <w:tcPr>
            <w:tcW w:w="2570" w:type="dxa"/>
            <w:tcBorders>
              <w:top w:val="single" w:color="auto" w:sz="4" w:space="0"/>
              <w:left w:val="single" w:color="auto" w:sz="4" w:space="0"/>
              <w:bottom w:val="single" w:color="auto" w:sz="4" w:space="0"/>
              <w:right w:val="single" w:color="auto" w:sz="4" w:space="0"/>
            </w:tcBorders>
            <w:noWrap w:val="0"/>
            <w:vAlign w:val="center"/>
          </w:tcPr>
          <w:p w14:paraId="4714343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10.173×1.5</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1.753</w:t>
            </w:r>
          </w:p>
        </w:tc>
        <w:tc>
          <w:tcPr>
            <w:tcW w:w="1603" w:type="dxa"/>
            <w:tcBorders>
              <w:top w:val="single" w:color="auto" w:sz="4" w:space="0"/>
              <w:left w:val="single" w:color="auto" w:sz="4" w:space="0"/>
              <w:bottom w:val="single" w:color="auto" w:sz="4" w:space="0"/>
              <w:right w:val="single" w:color="auto" w:sz="4" w:space="0"/>
            </w:tcBorders>
            <w:noWrap w:val="0"/>
            <w:vAlign w:val="center"/>
          </w:tcPr>
          <w:p w14:paraId="1E69910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884</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41AFA42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p>
        </w:tc>
      </w:tr>
      <w:tr w14:paraId="1F0C5C5F">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14:paraId="05773B5B">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宋体"/>
                <w:b w:val="0"/>
                <w:bCs w:val="0"/>
                <w:kern w:val="2"/>
                <w:sz w:val="24"/>
                <w:szCs w:val="24"/>
                <w:highlight w:val="none"/>
                <w:lang w:val="en-US" w:eastAsia="zh-CN" w:bidi="ar-SA"/>
              </w:rPr>
            </w:pPr>
          </w:p>
        </w:tc>
        <w:tc>
          <w:tcPr>
            <w:tcW w:w="2840" w:type="dxa"/>
            <w:tcBorders>
              <w:top w:val="single" w:color="auto" w:sz="4" w:space="0"/>
              <w:left w:val="single" w:color="auto" w:sz="4" w:space="0"/>
              <w:bottom w:val="single" w:color="auto" w:sz="4" w:space="0"/>
              <w:right w:val="single" w:color="auto" w:sz="4" w:space="0"/>
            </w:tcBorders>
            <w:noWrap w:val="0"/>
            <w:vAlign w:val="center"/>
          </w:tcPr>
          <w:p w14:paraId="7196AE6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起重臂节八</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7AD877D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w:t>
            </w:r>
          </w:p>
        </w:tc>
        <w:tc>
          <w:tcPr>
            <w:tcW w:w="2570" w:type="dxa"/>
            <w:tcBorders>
              <w:top w:val="single" w:color="auto" w:sz="4" w:space="0"/>
              <w:left w:val="single" w:color="auto" w:sz="4" w:space="0"/>
              <w:bottom w:val="single" w:color="auto" w:sz="4" w:space="0"/>
              <w:right w:val="single" w:color="auto" w:sz="4" w:space="0"/>
            </w:tcBorders>
            <w:noWrap w:val="0"/>
            <w:vAlign w:val="center"/>
          </w:tcPr>
          <w:p w14:paraId="6722D26A">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5.179</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1.5</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1.753</w:t>
            </w:r>
          </w:p>
        </w:tc>
        <w:tc>
          <w:tcPr>
            <w:tcW w:w="1603" w:type="dxa"/>
            <w:tcBorders>
              <w:top w:val="single" w:color="auto" w:sz="4" w:space="0"/>
              <w:left w:val="single" w:color="auto" w:sz="4" w:space="0"/>
              <w:bottom w:val="single" w:color="auto" w:sz="4" w:space="0"/>
              <w:right w:val="single" w:color="auto" w:sz="4" w:space="0"/>
            </w:tcBorders>
            <w:noWrap w:val="0"/>
            <w:vAlign w:val="center"/>
          </w:tcPr>
          <w:p w14:paraId="41F10B0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432</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433C595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p>
        </w:tc>
      </w:tr>
      <w:tr w14:paraId="0EAAE633">
        <w:tblPrEx>
          <w:tblBorders>
            <w:top w:val="double" w:color="0000FF" w:sz="4" w:space="0"/>
            <w:left w:val="double" w:color="0000FF" w:sz="4" w:space="0"/>
            <w:bottom w:val="double" w:color="0000FF" w:sz="4" w:space="0"/>
            <w:right w:val="double" w:color="0000FF" w:sz="4" w:space="0"/>
            <w:insideH w:val="single" w:color="0000FF" w:sz="4" w:space="0"/>
            <w:insideV w:val="single" w:color="0000FF" w:sz="4" w:space="0"/>
          </w:tblBorders>
          <w:tblCellMar>
            <w:top w:w="0" w:type="dxa"/>
            <w:left w:w="108" w:type="dxa"/>
            <w:bottom w:w="0" w:type="dxa"/>
            <w:right w:w="108" w:type="dxa"/>
          </w:tblCellMar>
        </w:tblPrEx>
        <w:trPr>
          <w:trHeight w:val="454" w:hRule="atLeast"/>
          <w:jc w:val="center"/>
        </w:trPr>
        <w:tc>
          <w:tcPr>
            <w:tcW w:w="404" w:type="pct"/>
            <w:tcBorders>
              <w:top w:val="single" w:color="auto" w:sz="4" w:space="0"/>
              <w:left w:val="single" w:color="auto" w:sz="4" w:space="0"/>
              <w:bottom w:val="single" w:color="auto" w:sz="4" w:space="0"/>
              <w:right w:val="single" w:color="auto" w:sz="4" w:space="0"/>
            </w:tcBorders>
            <w:noWrap w:val="0"/>
            <w:vAlign w:val="center"/>
          </w:tcPr>
          <w:p w14:paraId="1C41ADC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宋体"/>
                <w:b w:val="0"/>
                <w:bCs w:val="0"/>
                <w:kern w:val="2"/>
                <w:sz w:val="24"/>
                <w:szCs w:val="24"/>
                <w:highlight w:val="none"/>
                <w:lang w:val="en-US" w:eastAsia="zh-CN" w:bidi="ar-SA"/>
              </w:rPr>
            </w:pPr>
          </w:p>
        </w:tc>
        <w:tc>
          <w:tcPr>
            <w:tcW w:w="2840" w:type="dxa"/>
            <w:tcBorders>
              <w:top w:val="single" w:color="auto" w:sz="4" w:space="0"/>
              <w:left w:val="single" w:color="auto" w:sz="4" w:space="0"/>
              <w:bottom w:val="single" w:color="auto" w:sz="4" w:space="0"/>
              <w:right w:val="single" w:color="auto" w:sz="4" w:space="0"/>
            </w:tcBorders>
            <w:noWrap w:val="0"/>
            <w:vAlign w:val="center"/>
          </w:tcPr>
          <w:p w14:paraId="69EEBC71">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臂尖节</w:t>
            </w:r>
          </w:p>
        </w:tc>
        <w:tc>
          <w:tcPr>
            <w:tcW w:w="1248" w:type="dxa"/>
            <w:tcBorders>
              <w:top w:val="single" w:color="auto" w:sz="4" w:space="0"/>
              <w:left w:val="single" w:color="auto" w:sz="4" w:space="0"/>
              <w:bottom w:val="single" w:color="auto" w:sz="4" w:space="0"/>
              <w:right w:val="single" w:color="auto" w:sz="4" w:space="0"/>
            </w:tcBorders>
            <w:noWrap w:val="0"/>
            <w:vAlign w:val="center"/>
          </w:tcPr>
          <w:p w14:paraId="0240732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w:t>
            </w:r>
          </w:p>
        </w:tc>
        <w:tc>
          <w:tcPr>
            <w:tcW w:w="2570" w:type="dxa"/>
            <w:tcBorders>
              <w:top w:val="single" w:color="auto" w:sz="4" w:space="0"/>
              <w:left w:val="single" w:color="auto" w:sz="4" w:space="0"/>
              <w:bottom w:val="single" w:color="auto" w:sz="4" w:space="0"/>
              <w:right w:val="single" w:color="auto" w:sz="4" w:space="0"/>
            </w:tcBorders>
            <w:noWrap w:val="0"/>
            <w:vAlign w:val="center"/>
          </w:tcPr>
          <w:p w14:paraId="02B8785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1.182</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1.54</w:t>
            </w:r>
            <w:r>
              <w:rPr>
                <w:rFonts w:hint="eastAsia" w:ascii="宋体" w:hAnsi="宋体" w:eastAsia="宋体" w:cs="宋体"/>
                <w:b w:val="0"/>
                <w:bCs w:val="0"/>
                <w:kern w:val="2"/>
                <w:sz w:val="24"/>
                <w:szCs w:val="24"/>
                <w:highlight w:val="none"/>
                <w:lang w:val="en-US" w:eastAsia="zh-CN" w:bidi="ar-SA"/>
              </w:rPr>
              <w:t>×</w:t>
            </w:r>
            <w:r>
              <w:rPr>
                <w:rFonts w:hint="eastAsia" w:cs="宋体"/>
                <w:b w:val="0"/>
                <w:bCs w:val="0"/>
                <w:kern w:val="2"/>
                <w:sz w:val="24"/>
                <w:szCs w:val="24"/>
                <w:highlight w:val="none"/>
                <w:lang w:val="en-US" w:eastAsia="zh-CN" w:bidi="ar-SA"/>
              </w:rPr>
              <w:t>2.125</w:t>
            </w:r>
          </w:p>
        </w:tc>
        <w:tc>
          <w:tcPr>
            <w:tcW w:w="1603" w:type="dxa"/>
            <w:tcBorders>
              <w:top w:val="single" w:color="auto" w:sz="4" w:space="0"/>
              <w:left w:val="single" w:color="auto" w:sz="4" w:space="0"/>
              <w:bottom w:val="single" w:color="auto" w:sz="4" w:space="0"/>
              <w:right w:val="single" w:color="auto" w:sz="4" w:space="0"/>
            </w:tcBorders>
            <w:noWrap w:val="0"/>
            <w:vAlign w:val="center"/>
          </w:tcPr>
          <w:p w14:paraId="39B2B8D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162</w:t>
            </w:r>
          </w:p>
        </w:tc>
        <w:tc>
          <w:tcPr>
            <w:tcW w:w="404" w:type="pct"/>
            <w:tcBorders>
              <w:top w:val="single" w:color="auto" w:sz="4" w:space="0"/>
              <w:left w:val="single" w:color="auto" w:sz="4" w:space="0"/>
              <w:bottom w:val="single" w:color="auto" w:sz="4" w:space="0"/>
              <w:right w:val="single" w:color="auto" w:sz="4" w:space="0"/>
            </w:tcBorders>
            <w:noWrap w:val="0"/>
            <w:vAlign w:val="center"/>
          </w:tcPr>
          <w:p w14:paraId="3CFA8EB6">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lang w:val="en-US" w:eastAsia="zh-CN" w:bidi="ar-SA"/>
              </w:rPr>
            </w:pPr>
          </w:p>
        </w:tc>
      </w:tr>
    </w:tbl>
    <w:p w14:paraId="1788EA6F">
      <w:pPr>
        <w:pStyle w:val="4"/>
        <w:keepNext w:val="0"/>
        <w:kinsoku/>
        <w:overflowPunct/>
        <w:topLinePunct w:val="0"/>
        <w:bidi w:val="0"/>
        <w:spacing w:line="360" w:lineRule="atLeast"/>
        <w:ind w:left="0" w:firstLine="0"/>
        <w:jc w:val="left"/>
        <w:rPr>
          <w:rFonts w:hint="eastAsia" w:ascii="宋体" w:hAnsi="宋体" w:eastAsia="宋体" w:cs="宋体"/>
          <w:sz w:val="24"/>
          <w:szCs w:val="24"/>
        </w:rPr>
      </w:pPr>
      <w:r>
        <w:rPr>
          <w:rFonts w:hint="eastAsia" w:ascii="宋体" w:hAnsi="宋体" w:eastAsia="宋体" w:cs="宋体"/>
          <w:sz w:val="24"/>
          <w:szCs w:val="24"/>
        </w:rPr>
        <w:t>基础设置</w:t>
      </w:r>
      <w:bookmarkEnd w:id="22"/>
      <w:bookmarkEnd w:id="23"/>
    </w:p>
    <w:p w14:paraId="2EC327B6">
      <w:pPr>
        <w:kinsoku/>
        <w:overflowPunct/>
        <w:topLinePunct w:val="0"/>
        <w:bidi w:val="0"/>
        <w:spacing w:after="120" w:line="360" w:lineRule="atLeast"/>
        <w:ind w:firstLine="480"/>
        <w:jc w:val="left"/>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塔吊及基础的基本情况见</w:t>
      </w:r>
      <w:r>
        <w:rPr>
          <w:rFonts w:hint="eastAsia" w:ascii="宋体" w:hAnsi="宋体" w:eastAsia="宋体" w:cs="宋体"/>
          <w:sz w:val="24"/>
          <w:szCs w:val="24"/>
        </w:rPr>
        <w:t>表</w:t>
      </w:r>
      <w:r>
        <w:rPr>
          <w:rFonts w:hint="eastAsia" w:ascii="宋体" w:hAnsi="宋体" w:eastAsia="宋体" w:cs="宋体"/>
          <w:sz w:val="24"/>
          <w:szCs w:val="24"/>
          <w:lang w:val="en-US" w:eastAsia="zh-CN"/>
        </w:rPr>
        <w:t>2.3.3</w:t>
      </w:r>
      <w:r>
        <w:rPr>
          <w:rFonts w:hint="eastAsia" w:ascii="宋体" w:hAnsi="宋体" w:eastAsia="宋体" w:cs="宋体"/>
          <w:sz w:val="24"/>
          <w:szCs w:val="24"/>
        </w:rPr>
        <w:t>-1</w:t>
      </w:r>
      <w:r>
        <w:rPr>
          <w:rFonts w:hint="eastAsia" w:ascii="宋体" w:hAnsi="宋体" w:eastAsia="宋体" w:cs="宋体"/>
          <w:bCs/>
          <w:color w:val="000000" w:themeColor="text1"/>
          <w:sz w:val="24"/>
          <w:szCs w:val="24"/>
          <w14:textFill>
            <w14:solidFill>
              <w14:schemeClr w14:val="tx1"/>
            </w14:solidFill>
          </w14:textFill>
        </w:rPr>
        <w:t>。</w:t>
      </w:r>
    </w:p>
    <w:p w14:paraId="310AA797">
      <w:pPr>
        <w:pStyle w:val="13"/>
        <w:kinsoku/>
        <w:overflowPunct/>
        <w:topLinePunct w:val="0"/>
        <w:bidi w:val="0"/>
        <w:spacing w:line="360" w:lineRule="atLeast"/>
        <w:rPr>
          <w:rFonts w:hint="eastAsia" w:ascii="宋体" w:hAnsi="宋体" w:eastAsia="宋体" w:cs="宋体"/>
          <w:sz w:val="24"/>
          <w:szCs w:val="24"/>
        </w:rPr>
      </w:pPr>
      <w:r>
        <w:rPr>
          <w:rFonts w:hint="eastAsia" w:ascii="宋体" w:hAnsi="宋体" w:eastAsia="宋体" w:cs="宋体"/>
          <w:sz w:val="24"/>
          <w:szCs w:val="24"/>
        </w:rPr>
        <w:t>表</w:t>
      </w:r>
      <w:r>
        <w:rPr>
          <w:rFonts w:hint="eastAsia" w:ascii="宋体" w:hAnsi="宋体" w:eastAsia="宋体" w:cs="宋体"/>
          <w:sz w:val="24"/>
          <w:szCs w:val="24"/>
          <w:lang w:val="en-US" w:eastAsia="zh-CN"/>
        </w:rPr>
        <w:t>2.3.3</w:t>
      </w:r>
      <w:r>
        <w:rPr>
          <w:rFonts w:hint="eastAsia" w:ascii="宋体" w:hAnsi="宋体" w:eastAsia="宋体" w:cs="宋体"/>
          <w:sz w:val="24"/>
          <w:szCs w:val="24"/>
        </w:rPr>
        <w:t>-1塔吊基础基本信息</w:t>
      </w:r>
    </w:p>
    <w:tbl>
      <w:tblPr>
        <w:tblStyle w:val="41"/>
        <w:tblW w:w="846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135"/>
        <w:gridCol w:w="2331"/>
        <w:gridCol w:w="1835"/>
        <w:gridCol w:w="1015"/>
        <w:gridCol w:w="1281"/>
        <w:gridCol w:w="871"/>
      </w:tblGrid>
      <w:tr w14:paraId="258653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1135" w:type="dxa"/>
            <w:tcBorders>
              <w:tl2br w:val="nil"/>
              <w:tr2bl w:val="nil"/>
            </w:tcBorders>
            <w:vAlign w:val="center"/>
          </w:tcPr>
          <w:p w14:paraId="68076DB1">
            <w:pPr>
              <w:kinsoku/>
              <w:overflowPunct/>
              <w:topLinePunct w:val="0"/>
              <w:bidi w:val="0"/>
              <w:spacing w:line="360" w:lineRule="atLeast"/>
              <w:ind w:firstLine="0" w:firstLineChars="0"/>
              <w:jc w:val="center"/>
              <w:rPr>
                <w:rFonts w:hint="eastAsia"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编号</w:t>
            </w:r>
          </w:p>
        </w:tc>
        <w:tc>
          <w:tcPr>
            <w:tcW w:w="2331" w:type="dxa"/>
            <w:tcBorders>
              <w:tl2br w:val="nil"/>
              <w:tr2bl w:val="nil"/>
            </w:tcBorders>
            <w:vAlign w:val="center"/>
          </w:tcPr>
          <w:p w14:paraId="7255CA2D">
            <w:pPr>
              <w:kinsoku/>
              <w:overflowPunct/>
              <w:topLinePunct w:val="0"/>
              <w:bidi w:val="0"/>
              <w:spacing w:line="360" w:lineRule="atLeast"/>
              <w:ind w:firstLine="0" w:firstLineChars="0"/>
              <w:jc w:val="center"/>
              <w:rPr>
                <w:rFonts w:hint="eastAsia"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型号</w:t>
            </w:r>
          </w:p>
        </w:tc>
        <w:tc>
          <w:tcPr>
            <w:tcW w:w="1835" w:type="dxa"/>
            <w:tcBorders>
              <w:tl2br w:val="nil"/>
              <w:tr2bl w:val="nil"/>
            </w:tcBorders>
            <w:vAlign w:val="center"/>
          </w:tcPr>
          <w:p w14:paraId="16178902">
            <w:pPr>
              <w:kinsoku/>
              <w:overflowPunct/>
              <w:topLinePunct w:val="0"/>
              <w:bidi w:val="0"/>
              <w:spacing w:line="360" w:lineRule="atLeast"/>
              <w:ind w:firstLine="0" w:firstLineChars="0"/>
              <w:jc w:val="center"/>
              <w:rPr>
                <w:rFonts w:hint="eastAsia"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基础形式</w:t>
            </w:r>
          </w:p>
        </w:tc>
        <w:tc>
          <w:tcPr>
            <w:tcW w:w="1015" w:type="dxa"/>
            <w:tcBorders>
              <w:tl2br w:val="nil"/>
              <w:tr2bl w:val="nil"/>
            </w:tcBorders>
            <w:vAlign w:val="center"/>
          </w:tcPr>
          <w:p w14:paraId="664D7503">
            <w:pPr>
              <w:kinsoku/>
              <w:overflowPunct/>
              <w:topLinePunct w:val="0"/>
              <w:bidi w:val="0"/>
              <w:spacing w:line="360" w:lineRule="atLeast"/>
              <w:ind w:firstLine="0" w:firstLineChars="0"/>
              <w:jc w:val="center"/>
              <w:rPr>
                <w:rFonts w:hint="eastAsia" w:ascii="宋体" w:hAnsi="宋体" w:eastAsia="宋体" w:cs="宋体"/>
                <w:b/>
                <w:bCs w:val="0"/>
                <w:color w:val="000000" w:themeColor="text1"/>
                <w:sz w:val="21"/>
                <w:szCs w:val="21"/>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基础顶标高</w:t>
            </w:r>
          </w:p>
        </w:tc>
        <w:tc>
          <w:tcPr>
            <w:tcW w:w="1281" w:type="dxa"/>
            <w:tcBorders>
              <w:tl2br w:val="nil"/>
              <w:tr2bl w:val="nil"/>
            </w:tcBorders>
            <w:vAlign w:val="center"/>
          </w:tcPr>
          <w:p w14:paraId="14B05ABA">
            <w:pPr>
              <w:kinsoku/>
              <w:overflowPunct/>
              <w:topLinePunct w:val="0"/>
              <w:bidi w:val="0"/>
              <w:spacing w:line="360" w:lineRule="atLeast"/>
              <w:ind w:firstLine="0" w:firstLineChars="0"/>
              <w:jc w:val="center"/>
              <w:rPr>
                <w:rFonts w:hint="default" w:ascii="宋体" w:hAnsi="宋体" w:eastAsia="宋体" w:cs="宋体"/>
                <w:b/>
                <w:bCs w:val="0"/>
                <w:color w:val="000000" w:themeColor="text1"/>
                <w:sz w:val="21"/>
                <w:szCs w:val="21"/>
                <w:lang w:val="en-US" w:eastAsia="zh-CN"/>
                <w14:textFill>
                  <w14:solidFill>
                    <w14:schemeClr w14:val="tx1"/>
                  </w14:solidFill>
                </w14:textFill>
              </w:rPr>
            </w:pPr>
            <w:r>
              <w:rPr>
                <w:rFonts w:hint="eastAsia" w:ascii="宋体" w:hAnsi="宋体" w:eastAsia="宋体" w:cs="宋体"/>
                <w:b/>
                <w:bCs w:val="0"/>
                <w:color w:val="000000" w:themeColor="text1"/>
                <w:sz w:val="21"/>
                <w:szCs w:val="21"/>
                <w14:textFill>
                  <w14:solidFill>
                    <w14:schemeClr w14:val="tx1"/>
                  </w14:solidFill>
                </w14:textFill>
              </w:rPr>
              <w:t>起重臂工作半径</w:t>
            </w:r>
            <w:r>
              <w:rPr>
                <w:rFonts w:hint="eastAsia" w:cs="宋体"/>
                <w:b/>
                <w:bCs w:val="0"/>
                <w:color w:val="000000" w:themeColor="text1"/>
                <w:sz w:val="21"/>
                <w:szCs w:val="21"/>
                <w:lang w:eastAsia="zh-CN"/>
                <w14:textFill>
                  <w14:solidFill>
                    <w14:schemeClr w14:val="tx1"/>
                  </w14:solidFill>
                </w14:textFill>
              </w:rPr>
              <w:t>（</w:t>
            </w:r>
            <w:r>
              <w:rPr>
                <w:rFonts w:hint="eastAsia" w:cs="宋体"/>
                <w:b/>
                <w:bCs w:val="0"/>
                <w:color w:val="000000" w:themeColor="text1"/>
                <w:sz w:val="21"/>
                <w:szCs w:val="21"/>
                <w:lang w:val="en-US" w:eastAsia="zh-CN"/>
                <w14:textFill>
                  <w14:solidFill>
                    <w14:schemeClr w14:val="tx1"/>
                  </w14:solidFill>
                </w14:textFill>
              </w:rPr>
              <w:t>m）</w:t>
            </w:r>
          </w:p>
        </w:tc>
        <w:tc>
          <w:tcPr>
            <w:tcW w:w="871" w:type="dxa"/>
            <w:tcBorders>
              <w:tl2br w:val="nil"/>
              <w:tr2bl w:val="nil"/>
            </w:tcBorders>
            <w:vAlign w:val="center"/>
          </w:tcPr>
          <w:p w14:paraId="72631F64">
            <w:pPr>
              <w:kinsoku/>
              <w:overflowPunct/>
              <w:topLinePunct w:val="0"/>
              <w:bidi w:val="0"/>
              <w:spacing w:line="360" w:lineRule="atLeast"/>
              <w:ind w:firstLine="0" w:firstLineChars="0"/>
              <w:jc w:val="center"/>
              <w:rPr>
                <w:rFonts w:hint="eastAsia" w:ascii="宋体" w:hAnsi="宋体" w:eastAsia="宋体" w:cs="宋体"/>
                <w:b/>
                <w:bCs w:val="0"/>
                <w:color w:val="000000" w:themeColor="text1"/>
                <w:sz w:val="21"/>
                <w:szCs w:val="21"/>
                <w14:textFill>
                  <w14:solidFill>
                    <w14:schemeClr w14:val="tx1"/>
                  </w14:solidFill>
                </w14:textFill>
              </w:rPr>
            </w:pPr>
            <w:r>
              <w:rPr>
                <w:rFonts w:hint="eastAsia" w:cs="宋体"/>
                <w:b/>
                <w:bCs w:val="0"/>
                <w:color w:val="000000" w:themeColor="text1"/>
                <w:sz w:val="21"/>
                <w:szCs w:val="21"/>
                <w:lang w:eastAsia="zh-CN"/>
                <w14:textFill>
                  <w14:solidFill>
                    <w14:schemeClr w14:val="tx1"/>
                  </w14:solidFill>
                </w14:textFill>
              </w:rPr>
              <w:t>拆除</w:t>
            </w:r>
            <w:r>
              <w:rPr>
                <w:rFonts w:hint="eastAsia" w:ascii="宋体" w:hAnsi="宋体" w:eastAsia="宋体" w:cs="宋体"/>
                <w:b/>
                <w:bCs w:val="0"/>
                <w:color w:val="000000" w:themeColor="text1"/>
                <w:sz w:val="21"/>
                <w:szCs w:val="21"/>
                <w14:textFill>
                  <w14:solidFill>
                    <w14:schemeClr w14:val="tx1"/>
                  </w14:solidFill>
                </w14:textFill>
              </w:rPr>
              <w:t>高度</w:t>
            </w:r>
          </w:p>
        </w:tc>
      </w:tr>
      <w:tr w14:paraId="3EEBA4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1135" w:type="dxa"/>
            <w:tcBorders>
              <w:tl2br w:val="nil"/>
              <w:tr2bl w:val="nil"/>
            </w:tcBorders>
            <w:vAlign w:val="center"/>
          </w:tcPr>
          <w:p w14:paraId="2B96385D">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14:textFill>
                  <w14:solidFill>
                    <w14:schemeClr w14:val="tx1"/>
                  </w14:solidFill>
                </w14:textFill>
              </w:rPr>
            </w:pPr>
            <w:r>
              <w:rPr>
                <w:rFonts w:hint="eastAsia" w:cs="宋体"/>
                <w:bCs/>
                <w:color w:val="000000" w:themeColor="text1"/>
                <w:sz w:val="21"/>
                <w:szCs w:val="21"/>
                <w:lang w:val="en-US" w:eastAsia="zh-CN"/>
                <w14:textFill>
                  <w14:solidFill>
                    <w14:schemeClr w14:val="tx1"/>
                  </w14:solidFill>
                </w14:textFill>
              </w:rPr>
              <w:t>3#墩</w:t>
            </w:r>
            <w:r>
              <w:rPr>
                <w:rFonts w:hint="eastAsia" w:ascii="宋体" w:hAnsi="宋体" w:eastAsia="宋体" w:cs="宋体"/>
                <w:bCs/>
                <w:color w:val="000000" w:themeColor="text1"/>
                <w:sz w:val="21"/>
                <w:szCs w:val="21"/>
                <w14:textFill>
                  <w14:solidFill>
                    <w14:schemeClr w14:val="tx1"/>
                  </w14:solidFill>
                </w14:textFill>
              </w:rPr>
              <w:t>塔机</w:t>
            </w:r>
          </w:p>
        </w:tc>
        <w:tc>
          <w:tcPr>
            <w:tcW w:w="2331" w:type="dxa"/>
            <w:tcBorders>
              <w:tl2br w:val="nil"/>
              <w:tr2bl w:val="nil"/>
            </w:tcBorders>
            <w:vAlign w:val="center"/>
          </w:tcPr>
          <w:p w14:paraId="67EF9E1E">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lang w:eastAsia="zh-CN"/>
                <w14:textFill>
                  <w14:solidFill>
                    <w14:schemeClr w14:val="tx1"/>
                  </w14:solidFill>
                </w14:textFill>
              </w:rPr>
            </w:pPr>
            <w:r>
              <w:rPr>
                <w:rFonts w:hint="eastAsia" w:cs="宋体"/>
                <w:sz w:val="21"/>
                <w:szCs w:val="21"/>
                <w:lang w:eastAsia="zh-CN"/>
              </w:rPr>
              <w:t>QTZp160（T6515-10）</w:t>
            </w:r>
          </w:p>
        </w:tc>
        <w:tc>
          <w:tcPr>
            <w:tcW w:w="1835" w:type="dxa"/>
            <w:tcBorders>
              <w:tl2br w:val="nil"/>
              <w:tr2bl w:val="nil"/>
            </w:tcBorders>
            <w:vAlign w:val="center"/>
          </w:tcPr>
          <w:p w14:paraId="73C503A7">
            <w:pPr>
              <w:kinsoku/>
              <w:overflowPunct/>
              <w:topLinePunct w:val="0"/>
              <w:bidi w:val="0"/>
              <w:spacing w:line="360" w:lineRule="atLeast"/>
              <w:ind w:firstLine="0" w:firstLineChars="0"/>
              <w:jc w:val="center"/>
              <w:rPr>
                <w:rFonts w:hint="default" w:ascii="宋体" w:hAnsi="宋体" w:eastAsia="宋体" w:cs="宋体"/>
                <w:bCs/>
                <w:color w:val="000000" w:themeColor="text1"/>
                <w:sz w:val="21"/>
                <w:szCs w:val="21"/>
                <w:lang w:val="en-US" w:eastAsia="zh-CN"/>
                <w14:textFill>
                  <w14:solidFill>
                    <w14:schemeClr w14:val="tx1"/>
                  </w14:solidFill>
                </w14:textFill>
              </w:rPr>
            </w:pPr>
            <w:r>
              <w:rPr>
                <w:rFonts w:hint="eastAsia" w:cs="宋体"/>
                <w:bCs/>
                <w:color w:val="000000" w:themeColor="text1"/>
                <w:sz w:val="21"/>
                <w:szCs w:val="21"/>
                <w:lang w:val="en-US" w:eastAsia="zh-CN"/>
                <w14:textFill>
                  <w14:solidFill>
                    <w14:schemeClr w14:val="tx1"/>
                  </w14:solidFill>
                </w14:textFill>
              </w:rPr>
              <w:t>混凝土承台基础</w:t>
            </w:r>
          </w:p>
        </w:tc>
        <w:tc>
          <w:tcPr>
            <w:tcW w:w="1015" w:type="dxa"/>
            <w:tcBorders>
              <w:tl2br w:val="nil"/>
              <w:tr2bl w:val="nil"/>
            </w:tcBorders>
            <w:vAlign w:val="center"/>
          </w:tcPr>
          <w:p w14:paraId="5C61BEE6">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lang w:eastAsia="zh-CN"/>
                <w14:textFill>
                  <w14:solidFill>
                    <w14:schemeClr w14:val="tx1"/>
                  </w14:solidFill>
                </w14:textFill>
              </w:rPr>
            </w:pPr>
            <w:r>
              <w:rPr>
                <w:rFonts w:hint="eastAsia" w:cs="宋体"/>
                <w:bCs/>
                <w:sz w:val="21"/>
                <w:szCs w:val="21"/>
                <w:lang w:val="en-US" w:eastAsia="zh-CN"/>
              </w:rPr>
              <w:t>3.4</w:t>
            </w:r>
            <w:r>
              <w:rPr>
                <w:rFonts w:hint="eastAsia" w:ascii="宋体" w:hAnsi="宋体" w:eastAsia="宋体" w:cs="宋体"/>
                <w:bCs/>
                <w:sz w:val="21"/>
                <w:szCs w:val="21"/>
                <w:lang w:eastAsia="zh-CN"/>
              </w:rPr>
              <w:t>m</w:t>
            </w:r>
          </w:p>
        </w:tc>
        <w:tc>
          <w:tcPr>
            <w:tcW w:w="1281" w:type="dxa"/>
            <w:tcBorders>
              <w:tl2br w:val="nil"/>
              <w:tr2bl w:val="nil"/>
            </w:tcBorders>
            <w:vAlign w:val="center"/>
          </w:tcPr>
          <w:p w14:paraId="5974BC49">
            <w:pPr>
              <w:kinsoku/>
              <w:overflowPunct/>
              <w:topLinePunct w:val="0"/>
              <w:bidi w:val="0"/>
              <w:spacing w:line="360" w:lineRule="atLeast"/>
              <w:ind w:firstLine="0" w:firstLineChars="0"/>
              <w:jc w:val="center"/>
              <w:rPr>
                <w:rFonts w:hint="default" w:ascii="宋体" w:hAnsi="宋体" w:eastAsia="宋体" w:cs="宋体"/>
                <w:bCs/>
                <w:color w:val="000000" w:themeColor="text1"/>
                <w:sz w:val="21"/>
                <w:szCs w:val="21"/>
                <w:lang w:val="en-US"/>
                <w14:textFill>
                  <w14:solidFill>
                    <w14:schemeClr w14:val="tx1"/>
                  </w14:solidFill>
                </w14:textFill>
              </w:rPr>
            </w:pPr>
            <w:r>
              <w:rPr>
                <w:rFonts w:hint="eastAsia" w:cs="宋体"/>
                <w:bCs/>
                <w:sz w:val="21"/>
                <w:szCs w:val="21"/>
                <w:lang w:val="en-US" w:eastAsia="zh-CN"/>
              </w:rPr>
              <w:t>50</w:t>
            </w:r>
          </w:p>
        </w:tc>
        <w:tc>
          <w:tcPr>
            <w:tcW w:w="871" w:type="dxa"/>
            <w:tcBorders>
              <w:tl2br w:val="nil"/>
              <w:tr2bl w:val="nil"/>
            </w:tcBorders>
            <w:vAlign w:val="center"/>
          </w:tcPr>
          <w:p w14:paraId="6A56E911">
            <w:pPr>
              <w:kinsoku/>
              <w:overflowPunct/>
              <w:topLinePunct w:val="0"/>
              <w:bidi w:val="0"/>
              <w:spacing w:line="360" w:lineRule="atLeast"/>
              <w:ind w:firstLine="0" w:firstLineChars="0"/>
              <w:jc w:val="center"/>
              <w:rPr>
                <w:rFonts w:hint="default" w:ascii="宋体" w:hAnsi="宋体" w:eastAsia="宋体" w:cs="宋体"/>
                <w:bCs/>
                <w:sz w:val="21"/>
                <w:szCs w:val="21"/>
                <w:highlight w:val="yellow"/>
                <w:lang w:val="en-US"/>
              </w:rPr>
            </w:pPr>
            <w:r>
              <w:rPr>
                <w:rFonts w:hint="eastAsia" w:cs="宋体"/>
                <w:bCs/>
                <w:color w:val="auto"/>
                <w:sz w:val="21"/>
                <w:szCs w:val="21"/>
                <w:highlight w:val="none"/>
                <w:lang w:val="en-US" w:eastAsia="zh-CN"/>
              </w:rPr>
              <w:t>69.2m</w:t>
            </w:r>
          </w:p>
        </w:tc>
      </w:tr>
      <w:tr w14:paraId="14DF07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1135" w:type="dxa"/>
            <w:tcBorders>
              <w:tl2br w:val="nil"/>
              <w:tr2bl w:val="nil"/>
            </w:tcBorders>
            <w:vAlign w:val="center"/>
          </w:tcPr>
          <w:p w14:paraId="666FE910">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14:textFill>
                  <w14:solidFill>
                    <w14:schemeClr w14:val="tx1"/>
                  </w14:solidFill>
                </w14:textFill>
              </w:rPr>
            </w:pPr>
            <w:r>
              <w:rPr>
                <w:rFonts w:hint="eastAsia" w:cs="宋体"/>
                <w:bCs/>
                <w:color w:val="000000" w:themeColor="text1"/>
                <w:sz w:val="21"/>
                <w:szCs w:val="21"/>
                <w:lang w:val="en-US" w:eastAsia="zh-CN"/>
                <w14:textFill>
                  <w14:solidFill>
                    <w14:schemeClr w14:val="tx1"/>
                  </w14:solidFill>
                </w14:textFill>
              </w:rPr>
              <w:t>4#墩</w:t>
            </w:r>
            <w:r>
              <w:rPr>
                <w:rFonts w:hint="eastAsia" w:ascii="宋体" w:hAnsi="宋体" w:eastAsia="宋体" w:cs="宋体"/>
                <w:bCs/>
                <w:color w:val="000000" w:themeColor="text1"/>
                <w:sz w:val="21"/>
                <w:szCs w:val="21"/>
                <w14:textFill>
                  <w14:solidFill>
                    <w14:schemeClr w14:val="tx1"/>
                  </w14:solidFill>
                </w14:textFill>
              </w:rPr>
              <w:t>塔机</w:t>
            </w:r>
          </w:p>
        </w:tc>
        <w:tc>
          <w:tcPr>
            <w:tcW w:w="2331" w:type="dxa"/>
            <w:tcBorders>
              <w:tl2br w:val="nil"/>
              <w:tr2bl w:val="nil"/>
            </w:tcBorders>
            <w:vAlign w:val="center"/>
          </w:tcPr>
          <w:p w14:paraId="177FEBDA">
            <w:pPr>
              <w:kinsoku/>
              <w:overflowPunct/>
              <w:topLinePunct w:val="0"/>
              <w:bidi w:val="0"/>
              <w:spacing w:line="360" w:lineRule="atLeast"/>
              <w:ind w:firstLine="0" w:firstLineChars="0"/>
              <w:jc w:val="center"/>
              <w:rPr>
                <w:rFonts w:hint="eastAsia" w:cs="宋体"/>
                <w:sz w:val="21"/>
                <w:szCs w:val="21"/>
                <w:lang w:eastAsia="zh-CN"/>
              </w:rPr>
            </w:pPr>
            <w:r>
              <w:rPr>
                <w:rFonts w:hint="eastAsia" w:cs="宋体"/>
                <w:sz w:val="21"/>
                <w:szCs w:val="21"/>
                <w:lang w:eastAsia="zh-CN"/>
              </w:rPr>
              <w:t>QTZp160（T6515-10）</w:t>
            </w:r>
          </w:p>
        </w:tc>
        <w:tc>
          <w:tcPr>
            <w:tcW w:w="1835" w:type="dxa"/>
            <w:tcBorders>
              <w:tl2br w:val="nil"/>
              <w:tr2bl w:val="nil"/>
            </w:tcBorders>
            <w:vAlign w:val="center"/>
          </w:tcPr>
          <w:p w14:paraId="2529AEF3">
            <w:pPr>
              <w:kinsoku/>
              <w:overflowPunct/>
              <w:topLinePunct w:val="0"/>
              <w:bidi w:val="0"/>
              <w:spacing w:line="360" w:lineRule="atLeast"/>
              <w:ind w:firstLine="0" w:firstLineChars="0"/>
              <w:jc w:val="center"/>
              <w:rPr>
                <w:rFonts w:hint="eastAsia" w:cs="宋体"/>
                <w:bCs/>
                <w:color w:val="000000" w:themeColor="text1"/>
                <w:sz w:val="21"/>
                <w:szCs w:val="21"/>
                <w:lang w:val="en-US" w:eastAsia="zh-CN"/>
                <w14:textFill>
                  <w14:solidFill>
                    <w14:schemeClr w14:val="tx1"/>
                  </w14:solidFill>
                </w14:textFill>
              </w:rPr>
            </w:pPr>
            <w:r>
              <w:rPr>
                <w:rFonts w:hint="eastAsia" w:cs="宋体"/>
                <w:bCs/>
                <w:color w:val="000000" w:themeColor="text1"/>
                <w:sz w:val="21"/>
                <w:szCs w:val="21"/>
                <w:lang w:val="en-US" w:eastAsia="zh-CN"/>
                <w14:textFill>
                  <w14:solidFill>
                    <w14:schemeClr w14:val="tx1"/>
                  </w14:solidFill>
                </w14:textFill>
              </w:rPr>
              <w:t>混凝土承台基础</w:t>
            </w:r>
          </w:p>
        </w:tc>
        <w:tc>
          <w:tcPr>
            <w:tcW w:w="1015" w:type="dxa"/>
            <w:tcBorders>
              <w:tl2br w:val="nil"/>
              <w:tr2bl w:val="nil"/>
            </w:tcBorders>
            <w:vAlign w:val="center"/>
          </w:tcPr>
          <w:p w14:paraId="0B37D18C">
            <w:pPr>
              <w:kinsoku/>
              <w:overflowPunct/>
              <w:topLinePunct w:val="0"/>
              <w:bidi w:val="0"/>
              <w:spacing w:line="360" w:lineRule="atLeast"/>
              <w:ind w:firstLine="0" w:firstLineChars="0"/>
              <w:jc w:val="center"/>
              <w:rPr>
                <w:rFonts w:hint="eastAsia" w:ascii="宋体" w:hAnsi="宋体" w:eastAsia="宋体" w:cs="宋体"/>
                <w:bCs/>
                <w:sz w:val="21"/>
                <w:szCs w:val="21"/>
                <w:lang w:eastAsia="zh-CN"/>
              </w:rPr>
            </w:pPr>
            <w:r>
              <w:rPr>
                <w:rFonts w:hint="eastAsia" w:cs="宋体"/>
                <w:bCs/>
                <w:sz w:val="21"/>
                <w:szCs w:val="21"/>
                <w:lang w:val="en-US" w:eastAsia="zh-CN"/>
              </w:rPr>
              <w:t>2.9</w:t>
            </w:r>
            <w:r>
              <w:rPr>
                <w:rFonts w:hint="eastAsia" w:ascii="宋体" w:hAnsi="宋体" w:eastAsia="宋体" w:cs="宋体"/>
                <w:bCs/>
                <w:sz w:val="21"/>
                <w:szCs w:val="21"/>
                <w:lang w:eastAsia="zh-CN"/>
              </w:rPr>
              <w:t>m</w:t>
            </w:r>
          </w:p>
        </w:tc>
        <w:tc>
          <w:tcPr>
            <w:tcW w:w="1281" w:type="dxa"/>
            <w:tcBorders>
              <w:tl2br w:val="nil"/>
              <w:tr2bl w:val="nil"/>
            </w:tcBorders>
            <w:vAlign w:val="center"/>
          </w:tcPr>
          <w:p w14:paraId="770F2915">
            <w:pPr>
              <w:kinsoku/>
              <w:overflowPunct/>
              <w:topLinePunct w:val="0"/>
              <w:bidi w:val="0"/>
              <w:spacing w:line="360" w:lineRule="atLeast"/>
              <w:ind w:firstLine="0" w:firstLineChars="0"/>
              <w:jc w:val="center"/>
              <w:rPr>
                <w:rFonts w:hint="eastAsia" w:cs="宋体"/>
                <w:bCs/>
                <w:sz w:val="21"/>
                <w:szCs w:val="21"/>
                <w:lang w:val="en-US" w:eastAsia="zh-CN"/>
              </w:rPr>
            </w:pPr>
            <w:r>
              <w:rPr>
                <w:rFonts w:hint="eastAsia" w:cs="宋体"/>
                <w:bCs/>
                <w:sz w:val="21"/>
                <w:szCs w:val="21"/>
                <w:lang w:val="en-US" w:eastAsia="zh-CN"/>
              </w:rPr>
              <w:t>50</w:t>
            </w:r>
          </w:p>
        </w:tc>
        <w:tc>
          <w:tcPr>
            <w:tcW w:w="871" w:type="dxa"/>
            <w:tcBorders>
              <w:tl2br w:val="nil"/>
              <w:tr2bl w:val="nil"/>
            </w:tcBorders>
            <w:vAlign w:val="center"/>
          </w:tcPr>
          <w:p w14:paraId="51268275">
            <w:pPr>
              <w:kinsoku/>
              <w:overflowPunct/>
              <w:topLinePunct w:val="0"/>
              <w:bidi w:val="0"/>
              <w:spacing w:line="360" w:lineRule="atLeast"/>
              <w:ind w:firstLine="0" w:firstLineChars="0"/>
              <w:jc w:val="center"/>
              <w:rPr>
                <w:rFonts w:hint="default" w:ascii="宋体" w:hAnsi="宋体" w:eastAsia="宋体" w:cs="宋体"/>
                <w:bCs/>
                <w:color w:val="000000" w:themeColor="text1"/>
                <w:sz w:val="21"/>
                <w:szCs w:val="21"/>
                <w:lang w:val="en-US"/>
                <w14:textFill>
                  <w14:solidFill>
                    <w14:schemeClr w14:val="tx1"/>
                  </w14:solidFill>
                </w14:textFill>
              </w:rPr>
            </w:pPr>
            <w:r>
              <w:rPr>
                <w:rFonts w:hint="eastAsia"/>
                <w:lang w:val="en-US" w:eastAsia="zh-CN"/>
              </w:rPr>
              <w:t>66.2m</w:t>
            </w:r>
          </w:p>
        </w:tc>
      </w:tr>
      <w:tr w14:paraId="27F427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1135" w:type="dxa"/>
            <w:tcBorders>
              <w:tl2br w:val="nil"/>
              <w:tr2bl w:val="nil"/>
            </w:tcBorders>
            <w:vAlign w:val="center"/>
          </w:tcPr>
          <w:p w14:paraId="4EB79000">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14:textFill>
                  <w14:solidFill>
                    <w14:schemeClr w14:val="tx1"/>
                  </w14:solidFill>
                </w14:textFill>
              </w:rPr>
            </w:pPr>
            <w:r>
              <w:rPr>
                <w:rFonts w:hint="eastAsia" w:cs="宋体"/>
                <w:bCs/>
                <w:color w:val="000000" w:themeColor="text1"/>
                <w:sz w:val="21"/>
                <w:szCs w:val="21"/>
                <w:lang w:val="en-US" w:eastAsia="zh-CN"/>
                <w14:textFill>
                  <w14:solidFill>
                    <w14:schemeClr w14:val="tx1"/>
                  </w14:solidFill>
                </w14:textFill>
              </w:rPr>
              <w:t>5#墩</w:t>
            </w:r>
            <w:r>
              <w:rPr>
                <w:rFonts w:hint="eastAsia" w:ascii="宋体" w:hAnsi="宋体" w:eastAsia="宋体" w:cs="宋体"/>
                <w:bCs/>
                <w:color w:val="000000" w:themeColor="text1"/>
                <w:sz w:val="21"/>
                <w:szCs w:val="21"/>
                <w14:textFill>
                  <w14:solidFill>
                    <w14:schemeClr w14:val="tx1"/>
                  </w14:solidFill>
                </w14:textFill>
              </w:rPr>
              <w:t>塔机</w:t>
            </w:r>
          </w:p>
        </w:tc>
        <w:tc>
          <w:tcPr>
            <w:tcW w:w="2331" w:type="dxa"/>
            <w:tcBorders>
              <w:tl2br w:val="nil"/>
              <w:tr2bl w:val="nil"/>
            </w:tcBorders>
            <w:vAlign w:val="center"/>
          </w:tcPr>
          <w:p w14:paraId="0C81E2E9">
            <w:pPr>
              <w:kinsoku/>
              <w:overflowPunct/>
              <w:topLinePunct w:val="0"/>
              <w:bidi w:val="0"/>
              <w:spacing w:line="360" w:lineRule="atLeast"/>
              <w:ind w:firstLine="0" w:firstLineChars="0"/>
              <w:jc w:val="center"/>
              <w:rPr>
                <w:rFonts w:hint="eastAsia" w:cs="宋体"/>
                <w:sz w:val="21"/>
                <w:szCs w:val="21"/>
                <w:lang w:eastAsia="zh-CN"/>
              </w:rPr>
            </w:pPr>
            <w:r>
              <w:rPr>
                <w:rFonts w:hint="eastAsia" w:cs="宋体"/>
                <w:sz w:val="21"/>
                <w:szCs w:val="21"/>
                <w:lang w:eastAsia="zh-CN"/>
              </w:rPr>
              <w:t>QTZp160（T6515-10）</w:t>
            </w:r>
          </w:p>
        </w:tc>
        <w:tc>
          <w:tcPr>
            <w:tcW w:w="1835" w:type="dxa"/>
            <w:tcBorders>
              <w:tl2br w:val="nil"/>
              <w:tr2bl w:val="nil"/>
            </w:tcBorders>
            <w:vAlign w:val="center"/>
          </w:tcPr>
          <w:p w14:paraId="17BAA526">
            <w:pPr>
              <w:kinsoku/>
              <w:overflowPunct/>
              <w:topLinePunct w:val="0"/>
              <w:bidi w:val="0"/>
              <w:spacing w:line="360" w:lineRule="atLeast"/>
              <w:ind w:firstLine="0" w:firstLineChars="0"/>
              <w:jc w:val="center"/>
              <w:rPr>
                <w:rFonts w:hint="eastAsia" w:cs="宋体"/>
                <w:bCs/>
                <w:color w:val="000000" w:themeColor="text1"/>
                <w:sz w:val="21"/>
                <w:szCs w:val="21"/>
                <w:lang w:val="en-US" w:eastAsia="zh-CN"/>
                <w14:textFill>
                  <w14:solidFill>
                    <w14:schemeClr w14:val="tx1"/>
                  </w14:solidFill>
                </w14:textFill>
              </w:rPr>
            </w:pPr>
            <w:r>
              <w:rPr>
                <w:rFonts w:hint="eastAsia" w:cs="宋体"/>
                <w:bCs/>
                <w:color w:val="000000" w:themeColor="text1"/>
                <w:sz w:val="21"/>
                <w:szCs w:val="21"/>
                <w:lang w:val="en-US" w:eastAsia="zh-CN"/>
                <w14:textFill>
                  <w14:solidFill>
                    <w14:schemeClr w14:val="tx1"/>
                  </w14:solidFill>
                </w14:textFill>
              </w:rPr>
              <w:t>混凝土承台基础</w:t>
            </w:r>
          </w:p>
        </w:tc>
        <w:tc>
          <w:tcPr>
            <w:tcW w:w="1015" w:type="dxa"/>
            <w:tcBorders>
              <w:tl2br w:val="nil"/>
              <w:tr2bl w:val="nil"/>
            </w:tcBorders>
            <w:vAlign w:val="center"/>
          </w:tcPr>
          <w:p w14:paraId="0F43C354">
            <w:pPr>
              <w:kinsoku/>
              <w:overflowPunct/>
              <w:topLinePunct w:val="0"/>
              <w:bidi w:val="0"/>
              <w:spacing w:line="360" w:lineRule="atLeast"/>
              <w:ind w:firstLine="0" w:firstLineChars="0"/>
              <w:jc w:val="center"/>
              <w:rPr>
                <w:rFonts w:hint="eastAsia" w:ascii="宋体" w:hAnsi="宋体" w:eastAsia="宋体" w:cs="宋体"/>
                <w:bCs/>
                <w:sz w:val="21"/>
                <w:szCs w:val="21"/>
                <w:lang w:eastAsia="zh-CN"/>
              </w:rPr>
            </w:pPr>
            <w:r>
              <w:rPr>
                <w:rFonts w:hint="eastAsia" w:cs="宋体"/>
                <w:bCs/>
                <w:sz w:val="21"/>
                <w:szCs w:val="21"/>
                <w:lang w:val="en-US" w:eastAsia="zh-CN"/>
              </w:rPr>
              <w:t>3.6</w:t>
            </w:r>
            <w:r>
              <w:rPr>
                <w:rFonts w:hint="eastAsia" w:ascii="宋体" w:hAnsi="宋体" w:eastAsia="宋体" w:cs="宋体"/>
                <w:bCs/>
                <w:sz w:val="21"/>
                <w:szCs w:val="21"/>
                <w:lang w:eastAsia="zh-CN"/>
              </w:rPr>
              <w:t>m</w:t>
            </w:r>
          </w:p>
        </w:tc>
        <w:tc>
          <w:tcPr>
            <w:tcW w:w="1281" w:type="dxa"/>
            <w:tcBorders>
              <w:tl2br w:val="nil"/>
              <w:tr2bl w:val="nil"/>
            </w:tcBorders>
            <w:vAlign w:val="center"/>
          </w:tcPr>
          <w:p w14:paraId="68EECCB2">
            <w:pPr>
              <w:kinsoku/>
              <w:overflowPunct/>
              <w:topLinePunct w:val="0"/>
              <w:bidi w:val="0"/>
              <w:spacing w:line="360" w:lineRule="atLeast"/>
              <w:ind w:firstLine="0" w:firstLineChars="0"/>
              <w:jc w:val="center"/>
              <w:rPr>
                <w:rFonts w:hint="eastAsia" w:cs="宋体"/>
                <w:bCs/>
                <w:sz w:val="21"/>
                <w:szCs w:val="21"/>
                <w:lang w:val="en-US" w:eastAsia="zh-CN"/>
              </w:rPr>
            </w:pPr>
            <w:r>
              <w:rPr>
                <w:rFonts w:hint="eastAsia" w:cs="宋体"/>
                <w:bCs/>
                <w:sz w:val="21"/>
                <w:szCs w:val="21"/>
                <w:lang w:val="en-US" w:eastAsia="zh-CN"/>
              </w:rPr>
              <w:t>50</w:t>
            </w:r>
          </w:p>
        </w:tc>
        <w:tc>
          <w:tcPr>
            <w:tcW w:w="871" w:type="dxa"/>
            <w:tcBorders>
              <w:tl2br w:val="nil"/>
              <w:tr2bl w:val="nil"/>
            </w:tcBorders>
            <w:vAlign w:val="center"/>
          </w:tcPr>
          <w:p w14:paraId="65D4FAC0">
            <w:pPr>
              <w:kinsoku/>
              <w:overflowPunct/>
              <w:topLinePunct w:val="0"/>
              <w:bidi w:val="0"/>
              <w:spacing w:line="360" w:lineRule="atLeast"/>
              <w:ind w:firstLine="0" w:firstLineChars="0"/>
              <w:jc w:val="center"/>
              <w:rPr>
                <w:rFonts w:hint="default" w:ascii="宋体" w:hAnsi="宋体" w:eastAsia="宋体" w:cs="宋体"/>
                <w:bCs/>
                <w:color w:val="000000" w:themeColor="text1"/>
                <w:sz w:val="21"/>
                <w:szCs w:val="21"/>
                <w:lang w:val="en-US"/>
                <w14:textFill>
                  <w14:solidFill>
                    <w14:schemeClr w14:val="tx1"/>
                  </w14:solidFill>
                </w14:textFill>
              </w:rPr>
            </w:pPr>
            <w:r>
              <w:rPr>
                <w:rFonts w:hint="eastAsia"/>
                <w:lang w:val="en-US" w:eastAsia="zh-CN"/>
              </w:rPr>
              <w:t>63.2m</w:t>
            </w:r>
          </w:p>
        </w:tc>
      </w:tr>
      <w:tr w14:paraId="50AE95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30" w:hRule="atLeast"/>
          <w:jc w:val="center"/>
        </w:trPr>
        <w:tc>
          <w:tcPr>
            <w:tcW w:w="1135" w:type="dxa"/>
            <w:tcBorders>
              <w:tl2br w:val="nil"/>
              <w:tr2bl w:val="nil"/>
            </w:tcBorders>
            <w:vAlign w:val="center"/>
          </w:tcPr>
          <w:p w14:paraId="62C8B052">
            <w:pPr>
              <w:kinsoku/>
              <w:overflowPunct/>
              <w:topLinePunct w:val="0"/>
              <w:bidi w:val="0"/>
              <w:spacing w:line="360" w:lineRule="atLeast"/>
              <w:ind w:firstLine="0" w:firstLineChars="0"/>
              <w:jc w:val="center"/>
              <w:rPr>
                <w:rFonts w:hint="eastAsia" w:ascii="宋体" w:hAnsi="宋体" w:eastAsia="宋体" w:cs="宋体"/>
                <w:bCs/>
                <w:color w:val="000000" w:themeColor="text1"/>
                <w:sz w:val="21"/>
                <w:szCs w:val="21"/>
                <w14:textFill>
                  <w14:solidFill>
                    <w14:schemeClr w14:val="tx1"/>
                  </w14:solidFill>
                </w14:textFill>
              </w:rPr>
            </w:pPr>
            <w:r>
              <w:rPr>
                <w:rFonts w:hint="eastAsia" w:cs="宋体"/>
                <w:bCs/>
                <w:color w:val="000000" w:themeColor="text1"/>
                <w:sz w:val="21"/>
                <w:szCs w:val="21"/>
                <w:lang w:val="en-US" w:eastAsia="zh-CN"/>
                <w14:textFill>
                  <w14:solidFill>
                    <w14:schemeClr w14:val="tx1"/>
                  </w14:solidFill>
                </w14:textFill>
              </w:rPr>
              <w:t>6#墩</w:t>
            </w:r>
            <w:r>
              <w:rPr>
                <w:rFonts w:hint="eastAsia" w:ascii="宋体" w:hAnsi="宋体" w:eastAsia="宋体" w:cs="宋体"/>
                <w:bCs/>
                <w:color w:val="000000" w:themeColor="text1"/>
                <w:sz w:val="21"/>
                <w:szCs w:val="21"/>
                <w14:textFill>
                  <w14:solidFill>
                    <w14:schemeClr w14:val="tx1"/>
                  </w14:solidFill>
                </w14:textFill>
              </w:rPr>
              <w:t>塔机</w:t>
            </w:r>
          </w:p>
        </w:tc>
        <w:tc>
          <w:tcPr>
            <w:tcW w:w="2331" w:type="dxa"/>
            <w:tcBorders>
              <w:tl2br w:val="nil"/>
              <w:tr2bl w:val="nil"/>
            </w:tcBorders>
            <w:vAlign w:val="center"/>
          </w:tcPr>
          <w:p w14:paraId="36EB3DE6">
            <w:pPr>
              <w:kinsoku/>
              <w:overflowPunct/>
              <w:topLinePunct w:val="0"/>
              <w:bidi w:val="0"/>
              <w:spacing w:line="360" w:lineRule="atLeast"/>
              <w:ind w:firstLine="0" w:firstLineChars="0"/>
              <w:jc w:val="center"/>
              <w:rPr>
                <w:rFonts w:hint="eastAsia" w:cs="宋体"/>
                <w:sz w:val="21"/>
                <w:szCs w:val="21"/>
                <w:lang w:eastAsia="zh-CN"/>
              </w:rPr>
            </w:pPr>
            <w:r>
              <w:rPr>
                <w:rFonts w:hint="eastAsia" w:cs="宋体"/>
                <w:sz w:val="21"/>
                <w:szCs w:val="21"/>
                <w:lang w:eastAsia="zh-CN"/>
              </w:rPr>
              <w:t>QTZp160（T6515-10）</w:t>
            </w:r>
          </w:p>
        </w:tc>
        <w:tc>
          <w:tcPr>
            <w:tcW w:w="1835" w:type="dxa"/>
            <w:tcBorders>
              <w:tl2br w:val="nil"/>
              <w:tr2bl w:val="nil"/>
            </w:tcBorders>
            <w:vAlign w:val="center"/>
          </w:tcPr>
          <w:p w14:paraId="5E8E56AF">
            <w:pPr>
              <w:kinsoku/>
              <w:overflowPunct/>
              <w:topLinePunct w:val="0"/>
              <w:bidi w:val="0"/>
              <w:spacing w:line="360" w:lineRule="atLeast"/>
              <w:ind w:firstLine="0" w:firstLineChars="0"/>
              <w:jc w:val="center"/>
              <w:rPr>
                <w:rFonts w:hint="eastAsia" w:cs="宋体"/>
                <w:bCs/>
                <w:color w:val="000000" w:themeColor="text1"/>
                <w:sz w:val="21"/>
                <w:szCs w:val="21"/>
                <w:lang w:val="en-US" w:eastAsia="zh-CN"/>
                <w14:textFill>
                  <w14:solidFill>
                    <w14:schemeClr w14:val="tx1"/>
                  </w14:solidFill>
                </w14:textFill>
              </w:rPr>
            </w:pPr>
            <w:r>
              <w:rPr>
                <w:rFonts w:hint="eastAsia" w:cs="宋体"/>
                <w:bCs/>
                <w:color w:val="000000" w:themeColor="text1"/>
                <w:sz w:val="21"/>
                <w:szCs w:val="21"/>
                <w:lang w:val="en-US" w:eastAsia="zh-CN"/>
                <w14:textFill>
                  <w14:solidFill>
                    <w14:schemeClr w14:val="tx1"/>
                  </w14:solidFill>
                </w14:textFill>
              </w:rPr>
              <w:t>混凝土承台基础</w:t>
            </w:r>
          </w:p>
        </w:tc>
        <w:tc>
          <w:tcPr>
            <w:tcW w:w="1015" w:type="dxa"/>
            <w:tcBorders>
              <w:tl2br w:val="nil"/>
              <w:tr2bl w:val="nil"/>
            </w:tcBorders>
            <w:vAlign w:val="center"/>
          </w:tcPr>
          <w:p w14:paraId="2D52CEAD">
            <w:pPr>
              <w:kinsoku/>
              <w:overflowPunct/>
              <w:topLinePunct w:val="0"/>
              <w:bidi w:val="0"/>
              <w:spacing w:line="360" w:lineRule="atLeast"/>
              <w:ind w:firstLine="0" w:firstLineChars="0"/>
              <w:jc w:val="center"/>
              <w:rPr>
                <w:rFonts w:hint="eastAsia" w:ascii="宋体" w:hAnsi="宋体" w:eastAsia="宋体" w:cs="宋体"/>
                <w:bCs/>
                <w:sz w:val="21"/>
                <w:szCs w:val="21"/>
                <w:lang w:eastAsia="zh-CN"/>
              </w:rPr>
            </w:pPr>
            <w:r>
              <w:rPr>
                <w:rFonts w:hint="eastAsia" w:cs="宋体"/>
                <w:bCs/>
                <w:sz w:val="21"/>
                <w:szCs w:val="21"/>
                <w:lang w:val="en-US" w:eastAsia="zh-CN"/>
              </w:rPr>
              <w:t>3.6</w:t>
            </w:r>
            <w:r>
              <w:rPr>
                <w:rFonts w:hint="eastAsia" w:ascii="宋体" w:hAnsi="宋体" w:eastAsia="宋体" w:cs="宋体"/>
                <w:bCs/>
                <w:sz w:val="21"/>
                <w:szCs w:val="21"/>
                <w:lang w:eastAsia="zh-CN"/>
              </w:rPr>
              <w:t>m</w:t>
            </w:r>
          </w:p>
        </w:tc>
        <w:tc>
          <w:tcPr>
            <w:tcW w:w="1281" w:type="dxa"/>
            <w:tcBorders>
              <w:tl2br w:val="nil"/>
              <w:tr2bl w:val="nil"/>
            </w:tcBorders>
            <w:vAlign w:val="center"/>
          </w:tcPr>
          <w:p w14:paraId="0ECC29C4">
            <w:pPr>
              <w:kinsoku/>
              <w:overflowPunct/>
              <w:topLinePunct w:val="0"/>
              <w:bidi w:val="0"/>
              <w:spacing w:line="360" w:lineRule="atLeast"/>
              <w:ind w:firstLine="0" w:firstLineChars="0"/>
              <w:jc w:val="center"/>
              <w:rPr>
                <w:rFonts w:hint="eastAsia" w:cs="宋体"/>
                <w:bCs/>
                <w:sz w:val="21"/>
                <w:szCs w:val="21"/>
                <w:lang w:val="en-US" w:eastAsia="zh-CN"/>
              </w:rPr>
            </w:pPr>
            <w:r>
              <w:rPr>
                <w:rFonts w:hint="eastAsia" w:cs="宋体"/>
                <w:bCs/>
                <w:sz w:val="21"/>
                <w:szCs w:val="21"/>
                <w:lang w:val="en-US" w:eastAsia="zh-CN"/>
              </w:rPr>
              <w:t>50</w:t>
            </w:r>
          </w:p>
        </w:tc>
        <w:tc>
          <w:tcPr>
            <w:tcW w:w="871" w:type="dxa"/>
            <w:tcBorders>
              <w:tl2br w:val="nil"/>
              <w:tr2bl w:val="nil"/>
            </w:tcBorders>
            <w:vAlign w:val="center"/>
          </w:tcPr>
          <w:p w14:paraId="3BCDB4AE">
            <w:pPr>
              <w:kinsoku/>
              <w:overflowPunct/>
              <w:topLinePunct w:val="0"/>
              <w:bidi w:val="0"/>
              <w:spacing w:line="360" w:lineRule="atLeast"/>
              <w:ind w:firstLine="0" w:firstLineChars="0"/>
              <w:jc w:val="center"/>
              <w:rPr>
                <w:rFonts w:hint="default" w:ascii="宋体" w:hAnsi="宋体" w:eastAsia="宋体" w:cs="宋体"/>
                <w:bCs/>
                <w:color w:val="000000" w:themeColor="text1"/>
                <w:sz w:val="21"/>
                <w:szCs w:val="21"/>
                <w:lang w:val="en-US"/>
                <w14:textFill>
                  <w14:solidFill>
                    <w14:schemeClr w14:val="tx1"/>
                  </w14:solidFill>
                </w14:textFill>
              </w:rPr>
            </w:pPr>
            <w:r>
              <w:rPr>
                <w:rFonts w:hint="eastAsia"/>
                <w:lang w:val="en-US" w:eastAsia="zh-CN"/>
              </w:rPr>
              <w:t>60m</w:t>
            </w:r>
          </w:p>
        </w:tc>
      </w:tr>
    </w:tbl>
    <w:p w14:paraId="0557E342">
      <w:pPr>
        <w:pStyle w:val="3"/>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24" w:name="_Toc31557"/>
      <w:r>
        <w:rPr>
          <w:rFonts w:hint="eastAsia" w:ascii="宋体" w:hAnsi="宋体" w:eastAsia="宋体" w:cs="宋体"/>
          <w:sz w:val="24"/>
          <w:szCs w:val="24"/>
        </w:rPr>
        <w:t>施工要求和技术保证条件</w:t>
      </w:r>
      <w:bookmarkEnd w:id="24"/>
    </w:p>
    <w:p w14:paraId="5D628C4F">
      <w:pPr>
        <w:pStyle w:val="4"/>
        <w:keepNext w:val="0"/>
        <w:pageBreakBefore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cs="宋体"/>
          <w:sz w:val="24"/>
          <w:szCs w:val="24"/>
          <w:lang w:eastAsia="zh-CN"/>
        </w:rPr>
        <w:t>拆除</w:t>
      </w:r>
      <w:r>
        <w:rPr>
          <w:rFonts w:hint="eastAsia" w:ascii="宋体" w:hAnsi="宋体" w:eastAsia="宋体" w:cs="宋体"/>
          <w:sz w:val="24"/>
          <w:szCs w:val="24"/>
        </w:rPr>
        <w:t>的重点及难点</w:t>
      </w:r>
    </w:p>
    <w:p w14:paraId="3CB8926B">
      <w:pPr>
        <w:pStyle w:val="5"/>
        <w:bidi w:val="0"/>
        <w:rPr>
          <w:rFonts w:hint="eastAsia" w:ascii="宋体" w:hAnsi="宋体" w:eastAsia="宋体" w:cs="宋体"/>
        </w:rPr>
      </w:pPr>
      <w:r>
        <w:rPr>
          <w:rFonts w:hint="eastAsia" w:ascii="宋体" w:hAnsi="宋体" w:eastAsia="宋体" w:cs="宋体"/>
        </w:rPr>
        <w:t>塔吊的</w:t>
      </w:r>
      <w:r>
        <w:rPr>
          <w:rFonts w:hint="eastAsia" w:cs="宋体"/>
          <w:lang w:eastAsia="zh-CN"/>
        </w:rPr>
        <w:t>拆除</w:t>
      </w:r>
      <w:r>
        <w:rPr>
          <w:rFonts w:hint="eastAsia" w:ascii="宋体" w:hAnsi="宋体" w:eastAsia="宋体" w:cs="宋体"/>
        </w:rPr>
        <w:t>涉及大量的高处作业，最高作业高度达</w:t>
      </w:r>
      <w:r>
        <w:rPr>
          <w:rFonts w:hint="eastAsia" w:cs="宋体"/>
          <w:lang w:val="en-US" w:eastAsia="zh-CN"/>
        </w:rPr>
        <w:t>69.2</w:t>
      </w:r>
      <w:r>
        <w:rPr>
          <w:rFonts w:hint="eastAsia" w:ascii="宋体" w:hAnsi="宋体" w:eastAsia="宋体" w:cs="宋体"/>
        </w:rPr>
        <w:t>m，施工安全风险高。</w:t>
      </w:r>
    </w:p>
    <w:p w14:paraId="6EF06BB2">
      <w:pPr>
        <w:pStyle w:val="5"/>
        <w:bidi w:val="0"/>
        <w:rPr>
          <w:rFonts w:hint="eastAsia" w:ascii="宋体" w:hAnsi="宋体" w:eastAsia="宋体" w:cs="宋体"/>
        </w:rPr>
      </w:pPr>
      <w:r>
        <w:rPr>
          <w:rFonts w:hint="eastAsia" w:ascii="宋体" w:hAnsi="宋体" w:eastAsia="宋体" w:cs="宋体"/>
        </w:rPr>
        <w:t>塔吊构件最大吊装为</w:t>
      </w:r>
      <w:r>
        <w:rPr>
          <w:rFonts w:hint="eastAsia" w:cs="宋体"/>
          <w:lang w:val="en-US" w:eastAsia="zh-CN"/>
        </w:rPr>
        <w:t>回转总成</w:t>
      </w:r>
      <w:r>
        <w:rPr>
          <w:rFonts w:hint="eastAsia" w:ascii="宋体" w:hAnsi="宋体" w:eastAsia="宋体" w:cs="宋体"/>
        </w:rPr>
        <w:t>，其重量为</w:t>
      </w:r>
      <w:r>
        <w:rPr>
          <w:rFonts w:hint="eastAsia" w:cs="宋体"/>
          <w:lang w:val="en-US" w:eastAsia="zh-CN"/>
        </w:rPr>
        <w:t>7.2</w:t>
      </w:r>
      <w:r>
        <w:rPr>
          <w:rFonts w:hint="eastAsia" w:ascii="宋体" w:hAnsi="宋体" w:eastAsia="宋体" w:cs="宋体"/>
        </w:rPr>
        <w:t>t，在</w:t>
      </w:r>
      <w:r>
        <w:rPr>
          <w:rFonts w:hint="eastAsia" w:cs="宋体"/>
          <w:lang w:eastAsia="zh-CN"/>
        </w:rPr>
        <w:t>拆除</w:t>
      </w:r>
      <w:r>
        <w:rPr>
          <w:rFonts w:hint="eastAsia" w:ascii="宋体" w:hAnsi="宋体" w:eastAsia="宋体" w:cs="宋体"/>
        </w:rPr>
        <w:t>时最大起升高度为</w:t>
      </w:r>
      <w:r>
        <w:rPr>
          <w:rFonts w:hint="eastAsia" w:cs="宋体"/>
          <w:lang w:val="en-US" w:eastAsia="zh-CN"/>
        </w:rPr>
        <w:t>18.5</w:t>
      </w:r>
      <w:r>
        <w:rPr>
          <w:rFonts w:hint="eastAsia" w:ascii="宋体" w:hAnsi="宋体" w:eastAsia="宋体" w:cs="宋体"/>
        </w:rPr>
        <w:t>m，起重作业安全风险高。</w:t>
      </w:r>
    </w:p>
    <w:p w14:paraId="5DA97D0E">
      <w:pPr>
        <w:pStyle w:val="5"/>
        <w:bidi w:val="0"/>
        <w:rPr>
          <w:rFonts w:hint="eastAsia" w:ascii="宋体" w:hAnsi="宋体" w:eastAsia="宋体" w:cs="宋体"/>
        </w:rPr>
      </w:pPr>
      <w:r>
        <w:rPr>
          <w:rFonts w:hint="eastAsia" w:cs="宋体"/>
          <w:lang w:eastAsia="zh-CN"/>
        </w:rPr>
        <w:t>拆除</w:t>
      </w:r>
      <w:r>
        <w:rPr>
          <w:rFonts w:hint="eastAsia" w:ascii="宋体" w:hAnsi="宋体" w:eastAsia="宋体" w:cs="宋体"/>
        </w:rPr>
        <w:t>作业场地狭小。</w:t>
      </w:r>
    </w:p>
    <w:p w14:paraId="7725DF88">
      <w:pPr>
        <w:pStyle w:val="4"/>
        <w:keepNext w:val="0"/>
        <w:pageBreakBefore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运输及进场要求</w:t>
      </w:r>
    </w:p>
    <w:p w14:paraId="2156AFE7">
      <w:pPr>
        <w:bidi w:val="0"/>
        <w:rPr>
          <w:rFonts w:hint="eastAsia"/>
        </w:rPr>
      </w:pPr>
      <w:r>
        <w:rPr>
          <w:rFonts w:hint="eastAsia"/>
        </w:rPr>
        <w:t>起重机各类构件使用平板车运输，每辆车上对部件用钢丝绳、手拉葫芦锁紧，防止侧翻与滑动。每辆车悬挂安全标志，并办理运输保险事宜。主要部件的运输，按照普通公路的运输要求，委托有运输资质的物流运输单位，重要部件如电机、电气部件等采用包装箱整体运输或局部包装，避免运输途中防雨受潮损坏或遗失。</w:t>
      </w:r>
    </w:p>
    <w:p w14:paraId="72583E98">
      <w:pPr>
        <w:bidi w:val="0"/>
        <w:rPr>
          <w:rFonts w:hint="eastAsia"/>
        </w:rPr>
      </w:pPr>
      <w:r>
        <w:rPr>
          <w:rFonts w:hint="eastAsia"/>
        </w:rPr>
        <w:t>发货时要根据现场拼装步骤按基础节、套架、回转总成、平衡臂、塔帽、起重机臂、配重及标准节等顺序。前后协调，统筹配发，以免现场造成堆压和不必要的周转拨运。</w:t>
      </w:r>
    </w:p>
    <w:p w14:paraId="7258A62A">
      <w:pPr>
        <w:bidi w:val="0"/>
        <w:rPr>
          <w:rFonts w:hint="eastAsia"/>
          <w:color w:val="auto"/>
        </w:rPr>
      </w:pPr>
      <w:r>
        <w:rPr>
          <w:rFonts w:hint="eastAsia"/>
          <w:color w:val="auto"/>
        </w:rPr>
        <w:t>装卸车时，</w:t>
      </w:r>
      <w:r>
        <w:rPr>
          <w:rFonts w:hint="eastAsia"/>
          <w:color w:val="auto"/>
          <w:lang w:val="en-US" w:eastAsia="zh-CN"/>
        </w:rPr>
        <w:t>须</w:t>
      </w:r>
      <w:r>
        <w:rPr>
          <w:rFonts w:hint="eastAsia"/>
          <w:color w:val="auto"/>
        </w:rPr>
        <w:t>确保吊</w:t>
      </w:r>
      <w:r>
        <w:rPr>
          <w:rFonts w:hint="eastAsia"/>
          <w:color w:val="auto"/>
          <w:lang w:val="en-US" w:eastAsia="zh-CN"/>
        </w:rPr>
        <w:t>装过程</w:t>
      </w:r>
      <w:r>
        <w:rPr>
          <w:rFonts w:hint="eastAsia"/>
          <w:color w:val="auto"/>
        </w:rPr>
        <w:t>安全</w:t>
      </w:r>
      <w:r>
        <w:rPr>
          <w:rFonts w:hint="eastAsia"/>
          <w:color w:val="auto"/>
          <w:lang w:val="en-US" w:eastAsia="zh-CN"/>
        </w:rPr>
        <w:t>可靠</w:t>
      </w:r>
      <w:r>
        <w:rPr>
          <w:rFonts w:hint="eastAsia"/>
          <w:color w:val="auto"/>
        </w:rPr>
        <w:t>，特别是</w:t>
      </w:r>
      <w:r>
        <w:rPr>
          <w:rFonts w:hint="eastAsia"/>
          <w:color w:val="auto"/>
          <w:lang w:val="en-US" w:eastAsia="zh-CN"/>
        </w:rPr>
        <w:t>各</w:t>
      </w:r>
      <w:r>
        <w:rPr>
          <w:rFonts w:hint="eastAsia"/>
          <w:color w:val="auto"/>
        </w:rPr>
        <w:t>大</w:t>
      </w:r>
      <w:r>
        <w:rPr>
          <w:rFonts w:hint="eastAsia"/>
          <w:color w:val="auto"/>
          <w:lang w:val="en-US" w:eastAsia="zh-CN"/>
        </w:rPr>
        <w:t>型部件</w:t>
      </w:r>
      <w:r>
        <w:rPr>
          <w:rFonts w:hint="eastAsia"/>
          <w:color w:val="auto"/>
        </w:rPr>
        <w:t>，要利用所设专用吊耳，临时存放时，大件下要支垫枕木，并进行固定绑扎，防止倾倒。</w:t>
      </w:r>
    </w:p>
    <w:p w14:paraId="6F982588">
      <w:pPr>
        <w:bidi w:val="0"/>
        <w:rPr>
          <w:rFonts w:hint="eastAsia"/>
          <w:color w:val="auto"/>
        </w:rPr>
      </w:pPr>
      <w:r>
        <w:rPr>
          <w:rFonts w:hint="eastAsia"/>
          <w:color w:val="auto"/>
        </w:rPr>
        <w:t>电气及电机设备的吊装时注意不能倒置，不得以大压小，运输及存放时要有防雨防潮措施。</w:t>
      </w:r>
    </w:p>
    <w:p w14:paraId="4D9B2022">
      <w:pPr>
        <w:bidi w:val="0"/>
        <w:rPr>
          <w:rFonts w:hint="eastAsia"/>
          <w:color w:val="auto"/>
        </w:rPr>
      </w:pPr>
      <w:r>
        <w:rPr>
          <w:rFonts w:hint="eastAsia"/>
          <w:color w:val="auto"/>
        </w:rPr>
        <w:t>在设备装卸期间，</w:t>
      </w:r>
      <w:r>
        <w:rPr>
          <w:rFonts w:hint="eastAsia"/>
          <w:color w:val="auto"/>
          <w:lang w:val="en-US" w:eastAsia="zh-CN"/>
        </w:rPr>
        <w:t>辅助吊车司机须始终听从起重工的指挥</w:t>
      </w:r>
      <w:r>
        <w:rPr>
          <w:rFonts w:hint="eastAsia"/>
          <w:color w:val="auto"/>
        </w:rPr>
        <w:t>。</w:t>
      </w:r>
    </w:p>
    <w:p w14:paraId="527A5BFF">
      <w:pPr>
        <w:bidi w:val="0"/>
        <w:rPr>
          <w:rFonts w:hint="eastAsia"/>
          <w:color w:val="auto"/>
        </w:rPr>
      </w:pPr>
      <w:r>
        <w:rPr>
          <w:rFonts w:hint="eastAsia"/>
          <w:color w:val="auto"/>
        </w:rPr>
        <w:t>在装卸设备之前，检查起升设备和相关物品中（绳索、手拉葫芦等）是否满足所吊负载和适当的稳定性的要求。</w:t>
      </w:r>
    </w:p>
    <w:p w14:paraId="5831E3C3">
      <w:pPr>
        <w:pStyle w:val="4"/>
        <w:keepNext w:val="0"/>
        <w:pageBreakBefore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技术保证条件</w:t>
      </w:r>
    </w:p>
    <w:p w14:paraId="6176BBC1">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textAlignment w:val="auto"/>
        <w:rPr>
          <w:rFonts w:hint="eastAsia"/>
          <w:lang w:eastAsia="zh-CN"/>
        </w:rPr>
      </w:pPr>
      <w:r>
        <w:rPr>
          <w:rFonts w:hint="eastAsia"/>
          <w:lang w:eastAsia="zh-CN"/>
        </w:rPr>
        <w:t>加强技术交底，确保作业过程安全；</w:t>
      </w:r>
    </w:p>
    <w:p w14:paraId="7F5CE77A">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textAlignment w:val="auto"/>
        <w:rPr>
          <w:rFonts w:hint="eastAsia"/>
          <w:lang w:eastAsia="zh-CN"/>
        </w:rPr>
      </w:pPr>
      <w:r>
        <w:rPr>
          <w:rFonts w:hint="eastAsia"/>
          <w:lang w:eastAsia="zh-CN"/>
        </w:rPr>
        <w:t>模拟现场的实际作业情况，保证拆除场地空间足够，避免吊装过程中的干涉；</w:t>
      </w:r>
    </w:p>
    <w:p w14:paraId="522B37BB">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textAlignment w:val="auto"/>
        <w:rPr>
          <w:rFonts w:hint="eastAsia"/>
          <w:lang w:eastAsia="zh-CN"/>
        </w:rPr>
      </w:pPr>
      <w:r>
        <w:rPr>
          <w:rFonts w:hint="eastAsia"/>
          <w:lang w:eastAsia="zh-CN"/>
        </w:rPr>
        <w:t>对拆除的起吊构件的重量、幅度进行详细的核算；</w:t>
      </w:r>
    </w:p>
    <w:p w14:paraId="1B73C3ED">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textAlignment w:val="auto"/>
        <w:rPr>
          <w:rFonts w:hint="eastAsia"/>
          <w:lang w:eastAsia="zh-CN"/>
        </w:rPr>
      </w:pPr>
      <w:r>
        <w:rPr>
          <w:rFonts w:hint="eastAsia"/>
          <w:lang w:eastAsia="zh-CN"/>
        </w:rPr>
        <w:t>对进场设备进行进场检验，对地基进行验收，确保设备性能及施工条件可靠；</w:t>
      </w:r>
    </w:p>
    <w:p w14:paraId="0331CDA3">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textAlignment w:val="auto"/>
        <w:rPr>
          <w:rFonts w:hint="eastAsia"/>
          <w:lang w:eastAsia="zh-CN"/>
        </w:rPr>
      </w:pPr>
      <w:r>
        <w:rPr>
          <w:rFonts w:hint="eastAsia"/>
          <w:lang w:eastAsia="zh-CN"/>
        </w:rPr>
        <w:t>合理安排拆除工序，协调好场地堆放及构件倒运顺序。</w:t>
      </w:r>
    </w:p>
    <w:p w14:paraId="4DCDA4B2">
      <w:pPr>
        <w:keepNext w:val="0"/>
        <w:keepLines w:val="0"/>
        <w:pageBreakBefore w:val="0"/>
        <w:widowControl w:val="0"/>
        <w:numPr>
          <w:ilvl w:val="0"/>
          <w:numId w:val="13"/>
        </w:numPr>
        <w:kinsoku/>
        <w:wordWrap/>
        <w:overflowPunct/>
        <w:topLinePunct w:val="0"/>
        <w:autoSpaceDE/>
        <w:autoSpaceDN/>
        <w:bidi w:val="0"/>
        <w:adjustRightInd/>
        <w:snapToGrid/>
        <w:spacing w:line="360" w:lineRule="auto"/>
        <w:ind w:left="0" w:firstLine="0" w:firstLineChars="0"/>
        <w:textAlignment w:val="auto"/>
        <w:rPr>
          <w:rFonts w:hint="eastAsia"/>
          <w:lang w:eastAsia="zh-CN"/>
        </w:rPr>
      </w:pPr>
      <w:r>
        <w:rPr>
          <w:rFonts w:hint="eastAsia"/>
          <w:lang w:val="en-US" w:eastAsia="zh-CN"/>
        </w:rPr>
        <w:t>向当地</w:t>
      </w:r>
      <w:r>
        <w:rPr>
          <w:rFonts w:hint="eastAsia"/>
          <w:lang w:eastAsia="zh-CN"/>
        </w:rPr>
        <w:t>特种设备安全管理机构告知、申请监督检验并</w:t>
      </w:r>
      <w:r>
        <w:rPr>
          <w:rFonts w:hint="eastAsia"/>
          <w:lang w:val="en-US" w:eastAsia="zh-CN"/>
        </w:rPr>
        <w:t>已</w:t>
      </w:r>
      <w:r>
        <w:rPr>
          <w:rFonts w:hint="eastAsia"/>
          <w:lang w:eastAsia="zh-CN"/>
        </w:rPr>
        <w:t>受理。</w:t>
      </w:r>
    </w:p>
    <w:p w14:paraId="1CBAE497">
      <w:pPr>
        <w:pStyle w:val="2"/>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25" w:name="_Toc22890"/>
      <w:r>
        <w:rPr>
          <w:rFonts w:hint="eastAsia" w:ascii="宋体" w:hAnsi="宋体" w:eastAsia="宋体" w:cs="宋体"/>
          <w:sz w:val="24"/>
          <w:szCs w:val="24"/>
        </w:rPr>
        <w:t>施工计划</w:t>
      </w:r>
      <w:bookmarkEnd w:id="25"/>
    </w:p>
    <w:p w14:paraId="15AB0AAA">
      <w:pPr>
        <w:pStyle w:val="3"/>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26" w:name="_Toc17693"/>
      <w:r>
        <w:rPr>
          <w:rFonts w:hint="eastAsia" w:ascii="宋体" w:hAnsi="宋体" w:eastAsia="宋体" w:cs="宋体"/>
          <w:sz w:val="24"/>
          <w:szCs w:val="24"/>
        </w:rPr>
        <w:t>工程总体目标</w:t>
      </w:r>
      <w:bookmarkEnd w:id="26"/>
    </w:p>
    <w:p w14:paraId="691FD9FE">
      <w:pPr>
        <w:pStyle w:val="4"/>
        <w:keepNext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安全管理目标</w:t>
      </w:r>
    </w:p>
    <w:p w14:paraId="0CED15A6">
      <w:pPr>
        <w:widowControl/>
        <w:snapToGrid w:val="0"/>
        <w:spacing w:line="480" w:lineRule="exact"/>
        <w:ind w:firstLine="0" w:firstLineChars="0"/>
        <w:jc w:val="left"/>
        <w:rPr>
          <w:rFonts w:hint="eastAsia" w:ascii="宋体" w:hAnsi="宋体" w:eastAsia="宋体" w:cs="宋体"/>
          <w:sz w:val="24"/>
          <w:szCs w:val="24"/>
        </w:rPr>
      </w:pPr>
      <w:r>
        <w:rPr>
          <w:rFonts w:hint="eastAsia" w:ascii="宋体" w:hAnsi="宋体" w:eastAsia="宋体" w:cs="宋体"/>
          <w:sz w:val="24"/>
          <w:szCs w:val="24"/>
          <w:lang w:bidi="ar"/>
        </w:rPr>
        <w:t>坚持“零死亡、零事故”安全生产总目标，并控制以下目标：</w:t>
      </w:r>
    </w:p>
    <w:p w14:paraId="5539CEC5">
      <w:pPr>
        <w:numPr>
          <w:ilvl w:val="0"/>
          <w:numId w:val="14"/>
        </w:numPr>
        <w:bidi w:val="0"/>
        <w:ind w:left="425" w:leftChars="0" w:hanging="425" w:firstLineChars="0"/>
        <w:rPr>
          <w:rFonts w:hint="eastAsia"/>
        </w:rPr>
      </w:pPr>
      <w:r>
        <w:rPr>
          <w:rFonts w:hint="eastAsia"/>
        </w:rPr>
        <w:t>不发生人身一类轻伤及以上人身伤害事故；</w:t>
      </w:r>
    </w:p>
    <w:p w14:paraId="782BC5A9">
      <w:pPr>
        <w:numPr>
          <w:ilvl w:val="0"/>
          <w:numId w:val="14"/>
        </w:numPr>
        <w:bidi w:val="0"/>
        <w:ind w:left="425" w:leftChars="0" w:hanging="425" w:firstLineChars="0"/>
        <w:rPr>
          <w:rFonts w:hint="eastAsia"/>
        </w:rPr>
      </w:pPr>
      <w:r>
        <w:rPr>
          <w:rFonts w:hint="eastAsia"/>
        </w:rPr>
        <w:t>不发生一般及以上电力安全事故；</w:t>
      </w:r>
    </w:p>
    <w:p w14:paraId="43F2D650">
      <w:pPr>
        <w:numPr>
          <w:ilvl w:val="0"/>
          <w:numId w:val="14"/>
        </w:numPr>
        <w:bidi w:val="0"/>
        <w:ind w:left="425" w:leftChars="0" w:hanging="425" w:firstLineChars="0"/>
        <w:rPr>
          <w:rFonts w:hint="eastAsia"/>
        </w:rPr>
      </w:pPr>
      <w:r>
        <w:rPr>
          <w:rFonts w:hint="eastAsia"/>
        </w:rPr>
        <w:t>不发生一般及以上机械事故；</w:t>
      </w:r>
    </w:p>
    <w:p w14:paraId="609BB363">
      <w:pPr>
        <w:numPr>
          <w:ilvl w:val="0"/>
          <w:numId w:val="14"/>
        </w:numPr>
        <w:bidi w:val="0"/>
        <w:ind w:left="425" w:leftChars="0" w:hanging="425" w:firstLineChars="0"/>
        <w:rPr>
          <w:rFonts w:hint="eastAsia"/>
        </w:rPr>
      </w:pPr>
      <w:r>
        <w:rPr>
          <w:rFonts w:hint="eastAsia"/>
        </w:rPr>
        <w:t>不发生一般设备事故（直接经济损失50万元以上设备责任事故）；</w:t>
      </w:r>
    </w:p>
    <w:p w14:paraId="72558501">
      <w:pPr>
        <w:numPr>
          <w:ilvl w:val="0"/>
          <w:numId w:val="14"/>
        </w:numPr>
        <w:bidi w:val="0"/>
        <w:ind w:left="425" w:leftChars="0" w:hanging="425" w:firstLineChars="0"/>
        <w:rPr>
          <w:rFonts w:hint="eastAsia"/>
        </w:rPr>
      </w:pPr>
      <w:r>
        <w:rPr>
          <w:rFonts w:hint="eastAsia"/>
        </w:rPr>
        <w:t>不发生负同等以上责任的一般及以上交通事故；</w:t>
      </w:r>
    </w:p>
    <w:p w14:paraId="7A109555">
      <w:pPr>
        <w:numPr>
          <w:ilvl w:val="0"/>
          <w:numId w:val="14"/>
        </w:numPr>
        <w:bidi w:val="0"/>
        <w:ind w:left="425" w:leftChars="0" w:hanging="425" w:firstLineChars="0"/>
        <w:rPr>
          <w:rFonts w:hint="eastAsia"/>
        </w:rPr>
      </w:pPr>
      <w:r>
        <w:rPr>
          <w:rFonts w:hint="eastAsia"/>
        </w:rPr>
        <w:t>不发生重大垮（坍）塌事故；</w:t>
      </w:r>
    </w:p>
    <w:p w14:paraId="1E57E891">
      <w:pPr>
        <w:pStyle w:val="4"/>
        <w:bidi w:val="0"/>
        <w:rPr>
          <w:rFonts w:hint="eastAsia" w:ascii="宋体" w:hAnsi="宋体" w:eastAsia="宋体" w:cs="宋体"/>
        </w:rPr>
      </w:pPr>
      <w:r>
        <w:rPr>
          <w:rFonts w:hint="eastAsia" w:ascii="宋体" w:hAnsi="宋体" w:eastAsia="宋体" w:cs="宋体"/>
        </w:rPr>
        <w:t>职业健康目标</w:t>
      </w:r>
    </w:p>
    <w:p w14:paraId="6C097E8A">
      <w:pPr>
        <w:numPr>
          <w:ilvl w:val="0"/>
          <w:numId w:val="15"/>
        </w:numPr>
        <w:tabs>
          <w:tab w:val="left" w:pos="0"/>
        </w:tabs>
        <w:bidi w:val="0"/>
        <w:ind w:left="425" w:leftChars="0" w:hanging="425" w:firstLineChars="0"/>
        <w:outlineLvl w:val="9"/>
        <w:rPr>
          <w:rFonts w:hint="eastAsia"/>
        </w:rPr>
      </w:pPr>
      <w:bookmarkStart w:id="27" w:name="_Toc12459"/>
      <w:r>
        <w:rPr>
          <w:rFonts w:hint="eastAsia"/>
        </w:rPr>
        <w:t>不发生违反《劳动法》有关规定的事件；</w:t>
      </w:r>
      <w:bookmarkEnd w:id="27"/>
    </w:p>
    <w:p w14:paraId="660B0D2B">
      <w:pPr>
        <w:numPr>
          <w:ilvl w:val="0"/>
          <w:numId w:val="15"/>
        </w:numPr>
        <w:tabs>
          <w:tab w:val="left" w:pos="0"/>
        </w:tabs>
        <w:bidi w:val="0"/>
        <w:ind w:left="425" w:leftChars="0" w:hanging="425" w:firstLineChars="0"/>
        <w:outlineLvl w:val="9"/>
        <w:rPr>
          <w:rFonts w:hint="eastAsia"/>
        </w:rPr>
      </w:pPr>
      <w:bookmarkStart w:id="28" w:name="_Toc30609"/>
      <w:r>
        <w:rPr>
          <w:rFonts w:hint="eastAsia"/>
        </w:rPr>
        <w:t>特殊工种持证上岗率100%；</w:t>
      </w:r>
      <w:bookmarkEnd w:id="28"/>
    </w:p>
    <w:p w14:paraId="18F5C8DF">
      <w:pPr>
        <w:numPr>
          <w:ilvl w:val="0"/>
          <w:numId w:val="15"/>
        </w:numPr>
        <w:tabs>
          <w:tab w:val="left" w:pos="0"/>
        </w:tabs>
        <w:bidi w:val="0"/>
        <w:ind w:left="425" w:leftChars="0" w:hanging="425" w:firstLineChars="0"/>
        <w:outlineLvl w:val="9"/>
        <w:rPr>
          <w:rFonts w:hint="eastAsia"/>
        </w:rPr>
      </w:pPr>
      <w:bookmarkStart w:id="29" w:name="_Toc28763"/>
      <w:r>
        <w:rPr>
          <w:rFonts w:hint="eastAsia"/>
        </w:rPr>
        <w:t>作业场所环境符合国家有关职业卫生标准；</w:t>
      </w:r>
      <w:bookmarkEnd w:id="29"/>
    </w:p>
    <w:p w14:paraId="781EDF0C">
      <w:pPr>
        <w:numPr>
          <w:ilvl w:val="0"/>
          <w:numId w:val="15"/>
        </w:numPr>
        <w:tabs>
          <w:tab w:val="left" w:pos="0"/>
        </w:tabs>
        <w:bidi w:val="0"/>
        <w:ind w:left="425" w:leftChars="0" w:hanging="425" w:firstLineChars="0"/>
        <w:outlineLvl w:val="9"/>
        <w:rPr>
          <w:rFonts w:hint="eastAsia"/>
        </w:rPr>
      </w:pPr>
      <w:bookmarkStart w:id="30" w:name="_Toc13498"/>
      <w:r>
        <w:rPr>
          <w:rFonts w:hint="eastAsia"/>
        </w:rPr>
        <w:t>劳动防护用品配置符合国家标准；</w:t>
      </w:r>
      <w:bookmarkEnd w:id="30"/>
    </w:p>
    <w:p w14:paraId="3D321902">
      <w:pPr>
        <w:numPr>
          <w:ilvl w:val="0"/>
          <w:numId w:val="15"/>
        </w:numPr>
        <w:tabs>
          <w:tab w:val="left" w:pos="0"/>
        </w:tabs>
        <w:bidi w:val="0"/>
        <w:ind w:left="425" w:leftChars="0" w:hanging="425" w:firstLineChars="0"/>
        <w:outlineLvl w:val="9"/>
        <w:rPr>
          <w:rFonts w:hint="eastAsia"/>
        </w:rPr>
      </w:pPr>
      <w:bookmarkStart w:id="31" w:name="_Toc21976"/>
      <w:r>
        <w:rPr>
          <w:rFonts w:hint="eastAsia"/>
        </w:rPr>
        <w:t>员工满意率90%以上；</w:t>
      </w:r>
      <w:bookmarkEnd w:id="31"/>
    </w:p>
    <w:p w14:paraId="390B2C4C">
      <w:pPr>
        <w:pStyle w:val="4"/>
        <w:bidi w:val="0"/>
        <w:rPr>
          <w:rFonts w:hint="eastAsia" w:ascii="宋体" w:hAnsi="宋体" w:eastAsia="宋体" w:cs="宋体"/>
        </w:rPr>
      </w:pPr>
      <w:r>
        <w:rPr>
          <w:rFonts w:hint="eastAsia" w:cs="宋体"/>
          <w:lang w:val="en-US" w:eastAsia="zh-CN"/>
        </w:rPr>
        <w:t>-</w:t>
      </w:r>
      <w:r>
        <w:rPr>
          <w:rFonts w:hint="eastAsia" w:ascii="宋体" w:hAnsi="宋体" w:eastAsia="宋体" w:cs="宋体"/>
        </w:rPr>
        <w:t>环境管理目标</w:t>
      </w:r>
    </w:p>
    <w:p w14:paraId="2CD26CF7">
      <w:pPr>
        <w:numPr>
          <w:ilvl w:val="0"/>
          <w:numId w:val="16"/>
        </w:numPr>
        <w:bidi w:val="0"/>
        <w:ind w:left="425" w:leftChars="0" w:hanging="425" w:firstLineChars="0"/>
        <w:rPr>
          <w:rFonts w:hint="eastAsia"/>
        </w:rPr>
      </w:pPr>
      <w:r>
        <w:rPr>
          <w:rFonts w:hint="eastAsia"/>
        </w:rPr>
        <w:t>不发生一般及以上环境污染事故，施工期间生活、建筑垃圾集中存放、妥善处理；</w:t>
      </w:r>
    </w:p>
    <w:p w14:paraId="2DECB18E">
      <w:pPr>
        <w:numPr>
          <w:ilvl w:val="0"/>
          <w:numId w:val="16"/>
        </w:numPr>
        <w:bidi w:val="0"/>
        <w:ind w:left="425" w:leftChars="0" w:hanging="425" w:firstLineChars="0"/>
        <w:rPr>
          <w:rFonts w:hint="eastAsia"/>
        </w:rPr>
      </w:pPr>
      <w:r>
        <w:rPr>
          <w:rFonts w:hint="eastAsia"/>
        </w:rPr>
        <w:t>水土保持工作按照批准的水土保持方案和审查意见全部实施；</w:t>
      </w:r>
    </w:p>
    <w:p w14:paraId="5FC22D43">
      <w:pPr>
        <w:numPr>
          <w:ilvl w:val="0"/>
          <w:numId w:val="16"/>
        </w:numPr>
        <w:bidi w:val="0"/>
        <w:ind w:left="425" w:leftChars="0" w:hanging="425" w:firstLineChars="0"/>
        <w:rPr>
          <w:rFonts w:hint="eastAsia"/>
        </w:rPr>
      </w:pPr>
      <w:r>
        <w:rPr>
          <w:rFonts w:hint="eastAsia"/>
        </w:rPr>
        <w:t>厂界噪声符合国家标准；</w:t>
      </w:r>
    </w:p>
    <w:p w14:paraId="0D11C285">
      <w:pPr>
        <w:numPr>
          <w:ilvl w:val="0"/>
          <w:numId w:val="16"/>
        </w:numPr>
        <w:bidi w:val="0"/>
        <w:ind w:left="425" w:leftChars="0" w:hanging="425" w:firstLineChars="0"/>
        <w:rPr>
          <w:rFonts w:hint="eastAsia"/>
        </w:rPr>
      </w:pPr>
      <w:r>
        <w:rPr>
          <w:rFonts w:hint="eastAsia"/>
        </w:rPr>
        <w:t>实现废水零排放；</w:t>
      </w:r>
    </w:p>
    <w:p w14:paraId="1D0003DB">
      <w:pPr>
        <w:numPr>
          <w:ilvl w:val="0"/>
          <w:numId w:val="16"/>
        </w:numPr>
        <w:bidi w:val="0"/>
        <w:ind w:left="425" w:leftChars="0" w:hanging="425" w:firstLineChars="0"/>
        <w:rPr>
          <w:rFonts w:hint="eastAsia"/>
        </w:rPr>
      </w:pPr>
      <w:r>
        <w:rPr>
          <w:rFonts w:hint="eastAsia"/>
        </w:rPr>
        <w:t>废气排放达到国家规定的工程所在地区的标准（氮氧化物、一氧化碳、烟尘、二氧化硫、汞及化合物）；</w:t>
      </w:r>
    </w:p>
    <w:p w14:paraId="00DE234C">
      <w:pPr>
        <w:numPr>
          <w:ilvl w:val="0"/>
          <w:numId w:val="16"/>
        </w:numPr>
        <w:bidi w:val="0"/>
        <w:ind w:left="425" w:leftChars="0" w:hanging="425" w:firstLineChars="0"/>
        <w:rPr>
          <w:rFonts w:hint="eastAsia"/>
        </w:rPr>
      </w:pPr>
      <w:r>
        <w:rPr>
          <w:rFonts w:hint="eastAsia"/>
        </w:rPr>
        <w:t>不发生相关方有效投诉事件。</w:t>
      </w:r>
    </w:p>
    <w:p w14:paraId="5F3DE6A1">
      <w:pPr>
        <w:numPr>
          <w:ilvl w:val="0"/>
          <w:numId w:val="16"/>
        </w:numPr>
        <w:bidi w:val="0"/>
        <w:ind w:left="425" w:leftChars="0" w:hanging="425" w:firstLineChars="0"/>
        <w:rPr>
          <w:rFonts w:hint="eastAsia"/>
        </w:rPr>
      </w:pPr>
      <w:r>
        <w:rPr>
          <w:rFonts w:hint="eastAsia"/>
        </w:rPr>
        <w:t>无相关方重大环境投诉。</w:t>
      </w:r>
    </w:p>
    <w:p w14:paraId="5460D997">
      <w:pPr>
        <w:pStyle w:val="4"/>
        <w:bidi w:val="0"/>
        <w:rPr>
          <w:rFonts w:hint="eastAsia" w:ascii="宋体" w:hAnsi="宋体" w:eastAsia="宋体" w:cs="宋体"/>
        </w:rPr>
      </w:pPr>
      <w:r>
        <w:rPr>
          <w:rFonts w:hint="eastAsia" w:ascii="宋体" w:hAnsi="宋体" w:eastAsia="宋体" w:cs="宋体"/>
        </w:rPr>
        <w:t>文明施工总体目标</w:t>
      </w:r>
    </w:p>
    <w:p w14:paraId="39BF6AC7">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按《绿色施工导则》规定，“四节一环保”贯穿于项目建设全过程。</w:t>
      </w:r>
    </w:p>
    <w:p w14:paraId="36B8F982">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施工现场安全生产标准化管理达到《国家电投安全目视化管理指南-火力发电分册》的有关标准和要求。</w:t>
      </w:r>
    </w:p>
    <w:p w14:paraId="0C997458">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文明施工达到“六化”标准：施工总平面模块化、现场设施标准化、工程施工程序化、文明区域责任化、作业行为规范化、环境卫生经常化。</w:t>
      </w:r>
    </w:p>
    <w:p w14:paraId="74103D47">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firstLine="0" w:firstLineChars="0"/>
        <w:textAlignment w:val="auto"/>
        <w:rPr>
          <w:rFonts w:hint="eastAsia"/>
        </w:rPr>
      </w:pPr>
      <w:r>
        <w:rPr>
          <w:rFonts w:hint="eastAsia"/>
        </w:rPr>
        <w:t>努力实现“零事故、零伤害、零污染”创建一流安全文明施工现场。</w:t>
      </w:r>
    </w:p>
    <w:p w14:paraId="0CFC22C4">
      <w:pPr>
        <w:pStyle w:val="4"/>
        <w:keepNext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质量管理目标</w:t>
      </w:r>
    </w:p>
    <w:p w14:paraId="14E2860B">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不发生较大及以上质量事故；避免一般质量事故。质量监督检查一次高水平通过。</w:t>
      </w:r>
    </w:p>
    <w:p w14:paraId="4CDFBC10">
      <w:pPr>
        <w:pStyle w:val="3"/>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32" w:name="_Toc2513"/>
      <w:r>
        <w:rPr>
          <w:rFonts w:hint="eastAsia" w:ascii="宋体" w:hAnsi="宋体" w:eastAsia="宋体" w:cs="宋体"/>
          <w:sz w:val="24"/>
          <w:szCs w:val="24"/>
        </w:rPr>
        <w:t>施工进度计划</w:t>
      </w:r>
      <w:bookmarkEnd w:id="32"/>
    </w:p>
    <w:p w14:paraId="25CEE5A8">
      <w:pPr>
        <w:bidi w:val="0"/>
        <w:rPr>
          <w:rFonts w:hint="eastAsia"/>
        </w:rPr>
      </w:pPr>
      <w:r>
        <w:rPr>
          <w:rFonts w:hint="eastAsia"/>
        </w:rPr>
        <w:t>塔吊</w:t>
      </w:r>
      <w:r>
        <w:rPr>
          <w:rFonts w:hint="eastAsia"/>
          <w:lang w:eastAsia="zh-CN"/>
        </w:rPr>
        <w:t>拆除</w:t>
      </w:r>
      <w:r>
        <w:rPr>
          <w:rFonts w:hint="eastAsia"/>
        </w:rPr>
        <w:t>时间</w:t>
      </w:r>
      <w:r>
        <w:rPr>
          <w:rFonts w:hint="eastAsia"/>
          <w:lang w:val="en-US" w:eastAsia="zh-CN"/>
        </w:rPr>
        <w:t>暂定</w:t>
      </w:r>
      <w:r>
        <w:rPr>
          <w:rFonts w:hint="eastAsia"/>
          <w:highlight w:val="yellow"/>
        </w:rPr>
        <w:t>于</w:t>
      </w:r>
      <w:r>
        <w:rPr>
          <w:rFonts w:hint="eastAsia"/>
          <w:color w:val="0000FF"/>
          <w:highlight w:val="yellow"/>
        </w:rPr>
        <w:t>202</w:t>
      </w:r>
      <w:r>
        <w:rPr>
          <w:rFonts w:hint="eastAsia"/>
          <w:color w:val="0000FF"/>
          <w:highlight w:val="yellow"/>
          <w:lang w:val="en-US" w:eastAsia="zh-CN"/>
        </w:rPr>
        <w:t>4</w:t>
      </w:r>
      <w:r>
        <w:rPr>
          <w:rFonts w:hint="eastAsia"/>
          <w:color w:val="0000FF"/>
          <w:highlight w:val="yellow"/>
        </w:rPr>
        <w:t>年</w:t>
      </w:r>
      <w:r>
        <w:rPr>
          <w:rFonts w:hint="eastAsia"/>
          <w:color w:val="0000FF"/>
          <w:highlight w:val="yellow"/>
          <w:lang w:val="en-US" w:eastAsia="zh-CN"/>
        </w:rPr>
        <w:t>10</w:t>
      </w:r>
      <w:r>
        <w:rPr>
          <w:rFonts w:hint="eastAsia"/>
          <w:color w:val="0000FF"/>
          <w:highlight w:val="yellow"/>
        </w:rPr>
        <w:t>月</w:t>
      </w:r>
      <w:r>
        <w:rPr>
          <w:rFonts w:hint="eastAsia"/>
          <w:color w:val="0000FF"/>
          <w:highlight w:val="yellow"/>
          <w:lang w:val="en-US" w:eastAsia="zh-CN"/>
        </w:rPr>
        <w:t>10</w:t>
      </w:r>
      <w:r>
        <w:rPr>
          <w:rFonts w:hint="eastAsia"/>
          <w:color w:val="0000FF"/>
          <w:highlight w:val="yellow"/>
        </w:rPr>
        <w:t>日至202</w:t>
      </w:r>
      <w:r>
        <w:rPr>
          <w:rFonts w:hint="eastAsia"/>
          <w:color w:val="0000FF"/>
          <w:highlight w:val="yellow"/>
          <w:lang w:val="en-US" w:eastAsia="zh-CN"/>
        </w:rPr>
        <w:t>4</w:t>
      </w:r>
      <w:r>
        <w:rPr>
          <w:rFonts w:hint="eastAsia"/>
          <w:color w:val="0000FF"/>
          <w:highlight w:val="yellow"/>
        </w:rPr>
        <w:t>年</w:t>
      </w:r>
      <w:r>
        <w:rPr>
          <w:rFonts w:hint="eastAsia"/>
          <w:color w:val="0000FF"/>
          <w:highlight w:val="yellow"/>
          <w:lang w:val="en-US" w:eastAsia="zh-CN"/>
        </w:rPr>
        <w:t>10</w:t>
      </w:r>
      <w:r>
        <w:rPr>
          <w:rFonts w:hint="eastAsia"/>
          <w:color w:val="0000FF"/>
          <w:highlight w:val="yellow"/>
        </w:rPr>
        <w:t>月</w:t>
      </w:r>
      <w:r>
        <w:rPr>
          <w:rFonts w:hint="eastAsia"/>
          <w:color w:val="0000FF"/>
          <w:highlight w:val="yellow"/>
          <w:lang w:val="en-US" w:eastAsia="zh-CN"/>
        </w:rPr>
        <w:t>17</w:t>
      </w:r>
      <w:r>
        <w:rPr>
          <w:rFonts w:hint="eastAsia"/>
          <w:color w:val="0000FF"/>
          <w:highlight w:val="yellow"/>
        </w:rPr>
        <w:t>日。</w:t>
      </w:r>
      <w:r>
        <w:rPr>
          <w:rFonts w:hint="eastAsia"/>
        </w:rPr>
        <w:t>单台</w:t>
      </w:r>
      <w:r>
        <w:rPr>
          <w:rFonts w:hint="eastAsia"/>
          <w:lang w:eastAsia="zh-CN"/>
        </w:rPr>
        <w:t>虎霸QTZp160（T6515-10）</w:t>
      </w:r>
      <w:r>
        <w:rPr>
          <w:rFonts w:hint="eastAsia"/>
        </w:rPr>
        <w:t>塔机</w:t>
      </w:r>
      <w:r>
        <w:rPr>
          <w:rFonts w:hint="eastAsia"/>
          <w:lang w:eastAsia="zh-CN"/>
        </w:rPr>
        <w:t>拆除</w:t>
      </w:r>
      <w:r>
        <w:rPr>
          <w:rFonts w:hint="eastAsia"/>
        </w:rPr>
        <w:t>的施工进度见下表，如遇天气等其他不可控因素，工期顺延。</w:t>
      </w:r>
    </w:p>
    <w:p w14:paraId="6E7065BB">
      <w:pPr>
        <w:pStyle w:val="13"/>
        <w:kinsoku/>
        <w:overflowPunct/>
        <w:topLinePunct w:val="0"/>
        <w:bidi w:val="0"/>
        <w:spacing w:line="360" w:lineRule="atLeast"/>
        <w:rPr>
          <w:rFonts w:hint="eastAsia" w:ascii="宋体" w:hAnsi="宋体" w:eastAsia="宋体" w:cs="宋体"/>
          <w:sz w:val="24"/>
          <w:szCs w:val="24"/>
        </w:rPr>
      </w:pPr>
      <w:r>
        <w:rPr>
          <w:rFonts w:hint="eastAsia" w:ascii="宋体" w:hAnsi="宋体" w:eastAsia="宋体" w:cs="宋体"/>
          <w:sz w:val="24"/>
          <w:szCs w:val="24"/>
        </w:rPr>
        <w:t>表3.2-1</w:t>
      </w:r>
      <w:r>
        <w:rPr>
          <w:rFonts w:hint="eastAsia" w:ascii="宋体" w:hAnsi="宋体" w:cs="宋体"/>
          <w:sz w:val="24"/>
          <w:szCs w:val="24"/>
          <w:lang w:eastAsia="zh-CN"/>
        </w:rPr>
        <w:t>拆除</w:t>
      </w:r>
      <w:r>
        <w:rPr>
          <w:rFonts w:hint="eastAsia" w:ascii="宋体" w:hAnsi="宋体" w:eastAsia="宋体" w:cs="宋体"/>
          <w:sz w:val="24"/>
          <w:szCs w:val="24"/>
        </w:rPr>
        <w:t>进度计划表</w:t>
      </w:r>
    </w:p>
    <w:tbl>
      <w:tblPr>
        <w:tblStyle w:val="124"/>
        <w:tblW w:w="967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09"/>
        <w:gridCol w:w="3950"/>
        <w:gridCol w:w="1760"/>
        <w:gridCol w:w="1364"/>
        <w:gridCol w:w="1791"/>
      </w:tblGrid>
      <w:tr w14:paraId="09F1DF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3" w:hRule="atLeast"/>
          <w:jc w:val="center"/>
        </w:trPr>
        <w:tc>
          <w:tcPr>
            <w:tcW w:w="809" w:type="dxa"/>
            <w:tcBorders>
              <w:tl2br w:val="nil"/>
              <w:tr2bl w:val="nil"/>
            </w:tcBorders>
            <w:shd w:val="clear" w:color="auto" w:fill="auto"/>
            <w:vAlign w:val="center"/>
          </w:tcPr>
          <w:p w14:paraId="2F076C39">
            <w:pPr>
              <w:pStyle w:val="49"/>
              <w:kinsoku/>
              <w:overflowPunct/>
              <w:topLinePunct w:val="0"/>
              <w:bidi w:val="0"/>
              <w:spacing w:line="360" w:lineRule="atLeast"/>
              <w:rPr>
                <w:rFonts w:hint="eastAsia" w:ascii="宋体" w:hAnsi="宋体" w:eastAsia="宋体" w:cs="宋体"/>
                <w:b/>
                <w:sz w:val="21"/>
                <w:szCs w:val="21"/>
              </w:rPr>
            </w:pPr>
            <w:r>
              <w:rPr>
                <w:rFonts w:hint="eastAsia" w:ascii="宋体" w:hAnsi="宋体" w:eastAsia="宋体" w:cs="宋体"/>
                <w:b/>
                <w:sz w:val="21"/>
                <w:szCs w:val="21"/>
              </w:rPr>
              <w:t>序号</w:t>
            </w:r>
          </w:p>
        </w:tc>
        <w:tc>
          <w:tcPr>
            <w:tcW w:w="3950" w:type="dxa"/>
            <w:tcBorders>
              <w:tl2br w:val="nil"/>
              <w:tr2bl w:val="nil"/>
            </w:tcBorders>
            <w:shd w:val="clear" w:color="auto" w:fill="auto"/>
            <w:vAlign w:val="center"/>
          </w:tcPr>
          <w:p w14:paraId="030D0B48">
            <w:pPr>
              <w:pStyle w:val="49"/>
              <w:kinsoku/>
              <w:overflowPunct/>
              <w:topLinePunct w:val="0"/>
              <w:bidi w:val="0"/>
              <w:spacing w:line="360" w:lineRule="atLeast"/>
              <w:rPr>
                <w:rFonts w:hint="eastAsia" w:ascii="宋体" w:hAnsi="宋体" w:eastAsia="宋体" w:cs="宋体"/>
                <w:b/>
                <w:sz w:val="21"/>
                <w:szCs w:val="21"/>
              </w:rPr>
            </w:pPr>
            <w:r>
              <w:rPr>
                <w:rFonts w:hint="eastAsia" w:cs="宋体"/>
                <w:b/>
                <w:sz w:val="21"/>
                <w:szCs w:val="21"/>
                <w:lang w:eastAsia="zh-CN"/>
              </w:rPr>
              <w:t>拆除</w:t>
            </w:r>
            <w:r>
              <w:rPr>
                <w:rFonts w:hint="eastAsia" w:ascii="宋体" w:hAnsi="宋体" w:eastAsia="宋体" w:cs="宋体"/>
                <w:b/>
                <w:sz w:val="21"/>
                <w:szCs w:val="21"/>
              </w:rPr>
              <w:t>内容</w:t>
            </w:r>
          </w:p>
        </w:tc>
        <w:tc>
          <w:tcPr>
            <w:tcW w:w="1760" w:type="dxa"/>
            <w:tcBorders>
              <w:tl2br w:val="nil"/>
              <w:tr2bl w:val="nil"/>
            </w:tcBorders>
            <w:shd w:val="clear" w:color="auto" w:fill="auto"/>
            <w:vAlign w:val="center"/>
          </w:tcPr>
          <w:p w14:paraId="1CFF4674">
            <w:pPr>
              <w:pStyle w:val="49"/>
              <w:kinsoku/>
              <w:overflowPunct/>
              <w:topLinePunct w:val="0"/>
              <w:bidi w:val="0"/>
              <w:spacing w:line="360" w:lineRule="atLeast"/>
              <w:rPr>
                <w:rFonts w:hint="eastAsia" w:ascii="宋体" w:hAnsi="宋体" w:eastAsia="宋体" w:cs="宋体"/>
                <w:b/>
                <w:sz w:val="21"/>
                <w:szCs w:val="21"/>
              </w:rPr>
            </w:pPr>
            <w:r>
              <w:rPr>
                <w:rFonts w:hint="eastAsia" w:ascii="宋体" w:hAnsi="宋体" w:eastAsia="宋体" w:cs="宋体"/>
                <w:b/>
                <w:sz w:val="21"/>
                <w:szCs w:val="21"/>
              </w:rPr>
              <w:t>关键设备</w:t>
            </w:r>
          </w:p>
        </w:tc>
        <w:tc>
          <w:tcPr>
            <w:tcW w:w="1364" w:type="dxa"/>
            <w:tcBorders>
              <w:tl2br w:val="nil"/>
              <w:tr2bl w:val="nil"/>
            </w:tcBorders>
            <w:shd w:val="clear" w:color="auto" w:fill="auto"/>
            <w:vAlign w:val="center"/>
          </w:tcPr>
          <w:p w14:paraId="19236A50">
            <w:pPr>
              <w:pStyle w:val="49"/>
              <w:kinsoku/>
              <w:overflowPunct/>
              <w:topLinePunct w:val="0"/>
              <w:bidi w:val="0"/>
              <w:spacing w:line="360" w:lineRule="atLeast"/>
              <w:rPr>
                <w:rFonts w:hint="eastAsia" w:ascii="宋体" w:hAnsi="宋体" w:eastAsia="宋体" w:cs="宋体"/>
                <w:b/>
                <w:sz w:val="21"/>
                <w:szCs w:val="21"/>
              </w:rPr>
            </w:pPr>
            <w:r>
              <w:rPr>
                <w:rFonts w:hint="eastAsia" w:ascii="宋体" w:hAnsi="宋体" w:eastAsia="宋体" w:cs="宋体"/>
                <w:b/>
                <w:sz w:val="21"/>
                <w:szCs w:val="21"/>
              </w:rPr>
              <w:t>时间（天）</w:t>
            </w:r>
          </w:p>
        </w:tc>
        <w:tc>
          <w:tcPr>
            <w:tcW w:w="1791" w:type="dxa"/>
            <w:tcBorders>
              <w:tl2br w:val="nil"/>
              <w:tr2bl w:val="nil"/>
            </w:tcBorders>
            <w:shd w:val="clear" w:color="auto" w:fill="auto"/>
            <w:vAlign w:val="center"/>
          </w:tcPr>
          <w:p w14:paraId="23F29472">
            <w:pPr>
              <w:pStyle w:val="49"/>
              <w:kinsoku/>
              <w:overflowPunct/>
              <w:topLinePunct w:val="0"/>
              <w:bidi w:val="0"/>
              <w:spacing w:line="360" w:lineRule="atLeast"/>
              <w:rPr>
                <w:rFonts w:hint="eastAsia" w:ascii="宋体" w:hAnsi="宋体" w:eastAsia="宋体" w:cs="宋体"/>
                <w:b/>
                <w:sz w:val="21"/>
                <w:szCs w:val="21"/>
              </w:rPr>
            </w:pPr>
            <w:r>
              <w:rPr>
                <w:rFonts w:hint="eastAsia" w:ascii="宋体" w:hAnsi="宋体" w:eastAsia="宋体" w:cs="宋体"/>
                <w:b/>
                <w:sz w:val="21"/>
                <w:szCs w:val="21"/>
              </w:rPr>
              <w:t>备注</w:t>
            </w:r>
          </w:p>
        </w:tc>
      </w:tr>
      <w:tr w14:paraId="1C17F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6" w:hRule="atLeast"/>
          <w:jc w:val="center"/>
        </w:trPr>
        <w:tc>
          <w:tcPr>
            <w:tcW w:w="809" w:type="dxa"/>
            <w:tcBorders>
              <w:tl2br w:val="nil"/>
              <w:tr2bl w:val="nil"/>
            </w:tcBorders>
            <w:vAlign w:val="center"/>
          </w:tcPr>
          <w:p w14:paraId="3694A7A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w:t>
            </w:r>
          </w:p>
        </w:tc>
        <w:tc>
          <w:tcPr>
            <w:tcW w:w="3950" w:type="dxa"/>
            <w:tcBorders>
              <w:tl2br w:val="nil"/>
              <w:tr2bl w:val="nil"/>
            </w:tcBorders>
            <w:vAlign w:val="center"/>
          </w:tcPr>
          <w:p w14:paraId="7F045298">
            <w:pPr>
              <w:spacing w:line="240" w:lineRule="auto"/>
              <w:ind w:firstLine="420" w:firstLineChars="200"/>
              <w:jc w:val="center"/>
              <w:rPr>
                <w:rFonts w:hint="eastAsia" w:ascii="宋体" w:hAnsi="宋体" w:eastAsia="宋体" w:cs="宋体"/>
                <w:sz w:val="21"/>
                <w:szCs w:val="21"/>
              </w:rPr>
            </w:pPr>
            <w:r>
              <w:rPr>
                <w:rFonts w:hint="eastAsia" w:ascii="Times New Roman" w:hAnsi="Times New Roman" w:cs="Times New Roman"/>
                <w:color w:val="auto"/>
                <w:sz w:val="21"/>
                <w:szCs w:val="22"/>
                <w:lang w:val="en-US" w:eastAsia="zh-CN"/>
              </w:rPr>
              <w:t>塔身降节</w:t>
            </w:r>
          </w:p>
        </w:tc>
        <w:tc>
          <w:tcPr>
            <w:tcW w:w="1760" w:type="dxa"/>
            <w:tcBorders>
              <w:tl2br w:val="nil"/>
              <w:tr2bl w:val="nil"/>
            </w:tcBorders>
            <w:vAlign w:val="center"/>
          </w:tcPr>
          <w:p w14:paraId="009F0A8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t>
            </w:r>
          </w:p>
        </w:tc>
        <w:tc>
          <w:tcPr>
            <w:tcW w:w="1364" w:type="dxa"/>
            <w:tcBorders>
              <w:tl2br w:val="nil"/>
              <w:tr2bl w:val="nil"/>
            </w:tcBorders>
            <w:vAlign w:val="center"/>
          </w:tcPr>
          <w:p w14:paraId="2F1E5E0A">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w:t>
            </w:r>
          </w:p>
        </w:tc>
        <w:tc>
          <w:tcPr>
            <w:tcW w:w="1791" w:type="dxa"/>
            <w:tcBorders>
              <w:tl2br w:val="nil"/>
              <w:tr2bl w:val="nil"/>
            </w:tcBorders>
            <w:vAlign w:val="center"/>
          </w:tcPr>
          <w:p w14:paraId="18930E2B">
            <w:pPr>
              <w:pStyle w:val="49"/>
              <w:kinsoku/>
              <w:overflowPunct/>
              <w:topLinePunct w:val="0"/>
              <w:bidi w:val="0"/>
              <w:spacing w:line="360" w:lineRule="atLeast"/>
              <w:rPr>
                <w:rFonts w:hint="eastAsia" w:ascii="宋体" w:hAnsi="宋体" w:eastAsia="宋体" w:cs="宋体"/>
                <w:sz w:val="21"/>
                <w:szCs w:val="21"/>
              </w:rPr>
            </w:pPr>
          </w:p>
        </w:tc>
      </w:tr>
      <w:tr w14:paraId="70BD89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8" w:hRule="atLeast"/>
          <w:jc w:val="center"/>
        </w:trPr>
        <w:tc>
          <w:tcPr>
            <w:tcW w:w="809" w:type="dxa"/>
            <w:tcBorders>
              <w:tl2br w:val="nil"/>
              <w:tr2bl w:val="nil"/>
            </w:tcBorders>
            <w:vAlign w:val="center"/>
          </w:tcPr>
          <w:p w14:paraId="366BD8C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w:t>
            </w:r>
          </w:p>
        </w:tc>
        <w:tc>
          <w:tcPr>
            <w:tcW w:w="3950" w:type="dxa"/>
            <w:tcBorders>
              <w:tl2br w:val="nil"/>
              <w:tr2bl w:val="nil"/>
            </w:tcBorders>
            <w:vAlign w:val="center"/>
          </w:tcPr>
          <w:p w14:paraId="57499F1A">
            <w:pPr>
              <w:spacing w:line="240" w:lineRule="auto"/>
              <w:ind w:firstLine="420" w:firstLineChars="200"/>
              <w:jc w:val="center"/>
              <w:rPr>
                <w:rFonts w:hint="eastAsia" w:ascii="宋体" w:hAnsi="宋体" w:eastAsia="宋体" w:cs="宋体"/>
                <w:sz w:val="21"/>
                <w:szCs w:val="21"/>
              </w:rPr>
            </w:pPr>
            <w:r>
              <w:rPr>
                <w:rFonts w:hint="eastAsia" w:ascii="Times New Roman" w:hAnsi="Times New Roman" w:cs="Times New Roman"/>
                <w:color w:val="auto"/>
                <w:sz w:val="21"/>
                <w:szCs w:val="22"/>
                <w:lang w:val="en-US" w:eastAsia="zh-CN"/>
              </w:rPr>
              <w:t>钢丝绳、配重、电气拆除</w:t>
            </w:r>
          </w:p>
        </w:tc>
        <w:tc>
          <w:tcPr>
            <w:tcW w:w="1760" w:type="dxa"/>
            <w:tcBorders>
              <w:tl2br w:val="nil"/>
              <w:tr2bl w:val="nil"/>
            </w:tcBorders>
            <w:vAlign w:val="center"/>
          </w:tcPr>
          <w:p w14:paraId="653C8D5F">
            <w:pPr>
              <w:pStyle w:val="49"/>
              <w:kinsoku/>
              <w:overflowPunct/>
              <w:topLinePunct w:val="0"/>
              <w:bidi w:val="0"/>
              <w:spacing w:line="360" w:lineRule="atLeast"/>
              <w:rPr>
                <w:rFonts w:hint="eastAsia" w:ascii="宋体" w:hAnsi="宋体" w:eastAsia="宋体" w:cs="宋体"/>
                <w:sz w:val="21"/>
                <w:szCs w:val="21"/>
                <w:lang w:eastAsia="zh-CN"/>
              </w:rPr>
            </w:pPr>
            <w:r>
              <w:rPr>
                <w:rFonts w:hint="eastAsia" w:cs="宋体"/>
                <w:sz w:val="21"/>
                <w:szCs w:val="21"/>
                <w:lang w:val="en-US" w:eastAsia="zh-CN"/>
              </w:rPr>
              <w:t>50</w:t>
            </w:r>
            <w:r>
              <w:rPr>
                <w:rFonts w:hint="eastAsia" w:cs="宋体"/>
                <w:sz w:val="21"/>
                <w:szCs w:val="21"/>
                <w:lang w:eastAsia="zh-CN"/>
              </w:rPr>
              <w:t>t汽车吊</w:t>
            </w:r>
          </w:p>
        </w:tc>
        <w:tc>
          <w:tcPr>
            <w:tcW w:w="1364" w:type="dxa"/>
            <w:tcBorders>
              <w:tl2br w:val="nil"/>
              <w:tr2bl w:val="nil"/>
            </w:tcBorders>
            <w:vAlign w:val="center"/>
          </w:tcPr>
          <w:p w14:paraId="4FFB094B">
            <w:pPr>
              <w:pStyle w:val="49"/>
              <w:kinsoku/>
              <w:overflowPunct/>
              <w:topLinePunct w:val="0"/>
              <w:bidi w:val="0"/>
              <w:spacing w:line="360" w:lineRule="atLeast"/>
              <w:rPr>
                <w:rFonts w:hint="eastAsia" w:ascii="宋体" w:hAnsi="宋体" w:eastAsia="宋体" w:cs="宋体"/>
                <w:sz w:val="21"/>
                <w:szCs w:val="21"/>
                <w:lang w:eastAsia="zh-CN"/>
              </w:rPr>
            </w:pPr>
            <w:r>
              <w:rPr>
                <w:rFonts w:hint="eastAsia" w:cs="宋体"/>
                <w:sz w:val="21"/>
                <w:szCs w:val="21"/>
                <w:lang w:val="en-US" w:eastAsia="zh-CN"/>
              </w:rPr>
              <w:t>1</w:t>
            </w:r>
          </w:p>
        </w:tc>
        <w:tc>
          <w:tcPr>
            <w:tcW w:w="1791" w:type="dxa"/>
            <w:tcBorders>
              <w:tl2br w:val="nil"/>
              <w:tr2bl w:val="nil"/>
            </w:tcBorders>
            <w:vAlign w:val="center"/>
          </w:tcPr>
          <w:p w14:paraId="68A7DEF9">
            <w:pPr>
              <w:pStyle w:val="49"/>
              <w:kinsoku/>
              <w:overflowPunct/>
              <w:topLinePunct w:val="0"/>
              <w:bidi w:val="0"/>
              <w:spacing w:line="360" w:lineRule="atLeast"/>
              <w:rPr>
                <w:rFonts w:hint="eastAsia" w:ascii="宋体" w:hAnsi="宋体" w:eastAsia="宋体" w:cs="宋体"/>
                <w:sz w:val="21"/>
                <w:szCs w:val="21"/>
              </w:rPr>
            </w:pPr>
          </w:p>
        </w:tc>
      </w:tr>
      <w:tr w14:paraId="674801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54" w:hRule="atLeast"/>
          <w:jc w:val="center"/>
        </w:trPr>
        <w:tc>
          <w:tcPr>
            <w:tcW w:w="809" w:type="dxa"/>
            <w:tcBorders>
              <w:tl2br w:val="nil"/>
              <w:tr2bl w:val="nil"/>
            </w:tcBorders>
            <w:vAlign w:val="center"/>
          </w:tcPr>
          <w:p w14:paraId="2A67E61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w:t>
            </w:r>
          </w:p>
        </w:tc>
        <w:tc>
          <w:tcPr>
            <w:tcW w:w="3950" w:type="dxa"/>
            <w:tcBorders>
              <w:tl2br w:val="nil"/>
              <w:tr2bl w:val="nil"/>
            </w:tcBorders>
            <w:vAlign w:val="center"/>
          </w:tcPr>
          <w:p w14:paraId="7E3266AB">
            <w:pPr>
              <w:spacing w:line="240" w:lineRule="auto"/>
              <w:ind w:firstLine="420" w:firstLineChars="200"/>
              <w:jc w:val="center"/>
              <w:rPr>
                <w:rFonts w:hint="eastAsia" w:ascii="宋体" w:hAnsi="宋体" w:eastAsia="宋体" w:cs="宋体"/>
                <w:sz w:val="21"/>
                <w:szCs w:val="21"/>
              </w:rPr>
            </w:pPr>
            <w:r>
              <w:rPr>
                <w:rFonts w:hint="eastAsia" w:ascii="Times New Roman" w:hAnsi="Times New Roman" w:cs="Times New Roman"/>
                <w:color w:val="auto"/>
                <w:sz w:val="21"/>
                <w:szCs w:val="22"/>
                <w:lang w:val="en-US" w:eastAsia="zh-CN"/>
              </w:rPr>
              <w:t>起重臂、平衡臂、塔顶拆除</w:t>
            </w:r>
          </w:p>
        </w:tc>
        <w:tc>
          <w:tcPr>
            <w:tcW w:w="1760" w:type="dxa"/>
            <w:tcBorders>
              <w:tl2br w:val="nil"/>
              <w:tr2bl w:val="nil"/>
            </w:tcBorders>
            <w:vAlign w:val="center"/>
          </w:tcPr>
          <w:p w14:paraId="5A045C6E">
            <w:pPr>
              <w:pStyle w:val="49"/>
              <w:kinsoku/>
              <w:overflowPunct/>
              <w:topLinePunct w:val="0"/>
              <w:bidi w:val="0"/>
              <w:spacing w:line="360" w:lineRule="atLeast"/>
              <w:rPr>
                <w:rFonts w:hint="eastAsia" w:ascii="宋体" w:hAnsi="宋体" w:eastAsia="宋体" w:cs="宋体"/>
                <w:sz w:val="21"/>
                <w:szCs w:val="21"/>
                <w:lang w:eastAsia="zh-CN"/>
              </w:rPr>
            </w:pPr>
            <w:r>
              <w:rPr>
                <w:rFonts w:hint="eastAsia" w:cs="宋体"/>
                <w:sz w:val="21"/>
                <w:szCs w:val="21"/>
                <w:lang w:val="en-US" w:eastAsia="zh-CN"/>
              </w:rPr>
              <w:t>50</w:t>
            </w:r>
            <w:r>
              <w:rPr>
                <w:rFonts w:hint="eastAsia" w:cs="宋体"/>
                <w:sz w:val="21"/>
                <w:szCs w:val="21"/>
                <w:lang w:eastAsia="zh-CN"/>
              </w:rPr>
              <w:t>t汽车吊</w:t>
            </w:r>
          </w:p>
        </w:tc>
        <w:tc>
          <w:tcPr>
            <w:tcW w:w="1364" w:type="dxa"/>
            <w:tcBorders>
              <w:tl2br w:val="nil"/>
              <w:tr2bl w:val="nil"/>
            </w:tcBorders>
            <w:vAlign w:val="center"/>
          </w:tcPr>
          <w:p w14:paraId="69F7D78C">
            <w:pPr>
              <w:pStyle w:val="49"/>
              <w:kinsoku/>
              <w:overflowPunct/>
              <w:topLinePunct w:val="0"/>
              <w:bidi w:val="0"/>
              <w:spacing w:line="360" w:lineRule="atLeast"/>
              <w:rPr>
                <w:rFonts w:hint="eastAsia" w:ascii="宋体" w:hAnsi="宋体" w:eastAsia="宋体" w:cs="宋体"/>
                <w:sz w:val="21"/>
                <w:szCs w:val="21"/>
                <w:lang w:eastAsia="zh-CN"/>
              </w:rPr>
            </w:pPr>
            <w:r>
              <w:rPr>
                <w:rFonts w:hint="eastAsia" w:cs="宋体"/>
                <w:sz w:val="21"/>
                <w:szCs w:val="21"/>
                <w:lang w:val="en-US" w:eastAsia="zh-CN"/>
              </w:rPr>
              <w:t>1</w:t>
            </w:r>
          </w:p>
        </w:tc>
        <w:tc>
          <w:tcPr>
            <w:tcW w:w="1791" w:type="dxa"/>
            <w:tcBorders>
              <w:tl2br w:val="nil"/>
              <w:tr2bl w:val="nil"/>
            </w:tcBorders>
            <w:vAlign w:val="center"/>
          </w:tcPr>
          <w:p w14:paraId="51CB62F8">
            <w:pPr>
              <w:pStyle w:val="49"/>
              <w:kinsoku/>
              <w:overflowPunct/>
              <w:topLinePunct w:val="0"/>
              <w:bidi w:val="0"/>
              <w:spacing w:line="360" w:lineRule="atLeast"/>
              <w:rPr>
                <w:rFonts w:hint="eastAsia" w:ascii="宋体" w:hAnsi="宋体" w:eastAsia="宋体" w:cs="宋体"/>
                <w:sz w:val="21"/>
                <w:szCs w:val="21"/>
              </w:rPr>
            </w:pPr>
          </w:p>
        </w:tc>
      </w:tr>
      <w:tr w14:paraId="6B1198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809" w:type="dxa"/>
            <w:tcBorders>
              <w:tl2br w:val="nil"/>
              <w:tr2bl w:val="nil"/>
            </w:tcBorders>
            <w:vAlign w:val="center"/>
          </w:tcPr>
          <w:p w14:paraId="0121F4EA">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w:t>
            </w:r>
          </w:p>
        </w:tc>
        <w:tc>
          <w:tcPr>
            <w:tcW w:w="3950" w:type="dxa"/>
            <w:tcBorders>
              <w:tl2br w:val="nil"/>
              <w:tr2bl w:val="nil"/>
            </w:tcBorders>
            <w:vAlign w:val="center"/>
          </w:tcPr>
          <w:p w14:paraId="4E3F19D1">
            <w:pPr>
              <w:spacing w:line="240" w:lineRule="auto"/>
              <w:ind w:firstLine="420" w:firstLineChars="200"/>
              <w:jc w:val="center"/>
              <w:rPr>
                <w:rFonts w:hint="eastAsia" w:ascii="宋体" w:hAnsi="宋体" w:eastAsia="宋体" w:cs="宋体"/>
                <w:sz w:val="21"/>
                <w:szCs w:val="21"/>
              </w:rPr>
            </w:pPr>
            <w:r>
              <w:rPr>
                <w:rFonts w:hint="eastAsia" w:ascii="Times New Roman" w:hAnsi="Times New Roman" w:cs="Times New Roman"/>
                <w:color w:val="auto"/>
                <w:sz w:val="21"/>
                <w:szCs w:val="22"/>
                <w:lang w:val="en-US" w:eastAsia="zh-CN"/>
              </w:rPr>
              <w:t>套架、回转总成拆除</w:t>
            </w:r>
          </w:p>
        </w:tc>
        <w:tc>
          <w:tcPr>
            <w:tcW w:w="1760" w:type="dxa"/>
            <w:tcBorders>
              <w:tl2br w:val="nil"/>
              <w:tr2bl w:val="nil"/>
            </w:tcBorders>
            <w:vAlign w:val="center"/>
          </w:tcPr>
          <w:p w14:paraId="3BBAEA98">
            <w:pPr>
              <w:pStyle w:val="49"/>
              <w:kinsoku/>
              <w:overflowPunct/>
              <w:topLinePunct w:val="0"/>
              <w:bidi w:val="0"/>
              <w:spacing w:line="360" w:lineRule="atLeast"/>
              <w:rPr>
                <w:rFonts w:hint="eastAsia" w:ascii="宋体" w:hAnsi="宋体" w:eastAsia="宋体" w:cs="宋体"/>
                <w:sz w:val="21"/>
                <w:szCs w:val="21"/>
                <w:lang w:eastAsia="zh-CN"/>
              </w:rPr>
            </w:pPr>
            <w:r>
              <w:rPr>
                <w:rFonts w:hint="eastAsia" w:cs="宋体"/>
                <w:sz w:val="21"/>
                <w:szCs w:val="21"/>
                <w:lang w:val="en-US" w:eastAsia="zh-CN"/>
              </w:rPr>
              <w:t>50</w:t>
            </w:r>
            <w:r>
              <w:rPr>
                <w:rFonts w:hint="eastAsia" w:cs="宋体"/>
                <w:sz w:val="21"/>
                <w:szCs w:val="21"/>
                <w:lang w:eastAsia="zh-CN"/>
              </w:rPr>
              <w:t>t汽车吊</w:t>
            </w:r>
          </w:p>
        </w:tc>
        <w:tc>
          <w:tcPr>
            <w:tcW w:w="1364" w:type="dxa"/>
            <w:tcBorders>
              <w:tl2br w:val="nil"/>
              <w:tr2bl w:val="nil"/>
            </w:tcBorders>
            <w:vAlign w:val="center"/>
          </w:tcPr>
          <w:p w14:paraId="2A3E8549">
            <w:pPr>
              <w:pStyle w:val="49"/>
              <w:kinsoku/>
              <w:overflowPunct/>
              <w:topLinePunct w:val="0"/>
              <w:bidi w:val="0"/>
              <w:spacing w:line="360" w:lineRule="atLeast"/>
              <w:rPr>
                <w:rFonts w:hint="eastAsia" w:ascii="宋体" w:hAnsi="宋体" w:eastAsia="宋体" w:cs="宋体"/>
                <w:sz w:val="21"/>
                <w:szCs w:val="21"/>
                <w:lang w:eastAsia="zh-CN"/>
              </w:rPr>
            </w:pPr>
            <w:r>
              <w:rPr>
                <w:rFonts w:hint="eastAsia" w:cs="宋体"/>
                <w:sz w:val="21"/>
                <w:szCs w:val="21"/>
                <w:lang w:val="en-US" w:eastAsia="zh-CN"/>
              </w:rPr>
              <w:t>1</w:t>
            </w:r>
          </w:p>
        </w:tc>
        <w:tc>
          <w:tcPr>
            <w:tcW w:w="1791" w:type="dxa"/>
            <w:tcBorders>
              <w:tl2br w:val="nil"/>
              <w:tr2bl w:val="nil"/>
            </w:tcBorders>
            <w:vAlign w:val="center"/>
          </w:tcPr>
          <w:p w14:paraId="397D86E1">
            <w:pPr>
              <w:pStyle w:val="49"/>
              <w:kinsoku/>
              <w:overflowPunct/>
              <w:topLinePunct w:val="0"/>
              <w:bidi w:val="0"/>
              <w:spacing w:line="360" w:lineRule="atLeast"/>
              <w:rPr>
                <w:rFonts w:hint="eastAsia" w:ascii="宋体" w:hAnsi="宋体" w:eastAsia="宋体" w:cs="宋体"/>
                <w:sz w:val="21"/>
                <w:szCs w:val="21"/>
              </w:rPr>
            </w:pPr>
          </w:p>
        </w:tc>
      </w:tr>
      <w:tr w14:paraId="2ABD3A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09" w:type="dxa"/>
            <w:tcBorders>
              <w:tl2br w:val="nil"/>
              <w:tr2bl w:val="nil"/>
            </w:tcBorders>
            <w:vAlign w:val="center"/>
          </w:tcPr>
          <w:p w14:paraId="1A7E394C">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w:t>
            </w:r>
          </w:p>
        </w:tc>
        <w:tc>
          <w:tcPr>
            <w:tcW w:w="3950" w:type="dxa"/>
            <w:tcBorders>
              <w:tl2br w:val="nil"/>
              <w:tr2bl w:val="nil"/>
            </w:tcBorders>
            <w:vAlign w:val="center"/>
          </w:tcPr>
          <w:p w14:paraId="7946E4FC">
            <w:pPr>
              <w:spacing w:line="240" w:lineRule="auto"/>
              <w:ind w:firstLine="420" w:firstLineChars="200"/>
              <w:jc w:val="center"/>
              <w:rPr>
                <w:rFonts w:hint="eastAsia" w:ascii="宋体" w:hAnsi="宋体" w:eastAsia="宋体" w:cs="宋体"/>
                <w:sz w:val="21"/>
                <w:szCs w:val="21"/>
              </w:rPr>
            </w:pPr>
            <w:r>
              <w:rPr>
                <w:rFonts w:hint="eastAsia" w:ascii="Times New Roman" w:hAnsi="Times New Roman" w:cs="Times New Roman"/>
                <w:color w:val="auto"/>
                <w:sz w:val="21"/>
                <w:szCs w:val="22"/>
                <w:lang w:val="en-US" w:eastAsia="zh-CN"/>
              </w:rPr>
              <w:t>基础节、标准节拆除</w:t>
            </w:r>
          </w:p>
        </w:tc>
        <w:tc>
          <w:tcPr>
            <w:tcW w:w="1760" w:type="dxa"/>
            <w:tcBorders>
              <w:tl2br w:val="nil"/>
              <w:tr2bl w:val="nil"/>
            </w:tcBorders>
            <w:vAlign w:val="center"/>
          </w:tcPr>
          <w:p w14:paraId="09A494FE">
            <w:pPr>
              <w:pStyle w:val="49"/>
              <w:kinsoku/>
              <w:overflowPunct/>
              <w:topLinePunct w:val="0"/>
              <w:bidi w:val="0"/>
              <w:spacing w:line="360" w:lineRule="atLeast"/>
              <w:rPr>
                <w:rFonts w:hint="eastAsia" w:ascii="宋体" w:hAnsi="宋体" w:eastAsia="宋体" w:cs="宋体"/>
                <w:sz w:val="21"/>
                <w:szCs w:val="21"/>
                <w:lang w:eastAsia="zh-CN"/>
              </w:rPr>
            </w:pPr>
            <w:r>
              <w:rPr>
                <w:rFonts w:hint="eastAsia" w:cs="宋体"/>
                <w:sz w:val="21"/>
                <w:szCs w:val="21"/>
                <w:lang w:val="en-US" w:eastAsia="zh-CN"/>
              </w:rPr>
              <w:t>50</w:t>
            </w:r>
            <w:r>
              <w:rPr>
                <w:rFonts w:hint="eastAsia" w:cs="宋体"/>
                <w:sz w:val="21"/>
                <w:szCs w:val="21"/>
                <w:lang w:eastAsia="zh-CN"/>
              </w:rPr>
              <w:t>t汽车吊</w:t>
            </w:r>
          </w:p>
        </w:tc>
        <w:tc>
          <w:tcPr>
            <w:tcW w:w="1364" w:type="dxa"/>
            <w:tcBorders>
              <w:tl2br w:val="nil"/>
              <w:tr2bl w:val="nil"/>
            </w:tcBorders>
            <w:vAlign w:val="center"/>
          </w:tcPr>
          <w:p w14:paraId="3E2C81E6">
            <w:pPr>
              <w:pStyle w:val="49"/>
              <w:kinsoku/>
              <w:overflowPunct/>
              <w:topLinePunct w:val="0"/>
              <w:bidi w:val="0"/>
              <w:spacing w:line="360" w:lineRule="atLeast"/>
              <w:rPr>
                <w:rFonts w:hint="eastAsia" w:ascii="宋体" w:hAnsi="宋体" w:eastAsia="宋体" w:cs="宋体"/>
                <w:sz w:val="21"/>
                <w:szCs w:val="21"/>
                <w:lang w:eastAsia="zh-CN"/>
              </w:rPr>
            </w:pPr>
            <w:r>
              <w:rPr>
                <w:rFonts w:hint="eastAsia" w:cs="宋体"/>
                <w:sz w:val="21"/>
                <w:szCs w:val="21"/>
                <w:lang w:val="en-US" w:eastAsia="zh-CN"/>
              </w:rPr>
              <w:t>1</w:t>
            </w:r>
          </w:p>
        </w:tc>
        <w:tc>
          <w:tcPr>
            <w:tcW w:w="1791" w:type="dxa"/>
            <w:tcBorders>
              <w:tl2br w:val="nil"/>
              <w:tr2bl w:val="nil"/>
            </w:tcBorders>
            <w:vAlign w:val="center"/>
          </w:tcPr>
          <w:p w14:paraId="30995B4D">
            <w:pPr>
              <w:pStyle w:val="49"/>
              <w:kinsoku/>
              <w:overflowPunct/>
              <w:topLinePunct w:val="0"/>
              <w:bidi w:val="0"/>
              <w:spacing w:line="360" w:lineRule="atLeast"/>
              <w:rPr>
                <w:rFonts w:hint="eastAsia" w:ascii="宋体" w:hAnsi="宋体" w:eastAsia="宋体" w:cs="宋体"/>
                <w:sz w:val="21"/>
                <w:szCs w:val="21"/>
              </w:rPr>
            </w:pPr>
          </w:p>
        </w:tc>
      </w:tr>
      <w:tr w14:paraId="2A837B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jc w:val="center"/>
        </w:trPr>
        <w:tc>
          <w:tcPr>
            <w:tcW w:w="809" w:type="dxa"/>
            <w:tcBorders>
              <w:tl2br w:val="nil"/>
              <w:tr2bl w:val="nil"/>
            </w:tcBorders>
            <w:vAlign w:val="center"/>
          </w:tcPr>
          <w:p w14:paraId="6E45BD09">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6</w:t>
            </w:r>
          </w:p>
        </w:tc>
        <w:tc>
          <w:tcPr>
            <w:tcW w:w="3950" w:type="dxa"/>
            <w:tcBorders>
              <w:tl2br w:val="nil"/>
              <w:tr2bl w:val="nil"/>
            </w:tcBorders>
            <w:vAlign w:val="center"/>
          </w:tcPr>
          <w:p w14:paraId="7552A52D">
            <w:pPr>
              <w:spacing w:line="240" w:lineRule="auto"/>
              <w:ind w:firstLine="420" w:firstLineChars="200"/>
              <w:jc w:val="center"/>
              <w:rPr>
                <w:rFonts w:hint="eastAsia" w:ascii="宋体" w:hAnsi="宋体" w:eastAsia="宋体" w:cs="宋体"/>
                <w:sz w:val="21"/>
                <w:szCs w:val="21"/>
              </w:rPr>
            </w:pPr>
            <w:r>
              <w:rPr>
                <w:rFonts w:hint="eastAsia" w:ascii="Times New Roman" w:hAnsi="Times New Roman" w:cs="Times New Roman"/>
                <w:color w:val="auto"/>
                <w:sz w:val="21"/>
                <w:szCs w:val="22"/>
                <w:lang w:val="en-US" w:eastAsia="zh-CN"/>
              </w:rPr>
              <w:t>附着装置拆除</w:t>
            </w:r>
          </w:p>
        </w:tc>
        <w:tc>
          <w:tcPr>
            <w:tcW w:w="1760" w:type="dxa"/>
            <w:tcBorders>
              <w:tl2br w:val="nil"/>
              <w:tr2bl w:val="nil"/>
            </w:tcBorders>
            <w:vAlign w:val="center"/>
          </w:tcPr>
          <w:p w14:paraId="7C7F80AC">
            <w:pPr>
              <w:pStyle w:val="49"/>
              <w:kinsoku/>
              <w:overflowPunct/>
              <w:topLinePunct w:val="0"/>
              <w:bidi w:val="0"/>
              <w:spacing w:line="360" w:lineRule="atLeast"/>
              <w:rPr>
                <w:rFonts w:hint="eastAsia" w:ascii="宋体" w:hAnsi="宋体" w:eastAsia="宋体" w:cs="宋体"/>
                <w:sz w:val="21"/>
                <w:szCs w:val="21"/>
              </w:rPr>
            </w:pPr>
          </w:p>
        </w:tc>
        <w:tc>
          <w:tcPr>
            <w:tcW w:w="1364" w:type="dxa"/>
            <w:tcBorders>
              <w:tl2br w:val="nil"/>
              <w:tr2bl w:val="nil"/>
            </w:tcBorders>
            <w:vAlign w:val="center"/>
          </w:tcPr>
          <w:p w14:paraId="30033360">
            <w:pPr>
              <w:pStyle w:val="49"/>
              <w:kinsoku/>
              <w:overflowPunct/>
              <w:topLinePunct w:val="0"/>
              <w:bidi w:val="0"/>
              <w:spacing w:line="360" w:lineRule="atLeast"/>
              <w:rPr>
                <w:rFonts w:hint="eastAsia" w:ascii="宋体" w:hAnsi="宋体" w:eastAsia="宋体" w:cs="宋体"/>
                <w:sz w:val="21"/>
                <w:szCs w:val="21"/>
                <w:lang w:eastAsia="zh-CN"/>
              </w:rPr>
            </w:pPr>
            <w:r>
              <w:rPr>
                <w:rFonts w:hint="eastAsia" w:cs="宋体"/>
                <w:sz w:val="21"/>
                <w:szCs w:val="21"/>
                <w:lang w:val="en-US" w:eastAsia="zh-CN"/>
              </w:rPr>
              <w:t>2</w:t>
            </w:r>
          </w:p>
        </w:tc>
        <w:tc>
          <w:tcPr>
            <w:tcW w:w="1791" w:type="dxa"/>
            <w:tcBorders>
              <w:tl2br w:val="nil"/>
              <w:tr2bl w:val="nil"/>
            </w:tcBorders>
            <w:vAlign w:val="center"/>
          </w:tcPr>
          <w:p w14:paraId="2A9F28D8">
            <w:pPr>
              <w:pStyle w:val="49"/>
              <w:kinsoku/>
              <w:overflowPunct/>
              <w:topLinePunct w:val="0"/>
              <w:bidi w:val="0"/>
              <w:spacing w:line="360" w:lineRule="atLeast"/>
              <w:rPr>
                <w:rFonts w:hint="eastAsia" w:ascii="宋体" w:hAnsi="宋体" w:eastAsia="宋体" w:cs="宋体"/>
                <w:sz w:val="21"/>
                <w:szCs w:val="21"/>
              </w:rPr>
            </w:pPr>
          </w:p>
        </w:tc>
      </w:tr>
      <w:tr w14:paraId="4373AD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jc w:val="center"/>
        </w:trPr>
        <w:tc>
          <w:tcPr>
            <w:tcW w:w="809" w:type="dxa"/>
            <w:tcBorders>
              <w:tl2br w:val="nil"/>
              <w:tr2bl w:val="nil"/>
            </w:tcBorders>
            <w:vAlign w:val="center"/>
          </w:tcPr>
          <w:p w14:paraId="2C1694B0">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7</w:t>
            </w:r>
          </w:p>
        </w:tc>
        <w:tc>
          <w:tcPr>
            <w:tcW w:w="3950" w:type="dxa"/>
            <w:tcBorders>
              <w:tl2br w:val="nil"/>
              <w:tr2bl w:val="nil"/>
            </w:tcBorders>
            <w:vAlign w:val="center"/>
          </w:tcPr>
          <w:p w14:paraId="4AC13CA6">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试吊验收</w:t>
            </w:r>
          </w:p>
        </w:tc>
        <w:tc>
          <w:tcPr>
            <w:tcW w:w="1760" w:type="dxa"/>
            <w:tcBorders>
              <w:tl2br w:val="nil"/>
              <w:tr2bl w:val="nil"/>
            </w:tcBorders>
            <w:vAlign w:val="center"/>
          </w:tcPr>
          <w:p w14:paraId="0C9F7A3F">
            <w:pPr>
              <w:pStyle w:val="49"/>
              <w:kinsoku/>
              <w:overflowPunct/>
              <w:topLinePunct w:val="0"/>
              <w:bidi w:val="0"/>
              <w:spacing w:line="360" w:lineRule="atLeast"/>
              <w:rPr>
                <w:rFonts w:hint="eastAsia" w:ascii="宋体" w:hAnsi="宋体" w:eastAsia="宋体" w:cs="宋体"/>
                <w:sz w:val="21"/>
                <w:szCs w:val="21"/>
              </w:rPr>
            </w:pPr>
          </w:p>
        </w:tc>
        <w:tc>
          <w:tcPr>
            <w:tcW w:w="1364" w:type="dxa"/>
            <w:tcBorders>
              <w:tl2br w:val="nil"/>
              <w:tr2bl w:val="nil"/>
            </w:tcBorders>
            <w:vAlign w:val="center"/>
          </w:tcPr>
          <w:p w14:paraId="4E8D870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w:t>
            </w:r>
          </w:p>
        </w:tc>
        <w:tc>
          <w:tcPr>
            <w:tcW w:w="1791" w:type="dxa"/>
            <w:tcBorders>
              <w:tl2br w:val="nil"/>
              <w:tr2bl w:val="nil"/>
            </w:tcBorders>
            <w:vAlign w:val="center"/>
          </w:tcPr>
          <w:p w14:paraId="7547BB9B">
            <w:pPr>
              <w:pStyle w:val="49"/>
              <w:kinsoku/>
              <w:overflowPunct/>
              <w:topLinePunct w:val="0"/>
              <w:bidi w:val="0"/>
              <w:spacing w:line="360" w:lineRule="atLeast"/>
              <w:rPr>
                <w:rFonts w:hint="eastAsia" w:ascii="宋体" w:hAnsi="宋体" w:eastAsia="宋体" w:cs="宋体"/>
                <w:sz w:val="21"/>
                <w:szCs w:val="21"/>
              </w:rPr>
            </w:pPr>
          </w:p>
        </w:tc>
      </w:tr>
      <w:tr w14:paraId="3AA103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5" w:hRule="atLeast"/>
          <w:jc w:val="center"/>
        </w:trPr>
        <w:tc>
          <w:tcPr>
            <w:tcW w:w="6519" w:type="dxa"/>
            <w:gridSpan w:val="3"/>
            <w:tcBorders>
              <w:tl2br w:val="nil"/>
              <w:tr2bl w:val="nil"/>
            </w:tcBorders>
            <w:vAlign w:val="center"/>
          </w:tcPr>
          <w:p w14:paraId="155B6E3E">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合计</w:t>
            </w:r>
          </w:p>
        </w:tc>
        <w:tc>
          <w:tcPr>
            <w:tcW w:w="1364" w:type="dxa"/>
            <w:tcBorders>
              <w:tl2br w:val="nil"/>
              <w:tr2bl w:val="nil"/>
            </w:tcBorders>
            <w:vAlign w:val="center"/>
          </w:tcPr>
          <w:p w14:paraId="2A01136A">
            <w:pPr>
              <w:pStyle w:val="49"/>
              <w:kinsoku/>
              <w:overflowPunct/>
              <w:topLinePunct w:val="0"/>
              <w:bidi w:val="0"/>
              <w:spacing w:line="360" w:lineRule="atLeast"/>
              <w:rPr>
                <w:rFonts w:hint="eastAsia" w:ascii="宋体" w:hAnsi="宋体" w:eastAsia="宋体" w:cs="宋体"/>
                <w:sz w:val="21"/>
                <w:szCs w:val="21"/>
                <w:lang w:eastAsia="zh-CN"/>
              </w:rPr>
            </w:pPr>
            <w:r>
              <w:rPr>
                <w:rFonts w:hint="eastAsia" w:cs="宋体"/>
                <w:sz w:val="21"/>
                <w:szCs w:val="21"/>
                <w:lang w:val="en-US" w:eastAsia="zh-CN"/>
              </w:rPr>
              <w:t>7</w:t>
            </w:r>
          </w:p>
        </w:tc>
        <w:tc>
          <w:tcPr>
            <w:tcW w:w="1791" w:type="dxa"/>
            <w:tcBorders>
              <w:tl2br w:val="nil"/>
              <w:tr2bl w:val="nil"/>
            </w:tcBorders>
            <w:vAlign w:val="center"/>
          </w:tcPr>
          <w:p w14:paraId="0A4C7711">
            <w:pPr>
              <w:pStyle w:val="49"/>
              <w:kinsoku/>
              <w:overflowPunct/>
              <w:topLinePunct w:val="0"/>
              <w:bidi w:val="0"/>
              <w:spacing w:line="360" w:lineRule="atLeast"/>
              <w:rPr>
                <w:rFonts w:hint="eastAsia" w:ascii="宋体" w:hAnsi="宋体" w:eastAsia="宋体" w:cs="宋体"/>
                <w:sz w:val="21"/>
                <w:szCs w:val="21"/>
              </w:rPr>
            </w:pPr>
          </w:p>
        </w:tc>
      </w:tr>
    </w:tbl>
    <w:p w14:paraId="11E50C4F">
      <w:pPr>
        <w:kinsoku/>
        <w:overflowPunct/>
        <w:topLinePunct w:val="0"/>
        <w:bidi w:val="0"/>
        <w:spacing w:line="360" w:lineRule="auto"/>
        <w:ind w:firstLine="480"/>
        <w:rPr>
          <w:rFonts w:hint="eastAsia" w:ascii="宋体" w:hAnsi="宋体" w:eastAsia="宋体" w:cs="宋体"/>
          <w:sz w:val="21"/>
          <w:szCs w:val="21"/>
        </w:rPr>
      </w:pPr>
      <w:r>
        <w:rPr>
          <w:rFonts w:hint="eastAsia" w:ascii="宋体" w:hAnsi="宋体" w:eastAsia="宋体" w:cs="宋体"/>
          <w:sz w:val="24"/>
          <w:szCs w:val="24"/>
        </w:rPr>
        <w:t>每台塔机附墙、顶升的施工进度见下表，如遇天气等其他不可控因素，工期顺延。</w:t>
      </w:r>
    </w:p>
    <w:p w14:paraId="2AECB1B5">
      <w:pPr>
        <w:pStyle w:val="13"/>
        <w:kinsoku/>
        <w:overflowPunct/>
        <w:topLinePunct w:val="0"/>
        <w:bidi w:val="0"/>
        <w:spacing w:line="360" w:lineRule="atLeast"/>
        <w:rPr>
          <w:rFonts w:hint="eastAsia" w:ascii="宋体" w:hAnsi="宋体" w:eastAsia="宋体" w:cs="宋体"/>
          <w:sz w:val="24"/>
          <w:szCs w:val="24"/>
        </w:rPr>
      </w:pPr>
      <w:r>
        <w:rPr>
          <w:rFonts w:hint="eastAsia" w:ascii="宋体" w:hAnsi="宋体" w:eastAsia="宋体" w:cs="宋体"/>
          <w:sz w:val="24"/>
          <w:szCs w:val="24"/>
        </w:rPr>
        <w:t>表3.2</w:t>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t>塔机附墙、顶升施工进度表</w:t>
      </w:r>
    </w:p>
    <w:tbl>
      <w:tblPr>
        <w:tblStyle w:val="124"/>
        <w:tblW w:w="968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544"/>
        <w:gridCol w:w="5221"/>
        <w:gridCol w:w="2923"/>
      </w:tblGrid>
      <w:tr w14:paraId="30C97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179" w:hRule="atLeast"/>
          <w:jc w:val="center"/>
        </w:trPr>
        <w:tc>
          <w:tcPr>
            <w:tcW w:w="1544" w:type="dxa"/>
            <w:tcBorders>
              <w:tl2br w:val="nil"/>
              <w:tr2bl w:val="nil"/>
            </w:tcBorders>
            <w:shd w:val="clear" w:color="auto" w:fill="auto"/>
            <w:vAlign w:val="center"/>
          </w:tcPr>
          <w:p w14:paraId="789F72F3">
            <w:pPr>
              <w:pStyle w:val="49"/>
              <w:kinsoku/>
              <w:overflowPunct/>
              <w:topLinePunct w:val="0"/>
              <w:bidi w:val="0"/>
              <w:spacing w:line="360" w:lineRule="atLeast"/>
              <w:rPr>
                <w:rFonts w:hint="eastAsia" w:ascii="宋体" w:hAnsi="宋体" w:eastAsia="宋体" w:cs="宋体"/>
                <w:b/>
                <w:sz w:val="21"/>
                <w:szCs w:val="21"/>
              </w:rPr>
            </w:pPr>
          </w:p>
        </w:tc>
        <w:tc>
          <w:tcPr>
            <w:tcW w:w="5221" w:type="dxa"/>
            <w:tcBorders>
              <w:tl2br w:val="nil"/>
              <w:tr2bl w:val="nil"/>
            </w:tcBorders>
            <w:shd w:val="clear" w:color="auto" w:fill="auto"/>
            <w:vAlign w:val="center"/>
          </w:tcPr>
          <w:p w14:paraId="67988DA9">
            <w:pPr>
              <w:pStyle w:val="49"/>
              <w:kinsoku/>
              <w:overflowPunct/>
              <w:topLinePunct w:val="0"/>
              <w:bidi w:val="0"/>
              <w:spacing w:line="360" w:lineRule="atLeast"/>
              <w:rPr>
                <w:rFonts w:hint="eastAsia" w:ascii="宋体" w:hAnsi="宋体" w:eastAsia="宋体" w:cs="宋体"/>
                <w:b/>
                <w:sz w:val="21"/>
                <w:szCs w:val="21"/>
              </w:rPr>
            </w:pPr>
            <w:r>
              <w:rPr>
                <w:rFonts w:hint="eastAsia" w:ascii="宋体" w:hAnsi="宋体" w:eastAsia="宋体" w:cs="宋体"/>
                <w:b/>
                <w:sz w:val="21"/>
                <w:szCs w:val="21"/>
              </w:rPr>
              <w:t>作业内容</w:t>
            </w:r>
          </w:p>
        </w:tc>
        <w:tc>
          <w:tcPr>
            <w:tcW w:w="2923" w:type="dxa"/>
            <w:tcBorders>
              <w:tl2br w:val="nil"/>
              <w:tr2bl w:val="nil"/>
            </w:tcBorders>
            <w:shd w:val="clear" w:color="auto" w:fill="auto"/>
            <w:vAlign w:val="center"/>
          </w:tcPr>
          <w:p w14:paraId="1624F69E">
            <w:pPr>
              <w:pStyle w:val="49"/>
              <w:kinsoku/>
              <w:overflowPunct/>
              <w:topLinePunct w:val="0"/>
              <w:bidi w:val="0"/>
              <w:spacing w:line="360" w:lineRule="atLeast"/>
              <w:rPr>
                <w:rFonts w:hint="eastAsia" w:ascii="宋体" w:hAnsi="宋体" w:eastAsia="宋体" w:cs="宋体"/>
                <w:b/>
                <w:sz w:val="21"/>
                <w:szCs w:val="21"/>
              </w:rPr>
            </w:pPr>
            <w:r>
              <w:rPr>
                <w:rFonts w:hint="eastAsia" w:ascii="宋体" w:hAnsi="宋体" w:eastAsia="宋体" w:cs="宋体"/>
                <w:b/>
                <w:sz w:val="21"/>
                <w:szCs w:val="21"/>
              </w:rPr>
              <w:t>备注</w:t>
            </w:r>
          </w:p>
        </w:tc>
      </w:tr>
      <w:tr w14:paraId="1CE0AC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544" w:type="dxa"/>
            <w:tcBorders>
              <w:tl2br w:val="nil"/>
              <w:tr2bl w:val="nil"/>
            </w:tcBorders>
            <w:shd w:val="clear" w:color="auto" w:fill="auto"/>
            <w:vAlign w:val="center"/>
          </w:tcPr>
          <w:p w14:paraId="12949515">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第一天</w:t>
            </w:r>
          </w:p>
        </w:tc>
        <w:tc>
          <w:tcPr>
            <w:tcW w:w="5221" w:type="dxa"/>
            <w:tcBorders>
              <w:tl2br w:val="nil"/>
              <w:tr2bl w:val="nil"/>
            </w:tcBorders>
            <w:shd w:val="clear" w:color="auto" w:fill="auto"/>
            <w:vAlign w:val="center"/>
          </w:tcPr>
          <w:p w14:paraId="48A3BCD5">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附着装置、标准节等零部件进场</w:t>
            </w:r>
          </w:p>
        </w:tc>
        <w:tc>
          <w:tcPr>
            <w:tcW w:w="2923" w:type="dxa"/>
            <w:tcBorders>
              <w:tl2br w:val="nil"/>
              <w:tr2bl w:val="nil"/>
            </w:tcBorders>
            <w:shd w:val="clear" w:color="auto" w:fill="auto"/>
            <w:vAlign w:val="center"/>
          </w:tcPr>
          <w:p w14:paraId="253BC4E0">
            <w:pPr>
              <w:pStyle w:val="49"/>
              <w:kinsoku/>
              <w:overflowPunct/>
              <w:topLinePunct w:val="0"/>
              <w:bidi w:val="0"/>
              <w:spacing w:line="360" w:lineRule="atLeast"/>
              <w:rPr>
                <w:rFonts w:hint="eastAsia" w:ascii="宋体" w:hAnsi="宋体" w:eastAsia="宋体" w:cs="宋体"/>
                <w:sz w:val="21"/>
                <w:szCs w:val="21"/>
              </w:rPr>
            </w:pPr>
          </w:p>
        </w:tc>
      </w:tr>
      <w:tr w14:paraId="2FA99A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44" w:hRule="atLeast"/>
          <w:jc w:val="center"/>
        </w:trPr>
        <w:tc>
          <w:tcPr>
            <w:tcW w:w="1544" w:type="dxa"/>
            <w:tcBorders>
              <w:tl2br w:val="nil"/>
              <w:tr2bl w:val="nil"/>
            </w:tcBorders>
            <w:shd w:val="clear" w:color="auto" w:fill="auto"/>
            <w:vAlign w:val="center"/>
          </w:tcPr>
          <w:p w14:paraId="05F37F0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第二天</w:t>
            </w:r>
          </w:p>
        </w:tc>
        <w:tc>
          <w:tcPr>
            <w:tcW w:w="5221" w:type="dxa"/>
            <w:tcBorders>
              <w:tl2br w:val="nil"/>
              <w:tr2bl w:val="nil"/>
            </w:tcBorders>
            <w:shd w:val="clear" w:color="auto" w:fill="auto"/>
            <w:vAlign w:val="center"/>
          </w:tcPr>
          <w:p w14:paraId="11B72715">
            <w:pPr>
              <w:pStyle w:val="49"/>
              <w:kinsoku/>
              <w:overflowPunct/>
              <w:topLinePunct w:val="0"/>
              <w:bidi w:val="0"/>
              <w:spacing w:line="360" w:lineRule="atLeast"/>
              <w:rPr>
                <w:rFonts w:hint="eastAsia" w:ascii="宋体" w:hAnsi="宋体" w:eastAsia="宋体" w:cs="宋体"/>
                <w:sz w:val="21"/>
                <w:szCs w:val="21"/>
              </w:rPr>
            </w:pPr>
            <w:r>
              <w:rPr>
                <w:rFonts w:hint="eastAsia" w:cs="宋体"/>
                <w:sz w:val="21"/>
                <w:szCs w:val="21"/>
                <w:lang w:eastAsia="zh-CN"/>
              </w:rPr>
              <w:t>拆除</w:t>
            </w:r>
            <w:r>
              <w:rPr>
                <w:rFonts w:hint="eastAsia" w:ascii="宋体" w:hAnsi="宋体" w:eastAsia="宋体" w:cs="宋体"/>
                <w:sz w:val="21"/>
                <w:szCs w:val="21"/>
              </w:rPr>
              <w:t>附着装置，校验塔身垂直度，顶升</w:t>
            </w:r>
          </w:p>
        </w:tc>
        <w:tc>
          <w:tcPr>
            <w:tcW w:w="2923" w:type="dxa"/>
            <w:tcBorders>
              <w:tl2br w:val="nil"/>
              <w:tr2bl w:val="nil"/>
            </w:tcBorders>
            <w:shd w:val="clear" w:color="auto" w:fill="auto"/>
            <w:vAlign w:val="center"/>
          </w:tcPr>
          <w:p w14:paraId="3A68B16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当天风速小于4级风</w:t>
            </w:r>
          </w:p>
        </w:tc>
      </w:tr>
    </w:tbl>
    <w:p w14:paraId="13131626">
      <w:pPr>
        <w:pStyle w:val="3"/>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33" w:name="_Toc5563"/>
      <w:r>
        <w:rPr>
          <w:rFonts w:hint="eastAsia" w:ascii="宋体" w:hAnsi="宋体" w:eastAsia="宋体" w:cs="宋体"/>
          <w:sz w:val="24"/>
          <w:szCs w:val="24"/>
        </w:rPr>
        <w:t>材料及设备计划</w:t>
      </w:r>
      <w:bookmarkEnd w:id="33"/>
    </w:p>
    <w:p w14:paraId="3776F2B7">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为保证现场设备</w:t>
      </w:r>
      <w:r>
        <w:rPr>
          <w:rFonts w:hint="eastAsia" w:cs="宋体"/>
          <w:sz w:val="24"/>
          <w:szCs w:val="24"/>
          <w:lang w:eastAsia="zh-CN"/>
        </w:rPr>
        <w:t>拆除</w:t>
      </w:r>
      <w:r>
        <w:rPr>
          <w:rFonts w:hint="eastAsia" w:ascii="宋体" w:hAnsi="宋体" w:eastAsia="宋体" w:cs="宋体"/>
          <w:sz w:val="24"/>
          <w:szCs w:val="24"/>
        </w:rPr>
        <w:t>，材料及设备计划下表</w:t>
      </w:r>
    </w:p>
    <w:p w14:paraId="5E403E8A">
      <w:pPr>
        <w:pStyle w:val="13"/>
        <w:kinsoku/>
        <w:overflowPunct/>
        <w:topLinePunct w:val="0"/>
        <w:bidi w:val="0"/>
        <w:spacing w:line="360" w:lineRule="atLeast"/>
        <w:rPr>
          <w:rFonts w:hint="eastAsia" w:ascii="宋体" w:hAnsi="宋体" w:eastAsia="宋体" w:cs="宋体"/>
          <w:sz w:val="24"/>
          <w:szCs w:val="24"/>
        </w:rPr>
      </w:pPr>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3.3</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材料及设备计划表</w:t>
      </w:r>
    </w:p>
    <w:tbl>
      <w:tblPr>
        <w:tblStyle w:val="124"/>
        <w:tblpPr w:leftFromText="180" w:rightFromText="180" w:vertAnchor="text" w:horzAnchor="margin" w:tblpXSpec="center" w:tblpY="86"/>
        <w:tblW w:w="970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1140"/>
        <w:gridCol w:w="2250"/>
        <w:gridCol w:w="2203"/>
        <w:gridCol w:w="1821"/>
        <w:gridCol w:w="2291"/>
      </w:tblGrid>
      <w:tr w14:paraId="494F61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0740BCE9">
            <w:pPr>
              <w:pStyle w:val="49"/>
              <w:kinsoku/>
              <w:overflowPunct/>
              <w:topLinePunct w:val="0"/>
              <w:bidi w:val="0"/>
              <w:spacing w:line="360" w:lineRule="atLeast"/>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序号</w:t>
            </w:r>
          </w:p>
        </w:tc>
        <w:tc>
          <w:tcPr>
            <w:tcW w:w="2250" w:type="dxa"/>
            <w:tcBorders>
              <w:tl2br w:val="nil"/>
              <w:tr2bl w:val="nil"/>
            </w:tcBorders>
            <w:shd w:val="clear" w:color="auto" w:fill="auto"/>
            <w:vAlign w:val="center"/>
          </w:tcPr>
          <w:p w14:paraId="2E733C8F">
            <w:pPr>
              <w:pStyle w:val="49"/>
              <w:kinsoku/>
              <w:overflowPunct/>
              <w:topLinePunct w:val="0"/>
              <w:bidi w:val="0"/>
              <w:spacing w:line="360" w:lineRule="atLeast"/>
              <w:ind w:firstLine="0" w:firstLineChars="0"/>
              <w:rPr>
                <w:rFonts w:hint="eastAsia" w:ascii="宋体" w:hAnsi="宋体" w:eastAsia="宋体" w:cs="宋体"/>
                <w:b/>
                <w:sz w:val="21"/>
                <w:szCs w:val="21"/>
              </w:rPr>
            </w:pPr>
            <w:r>
              <w:rPr>
                <w:rFonts w:hint="eastAsia" w:ascii="宋体" w:hAnsi="宋体" w:eastAsia="宋体" w:cs="宋体"/>
                <w:b/>
                <w:sz w:val="21"/>
                <w:szCs w:val="21"/>
              </w:rPr>
              <w:t>名称</w:t>
            </w:r>
          </w:p>
        </w:tc>
        <w:tc>
          <w:tcPr>
            <w:tcW w:w="2203" w:type="dxa"/>
            <w:tcBorders>
              <w:tl2br w:val="nil"/>
              <w:tr2bl w:val="nil"/>
            </w:tcBorders>
            <w:shd w:val="clear" w:color="auto" w:fill="auto"/>
            <w:vAlign w:val="center"/>
          </w:tcPr>
          <w:p w14:paraId="4DB82D25">
            <w:pPr>
              <w:pStyle w:val="49"/>
              <w:kinsoku/>
              <w:overflowPunct/>
              <w:topLinePunct w:val="0"/>
              <w:bidi w:val="0"/>
              <w:spacing w:line="360" w:lineRule="atLeast"/>
              <w:ind w:firstLine="0" w:firstLineChars="0"/>
              <w:rPr>
                <w:rFonts w:hint="eastAsia" w:ascii="宋体" w:hAnsi="宋体" w:eastAsia="宋体" w:cs="宋体"/>
                <w:b/>
                <w:sz w:val="21"/>
                <w:szCs w:val="21"/>
              </w:rPr>
            </w:pPr>
            <w:r>
              <w:rPr>
                <w:rFonts w:hint="eastAsia" w:ascii="宋体" w:hAnsi="宋体" w:eastAsia="宋体" w:cs="宋体"/>
                <w:b/>
                <w:sz w:val="21"/>
                <w:szCs w:val="21"/>
              </w:rPr>
              <w:t>规格</w:t>
            </w:r>
          </w:p>
        </w:tc>
        <w:tc>
          <w:tcPr>
            <w:tcW w:w="1821" w:type="dxa"/>
            <w:tcBorders>
              <w:tl2br w:val="nil"/>
              <w:tr2bl w:val="nil"/>
            </w:tcBorders>
            <w:shd w:val="clear" w:color="auto" w:fill="auto"/>
            <w:vAlign w:val="center"/>
          </w:tcPr>
          <w:p w14:paraId="61CC8940">
            <w:pPr>
              <w:pStyle w:val="49"/>
              <w:kinsoku/>
              <w:overflowPunct/>
              <w:topLinePunct w:val="0"/>
              <w:bidi w:val="0"/>
              <w:spacing w:line="360" w:lineRule="atLeast"/>
              <w:ind w:firstLine="0" w:firstLineChars="0"/>
              <w:rPr>
                <w:rFonts w:hint="eastAsia" w:ascii="宋体" w:hAnsi="宋体" w:eastAsia="宋体" w:cs="宋体"/>
                <w:b/>
                <w:sz w:val="21"/>
                <w:szCs w:val="21"/>
              </w:rPr>
            </w:pPr>
            <w:r>
              <w:rPr>
                <w:rFonts w:hint="eastAsia" w:ascii="宋体" w:hAnsi="宋体" w:eastAsia="宋体" w:cs="宋体"/>
                <w:b/>
                <w:sz w:val="21"/>
                <w:szCs w:val="21"/>
              </w:rPr>
              <w:t>数量</w:t>
            </w:r>
          </w:p>
        </w:tc>
        <w:tc>
          <w:tcPr>
            <w:tcW w:w="2291" w:type="dxa"/>
            <w:tcBorders>
              <w:tl2br w:val="nil"/>
              <w:tr2bl w:val="nil"/>
            </w:tcBorders>
            <w:shd w:val="clear" w:color="auto" w:fill="auto"/>
            <w:vAlign w:val="center"/>
          </w:tcPr>
          <w:p w14:paraId="10898F16">
            <w:pPr>
              <w:pStyle w:val="49"/>
              <w:kinsoku/>
              <w:overflowPunct/>
              <w:topLinePunct w:val="0"/>
              <w:bidi w:val="0"/>
              <w:spacing w:line="360" w:lineRule="atLeast"/>
              <w:ind w:firstLine="0" w:firstLineChars="0"/>
              <w:rPr>
                <w:rFonts w:hint="eastAsia" w:ascii="宋体" w:hAnsi="宋体" w:eastAsia="宋体" w:cs="宋体"/>
                <w:b/>
                <w:sz w:val="21"/>
                <w:szCs w:val="21"/>
              </w:rPr>
            </w:pPr>
            <w:r>
              <w:rPr>
                <w:rFonts w:hint="eastAsia" w:ascii="宋体" w:hAnsi="宋体" w:eastAsia="宋体" w:cs="宋体"/>
                <w:b/>
                <w:sz w:val="21"/>
                <w:szCs w:val="21"/>
              </w:rPr>
              <w:t>备注</w:t>
            </w:r>
          </w:p>
        </w:tc>
      </w:tr>
      <w:tr w14:paraId="398D00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6882C6BF">
            <w:pPr>
              <w:pStyle w:val="49"/>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2250" w:type="dxa"/>
            <w:tcBorders>
              <w:tl2br w:val="nil"/>
              <w:tr2bl w:val="nil"/>
            </w:tcBorders>
            <w:shd w:val="clear" w:color="auto" w:fill="auto"/>
            <w:vAlign w:val="center"/>
          </w:tcPr>
          <w:p w14:paraId="72BC2DC2">
            <w:pPr>
              <w:pStyle w:val="49"/>
              <w:kinsoku/>
              <w:overflowPunct/>
              <w:topLinePunct w:val="0"/>
              <w:bidi w:val="0"/>
              <w:spacing w:line="360" w:lineRule="atLeast"/>
              <w:ind w:firstLine="0" w:firstLineChars="0"/>
              <w:rPr>
                <w:rFonts w:hint="eastAsia" w:ascii="宋体" w:hAnsi="宋体" w:eastAsia="宋体" w:cs="宋体"/>
                <w:sz w:val="21"/>
                <w:szCs w:val="21"/>
                <w:lang w:eastAsia="zh-CN"/>
              </w:rPr>
            </w:pPr>
            <w:r>
              <w:rPr>
                <w:rFonts w:hint="eastAsia" w:ascii="宋体" w:hAnsi="宋体" w:eastAsia="宋体" w:cs="宋体"/>
                <w:sz w:val="21"/>
                <w:szCs w:val="21"/>
              </w:rPr>
              <w:t>辅助机械</w:t>
            </w:r>
          </w:p>
        </w:tc>
        <w:tc>
          <w:tcPr>
            <w:tcW w:w="2203" w:type="dxa"/>
            <w:tcBorders>
              <w:tl2br w:val="nil"/>
              <w:tr2bl w:val="nil"/>
            </w:tcBorders>
            <w:shd w:val="clear" w:color="auto" w:fill="auto"/>
            <w:vAlign w:val="center"/>
          </w:tcPr>
          <w:p w14:paraId="27B8D056">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cs="宋体"/>
                <w:sz w:val="21"/>
                <w:szCs w:val="21"/>
                <w:lang w:val="en-US" w:eastAsia="zh-CN"/>
              </w:rPr>
              <w:t>50</w:t>
            </w:r>
            <w:r>
              <w:rPr>
                <w:rFonts w:hint="eastAsia" w:cs="宋体"/>
                <w:sz w:val="21"/>
                <w:szCs w:val="21"/>
                <w:lang w:eastAsia="zh-CN"/>
              </w:rPr>
              <w:t>t汽车吊</w:t>
            </w:r>
          </w:p>
        </w:tc>
        <w:tc>
          <w:tcPr>
            <w:tcW w:w="1821" w:type="dxa"/>
            <w:tcBorders>
              <w:tl2br w:val="nil"/>
              <w:tr2bl w:val="nil"/>
            </w:tcBorders>
            <w:shd w:val="clear" w:color="auto" w:fill="auto"/>
            <w:vAlign w:val="center"/>
          </w:tcPr>
          <w:p w14:paraId="76AAA4D6">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1台</w:t>
            </w:r>
          </w:p>
        </w:tc>
        <w:tc>
          <w:tcPr>
            <w:tcW w:w="2291" w:type="dxa"/>
            <w:tcBorders>
              <w:tl2br w:val="nil"/>
              <w:tr2bl w:val="nil"/>
            </w:tcBorders>
            <w:shd w:val="clear" w:color="auto" w:fill="auto"/>
            <w:vAlign w:val="center"/>
          </w:tcPr>
          <w:p w14:paraId="497F9350">
            <w:pPr>
              <w:pStyle w:val="49"/>
              <w:kinsoku/>
              <w:overflowPunct/>
              <w:topLinePunct w:val="0"/>
              <w:bidi w:val="0"/>
              <w:spacing w:line="360" w:lineRule="atLeast"/>
              <w:ind w:firstLine="0" w:firstLineChars="0"/>
              <w:rPr>
                <w:rFonts w:hint="eastAsia" w:ascii="宋体" w:hAnsi="宋体" w:eastAsia="宋体" w:cs="宋体"/>
                <w:sz w:val="21"/>
                <w:szCs w:val="21"/>
                <w:lang w:eastAsia="zh-CN"/>
              </w:rPr>
            </w:pPr>
            <w:r>
              <w:rPr>
                <w:rFonts w:hint="eastAsia" w:cs="宋体"/>
                <w:sz w:val="21"/>
                <w:szCs w:val="21"/>
                <w:lang w:eastAsia="zh-CN"/>
              </w:rPr>
              <w:t>QTZp160（T6515-10）</w:t>
            </w:r>
            <w:r>
              <w:rPr>
                <w:rFonts w:hint="eastAsia" w:ascii="宋体" w:hAnsi="宋体" w:eastAsia="宋体" w:cs="宋体"/>
                <w:sz w:val="21"/>
                <w:szCs w:val="21"/>
              </w:rPr>
              <w:t>塔机</w:t>
            </w:r>
            <w:r>
              <w:rPr>
                <w:rFonts w:hint="eastAsia" w:cs="宋体"/>
                <w:sz w:val="21"/>
                <w:szCs w:val="21"/>
                <w:lang w:eastAsia="zh-CN"/>
              </w:rPr>
              <w:t>拆除</w:t>
            </w:r>
          </w:p>
        </w:tc>
      </w:tr>
      <w:tr w14:paraId="6593D9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51510216">
            <w:pPr>
              <w:pStyle w:val="49"/>
              <w:kinsoku/>
              <w:overflowPunct/>
              <w:topLinePunct w:val="0"/>
              <w:bidi w:val="0"/>
              <w:spacing w:line="360" w:lineRule="atLeast"/>
              <w:rPr>
                <w:rFonts w:hint="eastAsia" w:ascii="宋体" w:hAnsi="宋体" w:eastAsia="宋体" w:cs="宋体"/>
                <w:sz w:val="21"/>
                <w:szCs w:val="21"/>
                <w:lang w:val="en-US" w:eastAsia="zh-CN"/>
              </w:rPr>
            </w:pPr>
            <w:r>
              <w:rPr>
                <w:rFonts w:hint="eastAsia" w:cs="宋体"/>
                <w:sz w:val="21"/>
                <w:szCs w:val="21"/>
                <w:lang w:val="en-US" w:eastAsia="zh-CN"/>
              </w:rPr>
              <w:t>2</w:t>
            </w:r>
          </w:p>
        </w:tc>
        <w:tc>
          <w:tcPr>
            <w:tcW w:w="2250" w:type="dxa"/>
            <w:tcBorders>
              <w:tl2br w:val="nil"/>
              <w:tr2bl w:val="nil"/>
            </w:tcBorders>
            <w:shd w:val="clear" w:color="auto" w:fill="auto"/>
            <w:vAlign w:val="center"/>
          </w:tcPr>
          <w:p w14:paraId="2DC31515">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运输设备</w:t>
            </w:r>
          </w:p>
        </w:tc>
        <w:tc>
          <w:tcPr>
            <w:tcW w:w="2203" w:type="dxa"/>
            <w:tcBorders>
              <w:tl2br w:val="nil"/>
              <w:tr2bl w:val="nil"/>
            </w:tcBorders>
            <w:shd w:val="clear" w:color="auto" w:fill="auto"/>
            <w:vAlign w:val="center"/>
          </w:tcPr>
          <w:p w14:paraId="15CA30F2">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17米半挂车</w:t>
            </w:r>
          </w:p>
        </w:tc>
        <w:tc>
          <w:tcPr>
            <w:tcW w:w="1821" w:type="dxa"/>
            <w:tcBorders>
              <w:tl2br w:val="nil"/>
              <w:tr2bl w:val="nil"/>
            </w:tcBorders>
            <w:shd w:val="clear" w:color="auto" w:fill="auto"/>
            <w:vAlign w:val="center"/>
          </w:tcPr>
          <w:p w14:paraId="0653F4F7">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若干辆</w:t>
            </w:r>
          </w:p>
        </w:tc>
        <w:tc>
          <w:tcPr>
            <w:tcW w:w="2291" w:type="dxa"/>
            <w:tcBorders>
              <w:tl2br w:val="nil"/>
              <w:tr2bl w:val="nil"/>
            </w:tcBorders>
            <w:shd w:val="clear" w:color="auto" w:fill="auto"/>
            <w:vAlign w:val="center"/>
          </w:tcPr>
          <w:p w14:paraId="1E6BF070">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每台塔机进场</w:t>
            </w:r>
          </w:p>
        </w:tc>
      </w:tr>
      <w:tr w14:paraId="6469A8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122E7D7F">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cs="宋体"/>
                <w:sz w:val="21"/>
                <w:szCs w:val="21"/>
                <w:lang w:val="en-US" w:eastAsia="zh-CN"/>
              </w:rPr>
              <w:t>3</w:t>
            </w:r>
          </w:p>
        </w:tc>
        <w:tc>
          <w:tcPr>
            <w:tcW w:w="2250" w:type="dxa"/>
            <w:tcBorders>
              <w:tl2br w:val="nil"/>
              <w:tr2bl w:val="nil"/>
            </w:tcBorders>
            <w:shd w:val="clear" w:color="auto" w:fill="auto"/>
            <w:vAlign w:val="center"/>
          </w:tcPr>
          <w:p w14:paraId="7F466172">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大锤</w:t>
            </w:r>
          </w:p>
        </w:tc>
        <w:tc>
          <w:tcPr>
            <w:tcW w:w="2203" w:type="dxa"/>
            <w:tcBorders>
              <w:tl2br w:val="nil"/>
              <w:tr2bl w:val="nil"/>
            </w:tcBorders>
            <w:shd w:val="clear" w:color="auto" w:fill="auto"/>
            <w:vAlign w:val="center"/>
          </w:tcPr>
          <w:p w14:paraId="682523F9">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18LB</w:t>
            </w:r>
          </w:p>
        </w:tc>
        <w:tc>
          <w:tcPr>
            <w:tcW w:w="1821" w:type="dxa"/>
            <w:tcBorders>
              <w:tl2br w:val="nil"/>
              <w:tr2bl w:val="nil"/>
            </w:tcBorders>
            <w:shd w:val="clear" w:color="auto" w:fill="auto"/>
            <w:vAlign w:val="center"/>
          </w:tcPr>
          <w:p w14:paraId="73E7FB1D">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4把</w:t>
            </w:r>
          </w:p>
        </w:tc>
        <w:tc>
          <w:tcPr>
            <w:tcW w:w="2291" w:type="dxa"/>
            <w:tcBorders>
              <w:tl2br w:val="nil"/>
              <w:tr2bl w:val="nil"/>
            </w:tcBorders>
            <w:shd w:val="clear" w:color="auto" w:fill="auto"/>
            <w:vAlign w:val="center"/>
          </w:tcPr>
          <w:p w14:paraId="5AB1BD93">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4C806B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5E3C79E1">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cs="宋体"/>
                <w:sz w:val="21"/>
                <w:szCs w:val="21"/>
                <w:lang w:val="en-US" w:eastAsia="zh-CN"/>
              </w:rPr>
              <w:t>4</w:t>
            </w:r>
          </w:p>
        </w:tc>
        <w:tc>
          <w:tcPr>
            <w:tcW w:w="2250" w:type="dxa"/>
            <w:tcBorders>
              <w:tl2br w:val="nil"/>
              <w:tr2bl w:val="nil"/>
            </w:tcBorders>
            <w:shd w:val="clear" w:color="auto" w:fill="auto"/>
            <w:vAlign w:val="center"/>
          </w:tcPr>
          <w:p w14:paraId="3D31251F">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大锤</w:t>
            </w:r>
          </w:p>
        </w:tc>
        <w:tc>
          <w:tcPr>
            <w:tcW w:w="2203" w:type="dxa"/>
            <w:tcBorders>
              <w:tl2br w:val="nil"/>
              <w:tr2bl w:val="nil"/>
            </w:tcBorders>
            <w:shd w:val="clear" w:color="auto" w:fill="auto"/>
            <w:vAlign w:val="center"/>
          </w:tcPr>
          <w:p w14:paraId="0C3024CA">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22LB</w:t>
            </w:r>
          </w:p>
        </w:tc>
        <w:tc>
          <w:tcPr>
            <w:tcW w:w="1821" w:type="dxa"/>
            <w:tcBorders>
              <w:tl2br w:val="nil"/>
              <w:tr2bl w:val="nil"/>
            </w:tcBorders>
            <w:shd w:val="clear" w:color="auto" w:fill="auto"/>
            <w:vAlign w:val="center"/>
          </w:tcPr>
          <w:p w14:paraId="681BC1D5">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2把</w:t>
            </w:r>
          </w:p>
        </w:tc>
        <w:tc>
          <w:tcPr>
            <w:tcW w:w="2291" w:type="dxa"/>
            <w:tcBorders>
              <w:tl2br w:val="nil"/>
              <w:tr2bl w:val="nil"/>
            </w:tcBorders>
            <w:shd w:val="clear" w:color="auto" w:fill="auto"/>
            <w:vAlign w:val="center"/>
          </w:tcPr>
          <w:p w14:paraId="5254043F">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00D9C6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528FE691">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cs="宋体"/>
                <w:sz w:val="21"/>
                <w:szCs w:val="21"/>
                <w:lang w:val="en-US" w:eastAsia="zh-CN"/>
              </w:rPr>
              <w:t>5</w:t>
            </w:r>
          </w:p>
        </w:tc>
        <w:tc>
          <w:tcPr>
            <w:tcW w:w="2250" w:type="dxa"/>
            <w:tcBorders>
              <w:tl2br w:val="nil"/>
              <w:tr2bl w:val="nil"/>
            </w:tcBorders>
            <w:shd w:val="clear" w:color="auto" w:fill="auto"/>
            <w:vAlign w:val="center"/>
          </w:tcPr>
          <w:p w14:paraId="143C39E2">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八角铁锤</w:t>
            </w:r>
          </w:p>
        </w:tc>
        <w:tc>
          <w:tcPr>
            <w:tcW w:w="2203" w:type="dxa"/>
            <w:tcBorders>
              <w:tl2br w:val="nil"/>
              <w:tr2bl w:val="nil"/>
            </w:tcBorders>
            <w:shd w:val="clear" w:color="auto" w:fill="auto"/>
            <w:vAlign w:val="center"/>
          </w:tcPr>
          <w:p w14:paraId="1FD9DB25">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4磅</w:t>
            </w:r>
          </w:p>
        </w:tc>
        <w:tc>
          <w:tcPr>
            <w:tcW w:w="1821" w:type="dxa"/>
            <w:tcBorders>
              <w:tl2br w:val="nil"/>
              <w:tr2bl w:val="nil"/>
            </w:tcBorders>
            <w:shd w:val="clear" w:color="auto" w:fill="auto"/>
            <w:vAlign w:val="center"/>
          </w:tcPr>
          <w:p w14:paraId="63B687B0">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2把</w:t>
            </w:r>
          </w:p>
        </w:tc>
        <w:tc>
          <w:tcPr>
            <w:tcW w:w="2291" w:type="dxa"/>
            <w:tcBorders>
              <w:tl2br w:val="nil"/>
              <w:tr2bl w:val="nil"/>
            </w:tcBorders>
            <w:shd w:val="clear" w:color="auto" w:fill="auto"/>
            <w:vAlign w:val="center"/>
          </w:tcPr>
          <w:p w14:paraId="0549CD18">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7FA800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1B04E4EF">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cs="宋体"/>
                <w:sz w:val="21"/>
                <w:szCs w:val="21"/>
                <w:lang w:val="en-US" w:eastAsia="zh-CN"/>
              </w:rPr>
              <w:t>6</w:t>
            </w:r>
          </w:p>
        </w:tc>
        <w:tc>
          <w:tcPr>
            <w:tcW w:w="2250" w:type="dxa"/>
            <w:tcBorders>
              <w:tl2br w:val="nil"/>
              <w:tr2bl w:val="nil"/>
            </w:tcBorders>
            <w:shd w:val="clear" w:color="auto" w:fill="auto"/>
            <w:vAlign w:val="center"/>
          </w:tcPr>
          <w:p w14:paraId="3913A278">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手拉葫芦</w:t>
            </w:r>
          </w:p>
        </w:tc>
        <w:tc>
          <w:tcPr>
            <w:tcW w:w="2203" w:type="dxa"/>
            <w:tcBorders>
              <w:tl2br w:val="nil"/>
              <w:tr2bl w:val="nil"/>
            </w:tcBorders>
            <w:shd w:val="clear" w:color="auto" w:fill="auto"/>
            <w:vAlign w:val="center"/>
          </w:tcPr>
          <w:p w14:paraId="06E198FA">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1T</w:t>
            </w:r>
          </w:p>
        </w:tc>
        <w:tc>
          <w:tcPr>
            <w:tcW w:w="1821" w:type="dxa"/>
            <w:tcBorders>
              <w:tl2br w:val="nil"/>
              <w:tr2bl w:val="nil"/>
            </w:tcBorders>
            <w:shd w:val="clear" w:color="auto" w:fill="auto"/>
            <w:vAlign w:val="center"/>
          </w:tcPr>
          <w:p w14:paraId="76F17518">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3套</w:t>
            </w:r>
          </w:p>
        </w:tc>
        <w:tc>
          <w:tcPr>
            <w:tcW w:w="2291" w:type="dxa"/>
            <w:tcBorders>
              <w:tl2br w:val="nil"/>
              <w:tr2bl w:val="nil"/>
            </w:tcBorders>
            <w:shd w:val="clear" w:color="auto" w:fill="auto"/>
            <w:vAlign w:val="center"/>
          </w:tcPr>
          <w:p w14:paraId="4DB4DB73">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2BBE88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40D67453">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cs="宋体"/>
                <w:sz w:val="21"/>
                <w:szCs w:val="21"/>
                <w:lang w:val="en-US" w:eastAsia="zh-CN"/>
              </w:rPr>
              <w:t>7</w:t>
            </w:r>
          </w:p>
        </w:tc>
        <w:tc>
          <w:tcPr>
            <w:tcW w:w="2250" w:type="dxa"/>
            <w:tcBorders>
              <w:tl2br w:val="nil"/>
              <w:tr2bl w:val="nil"/>
            </w:tcBorders>
            <w:shd w:val="clear" w:color="auto" w:fill="auto"/>
            <w:vAlign w:val="center"/>
          </w:tcPr>
          <w:p w14:paraId="39C0D248">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手拉葫芦</w:t>
            </w:r>
          </w:p>
        </w:tc>
        <w:tc>
          <w:tcPr>
            <w:tcW w:w="2203" w:type="dxa"/>
            <w:tcBorders>
              <w:tl2br w:val="nil"/>
              <w:tr2bl w:val="nil"/>
            </w:tcBorders>
            <w:shd w:val="clear" w:color="auto" w:fill="auto"/>
            <w:vAlign w:val="center"/>
          </w:tcPr>
          <w:p w14:paraId="00409F94">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3T</w:t>
            </w:r>
          </w:p>
        </w:tc>
        <w:tc>
          <w:tcPr>
            <w:tcW w:w="1821" w:type="dxa"/>
            <w:tcBorders>
              <w:tl2br w:val="nil"/>
              <w:tr2bl w:val="nil"/>
            </w:tcBorders>
            <w:shd w:val="clear" w:color="auto" w:fill="auto"/>
            <w:vAlign w:val="center"/>
          </w:tcPr>
          <w:p w14:paraId="1C2E7EC8">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1套</w:t>
            </w:r>
          </w:p>
        </w:tc>
        <w:tc>
          <w:tcPr>
            <w:tcW w:w="2291" w:type="dxa"/>
            <w:tcBorders>
              <w:tl2br w:val="nil"/>
              <w:tr2bl w:val="nil"/>
            </w:tcBorders>
            <w:shd w:val="clear" w:color="auto" w:fill="auto"/>
            <w:vAlign w:val="center"/>
          </w:tcPr>
          <w:p w14:paraId="6A3BFD5D">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4F02F4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7059B597">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cs="宋体"/>
                <w:sz w:val="21"/>
                <w:szCs w:val="21"/>
                <w:lang w:val="en-US" w:eastAsia="zh-CN"/>
              </w:rPr>
              <w:t>8</w:t>
            </w:r>
          </w:p>
        </w:tc>
        <w:tc>
          <w:tcPr>
            <w:tcW w:w="2250" w:type="dxa"/>
            <w:tcBorders>
              <w:tl2br w:val="nil"/>
              <w:tr2bl w:val="nil"/>
            </w:tcBorders>
            <w:shd w:val="clear" w:color="auto" w:fill="auto"/>
            <w:vAlign w:val="center"/>
          </w:tcPr>
          <w:p w14:paraId="2453A90D">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重型套管</w:t>
            </w:r>
          </w:p>
        </w:tc>
        <w:tc>
          <w:tcPr>
            <w:tcW w:w="2203" w:type="dxa"/>
            <w:tcBorders>
              <w:tl2br w:val="nil"/>
              <w:tr2bl w:val="nil"/>
            </w:tcBorders>
            <w:shd w:val="clear" w:color="auto" w:fill="auto"/>
            <w:vAlign w:val="center"/>
          </w:tcPr>
          <w:p w14:paraId="1F87C953">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套装</w:t>
            </w:r>
          </w:p>
        </w:tc>
        <w:tc>
          <w:tcPr>
            <w:tcW w:w="1821" w:type="dxa"/>
            <w:tcBorders>
              <w:tl2br w:val="nil"/>
              <w:tr2bl w:val="nil"/>
            </w:tcBorders>
            <w:shd w:val="clear" w:color="auto" w:fill="auto"/>
            <w:vAlign w:val="center"/>
          </w:tcPr>
          <w:p w14:paraId="3856C8CD">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1套</w:t>
            </w:r>
          </w:p>
        </w:tc>
        <w:tc>
          <w:tcPr>
            <w:tcW w:w="2291" w:type="dxa"/>
            <w:tcBorders>
              <w:tl2br w:val="nil"/>
              <w:tr2bl w:val="nil"/>
            </w:tcBorders>
            <w:shd w:val="clear" w:color="auto" w:fill="auto"/>
            <w:vAlign w:val="center"/>
          </w:tcPr>
          <w:p w14:paraId="6556571B">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4EE662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206CDCB7">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cs="宋体"/>
                <w:sz w:val="21"/>
                <w:szCs w:val="21"/>
                <w:lang w:val="en-US" w:eastAsia="zh-CN"/>
              </w:rPr>
              <w:t>9</w:t>
            </w:r>
          </w:p>
        </w:tc>
        <w:tc>
          <w:tcPr>
            <w:tcW w:w="2250" w:type="dxa"/>
            <w:tcBorders>
              <w:tl2br w:val="nil"/>
              <w:tr2bl w:val="nil"/>
            </w:tcBorders>
            <w:shd w:val="clear" w:color="auto" w:fill="auto"/>
            <w:vAlign w:val="center"/>
          </w:tcPr>
          <w:p w14:paraId="75012B58">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活动扳手</w:t>
            </w:r>
          </w:p>
        </w:tc>
        <w:tc>
          <w:tcPr>
            <w:tcW w:w="2203" w:type="dxa"/>
            <w:tcBorders>
              <w:tl2br w:val="nil"/>
              <w:tr2bl w:val="nil"/>
            </w:tcBorders>
            <w:shd w:val="clear" w:color="auto" w:fill="auto"/>
            <w:vAlign w:val="center"/>
          </w:tcPr>
          <w:p w14:paraId="4F63A5CC">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300mm</w:t>
            </w:r>
          </w:p>
        </w:tc>
        <w:tc>
          <w:tcPr>
            <w:tcW w:w="1821" w:type="dxa"/>
            <w:tcBorders>
              <w:tl2br w:val="nil"/>
              <w:tr2bl w:val="nil"/>
            </w:tcBorders>
            <w:shd w:val="clear" w:color="auto" w:fill="auto"/>
            <w:vAlign w:val="center"/>
          </w:tcPr>
          <w:p w14:paraId="77D50396">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2把</w:t>
            </w:r>
          </w:p>
        </w:tc>
        <w:tc>
          <w:tcPr>
            <w:tcW w:w="2291" w:type="dxa"/>
            <w:tcBorders>
              <w:tl2br w:val="nil"/>
              <w:tr2bl w:val="nil"/>
            </w:tcBorders>
            <w:shd w:val="clear" w:color="auto" w:fill="auto"/>
            <w:vAlign w:val="center"/>
          </w:tcPr>
          <w:p w14:paraId="59AD063C">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0B9054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45CEADE3">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cs="宋体"/>
                <w:sz w:val="21"/>
                <w:szCs w:val="21"/>
                <w:lang w:val="en-US" w:eastAsia="zh-CN"/>
              </w:rPr>
              <w:t>0</w:t>
            </w:r>
          </w:p>
        </w:tc>
        <w:tc>
          <w:tcPr>
            <w:tcW w:w="2250" w:type="dxa"/>
            <w:tcBorders>
              <w:tl2br w:val="nil"/>
              <w:tr2bl w:val="nil"/>
            </w:tcBorders>
            <w:shd w:val="clear" w:color="auto" w:fill="auto"/>
            <w:vAlign w:val="center"/>
          </w:tcPr>
          <w:p w14:paraId="072129E8">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活动扳手</w:t>
            </w:r>
          </w:p>
        </w:tc>
        <w:tc>
          <w:tcPr>
            <w:tcW w:w="2203" w:type="dxa"/>
            <w:tcBorders>
              <w:tl2br w:val="nil"/>
              <w:tr2bl w:val="nil"/>
            </w:tcBorders>
            <w:shd w:val="clear" w:color="auto" w:fill="auto"/>
            <w:vAlign w:val="center"/>
          </w:tcPr>
          <w:p w14:paraId="13ACBCB2">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150mm</w:t>
            </w:r>
          </w:p>
        </w:tc>
        <w:tc>
          <w:tcPr>
            <w:tcW w:w="1821" w:type="dxa"/>
            <w:tcBorders>
              <w:tl2br w:val="nil"/>
              <w:tr2bl w:val="nil"/>
            </w:tcBorders>
            <w:shd w:val="clear" w:color="auto" w:fill="auto"/>
            <w:vAlign w:val="center"/>
          </w:tcPr>
          <w:p w14:paraId="0469336C">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2把</w:t>
            </w:r>
          </w:p>
        </w:tc>
        <w:tc>
          <w:tcPr>
            <w:tcW w:w="2291" w:type="dxa"/>
            <w:tcBorders>
              <w:tl2br w:val="nil"/>
              <w:tr2bl w:val="nil"/>
            </w:tcBorders>
            <w:shd w:val="clear" w:color="auto" w:fill="auto"/>
            <w:vAlign w:val="center"/>
          </w:tcPr>
          <w:p w14:paraId="07F1C527">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4DA1B5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51D3EE46">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cs="宋体"/>
                <w:sz w:val="21"/>
                <w:szCs w:val="21"/>
                <w:lang w:val="en-US" w:eastAsia="zh-CN"/>
              </w:rPr>
              <w:t>1</w:t>
            </w:r>
          </w:p>
        </w:tc>
        <w:tc>
          <w:tcPr>
            <w:tcW w:w="2250" w:type="dxa"/>
            <w:tcBorders>
              <w:tl2br w:val="nil"/>
              <w:tr2bl w:val="nil"/>
            </w:tcBorders>
            <w:shd w:val="clear" w:color="auto" w:fill="auto"/>
            <w:vAlign w:val="center"/>
          </w:tcPr>
          <w:p w14:paraId="7071D205">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内六角扳手</w:t>
            </w:r>
          </w:p>
        </w:tc>
        <w:tc>
          <w:tcPr>
            <w:tcW w:w="2203" w:type="dxa"/>
            <w:tcBorders>
              <w:tl2br w:val="nil"/>
              <w:tr2bl w:val="nil"/>
            </w:tcBorders>
            <w:shd w:val="clear" w:color="auto" w:fill="auto"/>
            <w:vAlign w:val="center"/>
          </w:tcPr>
          <w:p w14:paraId="17313A29">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套装</w:t>
            </w:r>
          </w:p>
        </w:tc>
        <w:tc>
          <w:tcPr>
            <w:tcW w:w="1821" w:type="dxa"/>
            <w:tcBorders>
              <w:tl2br w:val="nil"/>
              <w:tr2bl w:val="nil"/>
            </w:tcBorders>
            <w:shd w:val="clear" w:color="auto" w:fill="auto"/>
            <w:vAlign w:val="center"/>
          </w:tcPr>
          <w:p w14:paraId="6E1156AC">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1套</w:t>
            </w:r>
          </w:p>
        </w:tc>
        <w:tc>
          <w:tcPr>
            <w:tcW w:w="2291" w:type="dxa"/>
            <w:tcBorders>
              <w:tl2br w:val="nil"/>
              <w:tr2bl w:val="nil"/>
            </w:tcBorders>
            <w:shd w:val="clear" w:color="auto" w:fill="auto"/>
            <w:vAlign w:val="center"/>
          </w:tcPr>
          <w:p w14:paraId="112798E6">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313420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5E2BE0A8">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cs="宋体"/>
                <w:sz w:val="21"/>
                <w:szCs w:val="21"/>
                <w:lang w:val="en-US" w:eastAsia="zh-CN"/>
              </w:rPr>
              <w:t>2</w:t>
            </w:r>
          </w:p>
        </w:tc>
        <w:tc>
          <w:tcPr>
            <w:tcW w:w="2250" w:type="dxa"/>
            <w:tcBorders>
              <w:tl2br w:val="nil"/>
              <w:tr2bl w:val="nil"/>
            </w:tcBorders>
            <w:shd w:val="clear" w:color="auto" w:fill="auto"/>
            <w:vAlign w:val="center"/>
          </w:tcPr>
          <w:p w14:paraId="346D9D38">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梅花扳手</w:t>
            </w:r>
          </w:p>
        </w:tc>
        <w:tc>
          <w:tcPr>
            <w:tcW w:w="2203" w:type="dxa"/>
            <w:tcBorders>
              <w:tl2br w:val="nil"/>
              <w:tr2bl w:val="nil"/>
            </w:tcBorders>
            <w:shd w:val="clear" w:color="auto" w:fill="auto"/>
            <w:vAlign w:val="center"/>
          </w:tcPr>
          <w:p w14:paraId="195C8E37">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套装</w:t>
            </w:r>
          </w:p>
        </w:tc>
        <w:tc>
          <w:tcPr>
            <w:tcW w:w="1821" w:type="dxa"/>
            <w:tcBorders>
              <w:tl2br w:val="nil"/>
              <w:tr2bl w:val="nil"/>
            </w:tcBorders>
            <w:shd w:val="clear" w:color="auto" w:fill="auto"/>
            <w:vAlign w:val="center"/>
          </w:tcPr>
          <w:p w14:paraId="07B71AB6">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1套</w:t>
            </w:r>
          </w:p>
        </w:tc>
        <w:tc>
          <w:tcPr>
            <w:tcW w:w="2291" w:type="dxa"/>
            <w:tcBorders>
              <w:tl2br w:val="nil"/>
              <w:tr2bl w:val="nil"/>
            </w:tcBorders>
            <w:shd w:val="clear" w:color="auto" w:fill="auto"/>
            <w:vAlign w:val="center"/>
          </w:tcPr>
          <w:p w14:paraId="531C851A">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26FFCF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6A3DA4F7">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cs="宋体"/>
                <w:sz w:val="21"/>
                <w:szCs w:val="21"/>
                <w:lang w:val="en-US" w:eastAsia="zh-CN"/>
              </w:rPr>
              <w:t>3</w:t>
            </w:r>
          </w:p>
        </w:tc>
        <w:tc>
          <w:tcPr>
            <w:tcW w:w="2250" w:type="dxa"/>
            <w:tcBorders>
              <w:tl2br w:val="nil"/>
              <w:tr2bl w:val="nil"/>
            </w:tcBorders>
            <w:shd w:val="clear" w:color="auto" w:fill="auto"/>
            <w:vAlign w:val="center"/>
          </w:tcPr>
          <w:p w14:paraId="3940D429">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开口扳手</w:t>
            </w:r>
          </w:p>
        </w:tc>
        <w:tc>
          <w:tcPr>
            <w:tcW w:w="2203" w:type="dxa"/>
            <w:tcBorders>
              <w:tl2br w:val="nil"/>
              <w:tr2bl w:val="nil"/>
            </w:tcBorders>
            <w:shd w:val="clear" w:color="auto" w:fill="auto"/>
            <w:vAlign w:val="center"/>
          </w:tcPr>
          <w:p w14:paraId="3E28A60E">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套装</w:t>
            </w:r>
          </w:p>
        </w:tc>
        <w:tc>
          <w:tcPr>
            <w:tcW w:w="1821" w:type="dxa"/>
            <w:tcBorders>
              <w:tl2br w:val="nil"/>
              <w:tr2bl w:val="nil"/>
            </w:tcBorders>
            <w:shd w:val="clear" w:color="auto" w:fill="auto"/>
            <w:vAlign w:val="center"/>
          </w:tcPr>
          <w:p w14:paraId="2A51578C">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1套</w:t>
            </w:r>
          </w:p>
        </w:tc>
        <w:tc>
          <w:tcPr>
            <w:tcW w:w="2291" w:type="dxa"/>
            <w:tcBorders>
              <w:tl2br w:val="nil"/>
              <w:tr2bl w:val="nil"/>
            </w:tcBorders>
            <w:shd w:val="clear" w:color="auto" w:fill="auto"/>
            <w:vAlign w:val="center"/>
          </w:tcPr>
          <w:p w14:paraId="5569B578">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2864F5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676C6A7F">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cs="宋体"/>
                <w:sz w:val="21"/>
                <w:szCs w:val="21"/>
                <w:lang w:val="en-US" w:eastAsia="zh-CN"/>
              </w:rPr>
              <w:t>4</w:t>
            </w:r>
          </w:p>
        </w:tc>
        <w:tc>
          <w:tcPr>
            <w:tcW w:w="2250" w:type="dxa"/>
            <w:tcBorders>
              <w:tl2br w:val="nil"/>
              <w:tr2bl w:val="nil"/>
            </w:tcBorders>
            <w:shd w:val="clear" w:color="auto" w:fill="auto"/>
            <w:vAlign w:val="center"/>
          </w:tcPr>
          <w:p w14:paraId="57195396">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眼冲子</w:t>
            </w:r>
          </w:p>
        </w:tc>
        <w:tc>
          <w:tcPr>
            <w:tcW w:w="2203" w:type="dxa"/>
            <w:tcBorders>
              <w:tl2br w:val="nil"/>
              <w:tr2bl w:val="nil"/>
            </w:tcBorders>
            <w:shd w:val="clear" w:color="auto" w:fill="auto"/>
            <w:vAlign w:val="center"/>
          </w:tcPr>
          <w:p w14:paraId="355AD6C4">
            <w:pPr>
              <w:pStyle w:val="49"/>
              <w:kinsoku/>
              <w:overflowPunct/>
              <w:topLinePunct w:val="0"/>
              <w:bidi w:val="0"/>
              <w:spacing w:line="360" w:lineRule="atLeast"/>
              <w:ind w:firstLine="0" w:firstLineChars="0"/>
              <w:rPr>
                <w:rFonts w:hint="eastAsia" w:ascii="宋体" w:hAnsi="宋体" w:eastAsia="宋体" w:cs="宋体"/>
                <w:sz w:val="21"/>
                <w:szCs w:val="21"/>
              </w:rPr>
            </w:pPr>
          </w:p>
        </w:tc>
        <w:tc>
          <w:tcPr>
            <w:tcW w:w="1821" w:type="dxa"/>
            <w:tcBorders>
              <w:tl2br w:val="nil"/>
              <w:tr2bl w:val="nil"/>
            </w:tcBorders>
            <w:shd w:val="clear" w:color="auto" w:fill="auto"/>
            <w:vAlign w:val="center"/>
          </w:tcPr>
          <w:p w14:paraId="778B352E">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1套</w:t>
            </w:r>
          </w:p>
        </w:tc>
        <w:tc>
          <w:tcPr>
            <w:tcW w:w="2291" w:type="dxa"/>
            <w:tcBorders>
              <w:tl2br w:val="nil"/>
              <w:tr2bl w:val="nil"/>
            </w:tcBorders>
            <w:shd w:val="clear" w:color="auto" w:fill="auto"/>
            <w:vAlign w:val="center"/>
          </w:tcPr>
          <w:p w14:paraId="4D236F26">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07F393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4BB0B9D7">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cs="宋体"/>
                <w:sz w:val="21"/>
                <w:szCs w:val="21"/>
                <w:lang w:val="en-US" w:eastAsia="zh-CN"/>
              </w:rPr>
              <w:t>5</w:t>
            </w:r>
          </w:p>
        </w:tc>
        <w:tc>
          <w:tcPr>
            <w:tcW w:w="2250" w:type="dxa"/>
            <w:tcBorders>
              <w:tl2br w:val="nil"/>
              <w:tr2bl w:val="nil"/>
            </w:tcBorders>
            <w:shd w:val="clear" w:color="auto" w:fill="auto"/>
            <w:vAlign w:val="center"/>
          </w:tcPr>
          <w:p w14:paraId="557C317F">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钳工常用工具</w:t>
            </w:r>
          </w:p>
        </w:tc>
        <w:tc>
          <w:tcPr>
            <w:tcW w:w="2203" w:type="dxa"/>
            <w:tcBorders>
              <w:tl2br w:val="nil"/>
              <w:tr2bl w:val="nil"/>
            </w:tcBorders>
            <w:shd w:val="clear" w:color="auto" w:fill="auto"/>
            <w:vAlign w:val="center"/>
          </w:tcPr>
          <w:p w14:paraId="5F5016D1">
            <w:pPr>
              <w:pStyle w:val="49"/>
              <w:kinsoku/>
              <w:overflowPunct/>
              <w:topLinePunct w:val="0"/>
              <w:bidi w:val="0"/>
              <w:spacing w:line="360" w:lineRule="atLeast"/>
              <w:ind w:firstLine="0" w:firstLineChars="0"/>
              <w:rPr>
                <w:rFonts w:hint="eastAsia" w:ascii="宋体" w:hAnsi="宋体" w:eastAsia="宋体" w:cs="宋体"/>
                <w:sz w:val="21"/>
                <w:szCs w:val="21"/>
              </w:rPr>
            </w:pPr>
          </w:p>
        </w:tc>
        <w:tc>
          <w:tcPr>
            <w:tcW w:w="1821" w:type="dxa"/>
            <w:tcBorders>
              <w:tl2br w:val="nil"/>
              <w:tr2bl w:val="nil"/>
            </w:tcBorders>
            <w:shd w:val="clear" w:color="auto" w:fill="auto"/>
            <w:vAlign w:val="center"/>
          </w:tcPr>
          <w:p w14:paraId="02C68064">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1套</w:t>
            </w:r>
          </w:p>
        </w:tc>
        <w:tc>
          <w:tcPr>
            <w:tcW w:w="2291" w:type="dxa"/>
            <w:tcBorders>
              <w:tl2br w:val="nil"/>
              <w:tr2bl w:val="nil"/>
            </w:tcBorders>
            <w:shd w:val="clear" w:color="auto" w:fill="auto"/>
            <w:vAlign w:val="center"/>
          </w:tcPr>
          <w:p w14:paraId="457A4EFD">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63D856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6DCDE345">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cs="宋体"/>
                <w:sz w:val="21"/>
                <w:szCs w:val="21"/>
                <w:lang w:val="en-US" w:eastAsia="zh-CN"/>
              </w:rPr>
              <w:t>6</w:t>
            </w:r>
          </w:p>
        </w:tc>
        <w:tc>
          <w:tcPr>
            <w:tcW w:w="2250" w:type="dxa"/>
            <w:tcBorders>
              <w:tl2br w:val="nil"/>
              <w:tr2bl w:val="nil"/>
            </w:tcBorders>
            <w:shd w:val="clear" w:color="auto" w:fill="auto"/>
            <w:vAlign w:val="center"/>
          </w:tcPr>
          <w:p w14:paraId="0CF27810">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撬棍</w:t>
            </w:r>
          </w:p>
        </w:tc>
        <w:tc>
          <w:tcPr>
            <w:tcW w:w="2203" w:type="dxa"/>
            <w:tcBorders>
              <w:tl2br w:val="nil"/>
              <w:tr2bl w:val="nil"/>
            </w:tcBorders>
            <w:shd w:val="clear" w:color="auto" w:fill="auto"/>
            <w:vAlign w:val="center"/>
          </w:tcPr>
          <w:p w14:paraId="47475924">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30mm</w:t>
            </w:r>
          </w:p>
        </w:tc>
        <w:tc>
          <w:tcPr>
            <w:tcW w:w="1821" w:type="dxa"/>
            <w:tcBorders>
              <w:tl2br w:val="nil"/>
              <w:tr2bl w:val="nil"/>
            </w:tcBorders>
            <w:shd w:val="clear" w:color="auto" w:fill="auto"/>
            <w:vAlign w:val="center"/>
          </w:tcPr>
          <w:p w14:paraId="4514365F">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5把</w:t>
            </w:r>
          </w:p>
        </w:tc>
        <w:tc>
          <w:tcPr>
            <w:tcW w:w="2291" w:type="dxa"/>
            <w:tcBorders>
              <w:tl2br w:val="nil"/>
              <w:tr2bl w:val="nil"/>
            </w:tcBorders>
            <w:shd w:val="clear" w:color="auto" w:fill="auto"/>
            <w:vAlign w:val="center"/>
          </w:tcPr>
          <w:p w14:paraId="0C59929C">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49E151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22170CD2">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cs="宋体"/>
                <w:sz w:val="21"/>
                <w:szCs w:val="21"/>
                <w:lang w:val="en-US" w:eastAsia="zh-CN"/>
              </w:rPr>
              <w:t>7</w:t>
            </w:r>
          </w:p>
        </w:tc>
        <w:tc>
          <w:tcPr>
            <w:tcW w:w="2250" w:type="dxa"/>
            <w:tcBorders>
              <w:tl2br w:val="nil"/>
              <w:tr2bl w:val="nil"/>
            </w:tcBorders>
            <w:shd w:val="clear" w:color="auto" w:fill="auto"/>
            <w:vAlign w:val="center"/>
          </w:tcPr>
          <w:p w14:paraId="194BC56E">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钢卷尺</w:t>
            </w:r>
          </w:p>
        </w:tc>
        <w:tc>
          <w:tcPr>
            <w:tcW w:w="2203" w:type="dxa"/>
            <w:tcBorders>
              <w:tl2br w:val="nil"/>
              <w:tr2bl w:val="nil"/>
            </w:tcBorders>
            <w:shd w:val="clear" w:color="auto" w:fill="auto"/>
            <w:vAlign w:val="center"/>
          </w:tcPr>
          <w:p w14:paraId="533A8E1E">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30m</w:t>
            </w:r>
          </w:p>
        </w:tc>
        <w:tc>
          <w:tcPr>
            <w:tcW w:w="1821" w:type="dxa"/>
            <w:tcBorders>
              <w:tl2br w:val="nil"/>
              <w:tr2bl w:val="nil"/>
            </w:tcBorders>
            <w:shd w:val="clear" w:color="auto" w:fill="auto"/>
            <w:vAlign w:val="center"/>
          </w:tcPr>
          <w:p w14:paraId="1B73E41A">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1个</w:t>
            </w:r>
          </w:p>
        </w:tc>
        <w:tc>
          <w:tcPr>
            <w:tcW w:w="2291" w:type="dxa"/>
            <w:tcBorders>
              <w:tl2br w:val="nil"/>
              <w:tr2bl w:val="nil"/>
            </w:tcBorders>
            <w:shd w:val="clear" w:color="auto" w:fill="auto"/>
            <w:vAlign w:val="center"/>
          </w:tcPr>
          <w:p w14:paraId="4C89D5E4">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6F1B21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6FA8BBDA">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cs="宋体"/>
                <w:sz w:val="21"/>
                <w:szCs w:val="21"/>
                <w:lang w:val="en-US" w:eastAsia="zh-CN"/>
              </w:rPr>
              <w:t>8</w:t>
            </w:r>
          </w:p>
        </w:tc>
        <w:tc>
          <w:tcPr>
            <w:tcW w:w="2250" w:type="dxa"/>
            <w:tcBorders>
              <w:tl2br w:val="nil"/>
              <w:tr2bl w:val="nil"/>
            </w:tcBorders>
            <w:shd w:val="clear" w:color="auto" w:fill="auto"/>
            <w:vAlign w:val="center"/>
          </w:tcPr>
          <w:p w14:paraId="598ADAE8">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卸扣</w:t>
            </w:r>
          </w:p>
        </w:tc>
        <w:tc>
          <w:tcPr>
            <w:tcW w:w="2203" w:type="dxa"/>
            <w:tcBorders>
              <w:tl2br w:val="nil"/>
              <w:tr2bl w:val="nil"/>
            </w:tcBorders>
            <w:shd w:val="clear" w:color="auto" w:fill="auto"/>
            <w:vAlign w:val="center"/>
          </w:tcPr>
          <w:p w14:paraId="2BD66938">
            <w:pPr>
              <w:pStyle w:val="49"/>
              <w:kinsoku/>
              <w:overflowPunct/>
              <w:topLinePunct w:val="0"/>
              <w:bidi w:val="0"/>
              <w:spacing w:line="360" w:lineRule="atLeast"/>
              <w:ind w:firstLine="0" w:firstLineChars="0"/>
              <w:rPr>
                <w:rFonts w:hint="eastAsia" w:ascii="宋体" w:hAnsi="宋体" w:eastAsia="宋体" w:cs="宋体"/>
                <w:sz w:val="21"/>
                <w:szCs w:val="21"/>
                <w:lang w:eastAsia="zh-CN"/>
              </w:rPr>
            </w:pPr>
            <w:r>
              <w:rPr>
                <w:rFonts w:hint="eastAsia" w:ascii="宋体" w:hAnsi="宋体" w:eastAsia="宋体" w:cs="宋体"/>
                <w:sz w:val="21"/>
                <w:szCs w:val="21"/>
              </w:rPr>
              <w:t>1t、2t、5t、8t、</w:t>
            </w:r>
            <w:r>
              <w:rPr>
                <w:rFonts w:hint="eastAsia" w:cs="宋体"/>
                <w:sz w:val="21"/>
                <w:szCs w:val="21"/>
                <w:lang w:eastAsia="zh-CN"/>
              </w:rPr>
              <w:t>20t</w:t>
            </w:r>
          </w:p>
        </w:tc>
        <w:tc>
          <w:tcPr>
            <w:tcW w:w="1821" w:type="dxa"/>
            <w:tcBorders>
              <w:tl2br w:val="nil"/>
              <w:tr2bl w:val="nil"/>
            </w:tcBorders>
            <w:shd w:val="clear" w:color="auto" w:fill="auto"/>
            <w:vAlign w:val="center"/>
          </w:tcPr>
          <w:p w14:paraId="5A7C6176">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各4个</w:t>
            </w:r>
          </w:p>
        </w:tc>
        <w:tc>
          <w:tcPr>
            <w:tcW w:w="2291" w:type="dxa"/>
            <w:tcBorders>
              <w:tl2br w:val="nil"/>
              <w:tr2bl w:val="nil"/>
            </w:tcBorders>
            <w:shd w:val="clear" w:color="auto" w:fill="auto"/>
            <w:vAlign w:val="center"/>
          </w:tcPr>
          <w:p w14:paraId="413B745E">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3F4EC1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47954EA9">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cs="宋体"/>
                <w:sz w:val="21"/>
                <w:szCs w:val="21"/>
                <w:lang w:val="en-US" w:eastAsia="zh-CN"/>
              </w:rPr>
              <w:t>19</w:t>
            </w:r>
          </w:p>
        </w:tc>
        <w:tc>
          <w:tcPr>
            <w:tcW w:w="2250" w:type="dxa"/>
            <w:tcBorders>
              <w:tl2br w:val="nil"/>
              <w:tr2bl w:val="nil"/>
            </w:tcBorders>
            <w:shd w:val="clear" w:color="auto" w:fill="auto"/>
            <w:vAlign w:val="center"/>
          </w:tcPr>
          <w:p w14:paraId="48AA62B0">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吊索钢丝绳</w:t>
            </w:r>
          </w:p>
        </w:tc>
        <w:tc>
          <w:tcPr>
            <w:tcW w:w="2203" w:type="dxa"/>
            <w:tcBorders>
              <w:tl2br w:val="nil"/>
              <w:tr2bl w:val="nil"/>
            </w:tcBorders>
            <w:shd w:val="clear" w:color="auto" w:fill="auto"/>
            <w:vAlign w:val="center"/>
          </w:tcPr>
          <w:p w14:paraId="0AE43ED1">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6×19-</w:t>
            </w:r>
            <w:r>
              <w:rPr>
                <w:rFonts w:hint="eastAsia" w:cs="宋体"/>
                <w:sz w:val="21"/>
                <w:szCs w:val="21"/>
                <w:lang w:val="en-US" w:eastAsia="zh-CN"/>
              </w:rPr>
              <w:t>34</w:t>
            </w:r>
            <w:r>
              <w:rPr>
                <w:rFonts w:hint="eastAsia" w:ascii="宋体" w:hAnsi="宋体" w:eastAsia="宋体" w:cs="宋体"/>
                <w:sz w:val="21"/>
                <w:szCs w:val="21"/>
              </w:rPr>
              <w:t>-1700，</w:t>
            </w:r>
            <w:r>
              <w:rPr>
                <w:rFonts w:hint="eastAsia" w:cs="宋体"/>
                <w:sz w:val="21"/>
                <w:szCs w:val="21"/>
                <w:lang w:val="en-US" w:eastAsia="zh-CN"/>
              </w:rPr>
              <w:t>1</w:t>
            </w:r>
            <w:r>
              <w:rPr>
                <w:rFonts w:hint="eastAsia" w:ascii="宋体" w:hAnsi="宋体" w:eastAsia="宋体" w:cs="宋体"/>
                <w:sz w:val="21"/>
                <w:szCs w:val="21"/>
              </w:rPr>
              <w:t>8m</w:t>
            </w:r>
          </w:p>
        </w:tc>
        <w:tc>
          <w:tcPr>
            <w:tcW w:w="1821" w:type="dxa"/>
            <w:tcBorders>
              <w:tl2br w:val="nil"/>
              <w:tr2bl w:val="nil"/>
            </w:tcBorders>
            <w:shd w:val="clear" w:color="auto" w:fill="auto"/>
            <w:vAlign w:val="center"/>
          </w:tcPr>
          <w:p w14:paraId="0796E0D4">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4根</w:t>
            </w:r>
          </w:p>
        </w:tc>
        <w:tc>
          <w:tcPr>
            <w:tcW w:w="2291" w:type="dxa"/>
            <w:tcBorders>
              <w:tl2br w:val="nil"/>
              <w:tr2bl w:val="nil"/>
            </w:tcBorders>
            <w:shd w:val="clear" w:color="auto" w:fill="auto"/>
            <w:vAlign w:val="center"/>
          </w:tcPr>
          <w:p w14:paraId="08F2D4D1">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0E6B64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5FFFE434">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cs="宋体"/>
                <w:sz w:val="21"/>
                <w:szCs w:val="21"/>
                <w:lang w:val="en-US" w:eastAsia="zh-CN"/>
              </w:rPr>
              <w:t>0</w:t>
            </w:r>
          </w:p>
        </w:tc>
        <w:tc>
          <w:tcPr>
            <w:tcW w:w="2250" w:type="dxa"/>
            <w:tcBorders>
              <w:tl2br w:val="nil"/>
              <w:tr2bl w:val="nil"/>
            </w:tcBorders>
            <w:shd w:val="clear" w:color="auto" w:fill="auto"/>
            <w:vAlign w:val="center"/>
          </w:tcPr>
          <w:p w14:paraId="3AFF1AC4">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吊索钢丝绳</w:t>
            </w:r>
          </w:p>
        </w:tc>
        <w:tc>
          <w:tcPr>
            <w:tcW w:w="2203" w:type="dxa"/>
            <w:tcBorders>
              <w:tl2br w:val="nil"/>
              <w:tr2bl w:val="nil"/>
            </w:tcBorders>
            <w:shd w:val="clear" w:color="auto" w:fill="auto"/>
            <w:vAlign w:val="center"/>
          </w:tcPr>
          <w:p w14:paraId="7DC737B0">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6×19-</w:t>
            </w:r>
            <w:r>
              <w:rPr>
                <w:rFonts w:hint="eastAsia" w:cs="宋体"/>
                <w:sz w:val="21"/>
                <w:szCs w:val="21"/>
                <w:lang w:val="en-US" w:eastAsia="zh-CN"/>
              </w:rPr>
              <w:t>34</w:t>
            </w:r>
            <w:r>
              <w:rPr>
                <w:rFonts w:hint="eastAsia" w:ascii="宋体" w:hAnsi="宋体" w:eastAsia="宋体" w:cs="宋体"/>
                <w:sz w:val="21"/>
                <w:szCs w:val="21"/>
              </w:rPr>
              <w:t>-1700，8m</w:t>
            </w:r>
          </w:p>
        </w:tc>
        <w:tc>
          <w:tcPr>
            <w:tcW w:w="1821" w:type="dxa"/>
            <w:tcBorders>
              <w:tl2br w:val="nil"/>
              <w:tr2bl w:val="nil"/>
            </w:tcBorders>
            <w:shd w:val="clear" w:color="auto" w:fill="auto"/>
            <w:vAlign w:val="center"/>
          </w:tcPr>
          <w:p w14:paraId="012EF316">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4根</w:t>
            </w:r>
          </w:p>
        </w:tc>
        <w:tc>
          <w:tcPr>
            <w:tcW w:w="2291" w:type="dxa"/>
            <w:tcBorders>
              <w:tl2br w:val="nil"/>
              <w:tr2bl w:val="nil"/>
            </w:tcBorders>
            <w:shd w:val="clear" w:color="auto" w:fill="auto"/>
            <w:vAlign w:val="center"/>
          </w:tcPr>
          <w:p w14:paraId="0A02496A">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270576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1286AD41">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cs="宋体"/>
                <w:sz w:val="21"/>
                <w:szCs w:val="21"/>
                <w:lang w:val="en-US" w:eastAsia="zh-CN"/>
              </w:rPr>
              <w:t>1</w:t>
            </w:r>
          </w:p>
        </w:tc>
        <w:tc>
          <w:tcPr>
            <w:tcW w:w="2250" w:type="dxa"/>
            <w:tcBorders>
              <w:tl2br w:val="nil"/>
              <w:tr2bl w:val="nil"/>
            </w:tcBorders>
            <w:shd w:val="clear" w:color="auto" w:fill="auto"/>
            <w:vAlign w:val="center"/>
          </w:tcPr>
          <w:p w14:paraId="67AEA1F6">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吊索钢丝绳</w:t>
            </w:r>
          </w:p>
        </w:tc>
        <w:tc>
          <w:tcPr>
            <w:tcW w:w="2203" w:type="dxa"/>
            <w:tcBorders>
              <w:tl2br w:val="nil"/>
              <w:tr2bl w:val="nil"/>
            </w:tcBorders>
            <w:shd w:val="clear" w:color="auto" w:fill="auto"/>
            <w:vAlign w:val="center"/>
          </w:tcPr>
          <w:p w14:paraId="25128451">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6×19-</w:t>
            </w:r>
            <w:r>
              <w:rPr>
                <w:rFonts w:hint="eastAsia" w:cs="宋体"/>
                <w:sz w:val="21"/>
                <w:szCs w:val="21"/>
                <w:lang w:val="en-US" w:eastAsia="zh-CN"/>
              </w:rPr>
              <w:t>26</w:t>
            </w:r>
            <w:r>
              <w:rPr>
                <w:rFonts w:hint="eastAsia" w:ascii="宋体" w:hAnsi="宋体" w:eastAsia="宋体" w:cs="宋体"/>
                <w:sz w:val="21"/>
                <w:szCs w:val="21"/>
              </w:rPr>
              <w:t>-1700，3m</w:t>
            </w:r>
          </w:p>
        </w:tc>
        <w:tc>
          <w:tcPr>
            <w:tcW w:w="1821" w:type="dxa"/>
            <w:tcBorders>
              <w:tl2br w:val="nil"/>
              <w:tr2bl w:val="nil"/>
            </w:tcBorders>
            <w:shd w:val="clear" w:color="auto" w:fill="auto"/>
            <w:vAlign w:val="center"/>
          </w:tcPr>
          <w:p w14:paraId="707E3E53">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4根</w:t>
            </w:r>
          </w:p>
        </w:tc>
        <w:tc>
          <w:tcPr>
            <w:tcW w:w="2291" w:type="dxa"/>
            <w:tcBorders>
              <w:tl2br w:val="nil"/>
              <w:tr2bl w:val="nil"/>
            </w:tcBorders>
            <w:shd w:val="clear" w:color="auto" w:fill="auto"/>
            <w:vAlign w:val="center"/>
          </w:tcPr>
          <w:p w14:paraId="40A29929">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3712B1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771EDF95">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cs="宋体"/>
                <w:sz w:val="21"/>
                <w:szCs w:val="21"/>
                <w:lang w:val="en-US" w:eastAsia="zh-CN"/>
              </w:rPr>
              <w:t>2</w:t>
            </w:r>
          </w:p>
        </w:tc>
        <w:tc>
          <w:tcPr>
            <w:tcW w:w="2250" w:type="dxa"/>
            <w:tcBorders>
              <w:tl2br w:val="nil"/>
              <w:tr2bl w:val="nil"/>
            </w:tcBorders>
            <w:shd w:val="clear" w:color="auto" w:fill="auto"/>
            <w:vAlign w:val="center"/>
          </w:tcPr>
          <w:p w14:paraId="6ECBC25B">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白棕绳</w:t>
            </w:r>
          </w:p>
        </w:tc>
        <w:tc>
          <w:tcPr>
            <w:tcW w:w="2203" w:type="dxa"/>
            <w:tcBorders>
              <w:tl2br w:val="nil"/>
              <w:tr2bl w:val="nil"/>
            </w:tcBorders>
            <w:shd w:val="clear" w:color="auto" w:fill="auto"/>
            <w:vAlign w:val="center"/>
          </w:tcPr>
          <w:p w14:paraId="33F5E61B">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φ16mm×50m</w:t>
            </w:r>
          </w:p>
        </w:tc>
        <w:tc>
          <w:tcPr>
            <w:tcW w:w="1821" w:type="dxa"/>
            <w:tcBorders>
              <w:tl2br w:val="nil"/>
              <w:tr2bl w:val="nil"/>
            </w:tcBorders>
            <w:shd w:val="clear" w:color="auto" w:fill="auto"/>
            <w:vAlign w:val="center"/>
          </w:tcPr>
          <w:p w14:paraId="3273B430">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根</w:t>
            </w:r>
          </w:p>
        </w:tc>
        <w:tc>
          <w:tcPr>
            <w:tcW w:w="2291" w:type="dxa"/>
            <w:tcBorders>
              <w:tl2br w:val="nil"/>
              <w:tr2bl w:val="nil"/>
            </w:tcBorders>
            <w:shd w:val="clear" w:color="auto" w:fill="auto"/>
            <w:vAlign w:val="center"/>
          </w:tcPr>
          <w:p w14:paraId="4B440B85">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2根</w:t>
            </w:r>
          </w:p>
        </w:tc>
      </w:tr>
      <w:tr w14:paraId="5C2526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37ACD624">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cs="宋体"/>
                <w:sz w:val="21"/>
                <w:szCs w:val="21"/>
                <w:lang w:val="en-US" w:eastAsia="zh-CN"/>
              </w:rPr>
              <w:t>3</w:t>
            </w:r>
          </w:p>
        </w:tc>
        <w:tc>
          <w:tcPr>
            <w:tcW w:w="2250" w:type="dxa"/>
            <w:tcBorders>
              <w:tl2br w:val="nil"/>
              <w:tr2bl w:val="nil"/>
            </w:tcBorders>
            <w:shd w:val="clear" w:color="auto" w:fill="auto"/>
            <w:vAlign w:val="center"/>
          </w:tcPr>
          <w:p w14:paraId="59E4F221">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对讲机</w:t>
            </w:r>
          </w:p>
        </w:tc>
        <w:tc>
          <w:tcPr>
            <w:tcW w:w="2203" w:type="dxa"/>
            <w:tcBorders>
              <w:tl2br w:val="nil"/>
              <w:tr2bl w:val="nil"/>
            </w:tcBorders>
            <w:shd w:val="clear" w:color="auto" w:fill="auto"/>
            <w:vAlign w:val="center"/>
          </w:tcPr>
          <w:p w14:paraId="3AC776C0">
            <w:pPr>
              <w:pStyle w:val="49"/>
              <w:kinsoku/>
              <w:overflowPunct/>
              <w:topLinePunct w:val="0"/>
              <w:bidi w:val="0"/>
              <w:spacing w:line="360" w:lineRule="atLeast"/>
              <w:ind w:firstLine="0" w:firstLineChars="0"/>
              <w:rPr>
                <w:rFonts w:hint="eastAsia" w:ascii="宋体" w:hAnsi="宋体" w:eastAsia="宋体" w:cs="宋体"/>
                <w:sz w:val="21"/>
                <w:szCs w:val="21"/>
              </w:rPr>
            </w:pPr>
          </w:p>
        </w:tc>
        <w:tc>
          <w:tcPr>
            <w:tcW w:w="1821" w:type="dxa"/>
            <w:tcBorders>
              <w:tl2br w:val="nil"/>
              <w:tr2bl w:val="nil"/>
            </w:tcBorders>
            <w:shd w:val="clear" w:color="auto" w:fill="auto"/>
            <w:vAlign w:val="center"/>
          </w:tcPr>
          <w:p w14:paraId="6E33648A">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4部</w:t>
            </w:r>
          </w:p>
        </w:tc>
        <w:tc>
          <w:tcPr>
            <w:tcW w:w="2291" w:type="dxa"/>
            <w:tcBorders>
              <w:tl2br w:val="nil"/>
              <w:tr2bl w:val="nil"/>
            </w:tcBorders>
            <w:shd w:val="clear" w:color="auto" w:fill="auto"/>
            <w:vAlign w:val="center"/>
          </w:tcPr>
          <w:p w14:paraId="71F1BA54">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045B72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1FFE0726">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cs="宋体"/>
                <w:sz w:val="21"/>
                <w:szCs w:val="21"/>
                <w:lang w:val="en-US" w:eastAsia="zh-CN"/>
              </w:rPr>
              <w:t>4</w:t>
            </w:r>
          </w:p>
        </w:tc>
        <w:tc>
          <w:tcPr>
            <w:tcW w:w="2250" w:type="dxa"/>
            <w:tcBorders>
              <w:tl2br w:val="nil"/>
              <w:tr2bl w:val="nil"/>
            </w:tcBorders>
            <w:shd w:val="clear" w:color="auto" w:fill="auto"/>
            <w:vAlign w:val="center"/>
          </w:tcPr>
          <w:p w14:paraId="7830EC0C">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电工常用工具</w:t>
            </w:r>
          </w:p>
        </w:tc>
        <w:tc>
          <w:tcPr>
            <w:tcW w:w="2203" w:type="dxa"/>
            <w:tcBorders>
              <w:tl2br w:val="nil"/>
              <w:tr2bl w:val="nil"/>
            </w:tcBorders>
            <w:shd w:val="clear" w:color="auto" w:fill="auto"/>
            <w:vAlign w:val="center"/>
          </w:tcPr>
          <w:p w14:paraId="2C15A6DD">
            <w:pPr>
              <w:pStyle w:val="49"/>
              <w:kinsoku/>
              <w:overflowPunct/>
              <w:topLinePunct w:val="0"/>
              <w:bidi w:val="0"/>
              <w:spacing w:line="360" w:lineRule="atLeast"/>
              <w:ind w:firstLine="0" w:firstLineChars="0"/>
              <w:rPr>
                <w:rFonts w:hint="eastAsia" w:ascii="宋体" w:hAnsi="宋体" w:eastAsia="宋体" w:cs="宋体"/>
                <w:sz w:val="21"/>
                <w:szCs w:val="21"/>
              </w:rPr>
            </w:pPr>
          </w:p>
        </w:tc>
        <w:tc>
          <w:tcPr>
            <w:tcW w:w="1821" w:type="dxa"/>
            <w:tcBorders>
              <w:tl2br w:val="nil"/>
              <w:tr2bl w:val="nil"/>
            </w:tcBorders>
            <w:shd w:val="clear" w:color="auto" w:fill="auto"/>
            <w:vAlign w:val="center"/>
          </w:tcPr>
          <w:p w14:paraId="25E17A18">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1套</w:t>
            </w:r>
          </w:p>
        </w:tc>
        <w:tc>
          <w:tcPr>
            <w:tcW w:w="2291" w:type="dxa"/>
            <w:tcBorders>
              <w:tl2br w:val="nil"/>
              <w:tr2bl w:val="nil"/>
            </w:tcBorders>
            <w:shd w:val="clear" w:color="auto" w:fill="auto"/>
            <w:vAlign w:val="center"/>
          </w:tcPr>
          <w:p w14:paraId="3D859FB3">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626C0F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08452EFA">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cs="宋体"/>
                <w:sz w:val="21"/>
                <w:szCs w:val="21"/>
                <w:lang w:val="en-US" w:eastAsia="zh-CN"/>
              </w:rPr>
              <w:t>5</w:t>
            </w:r>
          </w:p>
        </w:tc>
        <w:tc>
          <w:tcPr>
            <w:tcW w:w="2250" w:type="dxa"/>
            <w:tcBorders>
              <w:tl2br w:val="nil"/>
              <w:tr2bl w:val="nil"/>
            </w:tcBorders>
            <w:shd w:val="clear" w:color="auto" w:fill="auto"/>
            <w:vAlign w:val="center"/>
          </w:tcPr>
          <w:p w14:paraId="718DF74E">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万用表</w:t>
            </w:r>
          </w:p>
        </w:tc>
        <w:tc>
          <w:tcPr>
            <w:tcW w:w="2203" w:type="dxa"/>
            <w:tcBorders>
              <w:tl2br w:val="nil"/>
              <w:tr2bl w:val="nil"/>
            </w:tcBorders>
            <w:shd w:val="clear" w:color="auto" w:fill="auto"/>
            <w:vAlign w:val="center"/>
          </w:tcPr>
          <w:p w14:paraId="7F6948B8">
            <w:pPr>
              <w:pStyle w:val="49"/>
              <w:kinsoku/>
              <w:overflowPunct/>
              <w:topLinePunct w:val="0"/>
              <w:bidi w:val="0"/>
              <w:spacing w:line="360" w:lineRule="atLeast"/>
              <w:ind w:firstLine="0" w:firstLineChars="0"/>
              <w:rPr>
                <w:rFonts w:hint="eastAsia" w:ascii="宋体" w:hAnsi="宋体" w:eastAsia="宋体" w:cs="宋体"/>
                <w:sz w:val="21"/>
                <w:szCs w:val="21"/>
              </w:rPr>
            </w:pPr>
          </w:p>
        </w:tc>
        <w:tc>
          <w:tcPr>
            <w:tcW w:w="1821" w:type="dxa"/>
            <w:tcBorders>
              <w:tl2br w:val="nil"/>
              <w:tr2bl w:val="nil"/>
            </w:tcBorders>
            <w:shd w:val="clear" w:color="auto" w:fill="auto"/>
            <w:vAlign w:val="center"/>
          </w:tcPr>
          <w:p w14:paraId="1E12B79B">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1块</w:t>
            </w:r>
          </w:p>
        </w:tc>
        <w:tc>
          <w:tcPr>
            <w:tcW w:w="2291" w:type="dxa"/>
            <w:tcBorders>
              <w:tl2br w:val="nil"/>
              <w:tr2bl w:val="nil"/>
            </w:tcBorders>
            <w:shd w:val="clear" w:color="auto" w:fill="auto"/>
            <w:vAlign w:val="center"/>
          </w:tcPr>
          <w:p w14:paraId="5A64923D">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30351D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67980F1C">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cs="宋体"/>
                <w:sz w:val="21"/>
                <w:szCs w:val="21"/>
                <w:lang w:val="en-US" w:eastAsia="zh-CN"/>
              </w:rPr>
              <w:t>6</w:t>
            </w:r>
          </w:p>
        </w:tc>
        <w:tc>
          <w:tcPr>
            <w:tcW w:w="2250" w:type="dxa"/>
            <w:tcBorders>
              <w:tl2br w:val="nil"/>
              <w:tr2bl w:val="nil"/>
            </w:tcBorders>
            <w:shd w:val="clear" w:color="auto" w:fill="auto"/>
            <w:vAlign w:val="center"/>
          </w:tcPr>
          <w:p w14:paraId="045F7C1B">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钳式电流表</w:t>
            </w:r>
          </w:p>
        </w:tc>
        <w:tc>
          <w:tcPr>
            <w:tcW w:w="2203" w:type="dxa"/>
            <w:tcBorders>
              <w:tl2br w:val="nil"/>
              <w:tr2bl w:val="nil"/>
            </w:tcBorders>
            <w:shd w:val="clear" w:color="auto" w:fill="auto"/>
            <w:vAlign w:val="center"/>
          </w:tcPr>
          <w:p w14:paraId="71356996">
            <w:pPr>
              <w:pStyle w:val="49"/>
              <w:kinsoku/>
              <w:overflowPunct/>
              <w:topLinePunct w:val="0"/>
              <w:bidi w:val="0"/>
              <w:spacing w:line="360" w:lineRule="atLeast"/>
              <w:ind w:firstLine="0" w:firstLineChars="0"/>
              <w:rPr>
                <w:rFonts w:hint="eastAsia" w:ascii="宋体" w:hAnsi="宋体" w:eastAsia="宋体" w:cs="宋体"/>
                <w:sz w:val="21"/>
                <w:szCs w:val="21"/>
              </w:rPr>
            </w:pPr>
          </w:p>
        </w:tc>
        <w:tc>
          <w:tcPr>
            <w:tcW w:w="1821" w:type="dxa"/>
            <w:tcBorders>
              <w:tl2br w:val="nil"/>
              <w:tr2bl w:val="nil"/>
            </w:tcBorders>
            <w:shd w:val="clear" w:color="auto" w:fill="auto"/>
            <w:vAlign w:val="center"/>
          </w:tcPr>
          <w:p w14:paraId="5BEC6479">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1块</w:t>
            </w:r>
          </w:p>
        </w:tc>
        <w:tc>
          <w:tcPr>
            <w:tcW w:w="2291" w:type="dxa"/>
            <w:tcBorders>
              <w:tl2br w:val="nil"/>
              <w:tr2bl w:val="nil"/>
            </w:tcBorders>
            <w:shd w:val="clear" w:color="auto" w:fill="auto"/>
            <w:vAlign w:val="center"/>
          </w:tcPr>
          <w:p w14:paraId="2BA42E81">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56A4A7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3ADAB8B1">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cs="宋体"/>
                <w:sz w:val="21"/>
                <w:szCs w:val="21"/>
                <w:lang w:val="en-US" w:eastAsia="zh-CN"/>
              </w:rPr>
              <w:t>7</w:t>
            </w:r>
          </w:p>
        </w:tc>
        <w:tc>
          <w:tcPr>
            <w:tcW w:w="2250" w:type="dxa"/>
            <w:tcBorders>
              <w:tl2br w:val="nil"/>
              <w:tr2bl w:val="nil"/>
            </w:tcBorders>
            <w:shd w:val="clear" w:color="auto" w:fill="auto"/>
            <w:vAlign w:val="center"/>
          </w:tcPr>
          <w:p w14:paraId="63783554">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绝缘摇表</w:t>
            </w:r>
          </w:p>
        </w:tc>
        <w:tc>
          <w:tcPr>
            <w:tcW w:w="2203" w:type="dxa"/>
            <w:tcBorders>
              <w:tl2br w:val="nil"/>
              <w:tr2bl w:val="nil"/>
            </w:tcBorders>
            <w:shd w:val="clear" w:color="auto" w:fill="auto"/>
            <w:vAlign w:val="center"/>
          </w:tcPr>
          <w:p w14:paraId="4CB1A226">
            <w:pPr>
              <w:pStyle w:val="49"/>
              <w:kinsoku/>
              <w:overflowPunct/>
              <w:topLinePunct w:val="0"/>
              <w:bidi w:val="0"/>
              <w:spacing w:line="360" w:lineRule="atLeast"/>
              <w:ind w:firstLine="0" w:firstLineChars="0"/>
              <w:rPr>
                <w:rFonts w:hint="eastAsia" w:ascii="宋体" w:hAnsi="宋体" w:eastAsia="宋体" w:cs="宋体"/>
                <w:sz w:val="21"/>
                <w:szCs w:val="21"/>
              </w:rPr>
            </w:pPr>
          </w:p>
        </w:tc>
        <w:tc>
          <w:tcPr>
            <w:tcW w:w="1821" w:type="dxa"/>
            <w:tcBorders>
              <w:tl2br w:val="nil"/>
              <w:tr2bl w:val="nil"/>
            </w:tcBorders>
            <w:shd w:val="clear" w:color="auto" w:fill="auto"/>
            <w:vAlign w:val="center"/>
          </w:tcPr>
          <w:p w14:paraId="30FB49F8">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1块</w:t>
            </w:r>
          </w:p>
        </w:tc>
        <w:tc>
          <w:tcPr>
            <w:tcW w:w="2291" w:type="dxa"/>
            <w:tcBorders>
              <w:tl2br w:val="nil"/>
              <w:tr2bl w:val="nil"/>
            </w:tcBorders>
            <w:shd w:val="clear" w:color="auto" w:fill="auto"/>
            <w:vAlign w:val="center"/>
          </w:tcPr>
          <w:p w14:paraId="4FBA04DF">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7E9F59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5DD7E971">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w:t>
            </w:r>
            <w:r>
              <w:rPr>
                <w:rFonts w:hint="eastAsia" w:cs="宋体"/>
                <w:sz w:val="21"/>
                <w:szCs w:val="21"/>
                <w:lang w:val="en-US" w:eastAsia="zh-CN"/>
              </w:rPr>
              <w:t>8</w:t>
            </w:r>
          </w:p>
        </w:tc>
        <w:tc>
          <w:tcPr>
            <w:tcW w:w="2250" w:type="dxa"/>
            <w:tcBorders>
              <w:tl2br w:val="nil"/>
              <w:tr2bl w:val="nil"/>
            </w:tcBorders>
            <w:shd w:val="clear" w:color="auto" w:fill="auto"/>
            <w:vAlign w:val="center"/>
          </w:tcPr>
          <w:p w14:paraId="2C2BD809">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水平仪、经纬仪</w:t>
            </w:r>
          </w:p>
        </w:tc>
        <w:tc>
          <w:tcPr>
            <w:tcW w:w="2203" w:type="dxa"/>
            <w:tcBorders>
              <w:tl2br w:val="nil"/>
              <w:tr2bl w:val="nil"/>
            </w:tcBorders>
            <w:shd w:val="clear" w:color="auto" w:fill="auto"/>
            <w:vAlign w:val="center"/>
          </w:tcPr>
          <w:p w14:paraId="6986E089">
            <w:pPr>
              <w:pStyle w:val="49"/>
              <w:kinsoku/>
              <w:overflowPunct/>
              <w:topLinePunct w:val="0"/>
              <w:bidi w:val="0"/>
              <w:spacing w:line="360" w:lineRule="atLeast"/>
              <w:ind w:firstLine="0" w:firstLineChars="0"/>
              <w:rPr>
                <w:rFonts w:hint="eastAsia" w:ascii="宋体" w:hAnsi="宋体" w:eastAsia="宋体" w:cs="宋体"/>
                <w:sz w:val="21"/>
                <w:szCs w:val="21"/>
              </w:rPr>
            </w:pPr>
          </w:p>
        </w:tc>
        <w:tc>
          <w:tcPr>
            <w:tcW w:w="1821" w:type="dxa"/>
            <w:tcBorders>
              <w:tl2br w:val="nil"/>
              <w:tr2bl w:val="nil"/>
            </w:tcBorders>
            <w:shd w:val="clear" w:color="auto" w:fill="auto"/>
            <w:vAlign w:val="center"/>
          </w:tcPr>
          <w:p w14:paraId="173D50CF">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各1架</w:t>
            </w:r>
          </w:p>
        </w:tc>
        <w:tc>
          <w:tcPr>
            <w:tcW w:w="2291" w:type="dxa"/>
            <w:tcBorders>
              <w:tl2br w:val="nil"/>
              <w:tr2bl w:val="nil"/>
            </w:tcBorders>
            <w:shd w:val="clear" w:color="auto" w:fill="auto"/>
            <w:vAlign w:val="center"/>
          </w:tcPr>
          <w:p w14:paraId="29FA1CAE">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7F94B0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4638BA0E">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cs="宋体"/>
                <w:sz w:val="21"/>
                <w:szCs w:val="21"/>
                <w:lang w:val="en-US" w:eastAsia="zh-CN"/>
              </w:rPr>
              <w:t>29</w:t>
            </w:r>
          </w:p>
        </w:tc>
        <w:tc>
          <w:tcPr>
            <w:tcW w:w="2250" w:type="dxa"/>
            <w:tcBorders>
              <w:tl2br w:val="nil"/>
              <w:tr2bl w:val="nil"/>
            </w:tcBorders>
            <w:shd w:val="clear" w:color="auto" w:fill="auto"/>
            <w:vAlign w:val="center"/>
          </w:tcPr>
          <w:p w14:paraId="09161DA8">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安全带、安全帽</w:t>
            </w:r>
          </w:p>
        </w:tc>
        <w:tc>
          <w:tcPr>
            <w:tcW w:w="2203" w:type="dxa"/>
            <w:tcBorders>
              <w:tl2br w:val="nil"/>
              <w:tr2bl w:val="nil"/>
            </w:tcBorders>
            <w:shd w:val="clear" w:color="auto" w:fill="auto"/>
            <w:vAlign w:val="center"/>
          </w:tcPr>
          <w:p w14:paraId="7A657B0F">
            <w:pPr>
              <w:pStyle w:val="49"/>
              <w:kinsoku/>
              <w:overflowPunct/>
              <w:topLinePunct w:val="0"/>
              <w:bidi w:val="0"/>
              <w:spacing w:line="360" w:lineRule="atLeast"/>
              <w:ind w:firstLine="0" w:firstLineChars="0"/>
              <w:rPr>
                <w:rFonts w:hint="eastAsia" w:ascii="宋体" w:hAnsi="宋体" w:eastAsia="宋体" w:cs="宋体"/>
                <w:sz w:val="21"/>
                <w:szCs w:val="21"/>
              </w:rPr>
            </w:pPr>
          </w:p>
        </w:tc>
        <w:tc>
          <w:tcPr>
            <w:tcW w:w="1821" w:type="dxa"/>
            <w:tcBorders>
              <w:tl2br w:val="nil"/>
              <w:tr2bl w:val="nil"/>
            </w:tcBorders>
            <w:shd w:val="clear" w:color="auto" w:fill="auto"/>
            <w:vAlign w:val="center"/>
          </w:tcPr>
          <w:p w14:paraId="5C10ECA8">
            <w:pPr>
              <w:pStyle w:val="49"/>
              <w:kinsoku/>
              <w:overflowPunct/>
              <w:topLinePunct w:val="0"/>
              <w:bidi w:val="0"/>
              <w:spacing w:line="360" w:lineRule="atLeast"/>
              <w:ind w:firstLine="0" w:firstLineChars="0"/>
              <w:rPr>
                <w:rFonts w:hint="eastAsia" w:ascii="宋体" w:hAnsi="宋体" w:eastAsia="宋体" w:cs="宋体"/>
                <w:sz w:val="21"/>
                <w:szCs w:val="21"/>
              </w:rPr>
            </w:pPr>
            <w:r>
              <w:rPr>
                <w:rFonts w:hint="eastAsia" w:ascii="宋体" w:hAnsi="宋体" w:eastAsia="宋体" w:cs="宋体"/>
                <w:sz w:val="21"/>
                <w:szCs w:val="21"/>
              </w:rPr>
              <w:t>每人一套</w:t>
            </w:r>
          </w:p>
        </w:tc>
        <w:tc>
          <w:tcPr>
            <w:tcW w:w="2291" w:type="dxa"/>
            <w:tcBorders>
              <w:tl2br w:val="nil"/>
              <w:tr2bl w:val="nil"/>
            </w:tcBorders>
            <w:shd w:val="clear" w:color="auto" w:fill="auto"/>
            <w:vAlign w:val="center"/>
          </w:tcPr>
          <w:p w14:paraId="00A5EB15">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634C97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3936A09D">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cs="宋体"/>
                <w:sz w:val="21"/>
                <w:szCs w:val="21"/>
                <w:lang w:val="en-US" w:eastAsia="zh-CN"/>
              </w:rPr>
              <w:t>0</w:t>
            </w:r>
          </w:p>
        </w:tc>
        <w:tc>
          <w:tcPr>
            <w:tcW w:w="2250" w:type="dxa"/>
            <w:tcBorders>
              <w:tl2br w:val="nil"/>
              <w:tr2bl w:val="nil"/>
            </w:tcBorders>
            <w:shd w:val="clear" w:color="auto" w:fill="auto"/>
            <w:vAlign w:val="center"/>
          </w:tcPr>
          <w:p w14:paraId="4958388C">
            <w:pPr>
              <w:pStyle w:val="49"/>
              <w:kinsoku/>
              <w:overflowPunct/>
              <w:topLinePunct w:val="0"/>
              <w:bidi w:val="0"/>
              <w:spacing w:line="360" w:lineRule="atLeas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扭矩扳手</w:t>
            </w:r>
          </w:p>
        </w:tc>
        <w:tc>
          <w:tcPr>
            <w:tcW w:w="2203" w:type="dxa"/>
            <w:tcBorders>
              <w:tl2br w:val="nil"/>
              <w:tr2bl w:val="nil"/>
            </w:tcBorders>
            <w:shd w:val="clear" w:color="auto" w:fill="auto"/>
            <w:vAlign w:val="center"/>
          </w:tcPr>
          <w:p w14:paraId="5A4B0EC8">
            <w:pPr>
              <w:pStyle w:val="49"/>
              <w:kinsoku/>
              <w:overflowPunct/>
              <w:topLinePunct w:val="0"/>
              <w:bidi w:val="0"/>
              <w:spacing w:line="360" w:lineRule="atLeast"/>
              <w:ind w:firstLine="0" w:firstLineChars="0"/>
              <w:rPr>
                <w:rFonts w:hint="eastAsia" w:ascii="宋体" w:hAnsi="宋体" w:eastAsia="宋体" w:cs="宋体"/>
                <w:sz w:val="21"/>
                <w:szCs w:val="21"/>
              </w:rPr>
            </w:pPr>
          </w:p>
        </w:tc>
        <w:tc>
          <w:tcPr>
            <w:tcW w:w="1821" w:type="dxa"/>
            <w:tcBorders>
              <w:tl2br w:val="nil"/>
              <w:tr2bl w:val="nil"/>
            </w:tcBorders>
            <w:shd w:val="clear" w:color="auto" w:fill="auto"/>
            <w:vAlign w:val="center"/>
          </w:tcPr>
          <w:p w14:paraId="4AC9A085">
            <w:pPr>
              <w:pStyle w:val="49"/>
              <w:kinsoku/>
              <w:overflowPunct/>
              <w:topLinePunct w:val="0"/>
              <w:bidi w:val="0"/>
              <w:spacing w:line="360" w:lineRule="atLeas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2把</w:t>
            </w:r>
          </w:p>
        </w:tc>
        <w:tc>
          <w:tcPr>
            <w:tcW w:w="2291" w:type="dxa"/>
            <w:tcBorders>
              <w:tl2br w:val="nil"/>
              <w:tr2bl w:val="nil"/>
            </w:tcBorders>
            <w:shd w:val="clear" w:color="auto" w:fill="auto"/>
            <w:vAlign w:val="center"/>
          </w:tcPr>
          <w:p w14:paraId="2AA1DD95">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5CA8B5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608BC8B6">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cs="宋体"/>
                <w:sz w:val="21"/>
                <w:szCs w:val="21"/>
                <w:lang w:val="en-US" w:eastAsia="zh-CN"/>
              </w:rPr>
              <w:t>1</w:t>
            </w:r>
          </w:p>
        </w:tc>
        <w:tc>
          <w:tcPr>
            <w:tcW w:w="2250" w:type="dxa"/>
            <w:tcBorders>
              <w:tl2br w:val="nil"/>
              <w:tr2bl w:val="nil"/>
            </w:tcBorders>
            <w:shd w:val="clear" w:color="auto" w:fill="auto"/>
            <w:vAlign w:val="center"/>
          </w:tcPr>
          <w:p w14:paraId="56141B29">
            <w:pPr>
              <w:pStyle w:val="49"/>
              <w:kinsoku/>
              <w:overflowPunct/>
              <w:topLinePunct w:val="0"/>
              <w:bidi w:val="0"/>
              <w:spacing w:line="360" w:lineRule="atLeas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试验配重</w:t>
            </w:r>
          </w:p>
        </w:tc>
        <w:tc>
          <w:tcPr>
            <w:tcW w:w="2203" w:type="dxa"/>
            <w:tcBorders>
              <w:tl2br w:val="nil"/>
              <w:tr2bl w:val="nil"/>
            </w:tcBorders>
            <w:shd w:val="clear" w:color="auto" w:fill="auto"/>
            <w:vAlign w:val="center"/>
          </w:tcPr>
          <w:p w14:paraId="62D6772D">
            <w:pPr>
              <w:pStyle w:val="49"/>
              <w:kinsoku/>
              <w:overflowPunct/>
              <w:topLinePunct w:val="0"/>
              <w:bidi w:val="0"/>
              <w:spacing w:line="360" w:lineRule="atLeast"/>
              <w:ind w:firstLine="0" w:firstLineChars="0"/>
              <w:rPr>
                <w:rFonts w:hint="eastAsia" w:ascii="宋体" w:hAnsi="宋体" w:eastAsia="宋体" w:cs="宋体"/>
                <w:sz w:val="21"/>
                <w:szCs w:val="21"/>
                <w:lang w:val="en-US" w:eastAsia="zh-CN"/>
              </w:rPr>
            </w:pPr>
          </w:p>
        </w:tc>
        <w:tc>
          <w:tcPr>
            <w:tcW w:w="1821" w:type="dxa"/>
            <w:tcBorders>
              <w:tl2br w:val="nil"/>
              <w:tr2bl w:val="nil"/>
            </w:tcBorders>
            <w:shd w:val="clear" w:color="auto" w:fill="auto"/>
            <w:vAlign w:val="center"/>
          </w:tcPr>
          <w:p w14:paraId="02B4477D">
            <w:pPr>
              <w:pStyle w:val="49"/>
              <w:kinsoku/>
              <w:overflowPunct/>
              <w:topLinePunct w:val="0"/>
              <w:bidi w:val="0"/>
              <w:spacing w:line="360" w:lineRule="atLeas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总计</w:t>
            </w:r>
            <w:r>
              <w:rPr>
                <w:rFonts w:hint="eastAsia" w:cs="宋体"/>
                <w:sz w:val="21"/>
                <w:szCs w:val="21"/>
                <w:lang w:val="en-US" w:eastAsia="zh-CN"/>
              </w:rPr>
              <w:t>10</w:t>
            </w:r>
            <w:r>
              <w:rPr>
                <w:rFonts w:hint="eastAsia" w:ascii="宋体" w:hAnsi="宋体" w:eastAsia="宋体" w:cs="宋体"/>
                <w:sz w:val="21"/>
                <w:szCs w:val="21"/>
                <w:lang w:val="en-US" w:eastAsia="zh-CN"/>
              </w:rPr>
              <w:t>t</w:t>
            </w:r>
          </w:p>
        </w:tc>
        <w:tc>
          <w:tcPr>
            <w:tcW w:w="2291" w:type="dxa"/>
            <w:tcBorders>
              <w:tl2br w:val="nil"/>
              <w:tr2bl w:val="nil"/>
            </w:tcBorders>
            <w:shd w:val="clear" w:color="auto" w:fill="auto"/>
            <w:vAlign w:val="center"/>
          </w:tcPr>
          <w:p w14:paraId="2B7292E4">
            <w:pPr>
              <w:pStyle w:val="49"/>
              <w:kinsoku/>
              <w:overflowPunct/>
              <w:topLinePunct w:val="0"/>
              <w:bidi w:val="0"/>
              <w:spacing w:line="360" w:lineRule="atLeast"/>
              <w:ind w:firstLine="0" w:firstLineChars="0"/>
              <w:rPr>
                <w:rFonts w:hint="eastAsia" w:ascii="宋体" w:hAnsi="宋体" w:eastAsia="宋体" w:cs="宋体"/>
                <w:sz w:val="21"/>
                <w:szCs w:val="21"/>
              </w:rPr>
            </w:pPr>
          </w:p>
        </w:tc>
      </w:tr>
      <w:tr w14:paraId="1849E6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40" w:type="dxa"/>
            <w:tcBorders>
              <w:tl2br w:val="nil"/>
              <w:tr2bl w:val="nil"/>
            </w:tcBorders>
            <w:shd w:val="clear" w:color="auto" w:fill="auto"/>
            <w:vAlign w:val="center"/>
          </w:tcPr>
          <w:p w14:paraId="07D2DB62">
            <w:pPr>
              <w:pStyle w:val="49"/>
              <w:kinsoku/>
              <w:overflowPunct/>
              <w:topLinePunct w:val="0"/>
              <w:bidi w:val="0"/>
              <w:spacing w:line="360" w:lineRule="atLeas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w:t>
            </w:r>
            <w:r>
              <w:rPr>
                <w:rFonts w:hint="eastAsia" w:cs="宋体"/>
                <w:sz w:val="21"/>
                <w:szCs w:val="21"/>
                <w:lang w:val="en-US" w:eastAsia="zh-CN"/>
              </w:rPr>
              <w:t>2</w:t>
            </w:r>
          </w:p>
        </w:tc>
        <w:tc>
          <w:tcPr>
            <w:tcW w:w="2250" w:type="dxa"/>
            <w:tcBorders>
              <w:tl2br w:val="nil"/>
              <w:tr2bl w:val="nil"/>
            </w:tcBorders>
            <w:shd w:val="clear" w:color="auto" w:fill="auto"/>
            <w:vAlign w:val="center"/>
          </w:tcPr>
          <w:p w14:paraId="6098E5EF">
            <w:pPr>
              <w:pStyle w:val="49"/>
              <w:kinsoku/>
              <w:overflowPunct/>
              <w:topLinePunct w:val="0"/>
              <w:bidi w:val="0"/>
              <w:spacing w:line="360" w:lineRule="atLeast"/>
              <w:ind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附着部件</w:t>
            </w:r>
          </w:p>
        </w:tc>
        <w:tc>
          <w:tcPr>
            <w:tcW w:w="2203" w:type="dxa"/>
            <w:tcBorders>
              <w:tl2br w:val="nil"/>
              <w:tr2bl w:val="nil"/>
            </w:tcBorders>
            <w:shd w:val="clear" w:color="auto" w:fill="auto"/>
            <w:vAlign w:val="center"/>
          </w:tcPr>
          <w:p w14:paraId="76259708">
            <w:pPr>
              <w:pStyle w:val="49"/>
              <w:kinsoku/>
              <w:overflowPunct/>
              <w:topLinePunct w:val="0"/>
              <w:bidi w:val="0"/>
              <w:spacing w:line="360" w:lineRule="atLeast"/>
              <w:ind w:firstLine="0" w:firstLineChars="0"/>
              <w:rPr>
                <w:rFonts w:hint="eastAsia" w:ascii="宋体" w:hAnsi="宋体" w:eastAsia="宋体" w:cs="宋体"/>
                <w:sz w:val="21"/>
                <w:szCs w:val="21"/>
                <w:lang w:val="en-US" w:eastAsia="zh-CN"/>
              </w:rPr>
            </w:pPr>
          </w:p>
        </w:tc>
        <w:tc>
          <w:tcPr>
            <w:tcW w:w="1821" w:type="dxa"/>
            <w:tcBorders>
              <w:tl2br w:val="nil"/>
              <w:tr2bl w:val="nil"/>
            </w:tcBorders>
            <w:shd w:val="clear" w:color="auto" w:fill="auto"/>
            <w:vAlign w:val="center"/>
          </w:tcPr>
          <w:p w14:paraId="301A545C">
            <w:pPr>
              <w:pStyle w:val="49"/>
              <w:kinsoku/>
              <w:overflowPunct/>
              <w:topLinePunct w:val="0"/>
              <w:bidi w:val="0"/>
              <w:spacing w:line="360" w:lineRule="atLeast"/>
              <w:ind w:firstLine="0" w:firstLineChars="0"/>
              <w:rPr>
                <w:rFonts w:hint="eastAsia" w:ascii="宋体" w:hAnsi="宋体" w:eastAsia="宋体" w:cs="宋体"/>
                <w:sz w:val="21"/>
                <w:szCs w:val="21"/>
                <w:lang w:val="en-US" w:eastAsia="zh-CN"/>
              </w:rPr>
            </w:pPr>
            <w:r>
              <w:rPr>
                <w:rFonts w:hint="eastAsia" w:cs="宋体"/>
                <w:sz w:val="21"/>
                <w:szCs w:val="21"/>
                <w:lang w:val="en-US" w:eastAsia="zh-CN"/>
              </w:rPr>
              <w:t>12</w:t>
            </w:r>
            <w:r>
              <w:rPr>
                <w:rFonts w:hint="eastAsia" w:ascii="宋体" w:hAnsi="宋体" w:eastAsia="宋体" w:cs="宋体"/>
                <w:sz w:val="21"/>
                <w:szCs w:val="21"/>
                <w:lang w:val="en-US" w:eastAsia="zh-CN"/>
              </w:rPr>
              <w:t>根</w:t>
            </w:r>
          </w:p>
        </w:tc>
        <w:tc>
          <w:tcPr>
            <w:tcW w:w="2291" w:type="dxa"/>
            <w:tcBorders>
              <w:tl2br w:val="nil"/>
              <w:tr2bl w:val="nil"/>
            </w:tcBorders>
            <w:shd w:val="clear" w:color="auto" w:fill="auto"/>
            <w:vAlign w:val="center"/>
          </w:tcPr>
          <w:p w14:paraId="27784B63">
            <w:pPr>
              <w:pStyle w:val="49"/>
              <w:kinsoku/>
              <w:overflowPunct/>
              <w:topLinePunct w:val="0"/>
              <w:bidi w:val="0"/>
              <w:spacing w:line="360" w:lineRule="atLeast"/>
              <w:ind w:firstLine="0" w:firstLineChars="0"/>
              <w:rPr>
                <w:rFonts w:hint="eastAsia" w:ascii="宋体" w:hAnsi="宋体" w:eastAsia="宋体" w:cs="宋体"/>
                <w:sz w:val="21"/>
                <w:szCs w:val="21"/>
              </w:rPr>
            </w:pPr>
          </w:p>
        </w:tc>
      </w:tr>
    </w:tbl>
    <w:p w14:paraId="092AC313">
      <w:pPr>
        <w:pStyle w:val="2"/>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34" w:name="_Toc20377"/>
      <w:r>
        <w:rPr>
          <w:rFonts w:hint="eastAsia" w:ascii="宋体" w:hAnsi="宋体" w:eastAsia="宋体" w:cs="宋体"/>
          <w:sz w:val="24"/>
          <w:szCs w:val="24"/>
        </w:rPr>
        <w:t>施工工艺</w:t>
      </w:r>
      <w:bookmarkEnd w:id="34"/>
    </w:p>
    <w:p w14:paraId="4E6FE121">
      <w:pPr>
        <w:pStyle w:val="3"/>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35" w:name="_Toc1566"/>
      <w:r>
        <w:rPr>
          <w:rFonts w:hint="eastAsia" w:ascii="宋体" w:hAnsi="宋体" w:eastAsia="宋体" w:cs="宋体"/>
          <w:sz w:val="24"/>
          <w:szCs w:val="24"/>
        </w:rPr>
        <w:t>塔吊</w:t>
      </w:r>
      <w:r>
        <w:rPr>
          <w:rFonts w:hint="eastAsia" w:cs="宋体"/>
          <w:sz w:val="24"/>
          <w:szCs w:val="24"/>
          <w:lang w:eastAsia="zh-CN"/>
        </w:rPr>
        <w:t>拆除</w:t>
      </w:r>
      <w:r>
        <w:rPr>
          <w:rFonts w:hint="eastAsia" w:ascii="宋体" w:hAnsi="宋体" w:eastAsia="宋体" w:cs="宋体"/>
          <w:sz w:val="24"/>
          <w:szCs w:val="24"/>
        </w:rPr>
        <w:t>施工工艺流程</w:t>
      </w:r>
      <w:bookmarkEnd w:id="35"/>
    </w:p>
    <w:p w14:paraId="56FF480E">
      <w:pPr>
        <w:pStyle w:val="13"/>
        <w:kinsoku/>
        <w:overflowPunct/>
        <w:topLinePunct w:val="0"/>
        <w:bidi w:val="0"/>
        <w:spacing w:line="360" w:lineRule="atLeast"/>
        <w:rPr>
          <w:rFonts w:hint="eastAsia" w:ascii="宋体" w:hAnsi="宋体" w:eastAsia="宋体" w:cs="宋体"/>
          <w:sz w:val="21"/>
          <w:szCs w:val="21"/>
        </w:rPr>
      </w:pPr>
      <w:r>
        <w:drawing>
          <wp:inline distT="0" distB="0" distL="114300" distR="114300">
            <wp:extent cx="5829300" cy="3971925"/>
            <wp:effectExtent l="0" t="0" r="0" b="9525"/>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30"/>
                    <a:stretch>
                      <a:fillRect/>
                    </a:stretch>
                  </pic:blipFill>
                  <pic:spPr>
                    <a:xfrm>
                      <a:off x="0" y="0"/>
                      <a:ext cx="5829300" cy="3971925"/>
                    </a:xfrm>
                    <a:prstGeom prst="rect">
                      <a:avLst/>
                    </a:prstGeom>
                    <a:noFill/>
                    <a:ln>
                      <a:noFill/>
                    </a:ln>
                  </pic:spPr>
                </pic:pic>
              </a:graphicData>
            </a:graphic>
          </wp:inline>
        </w:drawing>
      </w:r>
    </w:p>
    <w:p w14:paraId="6463646B">
      <w:pPr>
        <w:pStyle w:val="13"/>
        <w:kinsoku/>
        <w:overflowPunct/>
        <w:topLinePunct w:val="0"/>
        <w:bidi w:val="0"/>
        <w:spacing w:line="360" w:lineRule="atLeast"/>
        <w:rPr>
          <w:rFonts w:hint="eastAsia" w:ascii="宋体" w:hAnsi="宋体" w:eastAsia="宋体" w:cs="宋体"/>
          <w:sz w:val="24"/>
          <w:szCs w:val="24"/>
          <w:lang w:val="en-US" w:eastAsia="zh-CN"/>
        </w:rPr>
      </w:pPr>
      <w:r>
        <w:rPr>
          <w:rFonts w:hint="eastAsia" w:ascii="宋体" w:hAnsi="宋体" w:eastAsia="宋体" w:cs="宋体"/>
          <w:sz w:val="24"/>
          <w:szCs w:val="24"/>
        </w:rPr>
        <w:t>图4.1</w:t>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SEQ图\*ARABIC\s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施工</w:t>
      </w:r>
      <w:r>
        <w:rPr>
          <w:rFonts w:hint="eastAsia" w:ascii="宋体" w:hAnsi="宋体" w:cs="宋体"/>
          <w:sz w:val="24"/>
          <w:szCs w:val="24"/>
          <w:lang w:val="en-US" w:eastAsia="zh-CN"/>
        </w:rPr>
        <w:t>顺序</w:t>
      </w:r>
      <w:r>
        <w:rPr>
          <w:rFonts w:hint="eastAsia" w:ascii="宋体" w:hAnsi="宋体" w:eastAsia="宋体" w:cs="宋体"/>
          <w:sz w:val="24"/>
          <w:szCs w:val="24"/>
        </w:rPr>
        <w:t>流程</w:t>
      </w:r>
      <w:r>
        <w:rPr>
          <w:rFonts w:hint="eastAsia" w:ascii="宋体" w:hAnsi="宋体" w:cs="宋体"/>
          <w:sz w:val="24"/>
          <w:szCs w:val="24"/>
          <w:lang w:val="en-US" w:eastAsia="zh-CN"/>
        </w:rPr>
        <w:t>表</w:t>
      </w:r>
    </w:p>
    <w:p w14:paraId="7CA98876">
      <w:pPr>
        <w:pStyle w:val="3"/>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36" w:name="_Toc32606"/>
      <w:r>
        <w:rPr>
          <w:rFonts w:hint="eastAsia" w:ascii="宋体" w:hAnsi="宋体" w:eastAsia="宋体" w:cs="宋体"/>
          <w:sz w:val="24"/>
          <w:szCs w:val="24"/>
        </w:rPr>
        <w:t>主要设备选型</w:t>
      </w:r>
      <w:bookmarkEnd w:id="36"/>
    </w:p>
    <w:p w14:paraId="6FE33EDC">
      <w:pPr>
        <w:pStyle w:val="4"/>
        <w:keepNext w:val="0"/>
        <w:pageBreakBefore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辅助起重设备选型</w:t>
      </w:r>
    </w:p>
    <w:p w14:paraId="6C53F2AB">
      <w:pPr>
        <w:bidi w:val="0"/>
        <w:rPr>
          <w:rFonts w:hint="eastAsia"/>
        </w:rPr>
      </w:pPr>
      <w:r>
        <w:rPr>
          <w:rFonts w:hint="eastAsia"/>
          <w:lang w:eastAsia="zh-CN"/>
        </w:rPr>
        <w:t>拆除</w:t>
      </w:r>
      <w:r>
        <w:rPr>
          <w:rFonts w:hint="eastAsia"/>
        </w:rPr>
        <w:t>时，辅助</w:t>
      </w:r>
      <w:r>
        <w:rPr>
          <w:rFonts w:hint="eastAsia"/>
          <w:lang w:eastAsia="zh-CN"/>
        </w:rPr>
        <w:t>拆除</w:t>
      </w:r>
      <w:r>
        <w:rPr>
          <w:rFonts w:hint="eastAsia"/>
        </w:rPr>
        <w:t>的起重机可行驶并支设于塔吊基础边，</w:t>
      </w:r>
      <w:r>
        <w:rPr>
          <w:rFonts w:hint="eastAsia"/>
          <w:lang w:eastAsia="zh-CN"/>
        </w:rPr>
        <w:t>虎霸QTZp160（T6515-10）</w:t>
      </w:r>
      <w:r>
        <w:rPr>
          <w:rFonts w:hint="eastAsia"/>
        </w:rPr>
        <w:t>选用</w:t>
      </w:r>
      <w:r>
        <w:rPr>
          <w:rFonts w:hint="eastAsia"/>
          <w:lang w:val="en-US" w:eastAsia="zh-CN"/>
        </w:rPr>
        <w:t>50</w:t>
      </w:r>
      <w:r>
        <w:rPr>
          <w:rFonts w:hint="eastAsia"/>
          <w:lang w:eastAsia="zh-CN"/>
        </w:rPr>
        <w:t>t汽车吊</w:t>
      </w:r>
      <w:r>
        <w:rPr>
          <w:rFonts w:hint="eastAsia"/>
        </w:rPr>
        <w:t>用于</w:t>
      </w:r>
      <w:r>
        <w:rPr>
          <w:rFonts w:hint="eastAsia"/>
          <w:lang w:eastAsia="zh-CN"/>
        </w:rPr>
        <w:t>拆除，</w:t>
      </w:r>
      <w:r>
        <w:rPr>
          <w:rFonts w:hint="eastAsia"/>
          <w:lang w:val="en-US" w:eastAsia="zh-CN"/>
        </w:rPr>
        <w:t>汽车吊的工况为主臂式32.8m。</w:t>
      </w:r>
      <w:r>
        <w:rPr>
          <w:rFonts w:hint="eastAsia"/>
        </w:rPr>
        <w:t>满足塔机的作业要求。相应计算详见第11章节。</w:t>
      </w:r>
    </w:p>
    <w:p w14:paraId="474F418A">
      <w:pPr>
        <w:widowControl w:val="0"/>
        <w:kinsoku/>
        <w:overflowPunct/>
        <w:topLinePunct w:val="0"/>
        <w:bidi w:val="0"/>
        <w:spacing w:line="360" w:lineRule="atLeast"/>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表</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STYLEREF 3\s</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4.2.1</w:t>
      </w:r>
      <w:r>
        <w:rPr>
          <w:rFonts w:hint="eastAsia" w:ascii="宋体" w:hAnsi="宋体" w:eastAsia="宋体" w:cs="宋体"/>
          <w:kern w:val="2"/>
          <w:sz w:val="24"/>
          <w:szCs w:val="24"/>
          <w:lang w:val="en-US" w:eastAsia="zh-CN" w:bidi="ar-SA"/>
        </w:rPr>
        <w:fldChar w:fldCharType="end"/>
      </w:r>
      <w:r>
        <w:rPr>
          <w:rFonts w:hint="eastAsia" w:ascii="宋体" w:hAnsi="宋体" w:eastAsia="宋体" w:cs="宋体"/>
          <w:kern w:val="2"/>
          <w:sz w:val="24"/>
          <w:szCs w:val="24"/>
          <w:lang w:val="en-US" w:eastAsia="zh-CN" w:bidi="ar-SA"/>
        </w:rPr>
        <w:t>-</w:t>
      </w:r>
      <w:r>
        <w:rPr>
          <w:rFonts w:hint="eastAsia" w:cs="宋体"/>
          <w:kern w:val="2"/>
          <w:sz w:val="24"/>
          <w:szCs w:val="24"/>
          <w:lang w:val="en-US" w:eastAsia="zh-CN" w:bidi="ar-SA"/>
        </w:rPr>
        <w:t>1</w:t>
      </w:r>
      <w:r>
        <w:rPr>
          <w:rFonts w:hint="eastAsia" w:ascii="宋体" w:hAnsi="宋体" w:eastAsia="宋体" w:cs="宋体"/>
          <w:kern w:val="2"/>
          <w:sz w:val="24"/>
          <w:szCs w:val="24"/>
          <w:lang w:val="en-US" w:eastAsia="zh-CN" w:bidi="ar-SA"/>
        </w:rPr>
        <w:t xml:space="preserve"> </w:t>
      </w:r>
      <w:r>
        <w:rPr>
          <w:rFonts w:hint="eastAsia" w:cs="宋体"/>
          <w:kern w:val="2"/>
          <w:sz w:val="24"/>
          <w:szCs w:val="24"/>
          <w:lang w:val="en-US" w:eastAsia="zh-CN" w:bidi="ar-SA"/>
        </w:rPr>
        <w:t>50t汽车吊</w:t>
      </w:r>
      <w:r>
        <w:rPr>
          <w:rFonts w:hint="eastAsia" w:ascii="宋体" w:hAnsi="宋体" w:eastAsia="宋体" w:cs="宋体"/>
          <w:kern w:val="2"/>
          <w:sz w:val="24"/>
          <w:szCs w:val="24"/>
          <w:lang w:val="en-US" w:eastAsia="zh-CN" w:bidi="ar-SA"/>
        </w:rPr>
        <w:t>性能表</w:t>
      </w:r>
    </w:p>
    <w:p w14:paraId="19AEED28">
      <w:pPr>
        <w:pStyle w:val="39"/>
        <w:spacing w:line="240" w:lineRule="auto"/>
        <w:rPr>
          <w:rFonts w:hint="eastAsia"/>
        </w:rPr>
      </w:pPr>
      <w:r>
        <w:rPr>
          <w:sz w:val="24"/>
        </w:rPr>
        <mc:AlternateContent>
          <mc:Choice Requires="wps">
            <w:drawing>
              <wp:anchor distT="0" distB="0" distL="114300" distR="114300" simplePos="0" relativeHeight="251666432" behindDoc="0" locked="0" layoutInCell="1" allowOverlap="1">
                <wp:simplePos x="0" y="0"/>
                <wp:positionH relativeFrom="column">
                  <wp:posOffset>3194050</wp:posOffset>
                </wp:positionH>
                <wp:positionV relativeFrom="paragraph">
                  <wp:posOffset>-434340</wp:posOffset>
                </wp:positionV>
                <wp:extent cx="250190" cy="6186170"/>
                <wp:effectExtent l="13970" t="13970" r="29210" b="21590"/>
                <wp:wrapNone/>
                <wp:docPr id="57" name="矩形 57"/>
                <wp:cNvGraphicFramePr/>
                <a:graphic xmlns:a="http://schemas.openxmlformats.org/drawingml/2006/main">
                  <a:graphicData uri="http://schemas.microsoft.com/office/word/2010/wordprocessingShape">
                    <wps:wsp>
                      <wps:cNvSpPr/>
                      <wps:spPr>
                        <a:xfrm rot="5400000">
                          <a:off x="0" y="0"/>
                          <a:ext cx="250190" cy="6186170"/>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1.5pt;margin-top:-34.2pt;height:487.1pt;width:19.7pt;rotation:5898240f;z-index:251666432;v-text-anchor:middle;mso-width-relative:page;mso-height-relative:page;" filled="f" stroked="t" coordsize="21600,21600" o:gfxdata="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dkI7j2QAAAAsBAAAPAAAAAAAAAAEAIAAAACIAAABkcnMvZG93bnJldi54bWxQ&#10;SwECFAAUAAAACACHTuJAFagrFmgCAADEBAAADgAAAAAAAAABACAAAAAoAQAAZHJzL2Uyb0RvYy54&#10;bWxQSwUGAAAAAAYABgBZAQAAAgYAAAAA&#10;">
                <v:fill on="f" focussize="0,0"/>
                <v:stroke weight="2.25pt" color="#FF0000 [2404]" joinstyle="round"/>
                <v:imagedata o:title=""/>
                <o:lock v:ext="edit" aspectratio="f"/>
              </v:rect>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2044700</wp:posOffset>
                </wp:positionH>
                <wp:positionV relativeFrom="paragraph">
                  <wp:posOffset>563880</wp:posOffset>
                </wp:positionV>
                <wp:extent cx="366395" cy="3341370"/>
                <wp:effectExtent l="13970" t="13970" r="19685" b="16510"/>
                <wp:wrapNone/>
                <wp:docPr id="56" name="矩形 56"/>
                <wp:cNvGraphicFramePr/>
                <a:graphic xmlns:a="http://schemas.openxmlformats.org/drawingml/2006/main">
                  <a:graphicData uri="http://schemas.microsoft.com/office/word/2010/wordprocessingShape">
                    <wps:wsp>
                      <wps:cNvSpPr/>
                      <wps:spPr>
                        <a:xfrm>
                          <a:off x="2944495" y="1283970"/>
                          <a:ext cx="366395" cy="3341370"/>
                        </a:xfrm>
                        <a:prstGeom prst="rect">
                          <a:avLst/>
                        </a:prstGeom>
                        <a:noFill/>
                        <a:ln w="28575">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44.4pt;height:263.1pt;width:28.85pt;z-index:251665408;v-text-anchor:middle;mso-width-relative:page;mso-height-relative:page;" filled="f" stroked="t" coordsize="21600,21600" o:gfxdata="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3SDHltoAAAAKAQAADwAAAAAAAAABACAAAAAiAAAAZHJzL2Rvd25yZXYu&#10;eG1sUEsBAhQAFAAAAAgAh07iQJbmDGxrAgAAwgQAAA4AAAAAAAAAAQAgAAAAKQEAAGRycy9lMm9E&#10;b2MueG1sUEsFBgAAAAAGAAYAWQEAAAYGAAAAAA==&#10;">
                <v:fill on="f" focussize="0,0"/>
                <v:stroke weight="2.25pt" color="#FF0000 [2404]" joinstyle="round"/>
                <v:imagedata o:title=""/>
                <o:lock v:ext="edit" aspectratio="f"/>
              </v:rect>
            </w:pict>
          </mc:Fallback>
        </mc:AlternateContent>
      </w:r>
      <w:r>
        <w:drawing>
          <wp:inline distT="0" distB="0" distL="114300" distR="114300">
            <wp:extent cx="6116955" cy="5449570"/>
            <wp:effectExtent l="0" t="0" r="17145" b="17780"/>
            <wp:docPr id="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pic:cNvPicPr>
                      <a:picLocks noChangeAspect="1"/>
                    </pic:cNvPicPr>
                  </pic:nvPicPr>
                  <pic:blipFill>
                    <a:blip r:embed="rId31"/>
                    <a:stretch>
                      <a:fillRect/>
                    </a:stretch>
                  </pic:blipFill>
                  <pic:spPr>
                    <a:xfrm>
                      <a:off x="0" y="0"/>
                      <a:ext cx="6116955" cy="5449570"/>
                    </a:xfrm>
                    <a:prstGeom prst="rect">
                      <a:avLst/>
                    </a:prstGeom>
                    <a:noFill/>
                    <a:ln>
                      <a:noFill/>
                    </a:ln>
                  </pic:spPr>
                </pic:pic>
              </a:graphicData>
            </a:graphic>
          </wp:inline>
        </w:drawing>
      </w:r>
    </w:p>
    <w:p w14:paraId="4906D320">
      <w:pPr>
        <w:pStyle w:val="13"/>
        <w:kinsoku/>
        <w:overflowPunct/>
        <w:topLinePunct w:val="0"/>
        <w:bidi w:val="0"/>
        <w:spacing w:line="360" w:lineRule="atLeast"/>
        <w:rPr>
          <w:rFonts w:hint="eastAsia" w:ascii="宋体" w:hAnsi="宋体" w:eastAsia="宋体" w:cs="宋体"/>
          <w:sz w:val="24"/>
          <w:szCs w:val="24"/>
        </w:rPr>
      </w:pPr>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4.2.1</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cs="宋体"/>
          <w:sz w:val="24"/>
          <w:szCs w:val="24"/>
          <w:lang w:val="en-US" w:eastAsia="zh-CN"/>
        </w:rPr>
        <w:t xml:space="preserve">2 </w:t>
      </w:r>
      <w:r>
        <w:rPr>
          <w:rFonts w:hint="eastAsia" w:ascii="宋体" w:hAnsi="宋体" w:cs="宋体"/>
          <w:sz w:val="24"/>
          <w:szCs w:val="24"/>
          <w:lang w:eastAsia="zh-CN"/>
        </w:rPr>
        <w:t>拆除</w:t>
      </w:r>
      <w:r>
        <w:rPr>
          <w:rFonts w:hint="eastAsia" w:ascii="宋体" w:hAnsi="宋体" w:eastAsia="宋体" w:cs="宋体"/>
          <w:sz w:val="24"/>
          <w:szCs w:val="24"/>
        </w:rPr>
        <w:t>时部件组合对</w:t>
      </w:r>
      <w:r>
        <w:rPr>
          <w:rFonts w:hint="eastAsia" w:ascii="宋体" w:hAnsi="宋体" w:cs="宋体"/>
          <w:sz w:val="24"/>
          <w:szCs w:val="24"/>
          <w:lang w:val="en-US" w:eastAsia="zh-CN"/>
        </w:rPr>
        <w:t>5</w:t>
      </w:r>
      <w:r>
        <w:rPr>
          <w:rFonts w:hint="eastAsia" w:ascii="宋体" w:hAnsi="宋体" w:cs="宋体"/>
          <w:sz w:val="24"/>
          <w:szCs w:val="24"/>
          <w:lang w:eastAsia="zh-CN"/>
        </w:rPr>
        <w:t>0t汽车吊</w:t>
      </w:r>
      <w:r>
        <w:rPr>
          <w:rFonts w:hint="eastAsia" w:ascii="宋体" w:hAnsi="宋体" w:eastAsia="宋体" w:cs="宋体"/>
          <w:sz w:val="24"/>
          <w:szCs w:val="24"/>
        </w:rPr>
        <w:t>的负荷率</w:t>
      </w:r>
    </w:p>
    <w:tbl>
      <w:tblPr>
        <w:tblStyle w:val="41"/>
        <w:tblW w:w="499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57"/>
        <w:gridCol w:w="1720"/>
        <w:gridCol w:w="1319"/>
        <w:gridCol w:w="1350"/>
        <w:gridCol w:w="1180"/>
        <w:gridCol w:w="1180"/>
        <w:gridCol w:w="1350"/>
        <w:gridCol w:w="1095"/>
      </w:tblGrid>
      <w:tr w14:paraId="1D8675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vMerge w:val="restart"/>
            <w:vAlign w:val="top"/>
          </w:tcPr>
          <w:p w14:paraId="4E052066">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序号</w:t>
            </w:r>
          </w:p>
        </w:tc>
        <w:tc>
          <w:tcPr>
            <w:tcW w:w="5569" w:type="dxa"/>
            <w:gridSpan w:val="4"/>
            <w:vAlign w:val="top"/>
          </w:tcPr>
          <w:p w14:paraId="792074A7">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工况</w:t>
            </w:r>
          </w:p>
        </w:tc>
        <w:tc>
          <w:tcPr>
            <w:tcW w:w="2530" w:type="dxa"/>
            <w:gridSpan w:val="2"/>
            <w:vAlign w:val="top"/>
          </w:tcPr>
          <w:p w14:paraId="4B2CC240">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cs="宋体"/>
                <w:szCs w:val="24"/>
                <w:highlight w:val="none"/>
                <w:lang w:val="en-US" w:eastAsia="zh-CN"/>
              </w:rPr>
              <w:t>5</w:t>
            </w:r>
            <w:r>
              <w:rPr>
                <w:rFonts w:hint="eastAsia" w:ascii="宋体" w:hAnsi="宋体" w:eastAsia="宋体" w:cs="宋体"/>
                <w:szCs w:val="24"/>
                <w:highlight w:val="none"/>
                <w:lang w:val="en-US" w:eastAsia="zh-CN"/>
              </w:rPr>
              <w:t>0t汽车吊起重能力</w:t>
            </w:r>
          </w:p>
        </w:tc>
        <w:tc>
          <w:tcPr>
            <w:tcW w:w="1095" w:type="dxa"/>
            <w:vMerge w:val="restart"/>
            <w:vAlign w:val="top"/>
          </w:tcPr>
          <w:p w14:paraId="4F27B5BA">
            <w:pPr>
              <w:widowControl/>
              <w:adjustRightInd w:val="0"/>
              <w:snapToGrid w:val="0"/>
              <w:spacing w:line="360" w:lineRule="auto"/>
              <w:ind w:left="0" w:leftChars="0" w:firstLine="0" w:firstLineChars="0"/>
              <w:jc w:val="both"/>
              <w:rPr>
                <w:rFonts w:hint="default" w:ascii="宋体" w:hAnsi="宋体" w:eastAsia="宋体" w:cs="宋体"/>
                <w:szCs w:val="24"/>
                <w:highlight w:val="none"/>
                <w:lang w:val="en-US" w:eastAsia="zh-CN"/>
              </w:rPr>
            </w:pPr>
            <w:r>
              <w:rPr>
                <w:rFonts w:hint="eastAsia" w:ascii="宋体" w:hAnsi="宋体" w:eastAsia="宋体" w:cs="宋体"/>
                <w:szCs w:val="24"/>
                <w:highlight w:val="none"/>
                <w:lang w:val="en-US" w:eastAsia="zh-CN"/>
              </w:rPr>
              <w:t>起吊能力百分比</w:t>
            </w:r>
          </w:p>
        </w:tc>
      </w:tr>
      <w:tr w14:paraId="01EED2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3" w:hRule="atLeast"/>
        </w:trPr>
        <w:tc>
          <w:tcPr>
            <w:tcW w:w="657" w:type="dxa"/>
            <w:vMerge w:val="continue"/>
            <w:vAlign w:val="top"/>
          </w:tcPr>
          <w:p w14:paraId="2E495D9A">
            <w:pPr>
              <w:widowControl/>
              <w:adjustRightInd w:val="0"/>
              <w:snapToGrid w:val="0"/>
              <w:spacing w:line="360" w:lineRule="auto"/>
              <w:ind w:left="0" w:leftChars="0"/>
              <w:jc w:val="both"/>
              <w:rPr>
                <w:rFonts w:hint="eastAsia" w:ascii="宋体" w:hAnsi="宋体" w:eastAsia="宋体" w:cs="宋体"/>
                <w:szCs w:val="24"/>
                <w:highlight w:val="none"/>
                <w:lang w:val="en-US" w:eastAsia="zh-CN"/>
              </w:rPr>
            </w:pPr>
          </w:p>
        </w:tc>
        <w:tc>
          <w:tcPr>
            <w:tcW w:w="1720" w:type="dxa"/>
            <w:vAlign w:val="top"/>
          </w:tcPr>
          <w:p w14:paraId="351638FD">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吊装构件</w:t>
            </w:r>
          </w:p>
        </w:tc>
        <w:tc>
          <w:tcPr>
            <w:tcW w:w="1319" w:type="dxa"/>
            <w:vAlign w:val="top"/>
          </w:tcPr>
          <w:p w14:paraId="7295A4C4">
            <w:pPr>
              <w:widowControl/>
              <w:adjustRightInd w:val="0"/>
              <w:snapToGrid w:val="0"/>
              <w:spacing w:line="360" w:lineRule="auto"/>
              <w:ind w:left="0" w:left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吊重（kg）</w:t>
            </w:r>
          </w:p>
        </w:tc>
        <w:tc>
          <w:tcPr>
            <w:tcW w:w="1350" w:type="dxa"/>
            <w:vAlign w:val="top"/>
          </w:tcPr>
          <w:p w14:paraId="67AD3293">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最大吊距（m）</w:t>
            </w:r>
          </w:p>
        </w:tc>
        <w:tc>
          <w:tcPr>
            <w:tcW w:w="1180" w:type="dxa"/>
            <w:vAlign w:val="top"/>
          </w:tcPr>
          <w:p w14:paraId="3DD2B361">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吊装高度（m）</w:t>
            </w:r>
          </w:p>
        </w:tc>
        <w:tc>
          <w:tcPr>
            <w:tcW w:w="1180" w:type="dxa"/>
            <w:vAlign w:val="top"/>
          </w:tcPr>
          <w:p w14:paraId="380F8079">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起重量（t）</w:t>
            </w:r>
          </w:p>
        </w:tc>
        <w:tc>
          <w:tcPr>
            <w:tcW w:w="1350" w:type="dxa"/>
            <w:vAlign w:val="top"/>
          </w:tcPr>
          <w:p w14:paraId="300E1EB4">
            <w:pPr>
              <w:widowControl/>
              <w:adjustRightInd w:val="0"/>
              <w:snapToGrid w:val="0"/>
              <w:spacing w:line="360" w:lineRule="auto"/>
              <w:ind w:left="0" w:leftChars="0" w:firstLine="0" w:firstLineChars="0"/>
              <w:jc w:val="both"/>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起升高度（m）</w:t>
            </w:r>
          </w:p>
        </w:tc>
        <w:tc>
          <w:tcPr>
            <w:tcW w:w="1095" w:type="dxa"/>
            <w:vMerge w:val="continue"/>
            <w:vAlign w:val="top"/>
          </w:tcPr>
          <w:p w14:paraId="641D7CB5">
            <w:pPr>
              <w:widowControl/>
              <w:adjustRightInd w:val="0"/>
              <w:snapToGrid w:val="0"/>
              <w:spacing w:line="360" w:lineRule="auto"/>
              <w:ind w:left="0" w:leftChars="0"/>
              <w:jc w:val="both"/>
              <w:rPr>
                <w:rFonts w:hint="eastAsia" w:ascii="宋体" w:hAnsi="宋体" w:eastAsia="宋体" w:cs="宋体"/>
                <w:szCs w:val="24"/>
                <w:highlight w:val="none"/>
                <w:lang w:val="en-US" w:eastAsia="zh-CN"/>
              </w:rPr>
            </w:pPr>
          </w:p>
        </w:tc>
      </w:tr>
      <w:tr w14:paraId="024D8E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vAlign w:val="top"/>
          </w:tcPr>
          <w:p w14:paraId="33727D55">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1</w:t>
            </w:r>
          </w:p>
        </w:tc>
        <w:tc>
          <w:tcPr>
            <w:tcW w:w="1720" w:type="dxa"/>
            <w:vAlign w:val="center"/>
          </w:tcPr>
          <w:p w14:paraId="3579E5B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kern w:val="3"/>
                <w:sz w:val="21"/>
                <w:szCs w:val="21"/>
                <w:highlight w:val="none"/>
                <w:lang w:val="en-US" w:eastAsia="zh-CN" w:bidi="ar-SA"/>
              </w:rPr>
            </w:pPr>
            <w:r>
              <w:rPr>
                <w:rFonts w:hint="eastAsia" w:cs="宋体"/>
                <w:b w:val="0"/>
                <w:bCs w:val="0"/>
                <w:kern w:val="2"/>
                <w:sz w:val="24"/>
                <w:szCs w:val="24"/>
                <w:lang w:val="en-US" w:eastAsia="zh-CN" w:bidi="ar-SA"/>
              </w:rPr>
              <w:t>过渡</w:t>
            </w:r>
            <w:r>
              <w:rPr>
                <w:rFonts w:hint="eastAsia" w:ascii="宋体" w:hAnsi="宋体" w:eastAsia="宋体" w:cs="宋体"/>
                <w:b w:val="0"/>
                <w:bCs w:val="0"/>
                <w:kern w:val="2"/>
                <w:sz w:val="24"/>
                <w:szCs w:val="24"/>
                <w:lang w:val="en-US" w:eastAsia="zh-CN" w:bidi="ar-SA"/>
              </w:rPr>
              <w:t>节</w:t>
            </w:r>
          </w:p>
        </w:tc>
        <w:tc>
          <w:tcPr>
            <w:tcW w:w="1319" w:type="dxa"/>
            <w:vAlign w:val="center"/>
          </w:tcPr>
          <w:p w14:paraId="32B5B53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szCs w:val="24"/>
                <w:highlight w:val="none"/>
                <w:lang w:val="en-US" w:eastAsia="zh-CN"/>
              </w:rPr>
            </w:pPr>
            <w:r>
              <w:rPr>
                <w:rFonts w:hint="eastAsia" w:cs="宋体"/>
                <w:b w:val="0"/>
                <w:bCs w:val="0"/>
                <w:kern w:val="2"/>
                <w:sz w:val="24"/>
                <w:szCs w:val="24"/>
                <w:lang w:val="en-US" w:eastAsia="zh-CN" w:bidi="ar-SA"/>
              </w:rPr>
              <w:t>4080</w:t>
            </w:r>
          </w:p>
        </w:tc>
        <w:tc>
          <w:tcPr>
            <w:tcW w:w="1350" w:type="dxa"/>
            <w:vAlign w:val="top"/>
          </w:tcPr>
          <w:p w14:paraId="3FF7D083">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14</w:t>
            </w:r>
          </w:p>
        </w:tc>
        <w:tc>
          <w:tcPr>
            <w:tcW w:w="1180" w:type="dxa"/>
            <w:vAlign w:val="top"/>
          </w:tcPr>
          <w:p w14:paraId="2343D6DA">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9.8</w:t>
            </w:r>
          </w:p>
        </w:tc>
        <w:tc>
          <w:tcPr>
            <w:tcW w:w="1180" w:type="dxa"/>
            <w:vAlign w:val="bottom"/>
          </w:tcPr>
          <w:p w14:paraId="0E534950">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9.8</w:t>
            </w:r>
          </w:p>
        </w:tc>
        <w:tc>
          <w:tcPr>
            <w:tcW w:w="1350" w:type="dxa"/>
            <w:vAlign w:val="top"/>
          </w:tcPr>
          <w:p w14:paraId="7DDB49A1">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32.8</w:t>
            </w:r>
          </w:p>
        </w:tc>
        <w:tc>
          <w:tcPr>
            <w:tcW w:w="1095" w:type="dxa"/>
            <w:vAlign w:val="center"/>
          </w:tcPr>
          <w:p w14:paraId="3E987BA7">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51.40</w:t>
            </w:r>
            <w:r>
              <w:rPr>
                <w:rFonts w:hint="eastAsia" w:ascii="宋体" w:hAnsi="宋体" w:eastAsia="宋体" w:cs="宋体"/>
                <w:szCs w:val="24"/>
                <w:highlight w:val="none"/>
                <w:lang w:val="en-US" w:eastAsia="zh-CN"/>
              </w:rPr>
              <w:t>%</w:t>
            </w:r>
          </w:p>
        </w:tc>
      </w:tr>
      <w:tr w14:paraId="55146A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7" w:hRule="atLeast"/>
        </w:trPr>
        <w:tc>
          <w:tcPr>
            <w:tcW w:w="657" w:type="dxa"/>
            <w:vAlign w:val="top"/>
          </w:tcPr>
          <w:p w14:paraId="2150FA06">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2</w:t>
            </w:r>
          </w:p>
        </w:tc>
        <w:tc>
          <w:tcPr>
            <w:tcW w:w="1720" w:type="dxa"/>
            <w:vAlign w:val="center"/>
          </w:tcPr>
          <w:p w14:paraId="10434BD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kern w:val="3"/>
                <w:sz w:val="21"/>
                <w:szCs w:val="21"/>
                <w:highlight w:val="none"/>
                <w:lang w:val="en-US" w:eastAsia="zh-CN" w:bidi="ar-SA"/>
              </w:rPr>
            </w:pPr>
            <w:r>
              <w:rPr>
                <w:rFonts w:hint="eastAsia" w:ascii="宋体" w:hAnsi="宋体" w:eastAsia="宋体" w:cs="宋体"/>
                <w:b w:val="0"/>
                <w:bCs w:val="0"/>
                <w:kern w:val="2"/>
                <w:sz w:val="24"/>
                <w:szCs w:val="24"/>
                <w:lang w:val="en-US" w:eastAsia="zh-CN" w:bidi="ar-SA"/>
              </w:rPr>
              <w:t>标准节</w:t>
            </w:r>
          </w:p>
        </w:tc>
        <w:tc>
          <w:tcPr>
            <w:tcW w:w="1319" w:type="dxa"/>
            <w:vAlign w:val="center"/>
          </w:tcPr>
          <w:p w14:paraId="4CFC871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szCs w:val="24"/>
                <w:highlight w:val="none"/>
                <w:lang w:val="en-US" w:eastAsia="zh-CN"/>
              </w:rPr>
            </w:pPr>
            <w:r>
              <w:rPr>
                <w:rFonts w:hint="eastAsia" w:cs="宋体"/>
                <w:b w:val="0"/>
                <w:bCs w:val="0"/>
                <w:kern w:val="2"/>
                <w:sz w:val="24"/>
                <w:szCs w:val="24"/>
                <w:lang w:val="en-US" w:eastAsia="zh-CN" w:bidi="ar-SA"/>
              </w:rPr>
              <w:t>1760</w:t>
            </w:r>
          </w:p>
        </w:tc>
        <w:tc>
          <w:tcPr>
            <w:tcW w:w="1350" w:type="dxa"/>
            <w:vAlign w:val="top"/>
          </w:tcPr>
          <w:p w14:paraId="2239AE49">
            <w:pPr>
              <w:widowControl/>
              <w:adjustRightInd w:val="0"/>
              <w:snapToGrid w:val="0"/>
              <w:spacing w:line="360" w:lineRule="auto"/>
              <w:ind w:left="0" w:leftChars="0" w:firstLine="480" w:firstLineChars="200"/>
              <w:jc w:val="both"/>
              <w:rPr>
                <w:rFonts w:hint="eastAsia" w:ascii="宋体" w:hAnsi="宋体" w:eastAsia="宋体" w:cs="宋体"/>
                <w:szCs w:val="24"/>
                <w:highlight w:val="none"/>
                <w:lang w:val="en-US" w:eastAsia="zh-CN"/>
              </w:rPr>
            </w:pPr>
            <w:r>
              <w:rPr>
                <w:rFonts w:hint="eastAsia" w:cs="宋体"/>
                <w:szCs w:val="24"/>
                <w:highlight w:val="none"/>
                <w:lang w:val="en-US" w:eastAsia="zh-CN"/>
              </w:rPr>
              <w:t>14</w:t>
            </w:r>
          </w:p>
        </w:tc>
        <w:tc>
          <w:tcPr>
            <w:tcW w:w="1180" w:type="dxa"/>
            <w:vAlign w:val="top"/>
          </w:tcPr>
          <w:p w14:paraId="2CC9E120">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11.9</w:t>
            </w:r>
          </w:p>
        </w:tc>
        <w:tc>
          <w:tcPr>
            <w:tcW w:w="1180" w:type="dxa"/>
            <w:vAlign w:val="bottom"/>
          </w:tcPr>
          <w:p w14:paraId="7851EEAD">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9.8</w:t>
            </w:r>
          </w:p>
        </w:tc>
        <w:tc>
          <w:tcPr>
            <w:tcW w:w="1350" w:type="dxa"/>
            <w:vAlign w:val="top"/>
          </w:tcPr>
          <w:p w14:paraId="0C3D26E5">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32.8</w:t>
            </w:r>
          </w:p>
        </w:tc>
        <w:tc>
          <w:tcPr>
            <w:tcW w:w="1095" w:type="dxa"/>
            <w:vAlign w:val="center"/>
          </w:tcPr>
          <w:p w14:paraId="11D63CB4">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25.36</w:t>
            </w:r>
            <w:r>
              <w:rPr>
                <w:rFonts w:hint="eastAsia" w:ascii="宋体" w:hAnsi="宋体" w:eastAsia="宋体" w:cs="宋体"/>
                <w:szCs w:val="24"/>
                <w:highlight w:val="none"/>
                <w:lang w:val="en-US" w:eastAsia="zh-CN"/>
              </w:rPr>
              <w:t>%</w:t>
            </w:r>
          </w:p>
        </w:tc>
      </w:tr>
      <w:tr w14:paraId="4E80B6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vAlign w:val="top"/>
          </w:tcPr>
          <w:p w14:paraId="0DA708F0">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3</w:t>
            </w:r>
          </w:p>
        </w:tc>
        <w:tc>
          <w:tcPr>
            <w:tcW w:w="1720" w:type="dxa"/>
            <w:vAlign w:val="center"/>
          </w:tcPr>
          <w:p w14:paraId="66D2290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kern w:val="3"/>
                <w:sz w:val="21"/>
                <w:szCs w:val="21"/>
                <w:highlight w:val="none"/>
                <w:lang w:val="en-US" w:eastAsia="zh-CN" w:bidi="ar-SA"/>
              </w:rPr>
            </w:pPr>
            <w:r>
              <w:rPr>
                <w:rFonts w:hint="eastAsia" w:ascii="宋体" w:hAnsi="宋体" w:eastAsia="宋体" w:cs="宋体"/>
                <w:b w:val="0"/>
                <w:bCs w:val="0"/>
                <w:kern w:val="2"/>
                <w:sz w:val="24"/>
                <w:szCs w:val="24"/>
                <w:lang w:val="en-US" w:eastAsia="zh-CN" w:bidi="ar-SA"/>
              </w:rPr>
              <w:t>爬升架</w:t>
            </w:r>
          </w:p>
        </w:tc>
        <w:tc>
          <w:tcPr>
            <w:tcW w:w="1319" w:type="dxa"/>
            <w:vAlign w:val="center"/>
          </w:tcPr>
          <w:p w14:paraId="389DE21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szCs w:val="24"/>
                <w:highlight w:val="none"/>
                <w:lang w:val="en-US" w:eastAsia="zh-CN"/>
              </w:rPr>
            </w:pPr>
            <w:r>
              <w:rPr>
                <w:rFonts w:hint="eastAsia" w:cs="宋体"/>
                <w:b w:val="0"/>
                <w:bCs w:val="0"/>
                <w:kern w:val="2"/>
                <w:sz w:val="24"/>
                <w:szCs w:val="24"/>
                <w:lang w:val="en-US" w:eastAsia="zh-CN" w:bidi="ar-SA"/>
              </w:rPr>
              <w:t>6471</w:t>
            </w:r>
          </w:p>
        </w:tc>
        <w:tc>
          <w:tcPr>
            <w:tcW w:w="1350" w:type="dxa"/>
            <w:vAlign w:val="top"/>
          </w:tcPr>
          <w:p w14:paraId="5A7910B8">
            <w:pPr>
              <w:widowControl/>
              <w:adjustRightInd w:val="0"/>
              <w:snapToGrid w:val="0"/>
              <w:spacing w:line="360" w:lineRule="auto"/>
              <w:ind w:left="0" w:leftChars="0" w:firstLine="480" w:firstLineChars="200"/>
              <w:jc w:val="both"/>
              <w:rPr>
                <w:rFonts w:hint="eastAsia" w:ascii="宋体" w:hAnsi="宋体" w:eastAsia="宋体" w:cs="宋体"/>
                <w:szCs w:val="24"/>
                <w:highlight w:val="none"/>
                <w:lang w:val="en-US" w:eastAsia="zh-CN"/>
              </w:rPr>
            </w:pPr>
            <w:r>
              <w:rPr>
                <w:rFonts w:hint="eastAsia" w:cs="宋体"/>
                <w:szCs w:val="24"/>
                <w:highlight w:val="none"/>
                <w:lang w:val="en-US" w:eastAsia="zh-CN"/>
              </w:rPr>
              <w:t>14</w:t>
            </w:r>
          </w:p>
        </w:tc>
        <w:tc>
          <w:tcPr>
            <w:tcW w:w="1180" w:type="dxa"/>
            <w:vAlign w:val="top"/>
          </w:tcPr>
          <w:p w14:paraId="33EDCA41">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17.9</w:t>
            </w:r>
          </w:p>
        </w:tc>
        <w:tc>
          <w:tcPr>
            <w:tcW w:w="1180" w:type="dxa"/>
            <w:vAlign w:val="bottom"/>
          </w:tcPr>
          <w:p w14:paraId="1C4D3305">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9.8</w:t>
            </w:r>
          </w:p>
        </w:tc>
        <w:tc>
          <w:tcPr>
            <w:tcW w:w="1350" w:type="dxa"/>
            <w:vAlign w:val="top"/>
          </w:tcPr>
          <w:p w14:paraId="5D7E54A3">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32.8</w:t>
            </w:r>
          </w:p>
        </w:tc>
        <w:tc>
          <w:tcPr>
            <w:tcW w:w="1095" w:type="dxa"/>
            <w:vAlign w:val="center"/>
          </w:tcPr>
          <w:p w14:paraId="6422DC55">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78.54</w:t>
            </w:r>
            <w:r>
              <w:rPr>
                <w:rFonts w:hint="eastAsia" w:ascii="宋体" w:hAnsi="宋体" w:eastAsia="宋体" w:cs="宋体"/>
                <w:szCs w:val="24"/>
                <w:highlight w:val="none"/>
                <w:lang w:val="en-US" w:eastAsia="zh-CN"/>
              </w:rPr>
              <w:t>%</w:t>
            </w:r>
          </w:p>
        </w:tc>
      </w:tr>
      <w:tr w14:paraId="3656C0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vAlign w:val="top"/>
          </w:tcPr>
          <w:p w14:paraId="116C2FAE">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4</w:t>
            </w:r>
          </w:p>
        </w:tc>
        <w:tc>
          <w:tcPr>
            <w:tcW w:w="1720" w:type="dxa"/>
            <w:vAlign w:val="center"/>
          </w:tcPr>
          <w:p w14:paraId="468CB61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kern w:val="3"/>
                <w:sz w:val="21"/>
                <w:szCs w:val="21"/>
                <w:highlight w:val="none"/>
                <w:lang w:val="en-US" w:eastAsia="zh-CN" w:bidi="ar-SA"/>
              </w:rPr>
            </w:pPr>
            <w:r>
              <w:rPr>
                <w:rFonts w:hint="eastAsia" w:ascii="宋体" w:hAnsi="宋体" w:eastAsia="宋体" w:cs="宋体"/>
                <w:b w:val="0"/>
                <w:bCs w:val="0"/>
                <w:kern w:val="2"/>
                <w:sz w:val="24"/>
                <w:szCs w:val="24"/>
                <w:lang w:val="en-US" w:eastAsia="zh-CN" w:bidi="ar-SA"/>
              </w:rPr>
              <w:t>回转总成（含司机室）</w:t>
            </w:r>
          </w:p>
        </w:tc>
        <w:tc>
          <w:tcPr>
            <w:tcW w:w="1319" w:type="dxa"/>
            <w:vAlign w:val="center"/>
          </w:tcPr>
          <w:p w14:paraId="4653B39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szCs w:val="24"/>
                <w:highlight w:val="none"/>
                <w:lang w:val="en-US" w:eastAsia="zh-CN"/>
              </w:rPr>
            </w:pPr>
            <w:r>
              <w:rPr>
                <w:rFonts w:hint="eastAsia" w:cs="宋体"/>
                <w:b w:val="0"/>
                <w:bCs w:val="0"/>
                <w:kern w:val="2"/>
                <w:sz w:val="24"/>
                <w:szCs w:val="24"/>
                <w:lang w:val="en-US" w:eastAsia="zh-CN" w:bidi="ar-SA"/>
              </w:rPr>
              <w:t>7200</w:t>
            </w:r>
          </w:p>
        </w:tc>
        <w:tc>
          <w:tcPr>
            <w:tcW w:w="1350" w:type="dxa"/>
            <w:vAlign w:val="top"/>
          </w:tcPr>
          <w:p w14:paraId="45D48BFA">
            <w:pPr>
              <w:widowControl/>
              <w:adjustRightInd w:val="0"/>
              <w:snapToGrid w:val="0"/>
              <w:spacing w:line="360" w:lineRule="auto"/>
              <w:ind w:left="0" w:leftChars="0" w:firstLine="480" w:firstLineChars="200"/>
              <w:jc w:val="both"/>
              <w:rPr>
                <w:rFonts w:hint="eastAsia" w:ascii="宋体" w:hAnsi="宋体" w:eastAsia="宋体" w:cs="宋体"/>
                <w:szCs w:val="24"/>
                <w:highlight w:val="none"/>
                <w:lang w:val="en-US" w:eastAsia="zh-CN"/>
              </w:rPr>
            </w:pPr>
            <w:r>
              <w:rPr>
                <w:rFonts w:hint="eastAsia" w:cs="宋体"/>
                <w:szCs w:val="24"/>
                <w:highlight w:val="none"/>
                <w:lang w:val="en-US" w:eastAsia="zh-CN"/>
              </w:rPr>
              <w:t>14</w:t>
            </w:r>
          </w:p>
        </w:tc>
        <w:tc>
          <w:tcPr>
            <w:tcW w:w="1180" w:type="dxa"/>
            <w:vAlign w:val="top"/>
          </w:tcPr>
          <w:p w14:paraId="60151C76">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11.5</w:t>
            </w:r>
          </w:p>
        </w:tc>
        <w:tc>
          <w:tcPr>
            <w:tcW w:w="1180" w:type="dxa"/>
            <w:vAlign w:val="bottom"/>
          </w:tcPr>
          <w:p w14:paraId="22EE77C9">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9.8</w:t>
            </w:r>
          </w:p>
        </w:tc>
        <w:tc>
          <w:tcPr>
            <w:tcW w:w="1350" w:type="dxa"/>
            <w:vAlign w:val="top"/>
          </w:tcPr>
          <w:p w14:paraId="27485DE7">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32.8</w:t>
            </w:r>
          </w:p>
        </w:tc>
        <w:tc>
          <w:tcPr>
            <w:tcW w:w="1095" w:type="dxa"/>
            <w:vAlign w:val="center"/>
          </w:tcPr>
          <w:p w14:paraId="38C14C92">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86.42</w:t>
            </w:r>
            <w:r>
              <w:rPr>
                <w:rFonts w:hint="eastAsia" w:ascii="宋体" w:hAnsi="宋体" w:eastAsia="宋体" w:cs="宋体"/>
                <w:szCs w:val="24"/>
                <w:highlight w:val="none"/>
                <w:lang w:val="en-US" w:eastAsia="zh-CN"/>
              </w:rPr>
              <w:t>%</w:t>
            </w:r>
          </w:p>
        </w:tc>
      </w:tr>
      <w:tr w14:paraId="280A50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vAlign w:val="top"/>
          </w:tcPr>
          <w:p w14:paraId="4970E83E">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5</w:t>
            </w:r>
          </w:p>
        </w:tc>
        <w:tc>
          <w:tcPr>
            <w:tcW w:w="1720" w:type="dxa"/>
            <w:vAlign w:val="center"/>
          </w:tcPr>
          <w:p w14:paraId="4C3B33C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kern w:val="3"/>
                <w:sz w:val="21"/>
                <w:szCs w:val="21"/>
                <w:highlight w:val="none"/>
                <w:lang w:val="en-US" w:eastAsia="zh-CN" w:bidi="ar-SA"/>
              </w:rPr>
            </w:pPr>
            <w:r>
              <w:rPr>
                <w:rFonts w:hint="eastAsia" w:cs="宋体"/>
                <w:b w:val="0"/>
                <w:bCs w:val="0"/>
                <w:kern w:val="2"/>
                <w:sz w:val="24"/>
                <w:szCs w:val="24"/>
                <w:lang w:val="en-US" w:eastAsia="zh-CN" w:bidi="ar-SA"/>
              </w:rPr>
              <w:t>回转塔身</w:t>
            </w:r>
          </w:p>
        </w:tc>
        <w:tc>
          <w:tcPr>
            <w:tcW w:w="1319" w:type="dxa"/>
            <w:vAlign w:val="center"/>
          </w:tcPr>
          <w:p w14:paraId="2D2DD1E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szCs w:val="24"/>
                <w:highlight w:val="none"/>
                <w:lang w:val="en-US" w:eastAsia="zh-CN"/>
              </w:rPr>
            </w:pPr>
            <w:r>
              <w:rPr>
                <w:rFonts w:hint="eastAsia" w:cs="宋体"/>
                <w:b w:val="0"/>
                <w:bCs w:val="0"/>
                <w:kern w:val="2"/>
                <w:sz w:val="24"/>
                <w:szCs w:val="24"/>
                <w:lang w:val="en-US" w:eastAsia="zh-CN" w:bidi="ar-SA"/>
              </w:rPr>
              <w:t>2955</w:t>
            </w:r>
          </w:p>
        </w:tc>
        <w:tc>
          <w:tcPr>
            <w:tcW w:w="1350" w:type="dxa"/>
            <w:vAlign w:val="top"/>
          </w:tcPr>
          <w:p w14:paraId="3FF095CE">
            <w:pPr>
              <w:widowControl/>
              <w:adjustRightInd w:val="0"/>
              <w:snapToGrid w:val="0"/>
              <w:spacing w:line="360" w:lineRule="auto"/>
              <w:ind w:left="0" w:leftChars="0" w:firstLine="480" w:firstLineChars="200"/>
              <w:jc w:val="both"/>
              <w:rPr>
                <w:rFonts w:hint="eastAsia" w:ascii="宋体" w:hAnsi="宋体" w:eastAsia="宋体" w:cs="宋体"/>
                <w:szCs w:val="24"/>
                <w:highlight w:val="none"/>
                <w:lang w:val="en-US" w:eastAsia="zh-CN"/>
              </w:rPr>
            </w:pPr>
            <w:r>
              <w:rPr>
                <w:rFonts w:hint="eastAsia" w:cs="宋体"/>
                <w:szCs w:val="24"/>
                <w:highlight w:val="none"/>
                <w:lang w:val="en-US" w:eastAsia="zh-CN"/>
              </w:rPr>
              <w:t>14</w:t>
            </w:r>
          </w:p>
        </w:tc>
        <w:tc>
          <w:tcPr>
            <w:tcW w:w="1180" w:type="dxa"/>
            <w:vAlign w:val="top"/>
          </w:tcPr>
          <w:p w14:paraId="1C27F856">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16</w:t>
            </w:r>
          </w:p>
        </w:tc>
        <w:tc>
          <w:tcPr>
            <w:tcW w:w="1180" w:type="dxa"/>
            <w:vAlign w:val="bottom"/>
          </w:tcPr>
          <w:p w14:paraId="3A0905D4">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9.8</w:t>
            </w:r>
          </w:p>
        </w:tc>
        <w:tc>
          <w:tcPr>
            <w:tcW w:w="1350" w:type="dxa"/>
            <w:vAlign w:val="top"/>
          </w:tcPr>
          <w:p w14:paraId="077E9CE9">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32.8</w:t>
            </w:r>
          </w:p>
        </w:tc>
        <w:tc>
          <w:tcPr>
            <w:tcW w:w="1095" w:type="dxa"/>
            <w:vAlign w:val="center"/>
          </w:tcPr>
          <w:p w14:paraId="0CE19139">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38.78</w:t>
            </w:r>
            <w:r>
              <w:rPr>
                <w:rFonts w:hint="eastAsia" w:ascii="宋体" w:hAnsi="宋体" w:eastAsia="宋体" w:cs="宋体"/>
                <w:szCs w:val="24"/>
                <w:highlight w:val="none"/>
                <w:lang w:val="en-US" w:eastAsia="zh-CN"/>
              </w:rPr>
              <w:t>%</w:t>
            </w:r>
          </w:p>
        </w:tc>
      </w:tr>
      <w:tr w14:paraId="00EFC6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vAlign w:val="top"/>
          </w:tcPr>
          <w:p w14:paraId="0148DDD2">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6</w:t>
            </w:r>
          </w:p>
        </w:tc>
        <w:tc>
          <w:tcPr>
            <w:tcW w:w="1720" w:type="dxa"/>
            <w:vAlign w:val="center"/>
          </w:tcPr>
          <w:p w14:paraId="0039835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szCs w:val="24"/>
                <w:highlight w:val="none"/>
                <w:lang w:val="en-US" w:eastAsia="zh-CN"/>
              </w:rPr>
            </w:pPr>
            <w:r>
              <w:rPr>
                <w:rFonts w:hint="eastAsia" w:cs="宋体"/>
                <w:b w:val="0"/>
                <w:bCs w:val="0"/>
                <w:kern w:val="2"/>
                <w:sz w:val="24"/>
                <w:szCs w:val="24"/>
                <w:lang w:val="en-US" w:eastAsia="zh-CN" w:bidi="ar-SA"/>
              </w:rPr>
              <w:t>平衡臂节一</w:t>
            </w:r>
          </w:p>
        </w:tc>
        <w:tc>
          <w:tcPr>
            <w:tcW w:w="1319" w:type="dxa"/>
            <w:vAlign w:val="center"/>
          </w:tcPr>
          <w:p w14:paraId="20D7CF0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szCs w:val="24"/>
                <w:highlight w:val="none"/>
                <w:lang w:val="en-US" w:eastAsia="zh-CN"/>
              </w:rPr>
            </w:pPr>
            <w:r>
              <w:rPr>
                <w:rFonts w:hint="eastAsia" w:cs="宋体"/>
                <w:b w:val="0"/>
                <w:bCs w:val="0"/>
                <w:kern w:val="2"/>
                <w:sz w:val="24"/>
                <w:szCs w:val="24"/>
                <w:lang w:val="en-US" w:eastAsia="zh-CN" w:bidi="ar-SA"/>
              </w:rPr>
              <w:t>2392</w:t>
            </w:r>
          </w:p>
        </w:tc>
        <w:tc>
          <w:tcPr>
            <w:tcW w:w="1350" w:type="dxa"/>
            <w:vAlign w:val="top"/>
          </w:tcPr>
          <w:p w14:paraId="5BCA4329">
            <w:pPr>
              <w:widowControl/>
              <w:adjustRightInd w:val="0"/>
              <w:snapToGrid w:val="0"/>
              <w:spacing w:line="360" w:lineRule="auto"/>
              <w:ind w:left="0" w:leftChars="0" w:firstLine="480" w:firstLineChars="200"/>
              <w:jc w:val="both"/>
              <w:rPr>
                <w:rFonts w:hint="eastAsia" w:ascii="宋体" w:hAnsi="宋体" w:eastAsia="宋体" w:cs="宋体"/>
                <w:szCs w:val="24"/>
                <w:highlight w:val="none"/>
                <w:lang w:val="en-US" w:eastAsia="zh-CN"/>
              </w:rPr>
            </w:pPr>
            <w:r>
              <w:rPr>
                <w:rFonts w:hint="eastAsia" w:cs="宋体"/>
                <w:szCs w:val="24"/>
                <w:highlight w:val="none"/>
                <w:lang w:val="en-US" w:eastAsia="zh-CN"/>
              </w:rPr>
              <w:t>14</w:t>
            </w:r>
          </w:p>
        </w:tc>
        <w:tc>
          <w:tcPr>
            <w:tcW w:w="1180" w:type="dxa"/>
            <w:vAlign w:val="top"/>
          </w:tcPr>
          <w:p w14:paraId="2EA5D72F">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17</w:t>
            </w:r>
          </w:p>
        </w:tc>
        <w:tc>
          <w:tcPr>
            <w:tcW w:w="1180" w:type="dxa"/>
            <w:vAlign w:val="bottom"/>
          </w:tcPr>
          <w:p w14:paraId="4533D33C">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9.8</w:t>
            </w:r>
          </w:p>
        </w:tc>
        <w:tc>
          <w:tcPr>
            <w:tcW w:w="1350" w:type="dxa"/>
            <w:vAlign w:val="top"/>
          </w:tcPr>
          <w:p w14:paraId="242E6BD5">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32.8</w:t>
            </w:r>
          </w:p>
        </w:tc>
        <w:tc>
          <w:tcPr>
            <w:tcW w:w="1095" w:type="dxa"/>
            <w:vAlign w:val="center"/>
          </w:tcPr>
          <w:p w14:paraId="114C1F81">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32.46</w:t>
            </w:r>
            <w:r>
              <w:rPr>
                <w:rFonts w:hint="eastAsia" w:ascii="宋体" w:hAnsi="宋体" w:eastAsia="宋体" w:cs="宋体"/>
                <w:szCs w:val="24"/>
                <w:highlight w:val="none"/>
                <w:lang w:val="en-US" w:eastAsia="zh-CN"/>
              </w:rPr>
              <w:t>%</w:t>
            </w:r>
          </w:p>
        </w:tc>
      </w:tr>
      <w:tr w14:paraId="6A0B9E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57" w:type="dxa"/>
            <w:vAlign w:val="top"/>
          </w:tcPr>
          <w:p w14:paraId="4BA5A23F">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7</w:t>
            </w:r>
          </w:p>
        </w:tc>
        <w:tc>
          <w:tcPr>
            <w:tcW w:w="1720" w:type="dxa"/>
            <w:vAlign w:val="center"/>
          </w:tcPr>
          <w:p w14:paraId="57F4D9C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szCs w:val="24"/>
                <w:highlight w:val="none"/>
                <w:lang w:val="en-US" w:eastAsia="zh-CN"/>
              </w:rPr>
            </w:pPr>
            <w:r>
              <w:rPr>
                <w:rFonts w:hint="eastAsia" w:cs="宋体"/>
                <w:b w:val="0"/>
                <w:bCs w:val="0"/>
                <w:kern w:val="2"/>
                <w:sz w:val="24"/>
                <w:szCs w:val="24"/>
                <w:lang w:val="en-US" w:eastAsia="zh-CN" w:bidi="ar-SA"/>
              </w:rPr>
              <w:t>平衡臂节二</w:t>
            </w:r>
          </w:p>
        </w:tc>
        <w:tc>
          <w:tcPr>
            <w:tcW w:w="1319" w:type="dxa"/>
            <w:vAlign w:val="center"/>
          </w:tcPr>
          <w:p w14:paraId="238A4E65">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szCs w:val="24"/>
                <w:highlight w:val="none"/>
                <w:lang w:val="en-US" w:eastAsia="zh-CN"/>
              </w:rPr>
            </w:pPr>
            <w:r>
              <w:rPr>
                <w:rFonts w:hint="eastAsia" w:cs="宋体"/>
                <w:b w:val="0"/>
                <w:bCs w:val="0"/>
                <w:kern w:val="2"/>
                <w:sz w:val="24"/>
                <w:szCs w:val="24"/>
                <w:lang w:val="en-US" w:eastAsia="zh-CN" w:bidi="ar-SA"/>
              </w:rPr>
              <w:t>5135</w:t>
            </w:r>
          </w:p>
        </w:tc>
        <w:tc>
          <w:tcPr>
            <w:tcW w:w="1350" w:type="dxa"/>
            <w:vAlign w:val="top"/>
          </w:tcPr>
          <w:p w14:paraId="1B579857">
            <w:pPr>
              <w:widowControl/>
              <w:adjustRightInd w:val="0"/>
              <w:snapToGrid w:val="0"/>
              <w:spacing w:line="360" w:lineRule="auto"/>
              <w:ind w:left="0" w:leftChars="0" w:firstLine="480" w:firstLineChars="200"/>
              <w:jc w:val="both"/>
              <w:rPr>
                <w:rFonts w:hint="eastAsia" w:ascii="宋体" w:hAnsi="宋体" w:eastAsia="宋体" w:cs="宋体"/>
                <w:szCs w:val="24"/>
                <w:highlight w:val="none"/>
                <w:lang w:val="en-US" w:eastAsia="zh-CN"/>
              </w:rPr>
            </w:pPr>
            <w:r>
              <w:rPr>
                <w:rFonts w:hint="eastAsia" w:cs="宋体"/>
                <w:szCs w:val="24"/>
                <w:highlight w:val="none"/>
                <w:lang w:val="en-US" w:eastAsia="zh-CN"/>
              </w:rPr>
              <w:t>14</w:t>
            </w:r>
          </w:p>
        </w:tc>
        <w:tc>
          <w:tcPr>
            <w:tcW w:w="1180" w:type="dxa"/>
            <w:vAlign w:val="top"/>
          </w:tcPr>
          <w:p w14:paraId="300108D2">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16</w:t>
            </w:r>
          </w:p>
        </w:tc>
        <w:tc>
          <w:tcPr>
            <w:tcW w:w="1180" w:type="dxa"/>
            <w:vAlign w:val="bottom"/>
          </w:tcPr>
          <w:p w14:paraId="29D5FB63">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9.8</w:t>
            </w:r>
          </w:p>
        </w:tc>
        <w:tc>
          <w:tcPr>
            <w:tcW w:w="1350" w:type="dxa"/>
            <w:vAlign w:val="top"/>
          </w:tcPr>
          <w:p w14:paraId="51CF4AE2">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32.8</w:t>
            </w:r>
          </w:p>
        </w:tc>
        <w:tc>
          <w:tcPr>
            <w:tcW w:w="1095" w:type="dxa"/>
            <w:vAlign w:val="center"/>
          </w:tcPr>
          <w:p w14:paraId="6EDA78CB">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63.25</w:t>
            </w:r>
            <w:r>
              <w:rPr>
                <w:rFonts w:hint="eastAsia" w:ascii="宋体" w:hAnsi="宋体" w:eastAsia="宋体" w:cs="宋体"/>
                <w:szCs w:val="24"/>
                <w:highlight w:val="none"/>
                <w:lang w:val="en-US" w:eastAsia="zh-CN"/>
              </w:rPr>
              <w:t>%</w:t>
            </w:r>
          </w:p>
        </w:tc>
      </w:tr>
      <w:tr w14:paraId="52E023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vAlign w:val="top"/>
          </w:tcPr>
          <w:p w14:paraId="4AF33514">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8</w:t>
            </w:r>
          </w:p>
        </w:tc>
        <w:tc>
          <w:tcPr>
            <w:tcW w:w="1720" w:type="dxa"/>
            <w:vAlign w:val="center"/>
          </w:tcPr>
          <w:p w14:paraId="747FE72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szCs w:val="24"/>
                <w:highlight w:val="none"/>
                <w:lang w:val="en-US" w:eastAsia="zh-CN"/>
              </w:rPr>
            </w:pPr>
            <w:r>
              <w:rPr>
                <w:rFonts w:hint="eastAsia" w:cs="宋体"/>
                <w:b w:val="0"/>
                <w:bCs w:val="0"/>
                <w:kern w:val="2"/>
                <w:sz w:val="24"/>
                <w:szCs w:val="24"/>
                <w:highlight w:val="none"/>
                <w:lang w:val="en-US" w:eastAsia="zh-CN" w:bidi="ar-SA"/>
              </w:rPr>
              <w:t>平衡重A</w:t>
            </w:r>
          </w:p>
        </w:tc>
        <w:tc>
          <w:tcPr>
            <w:tcW w:w="1319" w:type="dxa"/>
            <w:vAlign w:val="center"/>
          </w:tcPr>
          <w:p w14:paraId="624DAB2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szCs w:val="24"/>
                <w:highlight w:val="none"/>
                <w:lang w:val="en-US" w:eastAsia="zh-CN"/>
              </w:rPr>
            </w:pPr>
            <w:r>
              <w:rPr>
                <w:rFonts w:hint="eastAsia" w:cs="宋体"/>
                <w:b w:val="0"/>
                <w:bCs w:val="0"/>
                <w:kern w:val="2"/>
                <w:sz w:val="24"/>
                <w:szCs w:val="24"/>
                <w:highlight w:val="none"/>
                <w:lang w:val="en-US" w:eastAsia="zh-CN" w:bidi="ar-SA"/>
              </w:rPr>
              <w:t>4500</w:t>
            </w:r>
          </w:p>
        </w:tc>
        <w:tc>
          <w:tcPr>
            <w:tcW w:w="1350" w:type="dxa"/>
            <w:vAlign w:val="top"/>
          </w:tcPr>
          <w:p w14:paraId="562F1AFD">
            <w:pPr>
              <w:widowControl/>
              <w:adjustRightInd w:val="0"/>
              <w:snapToGrid w:val="0"/>
              <w:spacing w:line="360" w:lineRule="auto"/>
              <w:ind w:left="0" w:leftChars="0" w:firstLine="480" w:firstLineChars="200"/>
              <w:jc w:val="both"/>
              <w:rPr>
                <w:rFonts w:hint="eastAsia" w:ascii="宋体" w:hAnsi="宋体" w:eastAsia="宋体" w:cs="宋体"/>
                <w:szCs w:val="24"/>
                <w:highlight w:val="none"/>
                <w:lang w:val="en-US" w:eastAsia="zh-CN"/>
              </w:rPr>
            </w:pPr>
            <w:r>
              <w:rPr>
                <w:rFonts w:hint="eastAsia" w:cs="宋体"/>
                <w:szCs w:val="24"/>
                <w:highlight w:val="none"/>
                <w:lang w:val="en-US" w:eastAsia="zh-CN"/>
              </w:rPr>
              <w:t>14</w:t>
            </w:r>
          </w:p>
        </w:tc>
        <w:tc>
          <w:tcPr>
            <w:tcW w:w="1180" w:type="dxa"/>
            <w:vAlign w:val="top"/>
          </w:tcPr>
          <w:p w14:paraId="7939E91B">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18.5</w:t>
            </w:r>
          </w:p>
        </w:tc>
        <w:tc>
          <w:tcPr>
            <w:tcW w:w="1180" w:type="dxa"/>
            <w:vAlign w:val="bottom"/>
          </w:tcPr>
          <w:p w14:paraId="72FC1860">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9.8</w:t>
            </w:r>
          </w:p>
        </w:tc>
        <w:tc>
          <w:tcPr>
            <w:tcW w:w="1350" w:type="dxa"/>
            <w:vAlign w:val="top"/>
          </w:tcPr>
          <w:p w14:paraId="47C50B10">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32.8</w:t>
            </w:r>
          </w:p>
        </w:tc>
        <w:tc>
          <w:tcPr>
            <w:tcW w:w="1095" w:type="dxa"/>
            <w:vAlign w:val="center"/>
          </w:tcPr>
          <w:p w14:paraId="7A839962">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56.12</w:t>
            </w:r>
            <w:r>
              <w:rPr>
                <w:rFonts w:hint="eastAsia" w:ascii="宋体" w:hAnsi="宋体" w:eastAsia="宋体" w:cs="宋体"/>
                <w:szCs w:val="24"/>
                <w:highlight w:val="none"/>
                <w:lang w:val="en-US" w:eastAsia="zh-CN"/>
              </w:rPr>
              <w:t>%</w:t>
            </w:r>
          </w:p>
        </w:tc>
      </w:tr>
      <w:tr w14:paraId="4D9DDD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vAlign w:val="top"/>
          </w:tcPr>
          <w:p w14:paraId="74227A64">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9</w:t>
            </w:r>
          </w:p>
        </w:tc>
        <w:tc>
          <w:tcPr>
            <w:tcW w:w="1720" w:type="dxa"/>
            <w:vAlign w:val="center"/>
          </w:tcPr>
          <w:p w14:paraId="66EC780F">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szCs w:val="24"/>
                <w:highlight w:val="none"/>
                <w:lang w:val="en-US" w:eastAsia="zh-CN"/>
              </w:rPr>
            </w:pPr>
            <w:r>
              <w:rPr>
                <w:rFonts w:hint="eastAsia" w:cs="宋体"/>
                <w:b w:val="0"/>
                <w:bCs w:val="0"/>
                <w:kern w:val="2"/>
                <w:sz w:val="24"/>
                <w:szCs w:val="24"/>
                <w:highlight w:val="none"/>
                <w:lang w:val="en-US" w:eastAsia="zh-CN" w:bidi="ar-SA"/>
              </w:rPr>
              <w:t>平衡重B</w:t>
            </w:r>
          </w:p>
        </w:tc>
        <w:tc>
          <w:tcPr>
            <w:tcW w:w="1319" w:type="dxa"/>
            <w:vAlign w:val="center"/>
          </w:tcPr>
          <w:p w14:paraId="643BDB12">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szCs w:val="24"/>
                <w:highlight w:val="none"/>
                <w:lang w:val="en-US" w:eastAsia="zh-CN"/>
              </w:rPr>
            </w:pPr>
            <w:r>
              <w:rPr>
                <w:rFonts w:hint="eastAsia" w:cs="宋体"/>
                <w:b w:val="0"/>
                <w:bCs w:val="0"/>
                <w:kern w:val="2"/>
                <w:sz w:val="24"/>
                <w:szCs w:val="24"/>
                <w:highlight w:val="none"/>
                <w:lang w:val="en-US" w:eastAsia="zh-CN" w:bidi="ar-SA"/>
              </w:rPr>
              <w:t>4000</w:t>
            </w:r>
          </w:p>
        </w:tc>
        <w:tc>
          <w:tcPr>
            <w:tcW w:w="1350" w:type="dxa"/>
            <w:vAlign w:val="top"/>
          </w:tcPr>
          <w:p w14:paraId="5FABF3F1">
            <w:pPr>
              <w:widowControl/>
              <w:adjustRightInd w:val="0"/>
              <w:snapToGrid w:val="0"/>
              <w:spacing w:line="360" w:lineRule="auto"/>
              <w:ind w:left="0" w:leftChars="0" w:firstLine="480" w:firstLineChars="200"/>
              <w:jc w:val="both"/>
              <w:rPr>
                <w:rFonts w:hint="eastAsia" w:ascii="宋体" w:hAnsi="宋体" w:eastAsia="宋体" w:cs="宋体"/>
                <w:szCs w:val="24"/>
                <w:highlight w:val="none"/>
                <w:lang w:val="en-US" w:eastAsia="zh-CN"/>
              </w:rPr>
            </w:pPr>
            <w:r>
              <w:rPr>
                <w:rFonts w:hint="eastAsia" w:cs="宋体"/>
                <w:szCs w:val="24"/>
                <w:highlight w:val="none"/>
                <w:lang w:val="en-US" w:eastAsia="zh-CN"/>
              </w:rPr>
              <w:t>14</w:t>
            </w:r>
          </w:p>
        </w:tc>
        <w:tc>
          <w:tcPr>
            <w:tcW w:w="1180" w:type="dxa"/>
            <w:vAlign w:val="top"/>
          </w:tcPr>
          <w:p w14:paraId="303EAF96">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18.5</w:t>
            </w:r>
          </w:p>
        </w:tc>
        <w:tc>
          <w:tcPr>
            <w:tcW w:w="1180" w:type="dxa"/>
            <w:vAlign w:val="bottom"/>
          </w:tcPr>
          <w:p w14:paraId="02DF6801">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9.8</w:t>
            </w:r>
          </w:p>
        </w:tc>
        <w:tc>
          <w:tcPr>
            <w:tcW w:w="1350" w:type="dxa"/>
            <w:vAlign w:val="top"/>
          </w:tcPr>
          <w:p w14:paraId="4DA559BB">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32.8</w:t>
            </w:r>
          </w:p>
        </w:tc>
        <w:tc>
          <w:tcPr>
            <w:tcW w:w="1095" w:type="dxa"/>
            <w:vAlign w:val="center"/>
          </w:tcPr>
          <w:p w14:paraId="762D10AF">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50.51</w:t>
            </w:r>
            <w:r>
              <w:rPr>
                <w:rFonts w:hint="eastAsia" w:ascii="宋体" w:hAnsi="宋体" w:eastAsia="宋体" w:cs="宋体"/>
                <w:szCs w:val="24"/>
                <w:highlight w:val="none"/>
                <w:lang w:val="en-US" w:eastAsia="zh-CN"/>
              </w:rPr>
              <w:t>%</w:t>
            </w:r>
          </w:p>
        </w:tc>
      </w:tr>
      <w:tr w14:paraId="482B3E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vAlign w:val="top"/>
          </w:tcPr>
          <w:p w14:paraId="14AC01BE">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ascii="宋体" w:hAnsi="宋体" w:eastAsia="宋体" w:cs="宋体"/>
                <w:szCs w:val="24"/>
                <w:highlight w:val="none"/>
                <w:lang w:val="en-US" w:eastAsia="zh-CN"/>
              </w:rPr>
              <w:t>10</w:t>
            </w:r>
          </w:p>
        </w:tc>
        <w:tc>
          <w:tcPr>
            <w:tcW w:w="1720" w:type="dxa"/>
            <w:vAlign w:val="center"/>
          </w:tcPr>
          <w:p w14:paraId="7986FE68">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szCs w:val="24"/>
                <w:highlight w:val="none"/>
                <w:lang w:val="en-US" w:eastAsia="zh-CN"/>
              </w:rPr>
            </w:pPr>
            <w:r>
              <w:rPr>
                <w:rFonts w:hint="eastAsia" w:cs="宋体"/>
                <w:b w:val="0"/>
                <w:bCs w:val="0"/>
                <w:kern w:val="2"/>
                <w:sz w:val="24"/>
                <w:szCs w:val="24"/>
                <w:highlight w:val="none"/>
                <w:lang w:val="en-US" w:eastAsia="zh-CN" w:bidi="ar-SA"/>
              </w:rPr>
              <w:t>平衡重C</w:t>
            </w:r>
          </w:p>
        </w:tc>
        <w:tc>
          <w:tcPr>
            <w:tcW w:w="1319" w:type="dxa"/>
            <w:vAlign w:val="center"/>
          </w:tcPr>
          <w:p w14:paraId="16F1DA7D">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szCs w:val="24"/>
                <w:highlight w:val="none"/>
                <w:lang w:val="en-US" w:eastAsia="zh-CN"/>
              </w:rPr>
            </w:pPr>
            <w:r>
              <w:rPr>
                <w:rFonts w:hint="eastAsia" w:cs="宋体"/>
                <w:b w:val="0"/>
                <w:bCs w:val="0"/>
                <w:kern w:val="2"/>
                <w:sz w:val="24"/>
                <w:szCs w:val="24"/>
                <w:highlight w:val="none"/>
                <w:lang w:val="en-US" w:eastAsia="zh-CN" w:bidi="ar-SA"/>
              </w:rPr>
              <w:t>3200</w:t>
            </w:r>
          </w:p>
        </w:tc>
        <w:tc>
          <w:tcPr>
            <w:tcW w:w="1350" w:type="dxa"/>
            <w:vAlign w:val="center"/>
          </w:tcPr>
          <w:p w14:paraId="48FCDB3A">
            <w:pPr>
              <w:widowControl/>
              <w:adjustRightInd w:val="0"/>
              <w:snapToGrid w:val="0"/>
              <w:spacing w:line="360" w:lineRule="auto"/>
              <w:ind w:left="0" w:leftChars="0" w:firstLine="480" w:firstLineChars="200"/>
              <w:jc w:val="both"/>
              <w:rPr>
                <w:rFonts w:hint="eastAsia" w:ascii="宋体" w:hAnsi="宋体" w:eastAsia="宋体" w:cs="宋体"/>
                <w:szCs w:val="24"/>
                <w:highlight w:val="none"/>
                <w:lang w:val="en-US" w:eastAsia="zh-CN"/>
              </w:rPr>
            </w:pPr>
            <w:r>
              <w:rPr>
                <w:rFonts w:hint="eastAsia" w:cs="宋体"/>
                <w:szCs w:val="24"/>
                <w:highlight w:val="none"/>
                <w:lang w:val="en-US" w:eastAsia="zh-CN"/>
              </w:rPr>
              <w:t>14</w:t>
            </w:r>
          </w:p>
        </w:tc>
        <w:tc>
          <w:tcPr>
            <w:tcW w:w="1180" w:type="dxa"/>
            <w:vAlign w:val="center"/>
          </w:tcPr>
          <w:p w14:paraId="2817DD82">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18.5</w:t>
            </w:r>
          </w:p>
        </w:tc>
        <w:tc>
          <w:tcPr>
            <w:tcW w:w="1180" w:type="dxa"/>
            <w:vAlign w:val="center"/>
          </w:tcPr>
          <w:p w14:paraId="07A37CE8">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9.8</w:t>
            </w:r>
          </w:p>
        </w:tc>
        <w:tc>
          <w:tcPr>
            <w:tcW w:w="1350" w:type="dxa"/>
            <w:vAlign w:val="center"/>
          </w:tcPr>
          <w:p w14:paraId="23704943">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32.8</w:t>
            </w:r>
          </w:p>
        </w:tc>
        <w:tc>
          <w:tcPr>
            <w:tcW w:w="1095" w:type="dxa"/>
            <w:vAlign w:val="center"/>
          </w:tcPr>
          <w:p w14:paraId="04047958">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41.53</w:t>
            </w:r>
            <w:r>
              <w:rPr>
                <w:rFonts w:hint="eastAsia" w:ascii="宋体" w:hAnsi="宋体" w:eastAsia="宋体" w:cs="宋体"/>
                <w:szCs w:val="24"/>
                <w:highlight w:val="none"/>
                <w:lang w:val="en-US" w:eastAsia="zh-CN"/>
              </w:rPr>
              <w:t>%</w:t>
            </w:r>
          </w:p>
        </w:tc>
      </w:tr>
      <w:tr w14:paraId="73FF49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vAlign w:val="top"/>
          </w:tcPr>
          <w:p w14:paraId="09C474B7">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11</w:t>
            </w:r>
          </w:p>
        </w:tc>
        <w:tc>
          <w:tcPr>
            <w:tcW w:w="1720" w:type="dxa"/>
            <w:vAlign w:val="center"/>
          </w:tcPr>
          <w:p w14:paraId="5950022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平衡重D</w:t>
            </w:r>
          </w:p>
        </w:tc>
        <w:tc>
          <w:tcPr>
            <w:tcW w:w="1319" w:type="dxa"/>
            <w:vAlign w:val="center"/>
          </w:tcPr>
          <w:p w14:paraId="0BBA9BE9">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szCs w:val="24"/>
                <w:highlight w:val="none"/>
                <w:lang w:val="en-US" w:eastAsia="zh-CN"/>
              </w:rPr>
            </w:pPr>
            <w:r>
              <w:rPr>
                <w:rFonts w:hint="eastAsia" w:cs="宋体"/>
                <w:b w:val="0"/>
                <w:bCs w:val="0"/>
                <w:kern w:val="2"/>
                <w:sz w:val="24"/>
                <w:szCs w:val="24"/>
                <w:highlight w:val="none"/>
                <w:lang w:val="en-US" w:eastAsia="zh-CN" w:bidi="ar-SA"/>
              </w:rPr>
              <w:t>1500</w:t>
            </w:r>
          </w:p>
        </w:tc>
        <w:tc>
          <w:tcPr>
            <w:tcW w:w="1350" w:type="dxa"/>
            <w:vAlign w:val="center"/>
          </w:tcPr>
          <w:p w14:paraId="201CC3EF">
            <w:pPr>
              <w:widowControl/>
              <w:adjustRightInd w:val="0"/>
              <w:snapToGrid w:val="0"/>
              <w:spacing w:line="360" w:lineRule="auto"/>
              <w:ind w:left="0" w:leftChars="0" w:firstLine="480" w:firstLineChars="200"/>
              <w:jc w:val="both"/>
              <w:rPr>
                <w:rFonts w:hint="eastAsia" w:ascii="宋体" w:hAnsi="宋体" w:eastAsia="宋体" w:cs="宋体"/>
                <w:szCs w:val="24"/>
                <w:highlight w:val="none"/>
                <w:lang w:val="en-US" w:eastAsia="zh-CN"/>
              </w:rPr>
            </w:pPr>
            <w:r>
              <w:rPr>
                <w:rFonts w:hint="eastAsia" w:cs="宋体"/>
                <w:szCs w:val="24"/>
                <w:highlight w:val="none"/>
                <w:lang w:val="en-US" w:eastAsia="zh-CN"/>
              </w:rPr>
              <w:t>14</w:t>
            </w:r>
          </w:p>
        </w:tc>
        <w:tc>
          <w:tcPr>
            <w:tcW w:w="1180" w:type="dxa"/>
            <w:vAlign w:val="center"/>
          </w:tcPr>
          <w:p w14:paraId="1D852CBC">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18.5</w:t>
            </w:r>
          </w:p>
        </w:tc>
        <w:tc>
          <w:tcPr>
            <w:tcW w:w="1180" w:type="dxa"/>
            <w:vAlign w:val="center"/>
          </w:tcPr>
          <w:p w14:paraId="61EAE489">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9.8</w:t>
            </w:r>
          </w:p>
        </w:tc>
        <w:tc>
          <w:tcPr>
            <w:tcW w:w="1350" w:type="dxa"/>
            <w:vAlign w:val="center"/>
          </w:tcPr>
          <w:p w14:paraId="4CB032C3">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32.8</w:t>
            </w:r>
          </w:p>
        </w:tc>
        <w:tc>
          <w:tcPr>
            <w:tcW w:w="1095" w:type="dxa"/>
            <w:vAlign w:val="center"/>
          </w:tcPr>
          <w:p w14:paraId="2D9E0029">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22.44%</w:t>
            </w:r>
          </w:p>
        </w:tc>
      </w:tr>
      <w:tr w14:paraId="631705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vAlign w:val="top"/>
          </w:tcPr>
          <w:p w14:paraId="47FF60AB">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12</w:t>
            </w:r>
          </w:p>
        </w:tc>
        <w:tc>
          <w:tcPr>
            <w:tcW w:w="1720" w:type="dxa"/>
            <w:vAlign w:val="center"/>
          </w:tcPr>
          <w:p w14:paraId="1ADE755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起重臂节一</w:t>
            </w:r>
          </w:p>
        </w:tc>
        <w:tc>
          <w:tcPr>
            <w:tcW w:w="1319" w:type="dxa"/>
            <w:vAlign w:val="center"/>
          </w:tcPr>
          <w:p w14:paraId="5DB95DD4">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szCs w:val="24"/>
                <w:highlight w:val="none"/>
                <w:lang w:val="en-US" w:eastAsia="zh-CN"/>
              </w:rPr>
            </w:pPr>
            <w:r>
              <w:rPr>
                <w:rFonts w:hint="eastAsia" w:cs="宋体"/>
                <w:b w:val="0"/>
                <w:bCs w:val="0"/>
                <w:kern w:val="2"/>
                <w:sz w:val="24"/>
                <w:szCs w:val="24"/>
                <w:highlight w:val="none"/>
                <w:lang w:val="en-US" w:eastAsia="zh-CN" w:bidi="ar-SA"/>
              </w:rPr>
              <w:t>4282</w:t>
            </w:r>
          </w:p>
        </w:tc>
        <w:tc>
          <w:tcPr>
            <w:tcW w:w="1350" w:type="dxa"/>
            <w:vAlign w:val="center"/>
          </w:tcPr>
          <w:p w14:paraId="0484FCD0">
            <w:pPr>
              <w:widowControl/>
              <w:adjustRightInd w:val="0"/>
              <w:snapToGrid w:val="0"/>
              <w:spacing w:line="360" w:lineRule="auto"/>
              <w:ind w:left="0" w:leftChars="0" w:firstLine="480" w:firstLineChars="200"/>
              <w:jc w:val="both"/>
              <w:rPr>
                <w:rFonts w:hint="eastAsia" w:ascii="宋体" w:hAnsi="宋体" w:eastAsia="宋体" w:cs="宋体"/>
                <w:szCs w:val="24"/>
                <w:highlight w:val="none"/>
                <w:lang w:val="en-US" w:eastAsia="zh-CN"/>
              </w:rPr>
            </w:pPr>
            <w:r>
              <w:rPr>
                <w:rFonts w:hint="eastAsia" w:cs="宋体"/>
                <w:szCs w:val="24"/>
                <w:highlight w:val="none"/>
                <w:lang w:val="en-US" w:eastAsia="zh-CN"/>
              </w:rPr>
              <w:t>14</w:t>
            </w:r>
          </w:p>
        </w:tc>
        <w:tc>
          <w:tcPr>
            <w:tcW w:w="1180" w:type="dxa"/>
            <w:vAlign w:val="center"/>
          </w:tcPr>
          <w:p w14:paraId="308B6976">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17</w:t>
            </w:r>
          </w:p>
        </w:tc>
        <w:tc>
          <w:tcPr>
            <w:tcW w:w="1180" w:type="dxa"/>
            <w:vAlign w:val="center"/>
          </w:tcPr>
          <w:p w14:paraId="4DE20D89">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9.8</w:t>
            </w:r>
          </w:p>
        </w:tc>
        <w:tc>
          <w:tcPr>
            <w:tcW w:w="1350" w:type="dxa"/>
            <w:vAlign w:val="center"/>
          </w:tcPr>
          <w:p w14:paraId="2414EC81">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32.8</w:t>
            </w:r>
          </w:p>
        </w:tc>
        <w:tc>
          <w:tcPr>
            <w:tcW w:w="1095" w:type="dxa"/>
            <w:vAlign w:val="center"/>
          </w:tcPr>
          <w:p w14:paraId="24F8470D">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53.67%</w:t>
            </w:r>
          </w:p>
        </w:tc>
      </w:tr>
      <w:tr w14:paraId="2DC744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vAlign w:val="top"/>
          </w:tcPr>
          <w:p w14:paraId="39BCC9F7">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13</w:t>
            </w:r>
          </w:p>
        </w:tc>
        <w:tc>
          <w:tcPr>
            <w:tcW w:w="1720" w:type="dxa"/>
            <w:vAlign w:val="center"/>
          </w:tcPr>
          <w:p w14:paraId="60B8050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起重臂节二</w:t>
            </w:r>
          </w:p>
        </w:tc>
        <w:tc>
          <w:tcPr>
            <w:tcW w:w="1319" w:type="dxa"/>
            <w:vAlign w:val="center"/>
          </w:tcPr>
          <w:p w14:paraId="3BDB9241">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szCs w:val="24"/>
                <w:highlight w:val="none"/>
                <w:lang w:val="en-US" w:eastAsia="zh-CN"/>
              </w:rPr>
            </w:pPr>
            <w:r>
              <w:rPr>
                <w:rFonts w:hint="eastAsia" w:cs="宋体"/>
                <w:b w:val="0"/>
                <w:bCs w:val="0"/>
                <w:kern w:val="2"/>
                <w:sz w:val="24"/>
                <w:szCs w:val="24"/>
                <w:highlight w:val="none"/>
                <w:lang w:val="en-US" w:eastAsia="zh-CN" w:bidi="ar-SA"/>
              </w:rPr>
              <w:t>1210</w:t>
            </w:r>
          </w:p>
        </w:tc>
        <w:tc>
          <w:tcPr>
            <w:tcW w:w="1350" w:type="dxa"/>
            <w:vAlign w:val="center"/>
          </w:tcPr>
          <w:p w14:paraId="060F0B0D">
            <w:pPr>
              <w:widowControl/>
              <w:adjustRightInd w:val="0"/>
              <w:snapToGrid w:val="0"/>
              <w:spacing w:line="360" w:lineRule="auto"/>
              <w:ind w:left="0" w:leftChars="0" w:firstLine="480" w:firstLineChars="200"/>
              <w:jc w:val="both"/>
              <w:rPr>
                <w:rFonts w:hint="eastAsia" w:ascii="宋体" w:hAnsi="宋体" w:eastAsia="宋体" w:cs="宋体"/>
                <w:szCs w:val="24"/>
                <w:highlight w:val="none"/>
                <w:lang w:val="en-US" w:eastAsia="zh-CN"/>
              </w:rPr>
            </w:pPr>
            <w:r>
              <w:rPr>
                <w:rFonts w:hint="eastAsia" w:cs="宋体"/>
                <w:szCs w:val="24"/>
                <w:highlight w:val="none"/>
                <w:lang w:val="en-US" w:eastAsia="zh-CN"/>
              </w:rPr>
              <w:t>14</w:t>
            </w:r>
          </w:p>
        </w:tc>
        <w:tc>
          <w:tcPr>
            <w:tcW w:w="1180" w:type="dxa"/>
            <w:vAlign w:val="center"/>
          </w:tcPr>
          <w:p w14:paraId="187EFA47">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17</w:t>
            </w:r>
          </w:p>
        </w:tc>
        <w:tc>
          <w:tcPr>
            <w:tcW w:w="1180" w:type="dxa"/>
            <w:vAlign w:val="center"/>
          </w:tcPr>
          <w:p w14:paraId="28376C27">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9.8</w:t>
            </w:r>
          </w:p>
        </w:tc>
        <w:tc>
          <w:tcPr>
            <w:tcW w:w="1350" w:type="dxa"/>
            <w:vAlign w:val="center"/>
          </w:tcPr>
          <w:p w14:paraId="2FC31C04">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32.8</w:t>
            </w:r>
          </w:p>
        </w:tc>
        <w:tc>
          <w:tcPr>
            <w:tcW w:w="1095" w:type="dxa"/>
            <w:vAlign w:val="center"/>
          </w:tcPr>
          <w:p w14:paraId="4CED0B07">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19.19%</w:t>
            </w:r>
          </w:p>
        </w:tc>
      </w:tr>
      <w:tr w14:paraId="03F302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vAlign w:val="top"/>
          </w:tcPr>
          <w:p w14:paraId="10273076">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14</w:t>
            </w:r>
          </w:p>
        </w:tc>
        <w:tc>
          <w:tcPr>
            <w:tcW w:w="1720" w:type="dxa"/>
            <w:vAlign w:val="center"/>
          </w:tcPr>
          <w:p w14:paraId="1165C423">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起重臂节三</w:t>
            </w:r>
          </w:p>
        </w:tc>
        <w:tc>
          <w:tcPr>
            <w:tcW w:w="1319" w:type="dxa"/>
            <w:vAlign w:val="center"/>
          </w:tcPr>
          <w:p w14:paraId="08F8202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szCs w:val="24"/>
                <w:highlight w:val="none"/>
                <w:lang w:val="en-US" w:eastAsia="zh-CN"/>
              </w:rPr>
            </w:pPr>
            <w:r>
              <w:rPr>
                <w:rFonts w:hint="eastAsia" w:cs="宋体"/>
                <w:b w:val="0"/>
                <w:bCs w:val="0"/>
                <w:kern w:val="2"/>
                <w:sz w:val="24"/>
                <w:szCs w:val="24"/>
                <w:highlight w:val="none"/>
                <w:lang w:val="en-US" w:eastAsia="zh-CN" w:bidi="ar-SA"/>
              </w:rPr>
              <w:t>2036</w:t>
            </w:r>
          </w:p>
        </w:tc>
        <w:tc>
          <w:tcPr>
            <w:tcW w:w="1350" w:type="dxa"/>
            <w:vAlign w:val="center"/>
          </w:tcPr>
          <w:p w14:paraId="5FB7DD1A">
            <w:pPr>
              <w:widowControl/>
              <w:adjustRightInd w:val="0"/>
              <w:snapToGrid w:val="0"/>
              <w:spacing w:line="360" w:lineRule="auto"/>
              <w:ind w:left="0" w:leftChars="0" w:firstLine="480" w:firstLineChars="200"/>
              <w:jc w:val="both"/>
              <w:rPr>
                <w:rFonts w:hint="eastAsia" w:ascii="宋体" w:hAnsi="宋体" w:eastAsia="宋体" w:cs="宋体"/>
                <w:szCs w:val="24"/>
                <w:highlight w:val="none"/>
                <w:lang w:val="en-US" w:eastAsia="zh-CN"/>
              </w:rPr>
            </w:pPr>
            <w:r>
              <w:rPr>
                <w:rFonts w:hint="eastAsia" w:cs="宋体"/>
                <w:szCs w:val="24"/>
                <w:highlight w:val="none"/>
                <w:lang w:val="en-US" w:eastAsia="zh-CN"/>
              </w:rPr>
              <w:t>14</w:t>
            </w:r>
          </w:p>
        </w:tc>
        <w:tc>
          <w:tcPr>
            <w:tcW w:w="1180" w:type="dxa"/>
            <w:vAlign w:val="center"/>
          </w:tcPr>
          <w:p w14:paraId="63C654B9">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17</w:t>
            </w:r>
          </w:p>
        </w:tc>
        <w:tc>
          <w:tcPr>
            <w:tcW w:w="1180" w:type="dxa"/>
            <w:vAlign w:val="center"/>
          </w:tcPr>
          <w:p w14:paraId="65EACFE4">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9.8</w:t>
            </w:r>
          </w:p>
        </w:tc>
        <w:tc>
          <w:tcPr>
            <w:tcW w:w="1350" w:type="dxa"/>
            <w:vAlign w:val="center"/>
          </w:tcPr>
          <w:p w14:paraId="2CFAD779">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32.8</w:t>
            </w:r>
          </w:p>
        </w:tc>
        <w:tc>
          <w:tcPr>
            <w:tcW w:w="1095" w:type="dxa"/>
            <w:vAlign w:val="center"/>
          </w:tcPr>
          <w:p w14:paraId="1FCF0955">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28.46%</w:t>
            </w:r>
          </w:p>
        </w:tc>
      </w:tr>
      <w:tr w14:paraId="297E82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vAlign w:val="top"/>
          </w:tcPr>
          <w:p w14:paraId="56240875">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15</w:t>
            </w:r>
          </w:p>
        </w:tc>
        <w:tc>
          <w:tcPr>
            <w:tcW w:w="1720" w:type="dxa"/>
            <w:vAlign w:val="center"/>
          </w:tcPr>
          <w:p w14:paraId="60779D0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起重臂节四</w:t>
            </w:r>
          </w:p>
        </w:tc>
        <w:tc>
          <w:tcPr>
            <w:tcW w:w="1319" w:type="dxa"/>
            <w:vAlign w:val="center"/>
          </w:tcPr>
          <w:p w14:paraId="3D9B2BAA">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szCs w:val="24"/>
                <w:highlight w:val="none"/>
                <w:lang w:val="en-US" w:eastAsia="zh-CN"/>
              </w:rPr>
            </w:pPr>
            <w:r>
              <w:rPr>
                <w:rFonts w:hint="eastAsia" w:cs="宋体"/>
                <w:b w:val="0"/>
                <w:bCs w:val="0"/>
                <w:kern w:val="2"/>
                <w:sz w:val="24"/>
                <w:szCs w:val="24"/>
                <w:highlight w:val="none"/>
                <w:lang w:val="en-US" w:eastAsia="zh-CN" w:bidi="ar-SA"/>
              </w:rPr>
              <w:t>1698</w:t>
            </w:r>
          </w:p>
        </w:tc>
        <w:tc>
          <w:tcPr>
            <w:tcW w:w="1350" w:type="dxa"/>
            <w:vAlign w:val="center"/>
          </w:tcPr>
          <w:p w14:paraId="1F825C76">
            <w:pPr>
              <w:widowControl/>
              <w:adjustRightInd w:val="0"/>
              <w:snapToGrid w:val="0"/>
              <w:spacing w:line="360" w:lineRule="auto"/>
              <w:ind w:left="0" w:leftChars="0" w:firstLine="480" w:firstLineChars="200"/>
              <w:jc w:val="both"/>
              <w:rPr>
                <w:rFonts w:hint="eastAsia" w:ascii="宋体" w:hAnsi="宋体" w:eastAsia="宋体" w:cs="宋体"/>
                <w:szCs w:val="24"/>
                <w:highlight w:val="none"/>
                <w:lang w:val="en-US" w:eastAsia="zh-CN"/>
              </w:rPr>
            </w:pPr>
            <w:r>
              <w:rPr>
                <w:rFonts w:hint="eastAsia" w:cs="宋体"/>
                <w:szCs w:val="24"/>
                <w:highlight w:val="none"/>
                <w:lang w:val="en-US" w:eastAsia="zh-CN"/>
              </w:rPr>
              <w:t>14</w:t>
            </w:r>
          </w:p>
        </w:tc>
        <w:tc>
          <w:tcPr>
            <w:tcW w:w="1180" w:type="dxa"/>
            <w:vAlign w:val="center"/>
          </w:tcPr>
          <w:p w14:paraId="353D2752">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17</w:t>
            </w:r>
          </w:p>
        </w:tc>
        <w:tc>
          <w:tcPr>
            <w:tcW w:w="1180" w:type="dxa"/>
            <w:vAlign w:val="center"/>
          </w:tcPr>
          <w:p w14:paraId="66A5E5FD">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9.8</w:t>
            </w:r>
          </w:p>
        </w:tc>
        <w:tc>
          <w:tcPr>
            <w:tcW w:w="1350" w:type="dxa"/>
            <w:vAlign w:val="center"/>
          </w:tcPr>
          <w:p w14:paraId="48793773">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32.8</w:t>
            </w:r>
          </w:p>
        </w:tc>
        <w:tc>
          <w:tcPr>
            <w:tcW w:w="1095" w:type="dxa"/>
            <w:vAlign w:val="center"/>
          </w:tcPr>
          <w:p w14:paraId="0FD0846E">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24.67%</w:t>
            </w:r>
          </w:p>
        </w:tc>
      </w:tr>
      <w:tr w14:paraId="252687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vAlign w:val="top"/>
          </w:tcPr>
          <w:p w14:paraId="01A2E2A2">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16</w:t>
            </w:r>
          </w:p>
        </w:tc>
        <w:tc>
          <w:tcPr>
            <w:tcW w:w="1720" w:type="dxa"/>
            <w:vAlign w:val="center"/>
          </w:tcPr>
          <w:p w14:paraId="115E9377">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起重臂节五</w:t>
            </w:r>
          </w:p>
        </w:tc>
        <w:tc>
          <w:tcPr>
            <w:tcW w:w="1319" w:type="dxa"/>
            <w:vAlign w:val="center"/>
          </w:tcPr>
          <w:p w14:paraId="261F977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szCs w:val="24"/>
                <w:highlight w:val="none"/>
                <w:lang w:val="en-US" w:eastAsia="zh-CN"/>
              </w:rPr>
            </w:pPr>
            <w:r>
              <w:rPr>
                <w:rFonts w:hint="eastAsia" w:cs="宋体"/>
                <w:b w:val="0"/>
                <w:bCs w:val="0"/>
                <w:kern w:val="2"/>
                <w:sz w:val="24"/>
                <w:szCs w:val="24"/>
                <w:highlight w:val="none"/>
                <w:lang w:val="en-US" w:eastAsia="zh-CN" w:bidi="ar-SA"/>
              </w:rPr>
              <w:t>1294</w:t>
            </w:r>
          </w:p>
        </w:tc>
        <w:tc>
          <w:tcPr>
            <w:tcW w:w="1350" w:type="dxa"/>
            <w:vAlign w:val="center"/>
          </w:tcPr>
          <w:p w14:paraId="780B20CA">
            <w:pPr>
              <w:widowControl/>
              <w:adjustRightInd w:val="0"/>
              <w:snapToGrid w:val="0"/>
              <w:spacing w:line="360" w:lineRule="auto"/>
              <w:ind w:left="0" w:leftChars="0" w:firstLine="480" w:firstLineChars="200"/>
              <w:jc w:val="both"/>
              <w:rPr>
                <w:rFonts w:hint="eastAsia" w:ascii="宋体" w:hAnsi="宋体" w:eastAsia="宋体" w:cs="宋体"/>
                <w:szCs w:val="24"/>
                <w:highlight w:val="none"/>
                <w:lang w:val="en-US" w:eastAsia="zh-CN"/>
              </w:rPr>
            </w:pPr>
            <w:r>
              <w:rPr>
                <w:rFonts w:hint="eastAsia" w:cs="宋体"/>
                <w:szCs w:val="24"/>
                <w:highlight w:val="none"/>
                <w:lang w:val="en-US" w:eastAsia="zh-CN"/>
              </w:rPr>
              <w:t>14</w:t>
            </w:r>
          </w:p>
        </w:tc>
        <w:tc>
          <w:tcPr>
            <w:tcW w:w="1180" w:type="dxa"/>
            <w:vAlign w:val="center"/>
          </w:tcPr>
          <w:p w14:paraId="479D855D">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17</w:t>
            </w:r>
          </w:p>
        </w:tc>
        <w:tc>
          <w:tcPr>
            <w:tcW w:w="1180" w:type="dxa"/>
            <w:vAlign w:val="center"/>
          </w:tcPr>
          <w:p w14:paraId="42512696">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9.8</w:t>
            </w:r>
          </w:p>
        </w:tc>
        <w:tc>
          <w:tcPr>
            <w:tcW w:w="1350" w:type="dxa"/>
            <w:vAlign w:val="center"/>
          </w:tcPr>
          <w:p w14:paraId="42851E5E">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32.8</w:t>
            </w:r>
          </w:p>
        </w:tc>
        <w:tc>
          <w:tcPr>
            <w:tcW w:w="1095" w:type="dxa"/>
            <w:vAlign w:val="center"/>
          </w:tcPr>
          <w:p w14:paraId="3CE203E3">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20.13%</w:t>
            </w:r>
          </w:p>
        </w:tc>
      </w:tr>
      <w:tr w14:paraId="385FD2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vAlign w:val="top"/>
          </w:tcPr>
          <w:p w14:paraId="01837EEC">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17</w:t>
            </w:r>
          </w:p>
        </w:tc>
        <w:tc>
          <w:tcPr>
            <w:tcW w:w="1720" w:type="dxa"/>
            <w:vAlign w:val="center"/>
          </w:tcPr>
          <w:p w14:paraId="598DCAB6">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起重臂节六+臂尖节</w:t>
            </w:r>
          </w:p>
        </w:tc>
        <w:tc>
          <w:tcPr>
            <w:tcW w:w="1319" w:type="dxa"/>
            <w:vAlign w:val="center"/>
          </w:tcPr>
          <w:p w14:paraId="4CD8D3A3">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szCs w:val="24"/>
                <w:highlight w:val="none"/>
                <w:lang w:val="en-US" w:eastAsia="zh-CN"/>
              </w:rPr>
            </w:pPr>
            <w:r>
              <w:rPr>
                <w:rFonts w:hint="eastAsia" w:cs="宋体"/>
                <w:b w:val="0"/>
                <w:bCs w:val="0"/>
                <w:kern w:val="2"/>
                <w:sz w:val="24"/>
                <w:szCs w:val="24"/>
                <w:highlight w:val="none"/>
                <w:lang w:val="en-US" w:eastAsia="zh-CN" w:bidi="ar-SA"/>
              </w:rPr>
              <w:t>760</w:t>
            </w:r>
          </w:p>
        </w:tc>
        <w:tc>
          <w:tcPr>
            <w:tcW w:w="1350" w:type="dxa"/>
            <w:vAlign w:val="center"/>
          </w:tcPr>
          <w:p w14:paraId="1D8FEC7C">
            <w:pPr>
              <w:widowControl/>
              <w:adjustRightInd w:val="0"/>
              <w:snapToGrid w:val="0"/>
              <w:spacing w:line="360" w:lineRule="auto"/>
              <w:ind w:left="0" w:leftChars="0" w:firstLine="480" w:firstLineChars="200"/>
              <w:jc w:val="both"/>
              <w:rPr>
                <w:rFonts w:hint="eastAsia" w:ascii="宋体" w:hAnsi="宋体" w:eastAsia="宋体" w:cs="宋体"/>
                <w:szCs w:val="24"/>
                <w:highlight w:val="none"/>
                <w:lang w:val="en-US" w:eastAsia="zh-CN"/>
              </w:rPr>
            </w:pPr>
            <w:r>
              <w:rPr>
                <w:rFonts w:hint="eastAsia" w:cs="宋体"/>
                <w:szCs w:val="24"/>
                <w:highlight w:val="none"/>
                <w:lang w:val="en-US" w:eastAsia="zh-CN"/>
              </w:rPr>
              <w:t>14</w:t>
            </w:r>
          </w:p>
        </w:tc>
        <w:tc>
          <w:tcPr>
            <w:tcW w:w="1180" w:type="dxa"/>
            <w:vAlign w:val="center"/>
          </w:tcPr>
          <w:p w14:paraId="193D8FFB">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17</w:t>
            </w:r>
          </w:p>
        </w:tc>
        <w:tc>
          <w:tcPr>
            <w:tcW w:w="1180" w:type="dxa"/>
            <w:vAlign w:val="center"/>
          </w:tcPr>
          <w:p w14:paraId="611E0449">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9.8</w:t>
            </w:r>
          </w:p>
        </w:tc>
        <w:tc>
          <w:tcPr>
            <w:tcW w:w="1350" w:type="dxa"/>
            <w:vAlign w:val="center"/>
          </w:tcPr>
          <w:p w14:paraId="36DCD067">
            <w:pPr>
              <w:widowControl/>
              <w:adjustRightInd w:val="0"/>
              <w:snapToGrid w:val="0"/>
              <w:spacing w:line="360" w:lineRule="auto"/>
              <w:ind w:left="0" w:leftChars="0" w:firstLine="0" w:firstLineChars="0"/>
              <w:jc w:val="center"/>
              <w:rPr>
                <w:rFonts w:hint="eastAsia" w:ascii="宋体" w:hAnsi="宋体" w:eastAsia="宋体" w:cs="宋体"/>
                <w:szCs w:val="24"/>
                <w:highlight w:val="none"/>
                <w:lang w:val="en-US" w:eastAsia="zh-CN"/>
              </w:rPr>
            </w:pPr>
            <w:r>
              <w:rPr>
                <w:rFonts w:hint="eastAsia" w:cs="宋体"/>
                <w:szCs w:val="24"/>
                <w:highlight w:val="none"/>
                <w:lang w:val="en-US" w:eastAsia="zh-CN"/>
              </w:rPr>
              <w:t>32.8</w:t>
            </w:r>
          </w:p>
        </w:tc>
        <w:tc>
          <w:tcPr>
            <w:tcW w:w="1095" w:type="dxa"/>
            <w:vAlign w:val="center"/>
          </w:tcPr>
          <w:p w14:paraId="48ED879A">
            <w:pPr>
              <w:widowControl/>
              <w:adjustRightInd w:val="0"/>
              <w:snapToGrid w:val="0"/>
              <w:spacing w:line="360" w:lineRule="auto"/>
              <w:ind w:left="0" w:leftChars="0" w:firstLine="0" w:firstLineChars="0"/>
              <w:jc w:val="center"/>
              <w:rPr>
                <w:rFonts w:hint="default" w:ascii="宋体" w:hAnsi="宋体" w:eastAsia="宋体" w:cs="宋体"/>
                <w:szCs w:val="24"/>
                <w:highlight w:val="none"/>
                <w:lang w:val="en-US" w:eastAsia="zh-CN"/>
              </w:rPr>
            </w:pPr>
            <w:r>
              <w:rPr>
                <w:rFonts w:hint="eastAsia" w:cs="宋体"/>
                <w:szCs w:val="24"/>
                <w:highlight w:val="none"/>
                <w:lang w:val="en-US" w:eastAsia="zh-CN"/>
              </w:rPr>
              <w:t>14.14%</w:t>
            </w:r>
          </w:p>
        </w:tc>
      </w:tr>
      <w:tr w14:paraId="441914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shd w:val="clear"/>
            <w:vAlign w:val="top"/>
          </w:tcPr>
          <w:p w14:paraId="1F811840">
            <w:pPr>
              <w:widowControl/>
              <w:adjustRightInd w:val="0"/>
              <w:snapToGrid w:val="0"/>
              <w:spacing w:line="360" w:lineRule="auto"/>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cs="宋体"/>
                <w:szCs w:val="24"/>
                <w:highlight w:val="none"/>
                <w:lang w:val="en-US" w:eastAsia="zh-CN"/>
              </w:rPr>
              <w:t>17</w:t>
            </w:r>
          </w:p>
        </w:tc>
        <w:tc>
          <w:tcPr>
            <w:tcW w:w="1720" w:type="dxa"/>
            <w:shd w:val="clear"/>
            <w:vAlign w:val="center"/>
          </w:tcPr>
          <w:p w14:paraId="20169CD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起重臂节六</w:t>
            </w:r>
          </w:p>
        </w:tc>
        <w:tc>
          <w:tcPr>
            <w:tcW w:w="1319" w:type="dxa"/>
            <w:shd w:val="clear"/>
            <w:vAlign w:val="center"/>
          </w:tcPr>
          <w:p w14:paraId="11FABEC8">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kern w:val="2"/>
                <w:sz w:val="24"/>
                <w:szCs w:val="24"/>
                <w:highlight w:val="none"/>
                <w:lang w:val="en-US" w:eastAsia="zh-CN" w:bidi="ar-SA"/>
              </w:rPr>
            </w:pPr>
            <w:r>
              <w:rPr>
                <w:rFonts w:hint="eastAsia" w:cs="宋体"/>
                <w:b w:val="0"/>
                <w:bCs w:val="0"/>
                <w:kern w:val="2"/>
                <w:sz w:val="24"/>
                <w:szCs w:val="24"/>
                <w:highlight w:val="none"/>
                <w:lang w:val="en-US" w:eastAsia="zh-CN" w:bidi="ar-SA"/>
              </w:rPr>
              <w:t>760</w:t>
            </w:r>
          </w:p>
        </w:tc>
        <w:tc>
          <w:tcPr>
            <w:tcW w:w="1350" w:type="dxa"/>
            <w:shd w:val="clear"/>
            <w:vAlign w:val="center"/>
          </w:tcPr>
          <w:p w14:paraId="2BFDF554">
            <w:pPr>
              <w:widowControl/>
              <w:adjustRightInd w:val="0"/>
              <w:snapToGrid w:val="0"/>
              <w:spacing w:line="360" w:lineRule="auto"/>
              <w:ind w:left="0" w:leftChars="0" w:firstLine="480" w:firstLineChars="200"/>
              <w:jc w:val="both"/>
              <w:rPr>
                <w:rFonts w:hint="eastAsia" w:ascii="宋体" w:hAnsi="宋体" w:eastAsia="宋体" w:cs="宋体"/>
                <w:kern w:val="2"/>
                <w:sz w:val="24"/>
                <w:szCs w:val="24"/>
                <w:highlight w:val="none"/>
                <w:lang w:val="en-US" w:eastAsia="zh-CN" w:bidi="ar-SA"/>
              </w:rPr>
            </w:pPr>
            <w:r>
              <w:rPr>
                <w:rFonts w:hint="eastAsia" w:cs="宋体"/>
                <w:szCs w:val="24"/>
                <w:highlight w:val="none"/>
                <w:lang w:val="en-US" w:eastAsia="zh-CN"/>
              </w:rPr>
              <w:t>14</w:t>
            </w:r>
          </w:p>
        </w:tc>
        <w:tc>
          <w:tcPr>
            <w:tcW w:w="1180" w:type="dxa"/>
            <w:shd w:val="clear"/>
            <w:vAlign w:val="center"/>
          </w:tcPr>
          <w:p w14:paraId="59094A76">
            <w:pPr>
              <w:widowControl/>
              <w:adjustRightInd w:val="0"/>
              <w:snapToGrid w:val="0"/>
              <w:spacing w:line="360" w:lineRule="auto"/>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cs="宋体"/>
                <w:szCs w:val="24"/>
                <w:highlight w:val="none"/>
                <w:lang w:val="en-US" w:eastAsia="zh-CN"/>
              </w:rPr>
              <w:t>17</w:t>
            </w:r>
          </w:p>
        </w:tc>
        <w:tc>
          <w:tcPr>
            <w:tcW w:w="1180" w:type="dxa"/>
            <w:shd w:val="clear"/>
            <w:vAlign w:val="center"/>
          </w:tcPr>
          <w:p w14:paraId="7ECAEC93">
            <w:pPr>
              <w:widowControl/>
              <w:adjustRightInd w:val="0"/>
              <w:snapToGrid w:val="0"/>
              <w:spacing w:line="360" w:lineRule="auto"/>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cs="宋体"/>
                <w:szCs w:val="24"/>
                <w:highlight w:val="none"/>
                <w:lang w:val="en-US" w:eastAsia="zh-CN"/>
              </w:rPr>
              <w:t>9.8</w:t>
            </w:r>
          </w:p>
        </w:tc>
        <w:tc>
          <w:tcPr>
            <w:tcW w:w="1350" w:type="dxa"/>
            <w:shd w:val="clear"/>
            <w:vAlign w:val="center"/>
          </w:tcPr>
          <w:p w14:paraId="1E4C9C2F">
            <w:pPr>
              <w:widowControl/>
              <w:adjustRightInd w:val="0"/>
              <w:snapToGrid w:val="0"/>
              <w:spacing w:line="360" w:lineRule="auto"/>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cs="宋体"/>
                <w:szCs w:val="24"/>
                <w:highlight w:val="none"/>
                <w:lang w:val="en-US" w:eastAsia="zh-CN"/>
              </w:rPr>
              <w:t>32.8</w:t>
            </w:r>
          </w:p>
        </w:tc>
        <w:tc>
          <w:tcPr>
            <w:tcW w:w="1095" w:type="dxa"/>
            <w:shd w:val="clear"/>
            <w:vAlign w:val="center"/>
          </w:tcPr>
          <w:p w14:paraId="65CB9E51">
            <w:pPr>
              <w:widowControl/>
              <w:adjustRightInd w:val="0"/>
              <w:snapToGrid w:val="0"/>
              <w:spacing w:line="360" w:lineRule="auto"/>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cs="宋体"/>
                <w:szCs w:val="24"/>
                <w:highlight w:val="none"/>
                <w:lang w:val="en-US" w:eastAsia="zh-CN"/>
              </w:rPr>
              <w:t>14.14%</w:t>
            </w:r>
          </w:p>
        </w:tc>
      </w:tr>
      <w:tr w14:paraId="2D1EB6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shd w:val="clear"/>
            <w:vAlign w:val="top"/>
          </w:tcPr>
          <w:p w14:paraId="254E48C5">
            <w:pPr>
              <w:widowControl/>
              <w:adjustRightInd w:val="0"/>
              <w:snapToGrid w:val="0"/>
              <w:spacing w:line="360" w:lineRule="auto"/>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cs="宋体"/>
                <w:szCs w:val="24"/>
                <w:highlight w:val="none"/>
                <w:lang w:val="en-US" w:eastAsia="zh-CN"/>
              </w:rPr>
              <w:t>18</w:t>
            </w:r>
          </w:p>
        </w:tc>
        <w:tc>
          <w:tcPr>
            <w:tcW w:w="1720" w:type="dxa"/>
            <w:shd w:val="clear"/>
            <w:vAlign w:val="center"/>
          </w:tcPr>
          <w:p w14:paraId="73CC2402">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起重臂节七</w:t>
            </w:r>
          </w:p>
        </w:tc>
        <w:tc>
          <w:tcPr>
            <w:tcW w:w="1319" w:type="dxa"/>
            <w:shd w:val="clear"/>
            <w:vAlign w:val="center"/>
          </w:tcPr>
          <w:p w14:paraId="5E0B69BE">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884</w:t>
            </w:r>
          </w:p>
        </w:tc>
        <w:tc>
          <w:tcPr>
            <w:tcW w:w="1350" w:type="dxa"/>
            <w:shd w:val="clear" w:color="auto" w:fill="auto"/>
            <w:vAlign w:val="center"/>
          </w:tcPr>
          <w:p w14:paraId="5D70CD32">
            <w:pPr>
              <w:widowControl/>
              <w:adjustRightInd w:val="0"/>
              <w:snapToGrid w:val="0"/>
              <w:spacing w:line="360" w:lineRule="auto"/>
              <w:ind w:left="0" w:leftChars="0" w:firstLine="480" w:firstLineChars="200"/>
              <w:jc w:val="both"/>
              <w:rPr>
                <w:rFonts w:hint="eastAsia" w:ascii="宋体" w:hAnsi="宋体" w:eastAsia="宋体" w:cs="宋体"/>
                <w:kern w:val="2"/>
                <w:sz w:val="24"/>
                <w:szCs w:val="24"/>
                <w:highlight w:val="none"/>
                <w:lang w:val="en-US" w:eastAsia="zh-CN" w:bidi="ar-SA"/>
              </w:rPr>
            </w:pPr>
            <w:r>
              <w:rPr>
                <w:rFonts w:hint="eastAsia" w:cs="宋体"/>
                <w:szCs w:val="24"/>
                <w:highlight w:val="none"/>
                <w:lang w:val="en-US" w:eastAsia="zh-CN"/>
              </w:rPr>
              <w:t>14</w:t>
            </w:r>
          </w:p>
        </w:tc>
        <w:tc>
          <w:tcPr>
            <w:tcW w:w="1180" w:type="dxa"/>
            <w:shd w:val="clear" w:color="auto" w:fill="auto"/>
            <w:vAlign w:val="center"/>
          </w:tcPr>
          <w:p w14:paraId="2F92674D">
            <w:pPr>
              <w:widowControl/>
              <w:adjustRightInd w:val="0"/>
              <w:snapToGrid w:val="0"/>
              <w:spacing w:line="360" w:lineRule="auto"/>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cs="宋体"/>
                <w:szCs w:val="24"/>
                <w:highlight w:val="none"/>
                <w:lang w:val="en-US" w:eastAsia="zh-CN"/>
              </w:rPr>
              <w:t>17</w:t>
            </w:r>
          </w:p>
        </w:tc>
        <w:tc>
          <w:tcPr>
            <w:tcW w:w="1180" w:type="dxa"/>
            <w:shd w:val="clear" w:color="auto" w:fill="auto"/>
            <w:vAlign w:val="center"/>
          </w:tcPr>
          <w:p w14:paraId="272A351A">
            <w:pPr>
              <w:widowControl/>
              <w:adjustRightInd w:val="0"/>
              <w:snapToGrid w:val="0"/>
              <w:spacing w:line="360" w:lineRule="auto"/>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cs="宋体"/>
                <w:szCs w:val="24"/>
                <w:highlight w:val="none"/>
                <w:lang w:val="en-US" w:eastAsia="zh-CN"/>
              </w:rPr>
              <w:t>9.8</w:t>
            </w:r>
          </w:p>
        </w:tc>
        <w:tc>
          <w:tcPr>
            <w:tcW w:w="1350" w:type="dxa"/>
            <w:shd w:val="clear"/>
            <w:vAlign w:val="center"/>
          </w:tcPr>
          <w:p w14:paraId="1CC59A7F">
            <w:pPr>
              <w:widowControl/>
              <w:adjustRightInd w:val="0"/>
              <w:snapToGrid w:val="0"/>
              <w:spacing w:line="360" w:lineRule="auto"/>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cs="宋体"/>
                <w:szCs w:val="24"/>
                <w:highlight w:val="none"/>
                <w:lang w:val="en-US" w:eastAsia="zh-CN"/>
              </w:rPr>
              <w:t>32.8</w:t>
            </w:r>
          </w:p>
        </w:tc>
        <w:tc>
          <w:tcPr>
            <w:tcW w:w="1095" w:type="dxa"/>
            <w:shd w:val="clear"/>
            <w:vAlign w:val="center"/>
          </w:tcPr>
          <w:p w14:paraId="56E44B37">
            <w:pPr>
              <w:widowControl/>
              <w:adjustRightInd w:val="0"/>
              <w:snapToGrid w:val="0"/>
              <w:spacing w:line="360" w:lineRule="auto"/>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cs="宋体"/>
                <w:szCs w:val="24"/>
                <w:highlight w:val="none"/>
                <w:lang w:val="en-US" w:eastAsia="zh-CN"/>
              </w:rPr>
              <w:t>9.02%</w:t>
            </w:r>
          </w:p>
        </w:tc>
      </w:tr>
      <w:tr w14:paraId="6131FD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657" w:type="dxa"/>
            <w:shd w:val="clear"/>
            <w:vAlign w:val="top"/>
          </w:tcPr>
          <w:p w14:paraId="380E0B4C">
            <w:pPr>
              <w:widowControl/>
              <w:adjustRightInd w:val="0"/>
              <w:snapToGrid w:val="0"/>
              <w:spacing w:line="360" w:lineRule="auto"/>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cs="宋体"/>
                <w:szCs w:val="24"/>
                <w:highlight w:val="none"/>
                <w:lang w:val="en-US" w:eastAsia="zh-CN"/>
              </w:rPr>
              <w:t>19</w:t>
            </w:r>
          </w:p>
        </w:tc>
        <w:tc>
          <w:tcPr>
            <w:tcW w:w="1720" w:type="dxa"/>
            <w:shd w:val="clear"/>
            <w:vAlign w:val="center"/>
          </w:tcPr>
          <w:p w14:paraId="4562AD2F">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起重臂节八</w:t>
            </w:r>
          </w:p>
        </w:tc>
        <w:tc>
          <w:tcPr>
            <w:tcW w:w="1319" w:type="dxa"/>
            <w:shd w:val="clear"/>
            <w:vAlign w:val="center"/>
          </w:tcPr>
          <w:p w14:paraId="64C8EE0C">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432</w:t>
            </w:r>
          </w:p>
        </w:tc>
        <w:tc>
          <w:tcPr>
            <w:tcW w:w="1350" w:type="dxa"/>
            <w:shd w:val="clear" w:color="auto" w:fill="auto"/>
            <w:vAlign w:val="center"/>
          </w:tcPr>
          <w:p w14:paraId="6F3DE33C">
            <w:pPr>
              <w:widowControl/>
              <w:adjustRightInd w:val="0"/>
              <w:snapToGrid w:val="0"/>
              <w:spacing w:line="360" w:lineRule="auto"/>
              <w:ind w:left="0" w:leftChars="0" w:firstLine="480" w:firstLineChars="200"/>
              <w:jc w:val="both"/>
              <w:rPr>
                <w:rFonts w:hint="eastAsia" w:ascii="宋体" w:hAnsi="宋体" w:eastAsia="宋体" w:cs="宋体"/>
                <w:kern w:val="2"/>
                <w:sz w:val="24"/>
                <w:szCs w:val="24"/>
                <w:highlight w:val="none"/>
                <w:lang w:val="en-US" w:eastAsia="zh-CN" w:bidi="ar-SA"/>
              </w:rPr>
            </w:pPr>
            <w:r>
              <w:rPr>
                <w:rFonts w:hint="eastAsia" w:cs="宋体"/>
                <w:szCs w:val="24"/>
                <w:highlight w:val="none"/>
                <w:lang w:val="en-US" w:eastAsia="zh-CN"/>
              </w:rPr>
              <w:t>14</w:t>
            </w:r>
          </w:p>
        </w:tc>
        <w:tc>
          <w:tcPr>
            <w:tcW w:w="1180" w:type="dxa"/>
            <w:shd w:val="clear" w:color="auto" w:fill="auto"/>
            <w:vAlign w:val="center"/>
          </w:tcPr>
          <w:p w14:paraId="3418A249">
            <w:pPr>
              <w:widowControl/>
              <w:adjustRightInd w:val="0"/>
              <w:snapToGrid w:val="0"/>
              <w:spacing w:line="360" w:lineRule="auto"/>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cs="宋体"/>
                <w:szCs w:val="24"/>
                <w:highlight w:val="none"/>
                <w:lang w:val="en-US" w:eastAsia="zh-CN"/>
              </w:rPr>
              <w:t>17</w:t>
            </w:r>
          </w:p>
        </w:tc>
        <w:tc>
          <w:tcPr>
            <w:tcW w:w="1180" w:type="dxa"/>
            <w:shd w:val="clear" w:color="auto" w:fill="auto"/>
            <w:vAlign w:val="center"/>
          </w:tcPr>
          <w:p w14:paraId="5F3802A0">
            <w:pPr>
              <w:widowControl/>
              <w:adjustRightInd w:val="0"/>
              <w:snapToGrid w:val="0"/>
              <w:spacing w:line="360" w:lineRule="auto"/>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cs="宋体"/>
                <w:szCs w:val="24"/>
                <w:highlight w:val="none"/>
                <w:lang w:val="en-US" w:eastAsia="zh-CN"/>
              </w:rPr>
              <w:t>9.8</w:t>
            </w:r>
          </w:p>
        </w:tc>
        <w:tc>
          <w:tcPr>
            <w:tcW w:w="1350" w:type="dxa"/>
            <w:shd w:val="clear"/>
            <w:vAlign w:val="center"/>
          </w:tcPr>
          <w:p w14:paraId="3EEEFC8B">
            <w:pPr>
              <w:widowControl/>
              <w:adjustRightInd w:val="0"/>
              <w:snapToGrid w:val="0"/>
              <w:spacing w:line="360" w:lineRule="auto"/>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cs="宋体"/>
                <w:szCs w:val="24"/>
                <w:highlight w:val="none"/>
                <w:lang w:val="en-US" w:eastAsia="zh-CN"/>
              </w:rPr>
              <w:t>32.8</w:t>
            </w:r>
          </w:p>
        </w:tc>
        <w:tc>
          <w:tcPr>
            <w:tcW w:w="1095" w:type="dxa"/>
            <w:shd w:val="clear"/>
            <w:vAlign w:val="center"/>
          </w:tcPr>
          <w:p w14:paraId="35FE268C">
            <w:pPr>
              <w:widowControl/>
              <w:adjustRightInd w:val="0"/>
              <w:snapToGrid w:val="0"/>
              <w:spacing w:line="360" w:lineRule="auto"/>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cs="宋体"/>
                <w:szCs w:val="24"/>
                <w:highlight w:val="none"/>
                <w:lang w:val="en-US" w:eastAsia="zh-CN"/>
              </w:rPr>
              <w:t>4.41%</w:t>
            </w:r>
          </w:p>
        </w:tc>
      </w:tr>
      <w:tr w14:paraId="542959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0" w:type="auto"/>
            <w:shd w:val="clear"/>
            <w:vAlign w:val="top"/>
          </w:tcPr>
          <w:p w14:paraId="7592D1E3">
            <w:pPr>
              <w:widowControl/>
              <w:adjustRightInd w:val="0"/>
              <w:snapToGrid w:val="0"/>
              <w:spacing w:line="360" w:lineRule="auto"/>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cs="宋体"/>
                <w:szCs w:val="24"/>
                <w:highlight w:val="none"/>
                <w:lang w:val="en-US" w:eastAsia="zh-CN"/>
              </w:rPr>
              <w:t>20</w:t>
            </w:r>
          </w:p>
        </w:tc>
        <w:tc>
          <w:tcPr>
            <w:tcW w:w="0" w:type="auto"/>
            <w:shd w:val="clear"/>
            <w:vAlign w:val="center"/>
          </w:tcPr>
          <w:p w14:paraId="57925265">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臂尖节</w:t>
            </w:r>
          </w:p>
        </w:tc>
        <w:tc>
          <w:tcPr>
            <w:tcW w:w="0" w:type="auto"/>
            <w:shd w:val="clear"/>
            <w:vAlign w:val="center"/>
          </w:tcPr>
          <w:p w14:paraId="2F75D540">
            <w:pPr>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b w:val="0"/>
                <w:bCs w:val="0"/>
                <w:kern w:val="2"/>
                <w:sz w:val="24"/>
                <w:szCs w:val="24"/>
                <w:highlight w:val="none"/>
                <w:lang w:val="en-US" w:eastAsia="zh-CN" w:bidi="ar-SA"/>
              </w:rPr>
            </w:pPr>
            <w:r>
              <w:rPr>
                <w:rFonts w:hint="eastAsia" w:cs="宋体"/>
                <w:b w:val="0"/>
                <w:bCs w:val="0"/>
                <w:kern w:val="2"/>
                <w:sz w:val="24"/>
                <w:szCs w:val="24"/>
                <w:highlight w:val="none"/>
                <w:lang w:val="en-US" w:eastAsia="zh-CN" w:bidi="ar-SA"/>
              </w:rPr>
              <w:t>162</w:t>
            </w:r>
          </w:p>
        </w:tc>
        <w:tc>
          <w:tcPr>
            <w:tcW w:w="0" w:type="auto"/>
            <w:shd w:val="clear" w:color="auto" w:fill="auto"/>
            <w:vAlign w:val="center"/>
          </w:tcPr>
          <w:p w14:paraId="780823CB">
            <w:pPr>
              <w:widowControl/>
              <w:adjustRightInd w:val="0"/>
              <w:snapToGrid w:val="0"/>
              <w:spacing w:line="360" w:lineRule="auto"/>
              <w:ind w:left="0" w:leftChars="0" w:firstLine="480" w:firstLineChars="200"/>
              <w:jc w:val="both"/>
              <w:rPr>
                <w:rFonts w:hint="eastAsia" w:ascii="宋体" w:hAnsi="宋体" w:eastAsia="宋体" w:cs="宋体"/>
                <w:kern w:val="2"/>
                <w:sz w:val="24"/>
                <w:szCs w:val="24"/>
                <w:highlight w:val="none"/>
                <w:lang w:val="en-US" w:eastAsia="zh-CN" w:bidi="ar-SA"/>
              </w:rPr>
            </w:pPr>
            <w:r>
              <w:rPr>
                <w:rFonts w:hint="eastAsia" w:cs="宋体"/>
                <w:szCs w:val="24"/>
                <w:highlight w:val="none"/>
                <w:lang w:val="en-US" w:eastAsia="zh-CN"/>
              </w:rPr>
              <w:t>14</w:t>
            </w:r>
          </w:p>
        </w:tc>
        <w:tc>
          <w:tcPr>
            <w:tcW w:w="0" w:type="auto"/>
            <w:shd w:val="clear" w:color="auto" w:fill="auto"/>
            <w:vAlign w:val="center"/>
          </w:tcPr>
          <w:p w14:paraId="00A21AB5">
            <w:pPr>
              <w:widowControl/>
              <w:adjustRightInd w:val="0"/>
              <w:snapToGrid w:val="0"/>
              <w:spacing w:line="360" w:lineRule="auto"/>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cs="宋体"/>
                <w:szCs w:val="24"/>
                <w:highlight w:val="none"/>
                <w:lang w:val="en-US" w:eastAsia="zh-CN"/>
              </w:rPr>
              <w:t>17</w:t>
            </w:r>
          </w:p>
        </w:tc>
        <w:tc>
          <w:tcPr>
            <w:tcW w:w="0" w:type="auto"/>
            <w:shd w:val="clear" w:color="auto" w:fill="auto"/>
            <w:vAlign w:val="center"/>
          </w:tcPr>
          <w:p w14:paraId="0ACAD818">
            <w:pPr>
              <w:widowControl/>
              <w:adjustRightInd w:val="0"/>
              <w:snapToGrid w:val="0"/>
              <w:spacing w:line="360" w:lineRule="auto"/>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cs="宋体"/>
                <w:szCs w:val="24"/>
                <w:highlight w:val="none"/>
                <w:lang w:val="en-US" w:eastAsia="zh-CN"/>
              </w:rPr>
              <w:t>9.8</w:t>
            </w:r>
          </w:p>
        </w:tc>
        <w:tc>
          <w:tcPr>
            <w:tcW w:w="0" w:type="auto"/>
            <w:shd w:val="clear"/>
            <w:vAlign w:val="center"/>
          </w:tcPr>
          <w:p w14:paraId="700A7DC3">
            <w:pPr>
              <w:widowControl/>
              <w:adjustRightInd w:val="0"/>
              <w:snapToGrid w:val="0"/>
              <w:spacing w:line="360" w:lineRule="auto"/>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cs="宋体"/>
                <w:szCs w:val="24"/>
                <w:highlight w:val="none"/>
                <w:lang w:val="en-US" w:eastAsia="zh-CN"/>
              </w:rPr>
              <w:t>32.8</w:t>
            </w:r>
          </w:p>
        </w:tc>
        <w:tc>
          <w:tcPr>
            <w:tcW w:w="0" w:type="auto"/>
            <w:shd w:val="clear"/>
            <w:vAlign w:val="center"/>
          </w:tcPr>
          <w:p w14:paraId="1759B89A">
            <w:pPr>
              <w:widowControl/>
              <w:adjustRightInd w:val="0"/>
              <w:snapToGrid w:val="0"/>
              <w:spacing w:line="360" w:lineRule="auto"/>
              <w:ind w:left="0" w:leftChars="0" w:firstLine="0" w:firstLineChars="0"/>
              <w:jc w:val="center"/>
              <w:rPr>
                <w:rFonts w:hint="eastAsia" w:ascii="宋体" w:hAnsi="宋体" w:eastAsia="宋体" w:cs="宋体"/>
                <w:kern w:val="2"/>
                <w:sz w:val="24"/>
                <w:szCs w:val="24"/>
                <w:highlight w:val="none"/>
                <w:lang w:val="en-US" w:eastAsia="zh-CN" w:bidi="ar-SA"/>
              </w:rPr>
            </w:pPr>
            <w:r>
              <w:rPr>
                <w:rFonts w:hint="eastAsia" w:cs="宋体"/>
                <w:szCs w:val="24"/>
                <w:highlight w:val="none"/>
                <w:lang w:val="en-US" w:eastAsia="zh-CN"/>
              </w:rPr>
              <w:t>1.65%</w:t>
            </w:r>
          </w:p>
        </w:tc>
      </w:tr>
    </w:tbl>
    <w:p w14:paraId="27365F5C">
      <w:pPr>
        <w:kinsoku/>
        <w:overflowPunct/>
        <w:topLinePunct w:val="0"/>
        <w:bidi w:val="0"/>
        <w:spacing w:line="360" w:lineRule="atLeast"/>
        <w:ind w:firstLine="0" w:firstLineChars="0"/>
        <w:jc w:val="center"/>
        <w:rPr>
          <w:rFonts w:hint="eastAsia" w:ascii="宋体" w:hAnsi="宋体" w:eastAsia="宋体" w:cs="宋体"/>
          <w:sz w:val="21"/>
          <w:szCs w:val="21"/>
          <w:lang w:bidi="ar"/>
        </w:rPr>
      </w:pPr>
    </w:p>
    <w:p w14:paraId="10958B9B">
      <w:pPr>
        <w:pStyle w:val="12"/>
        <w:kinsoku/>
        <w:overflowPunct/>
        <w:topLinePunct w:val="0"/>
        <w:bidi w:val="0"/>
        <w:spacing w:line="360" w:lineRule="atLeast"/>
        <w:ind w:firstLine="480"/>
        <w:jc w:val="center"/>
        <w:rPr>
          <w:rFonts w:hint="eastAsia" w:ascii="宋体" w:hAnsi="宋体" w:eastAsia="宋体" w:cs="宋体"/>
          <w:sz w:val="21"/>
          <w:szCs w:val="21"/>
        </w:rPr>
      </w:pPr>
      <w:r>
        <w:drawing>
          <wp:inline distT="0" distB="0" distL="114300" distR="114300">
            <wp:extent cx="4214495" cy="2939415"/>
            <wp:effectExtent l="0" t="0" r="14605" b="13335"/>
            <wp:docPr id="6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3"/>
                    <pic:cNvPicPr>
                      <a:picLocks noChangeAspect="1"/>
                    </pic:cNvPicPr>
                  </pic:nvPicPr>
                  <pic:blipFill>
                    <a:blip r:embed="rId32"/>
                    <a:stretch>
                      <a:fillRect/>
                    </a:stretch>
                  </pic:blipFill>
                  <pic:spPr>
                    <a:xfrm>
                      <a:off x="0" y="0"/>
                      <a:ext cx="4214495" cy="2939415"/>
                    </a:xfrm>
                    <a:prstGeom prst="rect">
                      <a:avLst/>
                    </a:prstGeom>
                    <a:noFill/>
                    <a:ln>
                      <a:noFill/>
                    </a:ln>
                  </pic:spPr>
                </pic:pic>
              </a:graphicData>
            </a:graphic>
          </wp:inline>
        </w:drawing>
      </w:r>
      <w:r>
        <w:drawing>
          <wp:inline distT="0" distB="0" distL="114300" distR="114300">
            <wp:extent cx="6120765" cy="2309495"/>
            <wp:effectExtent l="0" t="0" r="13335" b="1460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33"/>
                    <a:stretch>
                      <a:fillRect/>
                    </a:stretch>
                  </pic:blipFill>
                  <pic:spPr>
                    <a:xfrm>
                      <a:off x="0" y="0"/>
                      <a:ext cx="6120765" cy="2309495"/>
                    </a:xfrm>
                    <a:prstGeom prst="rect">
                      <a:avLst/>
                    </a:prstGeom>
                    <a:noFill/>
                    <a:ln>
                      <a:noFill/>
                    </a:ln>
                  </pic:spPr>
                </pic:pic>
              </a:graphicData>
            </a:graphic>
          </wp:inline>
        </w:drawing>
      </w:r>
    </w:p>
    <w:p w14:paraId="6A5C0D8C">
      <w:pPr>
        <w:pStyle w:val="13"/>
        <w:kinsoku/>
        <w:overflowPunct/>
        <w:topLinePunct w:val="0"/>
        <w:bidi w:val="0"/>
        <w:spacing w:line="360" w:lineRule="atLeast"/>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4.2.1</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eastAsia="宋体" w:cs="宋体"/>
          <w:sz w:val="24"/>
          <w:szCs w:val="24"/>
        </w:rPr>
        <w:t xml:space="preserve"> </w:t>
      </w:r>
      <w:r>
        <w:rPr>
          <w:rFonts w:hint="eastAsia" w:ascii="宋体" w:hAnsi="宋体" w:cs="宋体"/>
          <w:sz w:val="24"/>
          <w:szCs w:val="24"/>
          <w:lang w:eastAsia="zh-CN"/>
        </w:rPr>
        <w:t>塔机拆除时</w:t>
      </w:r>
      <w:r>
        <w:rPr>
          <w:rFonts w:hint="eastAsia" w:ascii="宋体" w:hAnsi="宋体" w:cs="宋体"/>
          <w:sz w:val="24"/>
          <w:szCs w:val="24"/>
          <w:lang w:val="en-US" w:eastAsia="zh-CN"/>
        </w:rPr>
        <w:t>5</w:t>
      </w:r>
      <w:r>
        <w:rPr>
          <w:rFonts w:hint="eastAsia" w:ascii="宋体" w:hAnsi="宋体" w:cs="宋体"/>
          <w:sz w:val="24"/>
          <w:szCs w:val="24"/>
          <w:lang w:eastAsia="zh-CN"/>
        </w:rPr>
        <w:t>0t汽车吊</w:t>
      </w:r>
      <w:r>
        <w:rPr>
          <w:rFonts w:hint="eastAsia" w:ascii="宋体" w:hAnsi="宋体" w:eastAsia="宋体" w:cs="宋体"/>
          <w:sz w:val="24"/>
          <w:szCs w:val="24"/>
          <w:lang w:val="en-US" w:eastAsia="zh-CN"/>
        </w:rPr>
        <w:t>布置</w:t>
      </w:r>
      <w:r>
        <w:rPr>
          <w:rFonts w:hint="eastAsia" w:ascii="宋体" w:hAnsi="宋体" w:eastAsia="宋体" w:cs="宋体"/>
          <w:sz w:val="24"/>
          <w:szCs w:val="24"/>
        </w:rPr>
        <w:t>平面图</w:t>
      </w:r>
    </w:p>
    <w:p w14:paraId="0261A685">
      <w:pPr>
        <w:pStyle w:val="4"/>
        <w:keepNext w:val="0"/>
        <w:pageBreakBefore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吊装钢丝绳选型</w:t>
      </w:r>
    </w:p>
    <w:p w14:paraId="593AAE2A">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相应验算详见第11章节</w:t>
      </w:r>
      <w:r>
        <w:rPr>
          <w:rFonts w:hint="eastAsia" w:ascii="宋体" w:hAnsi="宋体" w:eastAsia="宋体" w:cs="宋体"/>
          <w:sz w:val="24"/>
          <w:szCs w:val="24"/>
          <w:lang w:eastAsia="zh-CN"/>
        </w:rPr>
        <w:t>。</w:t>
      </w:r>
    </w:p>
    <w:p w14:paraId="077DAFBC">
      <w:pPr>
        <w:pStyle w:val="3"/>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37" w:name="_Toc8611"/>
      <w:r>
        <w:rPr>
          <w:rFonts w:hint="eastAsia" w:ascii="宋体" w:hAnsi="宋体" w:eastAsia="宋体" w:cs="宋体"/>
          <w:sz w:val="24"/>
          <w:szCs w:val="24"/>
        </w:rPr>
        <w:t>塔吊</w:t>
      </w:r>
      <w:r>
        <w:rPr>
          <w:rFonts w:hint="eastAsia" w:cs="宋体"/>
          <w:sz w:val="24"/>
          <w:szCs w:val="24"/>
          <w:lang w:eastAsia="zh-CN"/>
        </w:rPr>
        <w:t>拆除</w:t>
      </w:r>
      <w:r>
        <w:rPr>
          <w:rFonts w:hint="eastAsia" w:ascii="宋体" w:hAnsi="宋体" w:eastAsia="宋体" w:cs="宋体"/>
          <w:sz w:val="24"/>
          <w:szCs w:val="24"/>
        </w:rPr>
        <w:t>前施工准备</w:t>
      </w:r>
      <w:bookmarkEnd w:id="37"/>
    </w:p>
    <w:p w14:paraId="2C387F5E">
      <w:pPr>
        <w:pStyle w:val="4"/>
        <w:keepNext w:val="0"/>
        <w:pageBreakBefore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技术准备</w:t>
      </w:r>
    </w:p>
    <w:p w14:paraId="230A6F20">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设备技术资料查验、</w:t>
      </w:r>
      <w:r>
        <w:rPr>
          <w:rFonts w:hint="eastAsia" w:cs="宋体"/>
          <w:sz w:val="24"/>
          <w:szCs w:val="24"/>
          <w:lang w:eastAsia="zh-CN"/>
        </w:rPr>
        <w:t>拆除</w:t>
      </w:r>
      <w:r>
        <w:rPr>
          <w:rFonts w:hint="eastAsia" w:ascii="宋体" w:hAnsi="宋体" w:eastAsia="宋体" w:cs="宋体"/>
          <w:sz w:val="24"/>
          <w:szCs w:val="24"/>
        </w:rPr>
        <w:t>方案、人员及工器具审核及报备工作。</w:t>
      </w:r>
    </w:p>
    <w:p w14:paraId="061E9FC8">
      <w:pPr>
        <w:pStyle w:val="4"/>
        <w:keepNext w:val="0"/>
        <w:pageBreakBefore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组织准备</w:t>
      </w:r>
    </w:p>
    <w:p w14:paraId="07BEA451">
      <w:pPr>
        <w:numPr>
          <w:ilvl w:val="0"/>
          <w:numId w:val="18"/>
        </w:numPr>
        <w:bidi w:val="0"/>
        <w:ind w:left="425" w:leftChars="0" w:hanging="425" w:firstLineChars="0"/>
        <w:rPr>
          <w:rFonts w:hint="eastAsia"/>
        </w:rPr>
      </w:pPr>
      <w:r>
        <w:rPr>
          <w:rFonts w:hint="eastAsia"/>
          <w:lang w:eastAsia="zh-CN"/>
        </w:rPr>
        <w:t>拆除单位</w:t>
      </w:r>
      <w:r>
        <w:rPr>
          <w:rFonts w:hint="eastAsia"/>
        </w:rPr>
        <w:t>应有合格的</w:t>
      </w:r>
      <w:r>
        <w:rPr>
          <w:rFonts w:hint="eastAsia"/>
          <w:lang w:eastAsia="zh-CN"/>
        </w:rPr>
        <w:t>拆除</w:t>
      </w:r>
      <w:r>
        <w:rPr>
          <w:rFonts w:hint="eastAsia"/>
        </w:rPr>
        <w:t>资质，且熟悉塔式起重机</w:t>
      </w:r>
      <w:r>
        <w:rPr>
          <w:rFonts w:hint="eastAsia"/>
          <w:lang w:eastAsia="zh-CN"/>
        </w:rPr>
        <w:t>拆除</w:t>
      </w:r>
      <w:r>
        <w:rPr>
          <w:rFonts w:hint="eastAsia"/>
        </w:rPr>
        <w:t>工艺。</w:t>
      </w:r>
    </w:p>
    <w:p w14:paraId="540E117A">
      <w:pPr>
        <w:numPr>
          <w:ilvl w:val="0"/>
          <w:numId w:val="18"/>
        </w:numPr>
        <w:bidi w:val="0"/>
        <w:ind w:left="425" w:leftChars="0" w:hanging="425" w:firstLineChars="0"/>
        <w:rPr>
          <w:rFonts w:hint="eastAsia"/>
        </w:rPr>
      </w:pPr>
      <w:r>
        <w:rPr>
          <w:rFonts w:hint="eastAsia"/>
        </w:rPr>
        <w:t>成立</w:t>
      </w:r>
      <w:r>
        <w:rPr>
          <w:rFonts w:hint="eastAsia"/>
          <w:lang w:eastAsia="zh-CN"/>
        </w:rPr>
        <w:t>拆除</w:t>
      </w:r>
      <w:r>
        <w:rPr>
          <w:rFonts w:hint="eastAsia"/>
        </w:rPr>
        <w:t>安全领导小组和</w:t>
      </w:r>
      <w:r>
        <w:rPr>
          <w:rFonts w:hint="eastAsia"/>
          <w:lang w:eastAsia="zh-CN"/>
        </w:rPr>
        <w:t>拆除</w:t>
      </w:r>
      <w:r>
        <w:rPr>
          <w:rFonts w:hint="eastAsia"/>
        </w:rPr>
        <w:t>工作小组，对整个</w:t>
      </w:r>
      <w:r>
        <w:rPr>
          <w:rFonts w:hint="eastAsia"/>
          <w:lang w:eastAsia="zh-CN"/>
        </w:rPr>
        <w:t>拆除</w:t>
      </w:r>
      <w:r>
        <w:rPr>
          <w:rFonts w:hint="eastAsia"/>
        </w:rPr>
        <w:t>过程进行有效监管。</w:t>
      </w:r>
    </w:p>
    <w:p w14:paraId="4D757DE2">
      <w:pPr>
        <w:numPr>
          <w:ilvl w:val="0"/>
          <w:numId w:val="18"/>
        </w:numPr>
        <w:bidi w:val="0"/>
        <w:ind w:left="425" w:leftChars="0" w:hanging="425" w:firstLineChars="0"/>
        <w:rPr>
          <w:rFonts w:hint="eastAsia"/>
        </w:rPr>
      </w:pPr>
      <w:r>
        <w:rPr>
          <w:rFonts w:hint="eastAsia"/>
        </w:rPr>
        <w:t>组织学习安全技术措施，现场进行技术交底，落实每项工作。</w:t>
      </w:r>
    </w:p>
    <w:p w14:paraId="192560D1">
      <w:pPr>
        <w:numPr>
          <w:ilvl w:val="0"/>
          <w:numId w:val="18"/>
        </w:numPr>
        <w:bidi w:val="0"/>
        <w:ind w:left="425" w:leftChars="0" w:hanging="425" w:firstLineChars="0"/>
        <w:rPr>
          <w:rFonts w:hint="eastAsia"/>
        </w:rPr>
      </w:pPr>
      <w:r>
        <w:rPr>
          <w:rFonts w:hint="eastAsia"/>
        </w:rPr>
        <w:t>所有进行</w:t>
      </w:r>
      <w:r>
        <w:rPr>
          <w:rFonts w:hint="eastAsia"/>
          <w:lang w:eastAsia="zh-CN"/>
        </w:rPr>
        <w:t>拆除</w:t>
      </w:r>
      <w:r>
        <w:rPr>
          <w:rFonts w:hint="eastAsia"/>
        </w:rPr>
        <w:t>的</w:t>
      </w:r>
      <w:r>
        <w:rPr>
          <w:rFonts w:hint="eastAsia"/>
          <w:lang w:val="en-US" w:eastAsia="zh-CN"/>
        </w:rPr>
        <w:t>特种作业</w:t>
      </w:r>
      <w:r>
        <w:rPr>
          <w:rFonts w:hint="eastAsia"/>
        </w:rPr>
        <w:t>人员，均需持证上岗，并针对本工程经过培训。</w:t>
      </w:r>
    </w:p>
    <w:p w14:paraId="24B1AB99">
      <w:pPr>
        <w:pStyle w:val="4"/>
        <w:keepNext w:val="0"/>
        <w:pageBreakBefore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工索具、起重设备准备</w:t>
      </w:r>
    </w:p>
    <w:p w14:paraId="0F80CAB3">
      <w:pPr>
        <w:numPr>
          <w:ilvl w:val="0"/>
          <w:numId w:val="19"/>
        </w:numPr>
        <w:bidi w:val="0"/>
        <w:ind w:left="425" w:leftChars="0" w:hanging="425" w:firstLineChars="0"/>
        <w:rPr>
          <w:rFonts w:hint="eastAsia"/>
        </w:rPr>
      </w:pPr>
      <w:r>
        <w:rPr>
          <w:rFonts w:hint="eastAsia"/>
        </w:rPr>
        <w:t>准备好</w:t>
      </w:r>
      <w:r>
        <w:rPr>
          <w:rFonts w:hint="eastAsia"/>
          <w:lang w:eastAsia="zh-CN"/>
        </w:rPr>
        <w:t>拆除</w:t>
      </w:r>
      <w:r>
        <w:rPr>
          <w:rFonts w:hint="eastAsia"/>
        </w:rPr>
        <w:t>人员的安全带，安全绳，防滑鞋，安全帽等。</w:t>
      </w:r>
    </w:p>
    <w:p w14:paraId="7A028050">
      <w:pPr>
        <w:numPr>
          <w:ilvl w:val="0"/>
          <w:numId w:val="19"/>
        </w:numPr>
        <w:bidi w:val="0"/>
        <w:ind w:left="425" w:leftChars="0" w:hanging="425" w:firstLineChars="0"/>
        <w:rPr>
          <w:rFonts w:hint="eastAsia"/>
        </w:rPr>
      </w:pPr>
      <w:r>
        <w:rPr>
          <w:rFonts w:hint="eastAsia"/>
        </w:rPr>
        <w:t>定好吊装主要部件的尺寸，重量，高度，确定起重设备规格，并准备好吊装机具，</w:t>
      </w:r>
      <w:r>
        <w:rPr>
          <w:rFonts w:hint="eastAsia"/>
          <w:lang w:eastAsia="zh-CN"/>
        </w:rPr>
        <w:t>拆除</w:t>
      </w:r>
      <w:r>
        <w:rPr>
          <w:rFonts w:hint="eastAsia"/>
        </w:rPr>
        <w:t>工具（扳手、大锤、钢丝绳、手拉葫芦、氧气乙炔）等。</w:t>
      </w:r>
    </w:p>
    <w:p w14:paraId="6119A52B">
      <w:pPr>
        <w:numPr>
          <w:ilvl w:val="0"/>
          <w:numId w:val="19"/>
        </w:numPr>
        <w:bidi w:val="0"/>
        <w:ind w:left="425" w:leftChars="0" w:hanging="425" w:firstLineChars="0"/>
        <w:rPr>
          <w:rFonts w:hint="eastAsia"/>
        </w:rPr>
      </w:pPr>
      <w:r>
        <w:rPr>
          <w:rFonts w:hint="eastAsia"/>
          <w:lang w:val="en-US" w:eastAsia="zh-CN"/>
        </w:rPr>
        <w:t>配合机械应有特种设备监管要求的证件</w:t>
      </w:r>
      <w:r>
        <w:rPr>
          <w:rFonts w:hint="eastAsia"/>
        </w:rPr>
        <w:t>。</w:t>
      </w:r>
    </w:p>
    <w:p w14:paraId="0026A506">
      <w:pPr>
        <w:numPr>
          <w:ilvl w:val="0"/>
          <w:numId w:val="19"/>
        </w:numPr>
        <w:bidi w:val="0"/>
        <w:ind w:left="425" w:leftChars="0" w:hanging="425" w:firstLineChars="0"/>
        <w:rPr>
          <w:rFonts w:hint="eastAsia"/>
        </w:rPr>
      </w:pPr>
      <w:r>
        <w:rPr>
          <w:rFonts w:hint="eastAsia"/>
        </w:rPr>
        <w:t>所有手动吊装、焊接、测量等工具，</w:t>
      </w:r>
      <w:r>
        <w:rPr>
          <w:rFonts w:hint="eastAsia"/>
          <w:lang w:val="en-US" w:eastAsia="zh-CN"/>
        </w:rPr>
        <w:t>在使用前需要</w:t>
      </w:r>
      <w:r>
        <w:rPr>
          <w:rFonts w:hint="eastAsia"/>
        </w:rPr>
        <w:t>检</w:t>
      </w:r>
      <w:r>
        <w:rPr>
          <w:rFonts w:hint="eastAsia"/>
          <w:lang w:val="en-US" w:eastAsia="zh-CN"/>
        </w:rPr>
        <w:t>查其功能完好</w:t>
      </w:r>
      <w:r>
        <w:rPr>
          <w:rFonts w:hint="eastAsia"/>
        </w:rPr>
        <w:t>，方可用于本工程。</w:t>
      </w:r>
    </w:p>
    <w:p w14:paraId="14C292A8">
      <w:pPr>
        <w:pStyle w:val="4"/>
        <w:keepNext w:val="0"/>
        <w:pageBreakBefore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检查准备</w:t>
      </w:r>
    </w:p>
    <w:p w14:paraId="30027D74">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正式施工前，做好主要施工机具和分项工艺的检验工作。根据检验结果，对工艺进行进一步的修改及细化。</w:t>
      </w:r>
    </w:p>
    <w:p w14:paraId="7C374C90">
      <w:pPr>
        <w:pStyle w:val="5"/>
        <w:bidi w:val="0"/>
        <w:rPr>
          <w:rFonts w:hint="eastAsia" w:ascii="宋体" w:hAnsi="宋体" w:eastAsia="宋体" w:cs="宋体"/>
        </w:rPr>
      </w:pPr>
      <w:r>
        <w:rPr>
          <w:rFonts w:hint="eastAsia" w:ascii="宋体" w:hAnsi="宋体" w:eastAsia="宋体" w:cs="宋体"/>
        </w:rPr>
        <w:t>设备检查</w:t>
      </w:r>
    </w:p>
    <w:p w14:paraId="6D6DEE3D">
      <w:pPr>
        <w:rPr>
          <w:rFonts w:hint="eastAsia" w:ascii="宋体" w:hAnsi="宋体" w:eastAsia="宋体" w:cs="宋体"/>
        </w:rPr>
      </w:pPr>
      <w:r>
        <w:rPr>
          <w:rFonts w:hint="eastAsia" w:ascii="宋体" w:hAnsi="宋体" w:eastAsia="宋体" w:cs="宋体"/>
          <w:sz w:val="24"/>
          <w:szCs w:val="24"/>
          <w:lang w:val="en-US" w:eastAsia="zh-CN"/>
        </w:rPr>
        <w:t>设备进场后核对设备参数是否与说明书一致：</w:t>
      </w:r>
    </w:p>
    <w:p w14:paraId="2E690D65">
      <w:pPr>
        <w:numPr>
          <w:ilvl w:val="0"/>
          <w:numId w:val="20"/>
        </w:numPr>
        <w:bidi w:val="0"/>
        <w:ind w:left="425" w:leftChars="0" w:hanging="425" w:firstLineChars="0"/>
        <w:rPr>
          <w:rFonts w:hint="eastAsia"/>
        </w:rPr>
      </w:pPr>
      <w:r>
        <w:rPr>
          <w:rFonts w:hint="eastAsia"/>
        </w:rPr>
        <w:t>塔吊所有钢构件无变形、无裂纹；塔吊所有电机机座是否固定牢靠，传动部位有无变形、裂纹；</w:t>
      </w:r>
    </w:p>
    <w:p w14:paraId="6524C929">
      <w:pPr>
        <w:numPr>
          <w:ilvl w:val="0"/>
          <w:numId w:val="20"/>
        </w:numPr>
        <w:bidi w:val="0"/>
        <w:ind w:left="425" w:leftChars="0" w:hanging="425" w:firstLineChars="0"/>
        <w:rPr>
          <w:rFonts w:hint="eastAsia"/>
        </w:rPr>
      </w:pPr>
      <w:r>
        <w:rPr>
          <w:rFonts w:hint="eastAsia"/>
        </w:rPr>
        <w:t>塔吊所有滑轮部位有无防钢丝绳脱槽装置，滑轮轴有无磨损，滑轮座是否固定牢靠；塔吊所有防护栏杆是否完好，焊接牢靠，无锈蚀；</w:t>
      </w:r>
    </w:p>
    <w:p w14:paraId="0E668947">
      <w:pPr>
        <w:numPr>
          <w:ilvl w:val="0"/>
          <w:numId w:val="20"/>
        </w:numPr>
        <w:bidi w:val="0"/>
        <w:ind w:left="425" w:leftChars="0" w:hanging="425" w:firstLineChars="0"/>
        <w:rPr>
          <w:rFonts w:hint="eastAsia"/>
        </w:rPr>
      </w:pPr>
      <w:r>
        <w:rPr>
          <w:rFonts w:hint="eastAsia"/>
        </w:rPr>
        <w:t>塔吊所有柱销孔和销柱体符合要求，无晃动、无严重磨损；</w:t>
      </w:r>
    </w:p>
    <w:p w14:paraId="53561FA3">
      <w:pPr>
        <w:numPr>
          <w:ilvl w:val="0"/>
          <w:numId w:val="20"/>
        </w:numPr>
        <w:bidi w:val="0"/>
        <w:ind w:left="425" w:leftChars="0" w:hanging="425" w:firstLineChars="0"/>
        <w:rPr>
          <w:rFonts w:hint="eastAsia"/>
        </w:rPr>
      </w:pPr>
      <w:r>
        <w:rPr>
          <w:rFonts w:hint="eastAsia"/>
        </w:rPr>
        <w:t>塔吊所有柱销上的开口销是否配套，并开口；</w:t>
      </w:r>
    </w:p>
    <w:p w14:paraId="492FA23B">
      <w:pPr>
        <w:numPr>
          <w:ilvl w:val="0"/>
          <w:numId w:val="20"/>
        </w:numPr>
        <w:bidi w:val="0"/>
        <w:ind w:left="425" w:leftChars="0" w:hanging="425" w:firstLineChars="0"/>
        <w:rPr>
          <w:rFonts w:hint="eastAsia"/>
        </w:rPr>
      </w:pPr>
      <w:r>
        <w:rPr>
          <w:rFonts w:hint="eastAsia"/>
        </w:rPr>
        <w:t>检查钢丝绳磨损状况；检查顶升套架围栏支撑连接部位部件是否完好；</w:t>
      </w:r>
    </w:p>
    <w:p w14:paraId="32ECBDC4">
      <w:pPr>
        <w:numPr>
          <w:ilvl w:val="0"/>
          <w:numId w:val="20"/>
        </w:numPr>
        <w:bidi w:val="0"/>
        <w:ind w:left="425" w:leftChars="0" w:hanging="425" w:firstLineChars="0"/>
        <w:rPr>
          <w:rFonts w:hint="eastAsia"/>
        </w:rPr>
      </w:pPr>
      <w:r>
        <w:rPr>
          <w:rFonts w:hint="eastAsia"/>
        </w:rPr>
        <w:t>检查顶升套架机构滑动部位及支撑的爪钩等处是否完好；</w:t>
      </w:r>
    </w:p>
    <w:p w14:paraId="0BCE46FA">
      <w:pPr>
        <w:numPr>
          <w:ilvl w:val="0"/>
          <w:numId w:val="20"/>
        </w:numPr>
        <w:bidi w:val="0"/>
        <w:ind w:left="425" w:leftChars="0" w:hanging="425" w:firstLineChars="0"/>
        <w:rPr>
          <w:rFonts w:hint="eastAsia"/>
        </w:rPr>
      </w:pPr>
      <w:r>
        <w:rPr>
          <w:rFonts w:hint="eastAsia"/>
        </w:rPr>
        <w:t>检查顶升套架标准节</w:t>
      </w:r>
      <w:r>
        <w:rPr>
          <w:rFonts w:hint="eastAsia"/>
          <w:lang w:eastAsia="zh-CN"/>
        </w:rPr>
        <w:t>拆除</w:t>
      </w:r>
      <w:r>
        <w:rPr>
          <w:rFonts w:hint="eastAsia"/>
        </w:rPr>
        <w:t>推入机构是否完好，各部件无变形；</w:t>
      </w:r>
    </w:p>
    <w:p w14:paraId="71A933B7">
      <w:pPr>
        <w:numPr>
          <w:ilvl w:val="0"/>
          <w:numId w:val="20"/>
        </w:numPr>
        <w:bidi w:val="0"/>
        <w:ind w:left="425" w:leftChars="0" w:hanging="425" w:firstLineChars="0"/>
        <w:rPr>
          <w:rFonts w:hint="eastAsia"/>
        </w:rPr>
      </w:pPr>
      <w:r>
        <w:rPr>
          <w:rFonts w:hint="eastAsia"/>
        </w:rPr>
        <w:t>检查回转支撑机构是否润滑良好，螺栓是否紧固；</w:t>
      </w:r>
    </w:p>
    <w:p w14:paraId="3A0A9675">
      <w:pPr>
        <w:numPr>
          <w:ilvl w:val="0"/>
          <w:numId w:val="20"/>
        </w:numPr>
        <w:bidi w:val="0"/>
        <w:ind w:left="425" w:leftChars="0" w:hanging="425" w:firstLineChars="0"/>
        <w:rPr>
          <w:rFonts w:hint="eastAsia"/>
        </w:rPr>
      </w:pPr>
      <w:r>
        <w:rPr>
          <w:rFonts w:hint="eastAsia"/>
        </w:rPr>
        <w:t>检查电器是否完好无损，电缆线无老化、裸露，各电气绝缘保证良好；</w:t>
      </w:r>
    </w:p>
    <w:p w14:paraId="500E8B86">
      <w:pPr>
        <w:numPr>
          <w:ilvl w:val="0"/>
          <w:numId w:val="20"/>
        </w:numPr>
        <w:bidi w:val="0"/>
        <w:ind w:left="425" w:leftChars="0" w:hanging="425" w:firstLineChars="0"/>
        <w:rPr>
          <w:rFonts w:hint="eastAsia"/>
          <w:lang w:val="en-US" w:eastAsia="zh-CN"/>
        </w:rPr>
      </w:pPr>
      <w:r>
        <w:rPr>
          <w:rFonts w:hint="eastAsia"/>
        </w:rPr>
        <w:t>幅度、力矩、超重、回转、吊钩高度限位器和电铃等安全装置齐全，并保证其灵敏可靠；检查吊钩保险、起升钢丝绳卷筒保险、防变幅钢丝绳断绳装置等保险装置是否完好；检查司机楼、闸箱等是否完好，固定牢靠</w:t>
      </w:r>
      <w:r>
        <w:rPr>
          <w:rFonts w:hint="eastAsia"/>
          <w:lang w:eastAsia="zh-CN"/>
        </w:rPr>
        <w:t>；</w:t>
      </w:r>
    </w:p>
    <w:p w14:paraId="4AFB7E57">
      <w:pPr>
        <w:numPr>
          <w:ilvl w:val="0"/>
          <w:numId w:val="20"/>
        </w:numPr>
        <w:bidi w:val="0"/>
        <w:ind w:left="425" w:leftChars="0" w:hanging="425" w:firstLineChars="0"/>
        <w:rPr>
          <w:rFonts w:hint="eastAsia"/>
        </w:rPr>
      </w:pPr>
      <w:r>
        <w:rPr>
          <w:rFonts w:hint="eastAsia"/>
        </w:rPr>
        <w:t>检查刹车部位是否完好，刹车皮是否磨损严重；</w:t>
      </w:r>
    </w:p>
    <w:p w14:paraId="4A267BBC">
      <w:pPr>
        <w:numPr>
          <w:ilvl w:val="0"/>
          <w:numId w:val="20"/>
        </w:numPr>
        <w:bidi w:val="0"/>
        <w:ind w:left="425" w:leftChars="0" w:hanging="425" w:firstLineChars="0"/>
        <w:rPr>
          <w:rFonts w:hint="eastAsia"/>
        </w:rPr>
      </w:pPr>
      <w:r>
        <w:rPr>
          <w:rFonts w:hint="eastAsia"/>
        </w:rPr>
        <w:t>查塔吊小车行走轮是否润滑良好，有无严重磨损和裂纹；检查配重、配重吊环是否牢固，完好。</w:t>
      </w:r>
    </w:p>
    <w:p w14:paraId="5605C878">
      <w:pPr>
        <w:pStyle w:val="4"/>
        <w:keepNext w:val="0"/>
        <w:pageBreakBefore w:val="0"/>
        <w:widowControl w:val="0"/>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其他</w:t>
      </w:r>
    </w:p>
    <w:p w14:paraId="7C624E6E">
      <w:pPr>
        <w:numPr>
          <w:ilvl w:val="0"/>
          <w:numId w:val="21"/>
        </w:numPr>
        <w:bidi w:val="0"/>
        <w:ind w:left="425" w:leftChars="0" w:hanging="425" w:firstLineChars="0"/>
        <w:rPr>
          <w:rFonts w:hint="eastAsia"/>
        </w:rPr>
      </w:pPr>
      <w:r>
        <w:rPr>
          <w:rFonts w:hint="eastAsia"/>
        </w:rPr>
        <w:t>在吊装前应做好现场气象资料的预报和收集工作，在吊装过程中应对现场气象情况进行实时监控并要</w:t>
      </w:r>
      <w:r>
        <w:rPr>
          <w:rFonts w:hint="eastAsia"/>
          <w:lang w:eastAsia="zh-CN"/>
        </w:rPr>
        <w:t>拆除</w:t>
      </w:r>
      <w:r>
        <w:rPr>
          <w:rFonts w:hint="eastAsia"/>
        </w:rPr>
        <w:t>单位提供当地气象局三天内的天气报告。</w:t>
      </w:r>
    </w:p>
    <w:p w14:paraId="792410CB">
      <w:pPr>
        <w:numPr>
          <w:ilvl w:val="0"/>
          <w:numId w:val="21"/>
        </w:numPr>
        <w:bidi w:val="0"/>
        <w:ind w:left="425" w:leftChars="0" w:hanging="425" w:firstLineChars="0"/>
        <w:rPr>
          <w:rFonts w:hint="eastAsia"/>
        </w:rPr>
      </w:pPr>
      <w:r>
        <w:rPr>
          <w:rFonts w:hint="eastAsia"/>
        </w:rPr>
        <w:t>划分安全警戒区域，指定监护人员，非工作人员不得进入警戒区。</w:t>
      </w:r>
    </w:p>
    <w:p w14:paraId="7BBB2220">
      <w:pPr>
        <w:numPr>
          <w:ilvl w:val="0"/>
          <w:numId w:val="21"/>
        </w:numPr>
        <w:bidi w:val="0"/>
        <w:ind w:left="425" w:leftChars="0" w:hanging="425" w:firstLineChars="0"/>
        <w:rPr>
          <w:rFonts w:hint="eastAsia"/>
        </w:rPr>
      </w:pPr>
      <w:r>
        <w:rPr>
          <w:rFonts w:hint="eastAsia"/>
        </w:rPr>
        <w:t>每台塔式起重机设立专用配电箱，符合临时用电《施工现场临时用电安全技术规范》（JGJ46-2005）相关要求。</w:t>
      </w:r>
    </w:p>
    <w:p w14:paraId="2BF2DCF3">
      <w:pPr>
        <w:pStyle w:val="3"/>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38" w:name="_Toc9078"/>
      <w:r>
        <w:rPr>
          <w:rFonts w:hint="eastAsia" w:ascii="宋体" w:hAnsi="宋体" w:eastAsia="宋体" w:cs="宋体"/>
          <w:sz w:val="24"/>
          <w:szCs w:val="24"/>
        </w:rPr>
        <w:t>塔吊</w:t>
      </w:r>
      <w:r>
        <w:rPr>
          <w:rFonts w:hint="eastAsia" w:cs="宋体"/>
          <w:sz w:val="24"/>
          <w:szCs w:val="24"/>
          <w:lang w:eastAsia="zh-CN"/>
        </w:rPr>
        <w:t>拆除</w:t>
      </w:r>
      <w:r>
        <w:rPr>
          <w:rFonts w:hint="eastAsia" w:ascii="宋体" w:hAnsi="宋体" w:eastAsia="宋体" w:cs="宋体"/>
          <w:sz w:val="24"/>
          <w:szCs w:val="24"/>
        </w:rPr>
        <w:t>具体步骤</w:t>
      </w:r>
      <w:bookmarkEnd w:id="38"/>
    </w:p>
    <w:p w14:paraId="7913BA70">
      <w:pPr>
        <w:keepNext w:val="0"/>
        <w:keepLines w:val="0"/>
        <w:widowControl w:val="0"/>
        <w:numPr>
          <w:ilvl w:val="2"/>
          <w:numId w:val="1"/>
        </w:numPr>
        <w:bidi w:val="0"/>
        <w:spacing w:line="480" w:lineRule="exact"/>
        <w:ind w:left="0" w:firstLine="0" w:firstLineChars="0"/>
        <w:jc w:val="left"/>
        <w:outlineLvl w:val="2"/>
        <w:rPr>
          <w:rFonts w:ascii="宋体" w:hAnsi="宋体" w:eastAsia="宋体" w:cstheme="majorBidi"/>
          <w:bCs/>
          <w:kern w:val="2"/>
          <w:sz w:val="24"/>
          <w:szCs w:val="21"/>
          <w:lang w:val="en-US" w:eastAsia="zh-CN" w:bidi="ar-SA"/>
        </w:rPr>
      </w:pPr>
      <w:r>
        <w:rPr>
          <w:rFonts w:hint="eastAsia" w:ascii="宋体" w:hAnsi="宋体" w:eastAsia="宋体" w:cstheme="majorBidi"/>
          <w:bCs/>
          <w:kern w:val="2"/>
          <w:sz w:val="24"/>
          <w:szCs w:val="21"/>
          <w:lang w:val="en-US" w:eastAsia="zh-CN" w:bidi="ar-SA"/>
        </w:rPr>
        <w:t>降塔</w:t>
      </w:r>
    </w:p>
    <w:p w14:paraId="060938C8">
      <w:pPr>
        <w:keepNext w:val="0"/>
        <w:keepLines w:val="0"/>
        <w:widowControl w:val="0"/>
        <w:numPr>
          <w:ilvl w:val="0"/>
          <w:numId w:val="0"/>
        </w:numPr>
        <w:bidi w:val="0"/>
        <w:spacing w:line="480" w:lineRule="exact"/>
        <w:ind w:leftChars="0" w:firstLine="480" w:firstLineChars="200"/>
        <w:jc w:val="left"/>
        <w:outlineLvl w:val="2"/>
        <w:rPr>
          <w:rFonts w:ascii="宋体" w:hAnsi="宋体" w:eastAsia="宋体" w:cstheme="majorBidi"/>
          <w:bCs/>
          <w:kern w:val="2"/>
          <w:sz w:val="24"/>
          <w:szCs w:val="21"/>
          <w:lang w:val="en-US" w:eastAsia="zh-CN" w:bidi="ar-SA"/>
        </w:rPr>
      </w:pPr>
      <w:r>
        <w:rPr>
          <w:rStyle w:val="53"/>
          <w:rFonts w:hint="eastAsia"/>
          <w:lang w:val="en-US" w:eastAsia="zh-CN"/>
        </w:rPr>
        <w:t>按塔机顶升操作方法降低塔机高度;如有附着装置，则塔机降到附着装置附近时，拆除附着装置后再继续降低塔机(注意:降塔和升塔一样必须先配平，且禁止塔机进行任何回转、起升和变幅动作)。</w:t>
      </w:r>
      <w:r>
        <w:rPr>
          <w:rFonts w:hint="eastAsia" w:ascii="宋体" w:hAnsi="宋体" w:eastAsia="宋体" w:cstheme="majorBidi"/>
          <w:bCs/>
          <w:kern w:val="2"/>
          <w:sz w:val="24"/>
          <w:szCs w:val="21"/>
          <w:lang w:val="en-US" w:eastAsia="zh-CN" w:bidi="ar-SA"/>
        </w:rPr>
        <w:t>降塔中在使用吊钩吊动标准节时必须用销轴将剩余塔身和回转下支座连接可靠。降塔后将塔身、套架分别和回转下支座用销轴连接好。</w:t>
      </w:r>
    </w:p>
    <w:p w14:paraId="1AA47D47">
      <w:pPr>
        <w:keepNext w:val="0"/>
        <w:keepLines w:val="0"/>
        <w:widowControl w:val="0"/>
        <w:numPr>
          <w:ilvl w:val="2"/>
          <w:numId w:val="1"/>
        </w:numPr>
        <w:bidi w:val="0"/>
        <w:spacing w:line="480" w:lineRule="exact"/>
        <w:ind w:left="0" w:firstLine="0" w:firstLineChars="0"/>
        <w:jc w:val="left"/>
        <w:outlineLvl w:val="2"/>
        <w:rPr>
          <w:rFonts w:ascii="宋体" w:hAnsi="宋体" w:eastAsia="宋体" w:cstheme="majorBidi"/>
          <w:bCs/>
          <w:kern w:val="2"/>
          <w:sz w:val="24"/>
          <w:szCs w:val="21"/>
          <w:lang w:val="en-US" w:eastAsia="zh-CN" w:bidi="ar-SA"/>
        </w:rPr>
      </w:pPr>
      <w:r>
        <w:rPr>
          <w:rFonts w:hint="eastAsia" w:ascii="宋体" w:hAnsi="宋体" w:eastAsia="宋体" w:cstheme="majorBidi"/>
          <w:bCs/>
          <w:kern w:val="2"/>
          <w:sz w:val="24"/>
          <w:szCs w:val="21"/>
          <w:lang w:val="en-US" w:eastAsia="zh-CN" w:bidi="ar-SA"/>
        </w:rPr>
        <w:t>拆除附着</w:t>
      </w:r>
    </w:p>
    <w:p w14:paraId="52AE6EA3">
      <w:pPr>
        <w:spacing w:line="360" w:lineRule="auto"/>
        <w:ind w:firstLine="480"/>
        <w:rPr>
          <w:rFonts w:ascii="Times New Roman" w:hAnsi="Times New Roman" w:eastAsia="宋体" w:cs="Times New Roman"/>
        </w:rPr>
      </w:pPr>
      <w:r>
        <w:rPr>
          <w:rFonts w:hint="eastAsia" w:ascii="Times New Roman" w:hAnsi="Times New Roman" w:eastAsia="宋体" w:cs="Times New Roman"/>
        </w:rPr>
        <w:t>塔吊降节到设计要求的高度后方可进行附墙的拆除，附墙的拆除危险性比较大，人员必须站位于操作平台进行并穿戴好安全防护用品。</w:t>
      </w:r>
    </w:p>
    <w:p w14:paraId="0B3FB963">
      <w:pPr>
        <w:spacing w:line="360" w:lineRule="auto"/>
        <w:ind w:firstLine="480"/>
        <w:rPr>
          <w:rFonts w:ascii="Times New Roman" w:hAnsi="Times New Roman" w:eastAsia="宋体" w:cs="Times New Roman"/>
        </w:rPr>
      </w:pPr>
      <w:r>
        <w:rPr>
          <w:rFonts w:hint="eastAsia" w:ascii="Times New Roman" w:hAnsi="Times New Roman" w:eastAsia="宋体" w:cs="Times New Roman"/>
        </w:rPr>
        <w:t>附墙撑杆的拆卸顺序从前到后，即先拆卸靠起重臂侧一根附墙撑杆，然后拆除中间的附墙撑杆，最后拆除靠平衡臂一边的附墙撑杆。</w:t>
      </w:r>
    </w:p>
    <w:p w14:paraId="07A16AF1">
      <w:pPr>
        <w:spacing w:line="360" w:lineRule="auto"/>
        <w:ind w:firstLine="480"/>
        <w:rPr>
          <w:rFonts w:ascii="Times New Roman" w:hAnsi="Times New Roman" w:eastAsia="宋体" w:cs="Times New Roman"/>
        </w:rPr>
      </w:pPr>
      <w:r>
        <w:rPr>
          <w:rFonts w:hint="eastAsia" w:ascii="Times New Roman" w:hAnsi="Times New Roman" w:eastAsia="宋体" w:cs="Times New Roman"/>
        </w:rPr>
        <w:t>拆卸附墙撑杆前，先调整撑杆的调节丝杆使之放松，消除内力。（注意：调整中不得作任何起升、回转等运作）。</w:t>
      </w:r>
    </w:p>
    <w:p w14:paraId="6BC7862E">
      <w:pPr>
        <w:widowControl w:val="0"/>
        <w:numPr>
          <w:ilvl w:val="0"/>
          <w:numId w:val="22"/>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附墙杆件拆除采用钢丝绳捆绑吊装，人员站位于塔柱操作平台上与塔身节横杆上将钢丝绳捆绑在被拆卸附墙撑杆的两端。在附墙撑杆两头各系一麻绳，先拆除塔柱一侧的连接销轴，把撑杆慢慢推离塔柱耳座，再拆除附墙框一侧连接销轴，此时拆卸人员抓住麻绳，另一个拆卸人员把撑杆推离附墙框耳板，塔吊吊钩一档点起，拆卸人员稍微带力用麻绳把撑杆拉离塔柱一定距离，待撑杆平稳后，操作塔吊起钩平稳地将撑杆下落至地面；</w:t>
      </w:r>
    </w:p>
    <w:p w14:paraId="25EB6C01">
      <w:pPr>
        <w:widowControl w:val="0"/>
        <w:numPr>
          <w:ilvl w:val="0"/>
          <w:numId w:val="22"/>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同样方法拆除另外的附墙撑杆。</w:t>
      </w:r>
    </w:p>
    <w:p w14:paraId="03F506B8">
      <w:pPr>
        <w:widowControl w:val="0"/>
        <w:numPr>
          <w:ilvl w:val="0"/>
          <w:numId w:val="22"/>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用钢丝绳+卸扣将每侧附墙框与塔身节固定牢固；</w:t>
      </w:r>
    </w:p>
    <w:p w14:paraId="28551704">
      <w:pPr>
        <w:widowControl w:val="0"/>
        <w:numPr>
          <w:ilvl w:val="0"/>
          <w:numId w:val="22"/>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用塔吊吊起附墙附墙框架后梁，卸下后梁轴销，解除后梁与塔身节连接，然后将其徐徐降下地面；</w:t>
      </w:r>
    </w:p>
    <w:p w14:paraId="5B0848FA">
      <w:pPr>
        <w:widowControl w:val="0"/>
        <w:numPr>
          <w:ilvl w:val="0"/>
          <w:numId w:val="22"/>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将附墙框架的侧梁和前梁用同样的方法缓缓吊起，将其徐徐下降至地面。</w:t>
      </w:r>
    </w:p>
    <w:p w14:paraId="4976236E">
      <w:pPr>
        <w:widowControl w:val="0"/>
        <w:numPr>
          <w:ilvl w:val="0"/>
          <w:numId w:val="22"/>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附墙撑杆与附墙框拆除时，人员站位于塔柱操作平台上与塔身节横杆上进行操作，严禁站位于待拆除杆件上进行操作。</w:t>
      </w:r>
    </w:p>
    <w:p w14:paraId="412A3A7D">
      <w:pPr>
        <w:keepNext w:val="0"/>
        <w:keepLines w:val="0"/>
        <w:widowControl w:val="0"/>
        <w:numPr>
          <w:ilvl w:val="2"/>
          <w:numId w:val="1"/>
        </w:numPr>
        <w:bidi w:val="0"/>
        <w:spacing w:line="480" w:lineRule="exact"/>
        <w:ind w:left="0" w:firstLine="0" w:firstLineChars="0"/>
        <w:jc w:val="left"/>
        <w:outlineLvl w:val="2"/>
        <w:rPr>
          <w:rFonts w:ascii="宋体" w:hAnsi="宋体" w:eastAsia="宋体" w:cstheme="majorBidi"/>
          <w:bCs/>
          <w:kern w:val="2"/>
          <w:sz w:val="24"/>
          <w:szCs w:val="21"/>
          <w:lang w:val="en-US" w:eastAsia="zh-CN" w:bidi="ar-SA"/>
        </w:rPr>
      </w:pPr>
      <w:r>
        <w:rPr>
          <w:rFonts w:hint="eastAsia" w:ascii="宋体" w:hAnsi="宋体" w:eastAsia="宋体" w:cstheme="majorBidi"/>
          <w:bCs/>
          <w:kern w:val="2"/>
          <w:sz w:val="24"/>
          <w:szCs w:val="21"/>
          <w:lang w:val="en-US" w:eastAsia="zh-CN" w:bidi="ar-SA"/>
        </w:rPr>
        <w:t>拆除电气系统及附属装置</w:t>
      </w:r>
    </w:p>
    <w:p w14:paraId="248F34B1">
      <w:pPr>
        <w:spacing w:line="360" w:lineRule="auto"/>
        <w:ind w:firstLine="480"/>
        <w:rPr>
          <w:rFonts w:ascii="Times New Roman" w:hAnsi="Times New Roman" w:eastAsia="宋体" w:cs="Times New Roman"/>
        </w:rPr>
      </w:pPr>
      <w:r>
        <w:rPr>
          <w:rFonts w:hint="eastAsia" w:ascii="Times New Roman" w:hAnsi="Times New Roman" w:eastAsia="宋体" w:cs="Times New Roman"/>
        </w:rPr>
        <w:t>参照安装方法拆除塔机电气控制系统及附属装置。</w:t>
      </w:r>
    </w:p>
    <w:p w14:paraId="049139D9">
      <w:pPr>
        <w:keepNext w:val="0"/>
        <w:keepLines w:val="0"/>
        <w:widowControl w:val="0"/>
        <w:numPr>
          <w:ilvl w:val="2"/>
          <w:numId w:val="1"/>
        </w:numPr>
        <w:bidi w:val="0"/>
        <w:spacing w:line="480" w:lineRule="exact"/>
        <w:ind w:left="0" w:firstLine="0" w:firstLineChars="0"/>
        <w:jc w:val="left"/>
        <w:outlineLvl w:val="2"/>
        <w:rPr>
          <w:rFonts w:ascii="宋体" w:hAnsi="宋体" w:eastAsia="宋体" w:cstheme="majorBidi"/>
          <w:bCs/>
          <w:kern w:val="2"/>
          <w:sz w:val="24"/>
          <w:szCs w:val="21"/>
          <w:lang w:val="en-US" w:eastAsia="zh-CN" w:bidi="ar-SA"/>
        </w:rPr>
      </w:pPr>
      <w:bookmarkStart w:id="39" w:name="_Ref130995678"/>
      <w:r>
        <w:rPr>
          <w:rFonts w:hint="eastAsia" w:ascii="宋体" w:hAnsi="宋体" w:eastAsia="宋体" w:cstheme="majorBidi"/>
          <w:bCs/>
          <w:kern w:val="2"/>
          <w:sz w:val="24"/>
          <w:szCs w:val="21"/>
          <w:lang w:val="en-US" w:eastAsia="zh-CN" w:bidi="ar-SA"/>
        </w:rPr>
        <w:t>吊钩与钢丝绳</w:t>
      </w:r>
    </w:p>
    <w:p w14:paraId="034A6F93">
      <w:pPr>
        <w:spacing w:line="360" w:lineRule="auto"/>
        <w:ind w:firstLine="480"/>
        <w:rPr>
          <w:rFonts w:ascii="Times New Roman" w:hAnsi="Times New Roman" w:eastAsia="宋体" w:cs="Times New Roman"/>
        </w:rPr>
      </w:pPr>
      <w:r>
        <w:rPr>
          <w:rFonts w:hint="eastAsia" w:ascii="Times New Roman" w:hAnsi="Times New Roman" w:eastAsia="宋体" w:cs="Times New Roman"/>
        </w:rPr>
        <w:t>放下吊钩至地面，拆除起重钢丝绳与起重臂前端上的防扭装置连接，开动起升机构，回收钢丝绳。</w:t>
      </w:r>
    </w:p>
    <w:p w14:paraId="67D7E22C">
      <w:pPr>
        <w:keepNext w:val="0"/>
        <w:keepLines w:val="0"/>
        <w:widowControl w:val="0"/>
        <w:numPr>
          <w:ilvl w:val="2"/>
          <w:numId w:val="1"/>
        </w:numPr>
        <w:bidi w:val="0"/>
        <w:spacing w:line="480" w:lineRule="exact"/>
        <w:ind w:left="0" w:firstLine="0" w:firstLineChars="0"/>
        <w:jc w:val="left"/>
        <w:outlineLvl w:val="2"/>
        <w:rPr>
          <w:rFonts w:ascii="宋体" w:hAnsi="宋体" w:eastAsia="宋体" w:cstheme="majorBidi"/>
          <w:bCs/>
          <w:kern w:val="2"/>
          <w:sz w:val="24"/>
          <w:szCs w:val="21"/>
          <w:lang w:val="en-US" w:eastAsia="zh-CN" w:bidi="ar-SA"/>
        </w:rPr>
      </w:pPr>
      <w:r>
        <w:rPr>
          <w:rFonts w:hint="eastAsia" w:cstheme="majorBidi"/>
          <w:bCs/>
          <w:kern w:val="2"/>
          <w:sz w:val="24"/>
          <w:szCs w:val="21"/>
          <w:lang w:val="en-US" w:eastAsia="zh-CN" w:bidi="ar-SA"/>
        </w:rPr>
        <w:t xml:space="preserve"> </w:t>
      </w:r>
      <w:r>
        <w:rPr>
          <w:rFonts w:hint="eastAsia" w:ascii="宋体" w:hAnsi="宋体" w:eastAsia="宋体" w:cstheme="majorBidi"/>
          <w:bCs/>
          <w:kern w:val="2"/>
          <w:sz w:val="24"/>
          <w:szCs w:val="21"/>
          <w:lang w:val="en-US" w:eastAsia="zh-CN" w:bidi="ar-SA"/>
        </w:rPr>
        <w:t>拆除部分平衡重</w:t>
      </w:r>
      <w:bookmarkEnd w:id="39"/>
    </w:p>
    <w:p w14:paraId="0964887B">
      <w:pPr>
        <w:numPr>
          <w:ilvl w:val="0"/>
          <w:numId w:val="23"/>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将载重小车固定在起重臂根部，借助辅助吊车拆卸配重；</w:t>
      </w:r>
    </w:p>
    <w:p w14:paraId="096EC900">
      <w:pPr>
        <w:numPr>
          <w:ilvl w:val="0"/>
          <w:numId w:val="23"/>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按装配重的相反顺序，将各块配重依次卸下，仅留下1块</w:t>
      </w:r>
      <w:r>
        <w:rPr>
          <w:rFonts w:hint="eastAsia" w:ascii="Times New Roman" w:hAnsi="Times New Roman" w:cs="Times New Roman"/>
          <w:lang w:val="en-US" w:eastAsia="zh-CN"/>
        </w:rPr>
        <w:t>1.5</w:t>
      </w:r>
      <w:r>
        <w:rPr>
          <w:rFonts w:hint="eastAsia" w:ascii="Times New Roman" w:hAnsi="Times New Roman" w:eastAsia="宋体" w:cs="Times New Roman"/>
        </w:rPr>
        <w:t>t平衡重</w:t>
      </w:r>
      <w:r>
        <w:rPr>
          <w:rFonts w:hint="eastAsia" w:ascii="Times New Roman" w:hAnsi="Times New Roman" w:cs="Times New Roman"/>
          <w:lang w:eastAsia="zh-CN"/>
        </w:rPr>
        <w:t>及</w:t>
      </w:r>
      <w:r>
        <w:rPr>
          <w:rFonts w:hint="eastAsia" w:ascii="Times New Roman" w:hAnsi="Times New Roman" w:cs="Times New Roman"/>
          <w:lang w:val="en-US" w:eastAsia="zh-CN"/>
        </w:rPr>
        <w:t>1块3.2平衡重</w:t>
      </w:r>
      <w:r>
        <w:rPr>
          <w:rFonts w:hint="eastAsia" w:ascii="Times New Roman" w:hAnsi="Times New Roman" w:eastAsia="宋体" w:cs="Times New Roman"/>
        </w:rPr>
        <w:t>，如</w:t>
      </w:r>
      <w:r>
        <w:rPr>
          <w:rFonts w:hint="eastAsia" w:ascii="Times New Roman" w:hAnsi="Times New Roman" w:eastAsia="宋体" w:cs="Times New Roman"/>
          <w:lang w:val="en-US" w:eastAsia="zh-CN"/>
        </w:rPr>
        <w:t>下图</w:t>
      </w:r>
      <w:r>
        <w:rPr>
          <w:rFonts w:hint="eastAsia" w:ascii="Times New Roman" w:hAnsi="Times New Roman" w:eastAsia="宋体" w:cs="Times New Roman"/>
        </w:rPr>
        <w:t>所示。</w:t>
      </w:r>
    </w:p>
    <w:p w14:paraId="6DC30B78">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2856230" cy="2190750"/>
            <wp:effectExtent l="0" t="0" r="1270" b="0"/>
            <wp:docPr id="12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2"/>
                    <pic:cNvPicPr>
                      <a:picLocks noChangeAspect="1"/>
                    </pic:cNvPicPr>
                  </pic:nvPicPr>
                  <pic:blipFill>
                    <a:blip r:embed="rId34"/>
                    <a:srcRect b="11082"/>
                    <a:stretch>
                      <a:fillRect/>
                    </a:stretch>
                  </pic:blipFill>
                  <pic:spPr>
                    <a:xfrm>
                      <a:off x="0" y="0"/>
                      <a:ext cx="2856230" cy="2190750"/>
                    </a:xfrm>
                    <a:prstGeom prst="rect">
                      <a:avLst/>
                    </a:prstGeom>
                    <a:noFill/>
                    <a:ln>
                      <a:noFill/>
                    </a:ln>
                  </pic:spPr>
                </pic:pic>
              </a:graphicData>
            </a:graphic>
          </wp:inline>
        </w:drawing>
      </w:r>
    </w:p>
    <w:p w14:paraId="6BFE81A8">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bookmarkStart w:id="40" w:name="_Ref128141646"/>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.5-</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SEQ 图 \* ARABIC \s </w:instrText>
      </w:r>
      <w:r>
        <w:rPr>
          <w:rFonts w:ascii="Times New Roman" w:hAnsi="Times New Roman" w:eastAsia="宋体" w:cs="Times New Roman"/>
          <w:b/>
          <w:kern w:val="2"/>
          <w:sz w:val="21"/>
          <w:szCs w:val="21"/>
          <w:lang w:val="en-US" w:eastAsia="zh-CN" w:bidi="ar-SA"/>
        </w:rPr>
        <w:instrText xml:space="preserve">3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bookmarkEnd w:id="40"/>
      <w:r>
        <w:rPr>
          <w:rFonts w:hint="eastAsia" w:ascii="Times New Roman" w:hAnsi="Times New Roman" w:eastAsia="宋体" w:cs="Times New Roman"/>
          <w:b/>
          <w:kern w:val="2"/>
          <w:sz w:val="21"/>
          <w:szCs w:val="21"/>
          <w:lang w:val="en-US" w:eastAsia="zh-CN" w:bidi="ar-SA"/>
        </w:rPr>
        <w:t xml:space="preserve"> 拆除平衡重</w:t>
      </w:r>
    </w:p>
    <w:p w14:paraId="502BCA3F">
      <w:pPr>
        <w:keepNext w:val="0"/>
        <w:widowControl w:val="0"/>
        <w:spacing w:line="360" w:lineRule="auto"/>
        <w:ind w:firstLine="0" w:firstLineChars="0"/>
        <w:jc w:val="center"/>
        <w:rPr>
          <w:rFonts w:ascii="宋体" w:hAnsi="宋体" w:eastAsia="宋体" w:cs="宋体"/>
        </w:rPr>
      </w:pPr>
      <w:r>
        <w:drawing>
          <wp:inline distT="0" distB="0" distL="114300" distR="114300">
            <wp:extent cx="4412615" cy="1964055"/>
            <wp:effectExtent l="0" t="0" r="6985" b="17145"/>
            <wp:docPr id="11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1"/>
                    <pic:cNvPicPr>
                      <a:picLocks noChangeAspect="1"/>
                    </pic:cNvPicPr>
                  </pic:nvPicPr>
                  <pic:blipFill>
                    <a:blip r:embed="rId35"/>
                    <a:stretch>
                      <a:fillRect/>
                    </a:stretch>
                  </pic:blipFill>
                  <pic:spPr>
                    <a:xfrm>
                      <a:off x="0" y="0"/>
                      <a:ext cx="4412615" cy="1964055"/>
                    </a:xfrm>
                    <a:prstGeom prst="rect">
                      <a:avLst/>
                    </a:prstGeom>
                    <a:noFill/>
                    <a:ln>
                      <a:noFill/>
                    </a:ln>
                  </pic:spPr>
                </pic:pic>
              </a:graphicData>
            </a:graphic>
          </wp:inline>
        </w:drawing>
      </w:r>
    </w:p>
    <w:p w14:paraId="64AAC521">
      <w:pPr>
        <w:keepNext w:val="0"/>
        <w:widowControl w:val="0"/>
        <w:spacing w:line="360" w:lineRule="auto"/>
        <w:ind w:firstLine="0" w:firstLineChars="0"/>
        <w:jc w:val="center"/>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.5-2 拆除平衡重平面图</w:t>
      </w:r>
    </w:p>
    <w:p w14:paraId="0CDD74CB">
      <w:pPr>
        <w:keepNext w:val="0"/>
        <w:keepLines w:val="0"/>
        <w:widowControl w:val="0"/>
        <w:numPr>
          <w:ilvl w:val="2"/>
          <w:numId w:val="1"/>
        </w:numPr>
        <w:bidi w:val="0"/>
        <w:spacing w:line="480" w:lineRule="exact"/>
        <w:ind w:left="0" w:firstLine="0" w:firstLineChars="0"/>
        <w:jc w:val="left"/>
        <w:outlineLvl w:val="2"/>
        <w:rPr>
          <w:rFonts w:ascii="宋体" w:hAnsi="宋体" w:eastAsia="宋体" w:cstheme="majorBidi"/>
          <w:bCs/>
          <w:kern w:val="2"/>
          <w:sz w:val="24"/>
          <w:szCs w:val="21"/>
          <w:lang w:val="en-US" w:eastAsia="zh-CN" w:bidi="ar-SA"/>
        </w:rPr>
      </w:pPr>
      <w:r>
        <w:rPr>
          <w:rFonts w:hint="eastAsia" w:ascii="宋体" w:hAnsi="宋体" w:eastAsia="宋体" w:cstheme="majorBidi"/>
          <w:bCs/>
          <w:kern w:val="2"/>
          <w:sz w:val="24"/>
          <w:szCs w:val="21"/>
          <w:lang w:val="en-US" w:eastAsia="zh-CN" w:bidi="ar-SA"/>
        </w:rPr>
        <w:t>拆除部分起重臂</w:t>
      </w:r>
    </w:p>
    <w:p w14:paraId="6611BEE7">
      <w:pPr>
        <w:spacing w:line="360" w:lineRule="auto"/>
        <w:ind w:firstLine="48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汽车吊移位。</w:t>
      </w:r>
    </w:p>
    <w:p w14:paraId="2A120FE3">
      <w:pPr>
        <w:spacing w:line="360" w:lineRule="auto"/>
        <w:ind w:firstLine="480"/>
        <w:rPr>
          <w:rFonts w:ascii="Times New Roman" w:hAnsi="Times New Roman" w:eastAsia="宋体" w:cs="Times New Roman"/>
        </w:rPr>
      </w:pPr>
      <w:r>
        <w:rPr>
          <w:rFonts w:hint="eastAsia" w:ascii="Times New Roman" w:hAnsi="Times New Roman" w:eastAsia="宋体" w:cs="Times New Roman"/>
        </w:rPr>
        <w:t>根据安装时的吊点位置挂绳，轻轻提起起重臂，在吊装钢丝绳处于自然紧绷状态下，拆去与臂根节下弦连接的螺栓及上弦的销轴。</w:t>
      </w:r>
    </w:p>
    <w:p w14:paraId="56624783">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5734050" cy="2419350"/>
            <wp:effectExtent l="0" t="0" r="0" b="0"/>
            <wp:docPr id="1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2"/>
                    <pic:cNvPicPr>
                      <a:picLocks noChangeAspect="1"/>
                    </pic:cNvPicPr>
                  </pic:nvPicPr>
                  <pic:blipFill>
                    <a:blip r:embed="rId36"/>
                    <a:stretch>
                      <a:fillRect/>
                    </a:stretch>
                  </pic:blipFill>
                  <pic:spPr>
                    <a:xfrm>
                      <a:off x="0" y="0"/>
                      <a:ext cx="5734050" cy="2419350"/>
                    </a:xfrm>
                    <a:prstGeom prst="rect">
                      <a:avLst/>
                    </a:prstGeom>
                    <a:noFill/>
                    <a:ln>
                      <a:noFill/>
                    </a:ln>
                  </pic:spPr>
                </pic:pic>
              </a:graphicData>
            </a:graphic>
          </wp:inline>
        </w:drawing>
      </w:r>
    </w:p>
    <w:p w14:paraId="38555026">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.6-1拆除部分</w:t>
      </w:r>
      <w:r>
        <w:rPr>
          <w:rFonts w:ascii="Times New Roman" w:hAnsi="Times New Roman" w:eastAsia="宋体" w:cs="Times New Roman"/>
          <w:b/>
          <w:kern w:val="2"/>
          <w:sz w:val="21"/>
          <w:szCs w:val="21"/>
          <w:lang w:val="en-US" w:eastAsia="zh-CN" w:bidi="ar-SA"/>
        </w:rPr>
        <w:t>起重臂</w:t>
      </w:r>
    </w:p>
    <w:p w14:paraId="456B07ED">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p>
    <w:p w14:paraId="11B018D6">
      <w:pPr>
        <w:keepNext w:val="0"/>
        <w:widowControl w:val="0"/>
        <w:spacing w:line="360" w:lineRule="auto"/>
        <w:ind w:firstLine="0" w:firstLineChars="0"/>
        <w:jc w:val="center"/>
        <w:rPr>
          <w:rFonts w:ascii="宋体" w:hAnsi="宋体" w:eastAsia="宋体" w:cs="宋体"/>
        </w:rPr>
      </w:pPr>
      <w:r>
        <w:drawing>
          <wp:inline distT="0" distB="0" distL="114300" distR="114300">
            <wp:extent cx="6118860" cy="3195320"/>
            <wp:effectExtent l="0" t="0" r="15240" b="5080"/>
            <wp:docPr id="13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35"/>
                    <pic:cNvPicPr>
                      <a:picLocks noChangeAspect="1"/>
                    </pic:cNvPicPr>
                  </pic:nvPicPr>
                  <pic:blipFill>
                    <a:blip r:embed="rId37"/>
                    <a:stretch>
                      <a:fillRect/>
                    </a:stretch>
                  </pic:blipFill>
                  <pic:spPr>
                    <a:xfrm>
                      <a:off x="0" y="0"/>
                      <a:ext cx="6118860" cy="3195320"/>
                    </a:xfrm>
                    <a:prstGeom prst="rect">
                      <a:avLst/>
                    </a:prstGeom>
                    <a:noFill/>
                    <a:ln>
                      <a:noFill/>
                    </a:ln>
                  </pic:spPr>
                </pic:pic>
              </a:graphicData>
            </a:graphic>
          </wp:inline>
        </w:drawing>
      </w:r>
      <w:r>
        <w:drawing>
          <wp:inline distT="0" distB="0" distL="114300" distR="114300">
            <wp:extent cx="6120130" cy="2992120"/>
            <wp:effectExtent l="0" t="0" r="13970" b="17780"/>
            <wp:docPr id="14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36"/>
                    <pic:cNvPicPr>
                      <a:picLocks noChangeAspect="1"/>
                    </pic:cNvPicPr>
                  </pic:nvPicPr>
                  <pic:blipFill>
                    <a:blip r:embed="rId38"/>
                    <a:stretch>
                      <a:fillRect/>
                    </a:stretch>
                  </pic:blipFill>
                  <pic:spPr>
                    <a:xfrm>
                      <a:off x="0" y="0"/>
                      <a:ext cx="6120130" cy="2992120"/>
                    </a:xfrm>
                    <a:prstGeom prst="rect">
                      <a:avLst/>
                    </a:prstGeom>
                    <a:noFill/>
                    <a:ln>
                      <a:noFill/>
                    </a:ln>
                  </pic:spPr>
                </pic:pic>
              </a:graphicData>
            </a:graphic>
          </wp:inline>
        </w:drawing>
      </w:r>
    </w:p>
    <w:p w14:paraId="08C53E65">
      <w:pPr>
        <w:keepNext w:val="0"/>
        <w:widowControl w:val="0"/>
        <w:spacing w:line="360" w:lineRule="auto"/>
        <w:ind w:firstLine="0" w:firstLineChars="0"/>
        <w:jc w:val="center"/>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.6-2拆除部分</w:t>
      </w:r>
      <w:r>
        <w:rPr>
          <w:rFonts w:ascii="Times New Roman" w:hAnsi="Times New Roman" w:eastAsia="宋体" w:cs="Times New Roman"/>
          <w:b/>
          <w:kern w:val="2"/>
          <w:sz w:val="21"/>
          <w:szCs w:val="21"/>
          <w:lang w:val="en-US" w:eastAsia="zh-CN" w:bidi="ar-SA"/>
        </w:rPr>
        <w:t>起重臂</w:t>
      </w:r>
      <w:r>
        <w:rPr>
          <w:rFonts w:hint="eastAsia" w:ascii="Times New Roman" w:hAnsi="Times New Roman" w:eastAsia="宋体" w:cs="Times New Roman"/>
          <w:b/>
          <w:kern w:val="2"/>
          <w:sz w:val="21"/>
          <w:szCs w:val="21"/>
          <w:lang w:val="en-US" w:eastAsia="zh-CN" w:bidi="ar-SA"/>
        </w:rPr>
        <w:t>平面图</w:t>
      </w:r>
    </w:p>
    <w:p w14:paraId="425F54BD">
      <w:pPr>
        <w:keepNext w:val="0"/>
        <w:keepLines w:val="0"/>
        <w:widowControl w:val="0"/>
        <w:numPr>
          <w:ilvl w:val="2"/>
          <w:numId w:val="1"/>
        </w:numPr>
        <w:bidi w:val="0"/>
        <w:spacing w:line="480" w:lineRule="exact"/>
        <w:ind w:left="0" w:firstLine="0" w:firstLineChars="0"/>
        <w:jc w:val="left"/>
        <w:outlineLvl w:val="2"/>
        <w:rPr>
          <w:rFonts w:ascii="宋体" w:hAnsi="宋体" w:eastAsia="宋体" w:cstheme="majorBidi"/>
          <w:bCs/>
          <w:kern w:val="2"/>
          <w:sz w:val="24"/>
          <w:szCs w:val="21"/>
          <w:lang w:val="en-US" w:eastAsia="zh-CN" w:bidi="ar-SA"/>
        </w:rPr>
      </w:pPr>
      <w:r>
        <w:rPr>
          <w:rFonts w:hint="eastAsia" w:ascii="宋体" w:hAnsi="宋体" w:eastAsia="宋体" w:cstheme="majorBidi"/>
          <w:bCs/>
          <w:kern w:val="2"/>
          <w:sz w:val="24"/>
          <w:szCs w:val="21"/>
          <w:lang w:val="en-US" w:eastAsia="zh-CN" w:bidi="ar-SA"/>
        </w:rPr>
        <w:t>拆除剩余平衡重</w:t>
      </w:r>
    </w:p>
    <w:p w14:paraId="34CB2A3F">
      <w:pPr>
        <w:spacing w:line="360" w:lineRule="auto"/>
        <w:ind w:firstLine="48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汽车吊移位。</w:t>
      </w:r>
    </w:p>
    <w:p w14:paraId="51F2524A">
      <w:pPr>
        <w:spacing w:line="360" w:lineRule="auto"/>
        <w:ind w:firstLine="480"/>
        <w:rPr>
          <w:rFonts w:ascii="Times New Roman" w:hAnsi="Times New Roman" w:eastAsia="宋体" w:cs="Times New Roman"/>
        </w:rPr>
      </w:pPr>
      <w:r>
        <w:rPr>
          <w:rFonts w:hint="eastAsia" w:ascii="Times New Roman" w:hAnsi="Times New Roman" w:eastAsia="宋体" w:cs="Times New Roman"/>
        </w:rPr>
        <w:t>拆除最后1块</w:t>
      </w:r>
      <w:r>
        <w:rPr>
          <w:rFonts w:hint="eastAsia" w:ascii="Times New Roman" w:hAnsi="Times New Roman" w:cs="Times New Roman"/>
          <w:lang w:val="en-US" w:eastAsia="zh-CN"/>
        </w:rPr>
        <w:t>1.5</w:t>
      </w:r>
      <w:r>
        <w:rPr>
          <w:rFonts w:hint="eastAsia" w:ascii="Times New Roman" w:hAnsi="Times New Roman" w:eastAsia="宋体" w:cs="Times New Roman"/>
        </w:rPr>
        <w:t>t平衡重</w:t>
      </w:r>
      <w:r>
        <w:rPr>
          <w:rFonts w:hint="eastAsia" w:ascii="Times New Roman" w:hAnsi="Times New Roman" w:cs="Times New Roman"/>
          <w:lang w:eastAsia="zh-CN"/>
        </w:rPr>
        <w:t>及</w:t>
      </w:r>
      <w:r>
        <w:rPr>
          <w:rFonts w:hint="eastAsia" w:ascii="Times New Roman" w:hAnsi="Times New Roman" w:cs="Times New Roman"/>
          <w:lang w:val="en-US" w:eastAsia="zh-CN"/>
        </w:rPr>
        <w:t>1块3.2平衡重</w:t>
      </w:r>
      <w:r>
        <w:rPr>
          <w:rFonts w:hint="eastAsia" w:ascii="Times New Roman" w:hAnsi="Times New Roman" w:eastAsia="宋体" w:cs="Times New Roman"/>
        </w:rPr>
        <w:t>并平稳放至地面。</w:t>
      </w:r>
    </w:p>
    <w:p w14:paraId="6A409F78">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5274310" cy="1057910"/>
            <wp:effectExtent l="0" t="0" r="2540" b="889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9"/>
                    <a:stretch>
                      <a:fillRect/>
                    </a:stretch>
                  </pic:blipFill>
                  <pic:spPr>
                    <a:xfrm>
                      <a:off x="0" y="0"/>
                      <a:ext cx="5274310" cy="1057910"/>
                    </a:xfrm>
                    <a:prstGeom prst="rect">
                      <a:avLst/>
                    </a:prstGeom>
                  </pic:spPr>
                </pic:pic>
              </a:graphicData>
            </a:graphic>
          </wp:inline>
        </w:drawing>
      </w:r>
    </w:p>
    <w:p w14:paraId="33CF1BAD">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.7-1 拆除剩余平衡重</w:t>
      </w:r>
    </w:p>
    <w:p w14:paraId="559D3B8C">
      <w:pPr>
        <w:keepNext w:val="0"/>
        <w:widowControl w:val="0"/>
        <w:spacing w:line="360" w:lineRule="auto"/>
        <w:ind w:firstLine="0" w:firstLineChars="0"/>
        <w:jc w:val="center"/>
        <w:rPr>
          <w:rFonts w:ascii="宋体" w:hAnsi="宋体" w:eastAsia="宋体" w:cs="宋体"/>
        </w:rPr>
      </w:pPr>
      <w:r>
        <w:drawing>
          <wp:inline distT="0" distB="0" distL="114300" distR="114300">
            <wp:extent cx="4412615" cy="1964055"/>
            <wp:effectExtent l="0" t="0" r="6985" b="17145"/>
            <wp:docPr id="12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1"/>
                    <pic:cNvPicPr>
                      <a:picLocks noChangeAspect="1"/>
                    </pic:cNvPicPr>
                  </pic:nvPicPr>
                  <pic:blipFill>
                    <a:blip r:embed="rId35"/>
                    <a:stretch>
                      <a:fillRect/>
                    </a:stretch>
                  </pic:blipFill>
                  <pic:spPr>
                    <a:xfrm>
                      <a:off x="0" y="0"/>
                      <a:ext cx="4412615" cy="1964055"/>
                    </a:xfrm>
                    <a:prstGeom prst="rect">
                      <a:avLst/>
                    </a:prstGeom>
                    <a:noFill/>
                    <a:ln>
                      <a:noFill/>
                    </a:ln>
                  </pic:spPr>
                </pic:pic>
              </a:graphicData>
            </a:graphic>
          </wp:inline>
        </w:drawing>
      </w:r>
    </w:p>
    <w:p w14:paraId="66514922">
      <w:pPr>
        <w:keepNext w:val="0"/>
        <w:widowControl w:val="0"/>
        <w:spacing w:line="360" w:lineRule="auto"/>
        <w:ind w:firstLine="0" w:firstLineChars="0"/>
        <w:jc w:val="center"/>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.7-2拆除平衡重平面图</w:t>
      </w:r>
    </w:p>
    <w:p w14:paraId="5A123174">
      <w:pPr>
        <w:keepNext w:val="0"/>
        <w:keepLines w:val="0"/>
        <w:widowControl w:val="0"/>
        <w:numPr>
          <w:ilvl w:val="2"/>
          <w:numId w:val="1"/>
        </w:numPr>
        <w:bidi w:val="0"/>
        <w:spacing w:line="480" w:lineRule="exact"/>
        <w:ind w:left="0" w:firstLine="0" w:firstLineChars="0"/>
        <w:jc w:val="left"/>
        <w:outlineLvl w:val="2"/>
        <w:rPr>
          <w:rFonts w:ascii="宋体" w:hAnsi="宋体" w:eastAsia="宋体" w:cstheme="majorBidi"/>
          <w:bCs/>
          <w:kern w:val="2"/>
          <w:sz w:val="24"/>
          <w:szCs w:val="21"/>
          <w:lang w:val="en-US" w:eastAsia="zh-CN" w:bidi="ar-SA"/>
        </w:rPr>
      </w:pPr>
      <w:r>
        <w:rPr>
          <w:rFonts w:hint="eastAsia" w:ascii="宋体" w:hAnsi="宋体" w:eastAsia="宋体" w:cstheme="majorBidi"/>
          <w:bCs/>
          <w:kern w:val="2"/>
          <w:sz w:val="24"/>
          <w:szCs w:val="21"/>
          <w:lang w:val="en-US" w:eastAsia="zh-CN" w:bidi="ar-SA"/>
        </w:rPr>
        <w:t>拆除平衡臂</w:t>
      </w:r>
    </w:p>
    <w:p w14:paraId="26CA9468">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3056890" cy="2816225"/>
            <wp:effectExtent l="0" t="0" r="10160" b="3175"/>
            <wp:docPr id="12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0"/>
                    <pic:cNvPicPr>
                      <a:picLocks noChangeAspect="1"/>
                    </pic:cNvPicPr>
                  </pic:nvPicPr>
                  <pic:blipFill>
                    <a:blip r:embed="rId40"/>
                    <a:stretch>
                      <a:fillRect/>
                    </a:stretch>
                  </pic:blipFill>
                  <pic:spPr>
                    <a:xfrm>
                      <a:off x="0" y="0"/>
                      <a:ext cx="3056890" cy="2816225"/>
                    </a:xfrm>
                    <a:prstGeom prst="rect">
                      <a:avLst/>
                    </a:prstGeom>
                    <a:noFill/>
                    <a:ln>
                      <a:noFill/>
                    </a:ln>
                  </pic:spPr>
                </pic:pic>
              </a:graphicData>
            </a:graphic>
          </wp:inline>
        </w:drawing>
      </w:r>
    </w:p>
    <w:p w14:paraId="18F68714">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8</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-1 拆除平衡臂</w:t>
      </w:r>
    </w:p>
    <w:p w14:paraId="66537085">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p>
    <w:p w14:paraId="60B9D635">
      <w:pPr>
        <w:keepNext w:val="0"/>
        <w:widowControl w:val="0"/>
        <w:spacing w:line="360" w:lineRule="auto"/>
        <w:ind w:firstLine="0" w:firstLineChars="0"/>
        <w:jc w:val="center"/>
        <w:rPr>
          <w:rFonts w:ascii="宋体" w:hAnsi="宋体" w:eastAsia="宋体" w:cs="宋体"/>
        </w:rPr>
      </w:pPr>
      <w:r>
        <w:drawing>
          <wp:inline distT="0" distB="0" distL="114300" distR="114300">
            <wp:extent cx="4029710" cy="1793875"/>
            <wp:effectExtent l="0" t="0" r="8890" b="15875"/>
            <wp:docPr id="12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1"/>
                    <pic:cNvPicPr>
                      <a:picLocks noChangeAspect="1"/>
                    </pic:cNvPicPr>
                  </pic:nvPicPr>
                  <pic:blipFill>
                    <a:blip r:embed="rId35"/>
                    <a:stretch>
                      <a:fillRect/>
                    </a:stretch>
                  </pic:blipFill>
                  <pic:spPr>
                    <a:xfrm>
                      <a:off x="0" y="0"/>
                      <a:ext cx="4029710" cy="1793875"/>
                    </a:xfrm>
                    <a:prstGeom prst="rect">
                      <a:avLst/>
                    </a:prstGeom>
                    <a:noFill/>
                    <a:ln>
                      <a:noFill/>
                    </a:ln>
                  </pic:spPr>
                </pic:pic>
              </a:graphicData>
            </a:graphic>
          </wp:inline>
        </w:drawing>
      </w:r>
    </w:p>
    <w:p w14:paraId="0181E805">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.8-2拆除平衡臂平面图</w:t>
      </w:r>
    </w:p>
    <w:p w14:paraId="4074BECF">
      <w:pPr>
        <w:keepNext w:val="0"/>
        <w:keepLines w:val="0"/>
        <w:widowControl w:val="0"/>
        <w:numPr>
          <w:ilvl w:val="2"/>
          <w:numId w:val="1"/>
        </w:numPr>
        <w:bidi w:val="0"/>
        <w:spacing w:line="480" w:lineRule="exact"/>
        <w:ind w:left="720" w:hanging="720" w:firstLineChars="0"/>
        <w:jc w:val="left"/>
        <w:outlineLvl w:val="2"/>
        <w:rPr>
          <w:rFonts w:ascii="宋体" w:hAnsi="宋体" w:eastAsia="宋体" w:cstheme="majorBidi"/>
          <w:bCs/>
          <w:kern w:val="2"/>
          <w:sz w:val="24"/>
          <w:szCs w:val="21"/>
          <w:lang w:val="en-US" w:eastAsia="zh-CN" w:bidi="ar-SA"/>
        </w:rPr>
      </w:pPr>
      <w:r>
        <w:rPr>
          <w:rFonts w:hint="eastAsia" w:ascii="宋体" w:hAnsi="宋体" w:eastAsia="宋体" w:cstheme="majorBidi"/>
          <w:bCs/>
          <w:kern w:val="2"/>
          <w:sz w:val="24"/>
          <w:szCs w:val="21"/>
          <w:lang w:val="en-US" w:eastAsia="zh-CN" w:bidi="ar-SA"/>
        </w:rPr>
        <w:t>拆除剩余起重臂</w:t>
      </w:r>
    </w:p>
    <w:p w14:paraId="0AC0D6A0">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5734050" cy="2419350"/>
            <wp:effectExtent l="0" t="0" r="0" b="0"/>
            <wp:docPr id="9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2"/>
                    <pic:cNvPicPr>
                      <a:picLocks noChangeAspect="1"/>
                    </pic:cNvPicPr>
                  </pic:nvPicPr>
                  <pic:blipFill>
                    <a:blip r:embed="rId36"/>
                    <a:stretch>
                      <a:fillRect/>
                    </a:stretch>
                  </pic:blipFill>
                  <pic:spPr>
                    <a:xfrm>
                      <a:off x="0" y="0"/>
                      <a:ext cx="5734050" cy="2419350"/>
                    </a:xfrm>
                    <a:prstGeom prst="rect">
                      <a:avLst/>
                    </a:prstGeom>
                    <a:noFill/>
                    <a:ln>
                      <a:noFill/>
                    </a:ln>
                  </pic:spPr>
                </pic:pic>
              </a:graphicData>
            </a:graphic>
          </wp:inline>
        </w:drawing>
      </w:r>
      <w:r>
        <w:drawing>
          <wp:inline distT="0" distB="0" distL="114300" distR="114300">
            <wp:extent cx="5029200" cy="4295775"/>
            <wp:effectExtent l="0" t="0" r="0" b="9525"/>
            <wp:docPr id="9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4"/>
                    <pic:cNvPicPr>
                      <a:picLocks noChangeAspect="1"/>
                    </pic:cNvPicPr>
                  </pic:nvPicPr>
                  <pic:blipFill>
                    <a:blip r:embed="rId41"/>
                    <a:stretch>
                      <a:fillRect/>
                    </a:stretch>
                  </pic:blipFill>
                  <pic:spPr>
                    <a:xfrm>
                      <a:off x="0" y="0"/>
                      <a:ext cx="5029200" cy="4295775"/>
                    </a:xfrm>
                    <a:prstGeom prst="rect">
                      <a:avLst/>
                    </a:prstGeom>
                    <a:noFill/>
                    <a:ln>
                      <a:noFill/>
                    </a:ln>
                  </pic:spPr>
                </pic:pic>
              </a:graphicData>
            </a:graphic>
          </wp:inline>
        </w:drawing>
      </w:r>
    </w:p>
    <w:p w14:paraId="382225A4">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.10-1 拆除剩余起重臂</w:t>
      </w:r>
    </w:p>
    <w:p w14:paraId="14E4466B">
      <w:pPr>
        <w:keepNext w:val="0"/>
        <w:widowControl w:val="0"/>
        <w:spacing w:line="360" w:lineRule="auto"/>
        <w:ind w:firstLine="0" w:firstLineChars="0"/>
        <w:jc w:val="center"/>
        <w:rPr>
          <w:rFonts w:ascii="宋体" w:hAnsi="宋体" w:eastAsia="宋体" w:cs="宋体"/>
        </w:rPr>
      </w:pPr>
      <w:r>
        <w:drawing>
          <wp:inline distT="0" distB="0" distL="114300" distR="114300">
            <wp:extent cx="3648075" cy="2781300"/>
            <wp:effectExtent l="0" t="0" r="9525" b="0"/>
            <wp:docPr id="9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5"/>
                    <pic:cNvPicPr>
                      <a:picLocks noChangeAspect="1"/>
                    </pic:cNvPicPr>
                  </pic:nvPicPr>
                  <pic:blipFill>
                    <a:blip r:embed="rId42"/>
                    <a:stretch>
                      <a:fillRect/>
                    </a:stretch>
                  </pic:blipFill>
                  <pic:spPr>
                    <a:xfrm>
                      <a:off x="0" y="0"/>
                      <a:ext cx="3648075" cy="2781300"/>
                    </a:xfrm>
                    <a:prstGeom prst="rect">
                      <a:avLst/>
                    </a:prstGeom>
                    <a:noFill/>
                    <a:ln>
                      <a:noFill/>
                    </a:ln>
                  </pic:spPr>
                </pic:pic>
              </a:graphicData>
            </a:graphic>
          </wp:inline>
        </w:drawing>
      </w:r>
    </w:p>
    <w:p w14:paraId="491E6F93">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.10-2拆除剩余起重臂平面图</w:t>
      </w:r>
    </w:p>
    <w:p w14:paraId="0ECAE0A1">
      <w:pPr>
        <w:keepNext w:val="0"/>
        <w:keepLines w:val="0"/>
        <w:widowControl w:val="0"/>
        <w:numPr>
          <w:ilvl w:val="2"/>
          <w:numId w:val="1"/>
        </w:numPr>
        <w:bidi w:val="0"/>
        <w:spacing w:line="480" w:lineRule="exact"/>
        <w:ind w:left="0" w:firstLine="0" w:firstLineChars="0"/>
        <w:jc w:val="left"/>
        <w:outlineLvl w:val="2"/>
        <w:rPr>
          <w:rFonts w:ascii="宋体" w:hAnsi="宋体" w:eastAsia="宋体" w:cstheme="majorBidi"/>
          <w:bCs/>
          <w:kern w:val="2"/>
          <w:sz w:val="24"/>
          <w:szCs w:val="21"/>
          <w:lang w:val="en-US" w:eastAsia="zh-CN" w:bidi="ar-SA"/>
        </w:rPr>
      </w:pPr>
      <w:r>
        <w:rPr>
          <w:rFonts w:hint="eastAsia" w:ascii="宋体" w:hAnsi="宋体" w:eastAsia="宋体" w:cstheme="majorBidi"/>
          <w:bCs/>
          <w:kern w:val="2"/>
          <w:sz w:val="24"/>
          <w:szCs w:val="21"/>
          <w:lang w:val="en-US" w:eastAsia="zh-CN" w:bidi="ar-SA"/>
        </w:rPr>
        <w:t>拆除回转塔身</w:t>
      </w:r>
    </w:p>
    <w:p w14:paraId="116E8FBE">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drawing>
          <wp:inline distT="0" distB="0" distL="114300" distR="114300">
            <wp:extent cx="3061970" cy="3364865"/>
            <wp:effectExtent l="0" t="0" r="5080" b="6985"/>
            <wp:docPr id="90" name="图片 90" descr="bcbcdf612ef8f0d152cfe997fd3f9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bcbcdf612ef8f0d152cfe997fd3f9ae"/>
                    <pic:cNvPicPr>
                      <a:picLocks noChangeAspect="1"/>
                    </pic:cNvPicPr>
                  </pic:nvPicPr>
                  <pic:blipFill>
                    <a:blip r:embed="rId43"/>
                    <a:stretch>
                      <a:fillRect/>
                    </a:stretch>
                  </pic:blipFill>
                  <pic:spPr>
                    <a:xfrm>
                      <a:off x="0" y="0"/>
                      <a:ext cx="3061970" cy="3364865"/>
                    </a:xfrm>
                    <a:prstGeom prst="rect">
                      <a:avLst/>
                    </a:prstGeom>
                  </pic:spPr>
                </pic:pic>
              </a:graphicData>
            </a:graphic>
          </wp:inline>
        </w:drawing>
      </w:r>
    </w:p>
    <w:p w14:paraId="7144E9DE">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图4.4.11-1 拆除回转总成</w:t>
      </w:r>
    </w:p>
    <w:p w14:paraId="71B5F7D7">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drawing>
          <wp:inline distT="0" distB="0" distL="114300" distR="114300">
            <wp:extent cx="4170045" cy="2887345"/>
            <wp:effectExtent l="0" t="0" r="1905" b="8255"/>
            <wp:docPr id="9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4"/>
                    <pic:cNvPicPr>
                      <a:picLocks noChangeAspect="1"/>
                    </pic:cNvPicPr>
                  </pic:nvPicPr>
                  <pic:blipFill>
                    <a:blip r:embed="rId44"/>
                    <a:stretch>
                      <a:fillRect/>
                    </a:stretch>
                  </pic:blipFill>
                  <pic:spPr>
                    <a:xfrm>
                      <a:off x="0" y="0"/>
                      <a:ext cx="4170045" cy="2887345"/>
                    </a:xfrm>
                    <a:prstGeom prst="rect">
                      <a:avLst/>
                    </a:prstGeom>
                    <a:noFill/>
                    <a:ln>
                      <a:noFill/>
                    </a:ln>
                  </pic:spPr>
                </pic:pic>
              </a:graphicData>
            </a:graphic>
          </wp:inline>
        </w:drawing>
      </w:r>
    </w:p>
    <w:p w14:paraId="52B72657">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图4.4.11-2拆除回转</w:t>
      </w:r>
      <w:r>
        <w:rPr>
          <w:rFonts w:ascii="Times New Roman" w:hAnsi="Times New Roman" w:eastAsia="宋体" w:cs="Times New Roman"/>
          <w:b/>
          <w:kern w:val="2"/>
          <w:sz w:val="21"/>
          <w:szCs w:val="21"/>
          <w:lang w:val="en-US" w:eastAsia="zh-CN" w:bidi="ar-SA"/>
        </w:rPr>
        <w:t>总成</w:t>
      </w:r>
      <w:r>
        <w:rPr>
          <w:rFonts w:hint="eastAsia" w:ascii="Times New Roman" w:hAnsi="Times New Roman" w:eastAsia="宋体" w:cs="Times New Roman"/>
          <w:b/>
          <w:kern w:val="2"/>
          <w:sz w:val="21"/>
          <w:szCs w:val="21"/>
          <w:lang w:val="en-US" w:eastAsia="zh-CN" w:bidi="ar-SA"/>
        </w:rPr>
        <w:t>平面图</w:t>
      </w:r>
    </w:p>
    <w:p w14:paraId="0EEFAC06">
      <w:pPr>
        <w:keepNext w:val="0"/>
        <w:keepLines w:val="0"/>
        <w:widowControl w:val="0"/>
        <w:numPr>
          <w:ilvl w:val="2"/>
          <w:numId w:val="1"/>
        </w:numPr>
        <w:bidi w:val="0"/>
        <w:spacing w:line="480" w:lineRule="exact"/>
        <w:ind w:left="0" w:firstLine="0" w:firstLineChars="0"/>
        <w:jc w:val="left"/>
        <w:outlineLvl w:val="2"/>
        <w:rPr>
          <w:rFonts w:ascii="宋体" w:hAnsi="宋体" w:eastAsia="宋体" w:cstheme="majorBidi"/>
          <w:bCs/>
          <w:kern w:val="2"/>
          <w:sz w:val="24"/>
          <w:szCs w:val="21"/>
          <w:lang w:val="en-US" w:eastAsia="zh-CN" w:bidi="ar-SA"/>
        </w:rPr>
      </w:pPr>
      <w:r>
        <w:rPr>
          <w:rFonts w:hint="eastAsia" w:ascii="宋体" w:hAnsi="宋体" w:eastAsia="宋体" w:cstheme="majorBidi"/>
          <w:bCs/>
          <w:kern w:val="2"/>
          <w:sz w:val="24"/>
          <w:szCs w:val="21"/>
          <w:lang w:val="en-US" w:eastAsia="zh-CN" w:bidi="ar-SA"/>
        </w:rPr>
        <w:t>拆除回转总成</w:t>
      </w:r>
    </w:p>
    <w:p w14:paraId="30CF77E6">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3308350" cy="3273425"/>
            <wp:effectExtent l="0" t="0" r="6350" b="3175"/>
            <wp:docPr id="8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0"/>
                    <pic:cNvPicPr>
                      <a:picLocks noChangeAspect="1"/>
                    </pic:cNvPicPr>
                  </pic:nvPicPr>
                  <pic:blipFill>
                    <a:blip r:embed="rId45"/>
                    <a:stretch>
                      <a:fillRect/>
                    </a:stretch>
                  </pic:blipFill>
                  <pic:spPr>
                    <a:xfrm>
                      <a:off x="0" y="0"/>
                      <a:ext cx="3308350" cy="3273425"/>
                    </a:xfrm>
                    <a:prstGeom prst="rect">
                      <a:avLst/>
                    </a:prstGeom>
                    <a:noFill/>
                    <a:ln>
                      <a:noFill/>
                    </a:ln>
                  </pic:spPr>
                </pic:pic>
              </a:graphicData>
            </a:graphic>
          </wp:inline>
        </w:drawing>
      </w:r>
    </w:p>
    <w:p w14:paraId="3DD0836C">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2-1 拆除回转总成</w:t>
      </w:r>
    </w:p>
    <w:p w14:paraId="7B034B13">
      <w:pPr>
        <w:keepNext w:val="0"/>
        <w:widowControl w:val="0"/>
        <w:spacing w:line="360" w:lineRule="auto"/>
        <w:ind w:firstLine="0" w:firstLineChars="0"/>
        <w:jc w:val="center"/>
        <w:rPr>
          <w:rFonts w:ascii="宋体" w:hAnsi="宋体" w:eastAsia="宋体" w:cs="宋体"/>
        </w:rPr>
      </w:pPr>
      <w:r>
        <w:drawing>
          <wp:inline distT="0" distB="0" distL="114300" distR="114300">
            <wp:extent cx="4168775" cy="2886075"/>
            <wp:effectExtent l="0" t="0" r="3175" b="9525"/>
            <wp:docPr id="8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4"/>
                    <pic:cNvPicPr>
                      <a:picLocks noChangeAspect="1"/>
                    </pic:cNvPicPr>
                  </pic:nvPicPr>
                  <pic:blipFill>
                    <a:blip r:embed="rId44"/>
                    <a:stretch>
                      <a:fillRect/>
                    </a:stretch>
                  </pic:blipFill>
                  <pic:spPr>
                    <a:xfrm>
                      <a:off x="0" y="0"/>
                      <a:ext cx="4168775" cy="2886075"/>
                    </a:xfrm>
                    <a:prstGeom prst="rect">
                      <a:avLst/>
                    </a:prstGeom>
                    <a:noFill/>
                    <a:ln>
                      <a:noFill/>
                    </a:ln>
                  </pic:spPr>
                </pic:pic>
              </a:graphicData>
            </a:graphic>
          </wp:inline>
        </w:drawing>
      </w:r>
    </w:p>
    <w:p w14:paraId="20613469">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2-2 拆除回转总成平面图</w:t>
      </w:r>
    </w:p>
    <w:p w14:paraId="7103D828">
      <w:pPr>
        <w:keepNext w:val="0"/>
        <w:keepLines w:val="0"/>
        <w:widowControl w:val="0"/>
        <w:numPr>
          <w:ilvl w:val="2"/>
          <w:numId w:val="1"/>
        </w:numPr>
        <w:bidi w:val="0"/>
        <w:spacing w:line="480" w:lineRule="exact"/>
        <w:ind w:left="0" w:firstLine="0" w:firstLineChars="0"/>
        <w:jc w:val="left"/>
        <w:outlineLvl w:val="2"/>
        <w:rPr>
          <w:rFonts w:ascii="宋体" w:hAnsi="宋体" w:eastAsia="宋体" w:cstheme="majorBidi"/>
          <w:bCs/>
          <w:kern w:val="2"/>
          <w:sz w:val="24"/>
          <w:szCs w:val="21"/>
          <w:lang w:val="en-US" w:eastAsia="zh-CN" w:bidi="ar-SA"/>
        </w:rPr>
      </w:pPr>
      <w:r>
        <w:rPr>
          <w:rFonts w:hint="eastAsia" w:ascii="宋体" w:hAnsi="宋体" w:eastAsia="宋体" w:cstheme="majorBidi"/>
          <w:bCs/>
          <w:kern w:val="2"/>
          <w:sz w:val="24"/>
          <w:szCs w:val="21"/>
          <w:lang w:val="en-US" w:eastAsia="zh-CN" w:bidi="ar-SA"/>
        </w:rPr>
        <w:t>拆除爬升架</w:t>
      </w:r>
    </w:p>
    <w:p w14:paraId="3D9926F3">
      <w:pPr>
        <w:numPr>
          <w:ilvl w:val="0"/>
          <w:numId w:val="24"/>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用起重机吊起爬升架，拆卸顶升横梁与顶升油缸之间的销轴；</w:t>
      </w:r>
    </w:p>
    <w:p w14:paraId="70989C50">
      <w:pPr>
        <w:numPr>
          <w:ilvl w:val="0"/>
          <w:numId w:val="24"/>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回缩油缸，并使油缸自然下垂；</w:t>
      </w:r>
    </w:p>
    <w:p w14:paraId="42D500E8">
      <w:pPr>
        <w:numPr>
          <w:ilvl w:val="0"/>
          <w:numId w:val="24"/>
        </w:numPr>
        <w:spacing w:line="360" w:lineRule="auto"/>
        <w:ind w:firstLineChars="0"/>
        <w:rPr>
          <w:rFonts w:ascii="Times New Roman" w:hAnsi="Times New Roman" w:eastAsia="宋体" w:cs="Times New Roman"/>
        </w:rPr>
      </w:pPr>
      <w:r>
        <w:rPr>
          <w:rFonts w:hint="eastAsia" w:ascii="Times New Roman" w:hAnsi="Times New Roman" w:eastAsia="宋体" w:cs="Times New Roman"/>
        </w:rPr>
        <w:t>沿着塔身方向缓慢吊起爬升架，并平稳的放在地面上。</w:t>
      </w:r>
    </w:p>
    <w:p w14:paraId="63A87B12">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3554095" cy="3584575"/>
            <wp:effectExtent l="0" t="0" r="8255" b="15875"/>
            <wp:docPr id="7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7"/>
                    <pic:cNvPicPr>
                      <a:picLocks noChangeAspect="1"/>
                    </pic:cNvPicPr>
                  </pic:nvPicPr>
                  <pic:blipFill>
                    <a:blip r:embed="rId46"/>
                    <a:stretch>
                      <a:fillRect/>
                    </a:stretch>
                  </pic:blipFill>
                  <pic:spPr>
                    <a:xfrm>
                      <a:off x="0" y="0"/>
                      <a:ext cx="3554095" cy="3584575"/>
                    </a:xfrm>
                    <a:prstGeom prst="rect">
                      <a:avLst/>
                    </a:prstGeom>
                    <a:noFill/>
                    <a:ln>
                      <a:noFill/>
                    </a:ln>
                  </pic:spPr>
                </pic:pic>
              </a:graphicData>
            </a:graphic>
          </wp:inline>
        </w:drawing>
      </w:r>
    </w:p>
    <w:p w14:paraId="254B38A8">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3-1 拆除</w:t>
      </w:r>
      <w:r>
        <w:rPr>
          <w:rFonts w:ascii="Times New Roman" w:hAnsi="Times New Roman" w:eastAsia="宋体" w:cs="Times New Roman"/>
          <w:b/>
          <w:kern w:val="2"/>
          <w:sz w:val="21"/>
          <w:szCs w:val="21"/>
          <w:lang w:val="en-US" w:eastAsia="zh-CN" w:bidi="ar-SA"/>
        </w:rPr>
        <w:t>爬升架</w:t>
      </w:r>
    </w:p>
    <w:p w14:paraId="45145FB5">
      <w:pPr>
        <w:keepNext w:val="0"/>
        <w:widowControl w:val="0"/>
        <w:spacing w:line="360" w:lineRule="auto"/>
        <w:ind w:firstLine="0" w:firstLineChars="0"/>
        <w:jc w:val="center"/>
        <w:rPr>
          <w:rFonts w:ascii="宋体" w:hAnsi="宋体" w:eastAsia="宋体" w:cs="宋体"/>
        </w:rPr>
      </w:pPr>
      <w:r>
        <w:drawing>
          <wp:inline distT="0" distB="0" distL="114300" distR="114300">
            <wp:extent cx="4302760" cy="2979420"/>
            <wp:effectExtent l="0" t="0" r="2540" b="11430"/>
            <wp:docPr id="7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4"/>
                    <pic:cNvPicPr>
                      <a:picLocks noChangeAspect="1"/>
                    </pic:cNvPicPr>
                  </pic:nvPicPr>
                  <pic:blipFill>
                    <a:blip r:embed="rId44"/>
                    <a:stretch>
                      <a:fillRect/>
                    </a:stretch>
                  </pic:blipFill>
                  <pic:spPr>
                    <a:xfrm>
                      <a:off x="0" y="0"/>
                      <a:ext cx="4302760" cy="2979420"/>
                    </a:xfrm>
                    <a:prstGeom prst="rect">
                      <a:avLst/>
                    </a:prstGeom>
                    <a:noFill/>
                    <a:ln>
                      <a:noFill/>
                    </a:ln>
                  </pic:spPr>
                </pic:pic>
              </a:graphicData>
            </a:graphic>
          </wp:inline>
        </w:drawing>
      </w:r>
    </w:p>
    <w:p w14:paraId="121A35A8">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3-2拆除</w:t>
      </w:r>
      <w:r>
        <w:rPr>
          <w:rFonts w:ascii="Times New Roman" w:hAnsi="Times New Roman" w:eastAsia="宋体" w:cs="Times New Roman"/>
          <w:b/>
          <w:kern w:val="2"/>
          <w:sz w:val="21"/>
          <w:szCs w:val="21"/>
          <w:lang w:val="en-US" w:eastAsia="zh-CN" w:bidi="ar-SA"/>
        </w:rPr>
        <w:t>爬升架</w:t>
      </w:r>
      <w:r>
        <w:rPr>
          <w:rFonts w:hint="eastAsia" w:ascii="Times New Roman" w:hAnsi="Times New Roman" w:eastAsia="宋体" w:cs="Times New Roman"/>
          <w:b/>
          <w:kern w:val="2"/>
          <w:sz w:val="21"/>
          <w:szCs w:val="21"/>
          <w:lang w:val="en-US" w:eastAsia="zh-CN" w:bidi="ar-SA"/>
        </w:rPr>
        <w:t>平面图</w:t>
      </w:r>
    </w:p>
    <w:p w14:paraId="63898552">
      <w:pPr>
        <w:keepNext w:val="0"/>
        <w:keepLines w:val="0"/>
        <w:widowControl w:val="0"/>
        <w:numPr>
          <w:ilvl w:val="2"/>
          <w:numId w:val="1"/>
        </w:numPr>
        <w:bidi w:val="0"/>
        <w:spacing w:line="480" w:lineRule="exact"/>
        <w:ind w:left="0" w:firstLine="0" w:firstLineChars="0"/>
        <w:jc w:val="left"/>
        <w:outlineLvl w:val="2"/>
        <w:rPr>
          <w:rFonts w:ascii="宋体" w:hAnsi="宋体" w:eastAsia="宋体" w:cstheme="majorBidi"/>
          <w:bCs/>
          <w:kern w:val="2"/>
          <w:sz w:val="24"/>
          <w:szCs w:val="21"/>
          <w:lang w:val="en-US" w:eastAsia="zh-CN" w:bidi="ar-SA"/>
        </w:rPr>
      </w:pPr>
      <w:r>
        <w:rPr>
          <w:rFonts w:hint="eastAsia" w:ascii="宋体" w:hAnsi="宋体" w:eastAsia="宋体" w:cstheme="majorBidi"/>
          <w:bCs/>
          <w:kern w:val="2"/>
          <w:sz w:val="24"/>
          <w:szCs w:val="21"/>
          <w:lang w:val="en-US" w:eastAsia="zh-CN" w:bidi="ar-SA"/>
        </w:rPr>
        <w:t>拆除过渡节</w:t>
      </w:r>
    </w:p>
    <w:p w14:paraId="28B70976">
      <w:pPr>
        <w:spacing w:line="360" w:lineRule="auto"/>
        <w:ind w:firstLine="480"/>
        <w:rPr>
          <w:rFonts w:hint="eastAsia" w:ascii="Times New Roman" w:hAnsi="Times New Roman" w:eastAsia="宋体" w:cs="Times New Roman"/>
        </w:rPr>
      </w:pPr>
      <w:r>
        <w:rPr>
          <w:rFonts w:hint="eastAsia" w:ascii="Times New Roman" w:hAnsi="Times New Roman" w:eastAsia="宋体" w:cs="Times New Roman"/>
        </w:rPr>
        <w:t>参照安装方法拆除</w:t>
      </w:r>
      <w:r>
        <w:rPr>
          <w:rFonts w:hint="eastAsia" w:ascii="Times New Roman" w:hAnsi="Times New Roman" w:eastAsia="宋体" w:cs="Times New Roman"/>
          <w:lang w:val="en-US" w:eastAsia="zh-CN"/>
        </w:rPr>
        <w:t>过渡节</w:t>
      </w:r>
      <w:r>
        <w:rPr>
          <w:rFonts w:hint="eastAsia" w:ascii="Times New Roman" w:hAnsi="Times New Roman" w:eastAsia="宋体" w:cs="Times New Roman"/>
        </w:rPr>
        <w:t>。</w:t>
      </w:r>
    </w:p>
    <w:p w14:paraId="2A6B40B9">
      <w:pPr>
        <w:spacing w:line="360" w:lineRule="auto"/>
        <w:ind w:firstLine="480"/>
        <w:jc w:val="center"/>
        <w:rPr>
          <w:rFonts w:hint="eastAsia" w:ascii="Times New Roman" w:hAnsi="Times New Roman" w:eastAsia="宋体" w:cs="Times New Roman"/>
        </w:rPr>
      </w:pPr>
      <w:r>
        <w:drawing>
          <wp:inline distT="0" distB="0" distL="114300" distR="114300">
            <wp:extent cx="3627120" cy="2511425"/>
            <wp:effectExtent l="0" t="0" r="11430" b="3175"/>
            <wp:docPr id="7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4"/>
                    <pic:cNvPicPr>
                      <a:picLocks noChangeAspect="1"/>
                    </pic:cNvPicPr>
                  </pic:nvPicPr>
                  <pic:blipFill>
                    <a:blip r:embed="rId44"/>
                    <a:stretch>
                      <a:fillRect/>
                    </a:stretch>
                  </pic:blipFill>
                  <pic:spPr>
                    <a:xfrm>
                      <a:off x="0" y="0"/>
                      <a:ext cx="3627120" cy="2511425"/>
                    </a:xfrm>
                    <a:prstGeom prst="rect">
                      <a:avLst/>
                    </a:prstGeom>
                    <a:noFill/>
                    <a:ln>
                      <a:noFill/>
                    </a:ln>
                  </pic:spPr>
                </pic:pic>
              </a:graphicData>
            </a:graphic>
          </wp:inline>
        </w:drawing>
      </w:r>
    </w:p>
    <w:p w14:paraId="120EBDB1">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4-1拆除标准节平面图</w:t>
      </w:r>
    </w:p>
    <w:p w14:paraId="3442820D">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drawing>
          <wp:inline distT="0" distB="0" distL="114300" distR="114300">
            <wp:extent cx="2800350" cy="2800350"/>
            <wp:effectExtent l="0" t="0" r="0" b="0"/>
            <wp:docPr id="7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5"/>
                    <pic:cNvPicPr>
                      <a:picLocks noChangeAspect="1"/>
                    </pic:cNvPicPr>
                  </pic:nvPicPr>
                  <pic:blipFill>
                    <a:blip r:embed="rId47"/>
                    <a:stretch>
                      <a:fillRect/>
                    </a:stretch>
                  </pic:blipFill>
                  <pic:spPr>
                    <a:xfrm>
                      <a:off x="0" y="0"/>
                      <a:ext cx="2800350" cy="2800350"/>
                    </a:xfrm>
                    <a:prstGeom prst="rect">
                      <a:avLst/>
                    </a:prstGeom>
                    <a:noFill/>
                    <a:ln>
                      <a:noFill/>
                    </a:ln>
                  </pic:spPr>
                </pic:pic>
              </a:graphicData>
            </a:graphic>
          </wp:inline>
        </w:drawing>
      </w:r>
    </w:p>
    <w:p w14:paraId="635433D0">
      <w:pPr>
        <w:keepNext w:val="0"/>
        <w:widowControl w:val="0"/>
        <w:spacing w:line="360" w:lineRule="auto"/>
        <w:ind w:firstLine="0" w:firstLineChars="0"/>
        <w:jc w:val="center"/>
        <w:rPr>
          <w:rFonts w:hint="default"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w:t>
      </w:r>
      <w:r>
        <w:rPr>
          <w:rFonts w:hint="eastAsia" w:ascii="Times New Roman" w:hAnsi="Times New Roman" w:eastAsia="宋体" w:cs="Times New Roman"/>
          <w:b/>
          <w:kern w:val="2"/>
          <w:sz w:val="21"/>
          <w:szCs w:val="21"/>
          <w:lang w:val="en-US" w:eastAsia="zh-CN" w:bidi="ar-SA"/>
        </w:rPr>
        <w:t>4</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4-2拆除标准节立面图</w:t>
      </w:r>
    </w:p>
    <w:p w14:paraId="72229375">
      <w:pPr>
        <w:pStyle w:val="2"/>
        <w:keepNext w:val="0"/>
        <w:widowControl w:val="0"/>
        <w:numPr>
          <w:ilvl w:val="0"/>
          <w:numId w:val="1"/>
        </w:numPr>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41" w:name="_Toc27658"/>
      <w:r>
        <w:rPr>
          <w:rFonts w:hint="eastAsia" w:ascii="宋体" w:hAnsi="宋体" w:eastAsia="宋体" w:cs="宋体"/>
          <w:sz w:val="24"/>
          <w:szCs w:val="24"/>
        </w:rPr>
        <w:t>质量控制措施</w:t>
      </w:r>
      <w:bookmarkEnd w:id="41"/>
    </w:p>
    <w:p w14:paraId="3A933356">
      <w:pPr>
        <w:pStyle w:val="3"/>
        <w:keepNext w:val="0"/>
        <w:widowControl w:val="0"/>
        <w:numPr>
          <w:ilvl w:val="1"/>
          <w:numId w:val="1"/>
        </w:numPr>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42" w:name="_Toc20568"/>
      <w:r>
        <w:rPr>
          <w:rFonts w:hint="eastAsia" w:ascii="宋体" w:hAnsi="宋体" w:eastAsia="宋体" w:cs="宋体"/>
          <w:sz w:val="24"/>
          <w:szCs w:val="24"/>
        </w:rPr>
        <w:t>质量通病及质量通病预防</w:t>
      </w:r>
      <w:bookmarkEnd w:id="42"/>
    </w:p>
    <w:p w14:paraId="7B828947">
      <w:pPr>
        <w:pStyle w:val="13"/>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Cs/>
          <w:snapToGrid w:val="0"/>
          <w:sz w:val="21"/>
          <w:szCs w:val="21"/>
        </w:rPr>
      </w:pPr>
      <w:r>
        <w:rPr>
          <w:rFonts w:hint="eastAsia" w:ascii="宋体" w:hAnsi="宋体" w:eastAsia="宋体" w:cs="宋体"/>
          <w:sz w:val="24"/>
          <w:szCs w:val="24"/>
        </w:rPr>
        <w:t>表5.</w:t>
      </w:r>
      <w:r>
        <w:rPr>
          <w:rFonts w:hint="eastAsia" w:ascii="宋体" w:hAnsi="宋体" w:eastAsia="宋体" w:cs="宋体"/>
          <w:sz w:val="24"/>
          <w:szCs w:val="24"/>
          <w:lang w:val="en-US" w:eastAsia="zh-CN"/>
        </w:rPr>
        <w:t>1</w:t>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bCs/>
          <w:snapToGrid w:val="0"/>
          <w:sz w:val="24"/>
          <w:szCs w:val="24"/>
        </w:rPr>
        <w:t>塔吊</w:t>
      </w:r>
      <w:r>
        <w:rPr>
          <w:rFonts w:hint="eastAsia" w:ascii="宋体" w:hAnsi="宋体" w:cs="宋体"/>
          <w:bCs/>
          <w:snapToGrid w:val="0"/>
          <w:sz w:val="24"/>
          <w:szCs w:val="24"/>
          <w:lang w:eastAsia="zh-CN"/>
        </w:rPr>
        <w:t>拆除</w:t>
      </w:r>
      <w:r>
        <w:rPr>
          <w:rFonts w:hint="eastAsia" w:ascii="宋体" w:hAnsi="宋体" w:eastAsia="宋体" w:cs="宋体"/>
          <w:bCs/>
          <w:snapToGrid w:val="0"/>
          <w:sz w:val="24"/>
          <w:szCs w:val="24"/>
        </w:rPr>
        <w:t>质量通病预防措施</w:t>
      </w:r>
    </w:p>
    <w:tbl>
      <w:tblPr>
        <w:tblStyle w:val="41"/>
        <w:tblW w:w="957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180"/>
        <w:gridCol w:w="1308"/>
        <w:gridCol w:w="7090"/>
      </w:tblGrid>
      <w:tr w14:paraId="3F8F87C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1180" w:type="dxa"/>
            <w:tcBorders>
              <w:tl2br w:val="nil"/>
              <w:tr2bl w:val="nil"/>
            </w:tcBorders>
            <w:shd w:val="clear" w:color="auto" w:fill="auto"/>
            <w:vAlign w:val="center"/>
          </w:tcPr>
          <w:p w14:paraId="3F3157B4">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项次</w:t>
            </w:r>
          </w:p>
        </w:tc>
        <w:tc>
          <w:tcPr>
            <w:tcW w:w="1308" w:type="dxa"/>
            <w:tcBorders>
              <w:tl2br w:val="nil"/>
              <w:tr2bl w:val="nil"/>
            </w:tcBorders>
            <w:shd w:val="clear" w:color="auto" w:fill="auto"/>
            <w:vAlign w:val="center"/>
          </w:tcPr>
          <w:p w14:paraId="55C65EC7">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质量通病</w:t>
            </w:r>
          </w:p>
        </w:tc>
        <w:tc>
          <w:tcPr>
            <w:tcW w:w="7090" w:type="dxa"/>
            <w:tcBorders>
              <w:tl2br w:val="nil"/>
              <w:tr2bl w:val="nil"/>
            </w:tcBorders>
            <w:shd w:val="clear" w:color="auto" w:fill="auto"/>
            <w:vAlign w:val="center"/>
          </w:tcPr>
          <w:p w14:paraId="2A375DFA">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预防措施</w:t>
            </w:r>
          </w:p>
        </w:tc>
      </w:tr>
      <w:tr w14:paraId="40FE05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1180" w:type="dxa"/>
            <w:tcBorders>
              <w:tl2br w:val="nil"/>
              <w:tr2bl w:val="nil"/>
            </w:tcBorders>
            <w:shd w:val="clear" w:color="auto" w:fill="auto"/>
            <w:vAlign w:val="center"/>
          </w:tcPr>
          <w:p w14:paraId="0B136599">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w:t>
            </w:r>
          </w:p>
        </w:tc>
        <w:tc>
          <w:tcPr>
            <w:tcW w:w="1308" w:type="dxa"/>
            <w:tcBorders>
              <w:tl2br w:val="nil"/>
              <w:tr2bl w:val="nil"/>
            </w:tcBorders>
            <w:shd w:val="clear" w:color="auto" w:fill="auto"/>
            <w:vAlign w:val="center"/>
          </w:tcPr>
          <w:p w14:paraId="6AC81571">
            <w:pPr>
              <w:pStyle w:val="49"/>
              <w:kinsoku/>
              <w:overflowPunct/>
              <w:topLinePunct w:val="0"/>
              <w:bidi w:val="0"/>
              <w:spacing w:line="360" w:lineRule="atLeast"/>
              <w:rPr>
                <w:rFonts w:hint="eastAsia" w:ascii="宋体" w:hAnsi="宋体" w:eastAsia="宋体" w:cs="宋体"/>
                <w:sz w:val="21"/>
                <w:szCs w:val="21"/>
              </w:rPr>
            </w:pPr>
            <w:r>
              <w:rPr>
                <w:rFonts w:hint="eastAsia" w:cs="宋体"/>
                <w:sz w:val="21"/>
                <w:szCs w:val="21"/>
                <w:lang w:eastAsia="zh-CN"/>
              </w:rPr>
              <w:t>拆除</w:t>
            </w:r>
            <w:r>
              <w:rPr>
                <w:rFonts w:hint="eastAsia" w:ascii="宋体" w:hAnsi="宋体" w:eastAsia="宋体" w:cs="宋体"/>
                <w:sz w:val="21"/>
                <w:szCs w:val="21"/>
              </w:rPr>
              <w:t>作业前未对设备进行全面检查</w:t>
            </w:r>
          </w:p>
        </w:tc>
        <w:tc>
          <w:tcPr>
            <w:tcW w:w="7090" w:type="dxa"/>
            <w:tcBorders>
              <w:tl2br w:val="nil"/>
              <w:tr2bl w:val="nil"/>
            </w:tcBorders>
            <w:shd w:val="clear" w:color="auto" w:fill="auto"/>
            <w:vAlign w:val="center"/>
          </w:tcPr>
          <w:p w14:paraId="474A3760">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在对整机进行</w:t>
            </w:r>
            <w:r>
              <w:rPr>
                <w:rFonts w:hint="eastAsia" w:cs="宋体"/>
                <w:sz w:val="21"/>
                <w:szCs w:val="21"/>
                <w:lang w:eastAsia="zh-CN"/>
              </w:rPr>
              <w:t>拆除</w:t>
            </w:r>
            <w:r>
              <w:rPr>
                <w:rFonts w:hint="eastAsia" w:ascii="宋体" w:hAnsi="宋体" w:eastAsia="宋体" w:cs="宋体"/>
                <w:sz w:val="21"/>
                <w:szCs w:val="21"/>
              </w:rPr>
              <w:t>作前，</w:t>
            </w:r>
            <w:r>
              <w:rPr>
                <w:rFonts w:hint="eastAsia" w:cs="宋体"/>
                <w:sz w:val="21"/>
                <w:szCs w:val="21"/>
                <w:lang w:eastAsia="zh-CN"/>
              </w:rPr>
              <w:t>拆除</w:t>
            </w:r>
            <w:r>
              <w:rPr>
                <w:rFonts w:hint="eastAsia" w:ascii="宋体" w:hAnsi="宋体" w:eastAsia="宋体" w:cs="宋体"/>
                <w:sz w:val="21"/>
                <w:szCs w:val="21"/>
              </w:rPr>
              <w:t>人员，尤其是</w:t>
            </w:r>
            <w:r>
              <w:rPr>
                <w:rFonts w:hint="eastAsia" w:cs="宋体"/>
                <w:sz w:val="21"/>
                <w:szCs w:val="21"/>
                <w:lang w:eastAsia="zh-CN"/>
              </w:rPr>
              <w:t>拆除</w:t>
            </w:r>
            <w:r>
              <w:rPr>
                <w:rFonts w:hint="eastAsia" w:ascii="宋体" w:hAnsi="宋体" w:eastAsia="宋体" w:cs="宋体"/>
                <w:sz w:val="21"/>
                <w:szCs w:val="21"/>
              </w:rPr>
              <w:t>队的负责人应对塔吊进行全面的检查，确保钢结构无裂纹及不可恢复的塑性变形，焊缝无开裂现象，各安全装置齐全、有效，如发现问题应及时的采取措施，以免在塔吊</w:t>
            </w:r>
            <w:r>
              <w:rPr>
                <w:rFonts w:hint="eastAsia" w:cs="宋体"/>
                <w:sz w:val="21"/>
                <w:szCs w:val="21"/>
                <w:lang w:eastAsia="zh-CN"/>
              </w:rPr>
              <w:t>拆除</w:t>
            </w:r>
            <w:r>
              <w:rPr>
                <w:rFonts w:hint="eastAsia" w:ascii="宋体" w:hAnsi="宋体" w:eastAsia="宋体" w:cs="宋体"/>
                <w:sz w:val="21"/>
                <w:szCs w:val="21"/>
              </w:rPr>
              <w:t>作过程中发生事故。</w:t>
            </w:r>
          </w:p>
        </w:tc>
      </w:tr>
      <w:tr w14:paraId="213203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1180" w:type="dxa"/>
            <w:tcBorders>
              <w:tl2br w:val="nil"/>
              <w:tr2bl w:val="nil"/>
            </w:tcBorders>
            <w:shd w:val="clear" w:color="auto" w:fill="auto"/>
            <w:vAlign w:val="center"/>
          </w:tcPr>
          <w:p w14:paraId="165A1D80">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w:t>
            </w:r>
          </w:p>
        </w:tc>
        <w:tc>
          <w:tcPr>
            <w:tcW w:w="1308" w:type="dxa"/>
            <w:tcBorders>
              <w:tl2br w:val="nil"/>
              <w:tr2bl w:val="nil"/>
            </w:tcBorders>
            <w:shd w:val="clear" w:color="auto" w:fill="auto"/>
            <w:vAlign w:val="center"/>
          </w:tcPr>
          <w:p w14:paraId="4E7515C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施工工艺</w:t>
            </w:r>
          </w:p>
          <w:p w14:paraId="136F721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粗糙</w:t>
            </w:r>
          </w:p>
        </w:tc>
        <w:tc>
          <w:tcPr>
            <w:tcW w:w="7090" w:type="dxa"/>
            <w:tcBorders>
              <w:tl2br w:val="nil"/>
              <w:tr2bl w:val="nil"/>
            </w:tcBorders>
            <w:shd w:val="clear" w:color="auto" w:fill="auto"/>
            <w:vAlign w:val="center"/>
          </w:tcPr>
          <w:p w14:paraId="12C5AED5">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要求在施工准备阶段，技术人员在熟悉图纸、规范、标准的基础上，根据具体的施工条件，制定周密可行的施工技术措施。施工</w:t>
            </w:r>
            <w:r>
              <w:rPr>
                <w:rFonts w:hint="eastAsia" w:ascii="宋体" w:hAnsi="宋体" w:eastAsia="宋体" w:cs="宋体"/>
                <w:color w:val="000000" w:themeColor="text1"/>
                <w:sz w:val="21"/>
                <w:szCs w:val="21"/>
                <w14:textFill>
                  <w14:solidFill>
                    <w14:schemeClr w14:val="tx1"/>
                  </w14:solidFill>
                </w14:textFill>
              </w:rPr>
              <w:t>前做好技术交底工作，使每个施工人员都清楚</w:t>
            </w:r>
            <w:r>
              <w:rPr>
                <w:rFonts w:hint="eastAsia" w:cs="宋体"/>
                <w:color w:val="000000" w:themeColor="text1"/>
                <w:sz w:val="21"/>
                <w:szCs w:val="21"/>
                <w:lang w:eastAsia="zh-CN"/>
                <w14:textFill>
                  <w14:solidFill>
                    <w14:schemeClr w14:val="tx1"/>
                  </w14:solidFill>
                </w14:textFill>
              </w:rPr>
              <w:t>拆除</w:t>
            </w:r>
            <w:r>
              <w:rPr>
                <w:rFonts w:hint="eastAsia" w:ascii="宋体" w:hAnsi="宋体" w:eastAsia="宋体" w:cs="宋体"/>
                <w:color w:val="000000" w:themeColor="text1"/>
                <w:sz w:val="21"/>
                <w:szCs w:val="21"/>
                <w14:textFill>
                  <w14:solidFill>
                    <w14:schemeClr w14:val="tx1"/>
                  </w14:solidFill>
                </w14:textFill>
              </w:rPr>
              <w:t>过程中需控制的质量标</w:t>
            </w:r>
            <w:r>
              <w:rPr>
                <w:rFonts w:hint="eastAsia" w:ascii="宋体" w:hAnsi="宋体" w:eastAsia="宋体" w:cs="宋体"/>
                <w:sz w:val="21"/>
                <w:szCs w:val="21"/>
              </w:rPr>
              <w:t>准。施工人员在熟悉各种构件的特点后，参考以往的施工经验，确定一套科学的施工方法，并在施工中不断总结经验，使施工方法日趋完善和合理。</w:t>
            </w:r>
          </w:p>
        </w:tc>
      </w:tr>
      <w:tr w14:paraId="57E411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1180" w:type="dxa"/>
            <w:tcBorders>
              <w:tl2br w:val="nil"/>
              <w:tr2bl w:val="nil"/>
            </w:tcBorders>
            <w:shd w:val="clear" w:color="auto" w:fill="auto"/>
            <w:vAlign w:val="center"/>
          </w:tcPr>
          <w:p w14:paraId="19E8E95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w:t>
            </w:r>
          </w:p>
        </w:tc>
        <w:tc>
          <w:tcPr>
            <w:tcW w:w="1308" w:type="dxa"/>
            <w:tcBorders>
              <w:tl2br w:val="nil"/>
              <w:tr2bl w:val="nil"/>
            </w:tcBorders>
            <w:shd w:val="clear" w:color="auto" w:fill="auto"/>
            <w:vAlign w:val="center"/>
          </w:tcPr>
          <w:p w14:paraId="3A7381D6">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吊索具未进行检查和使用不当</w:t>
            </w:r>
          </w:p>
        </w:tc>
        <w:tc>
          <w:tcPr>
            <w:tcW w:w="7090" w:type="dxa"/>
            <w:tcBorders>
              <w:tl2br w:val="nil"/>
              <w:tr2bl w:val="nil"/>
            </w:tcBorders>
            <w:shd w:val="clear" w:color="auto" w:fill="auto"/>
            <w:vAlign w:val="center"/>
          </w:tcPr>
          <w:p w14:paraId="399A5D5A">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塔吊的</w:t>
            </w:r>
            <w:r>
              <w:rPr>
                <w:rFonts w:hint="eastAsia" w:cs="宋体"/>
                <w:sz w:val="21"/>
                <w:szCs w:val="21"/>
                <w:lang w:eastAsia="zh-CN"/>
              </w:rPr>
              <w:t>拆除</w:t>
            </w:r>
            <w:r>
              <w:rPr>
                <w:rFonts w:hint="eastAsia" w:ascii="宋体" w:hAnsi="宋体" w:eastAsia="宋体" w:cs="宋体"/>
                <w:sz w:val="21"/>
                <w:szCs w:val="21"/>
              </w:rPr>
              <w:t>作业的吊装工具主要是钢丝绳和卡扣，在进行吊装作业前，应对各吊装的吊索具进行全面的检查，确保钢丝绳无断丝、断股现象，对已达到报废标准的应停止使用，卡具无严重变形和磨损。在进行部件吊装时，</w:t>
            </w:r>
            <w:r>
              <w:rPr>
                <w:rFonts w:hint="eastAsia" w:cs="宋体"/>
                <w:sz w:val="21"/>
                <w:szCs w:val="21"/>
                <w:lang w:eastAsia="zh-CN"/>
              </w:rPr>
              <w:t>拆除</w:t>
            </w:r>
            <w:r>
              <w:rPr>
                <w:rFonts w:hint="eastAsia" w:ascii="宋体" w:hAnsi="宋体" w:eastAsia="宋体" w:cs="宋体"/>
                <w:sz w:val="21"/>
                <w:szCs w:val="21"/>
              </w:rPr>
              <w:t>队负责人首先要对待</w:t>
            </w:r>
            <w:r>
              <w:rPr>
                <w:rFonts w:hint="eastAsia" w:cs="宋体"/>
                <w:sz w:val="21"/>
                <w:szCs w:val="21"/>
                <w:lang w:eastAsia="zh-CN"/>
              </w:rPr>
              <w:t>拆除</w:t>
            </w:r>
            <w:r>
              <w:rPr>
                <w:rFonts w:hint="eastAsia" w:ascii="宋体" w:hAnsi="宋体" w:eastAsia="宋体" w:cs="宋体"/>
                <w:sz w:val="21"/>
                <w:szCs w:val="21"/>
              </w:rPr>
              <w:t>部件的重量要非常清楚，尤其是重量较大的部件，严格按照施工的方案选用吊索具，保证6倍以上的安全系数。</w:t>
            </w:r>
          </w:p>
        </w:tc>
      </w:tr>
      <w:tr w14:paraId="3372CA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54" w:hRule="atLeast"/>
          <w:jc w:val="center"/>
        </w:trPr>
        <w:tc>
          <w:tcPr>
            <w:tcW w:w="1180" w:type="dxa"/>
            <w:tcBorders>
              <w:tl2br w:val="nil"/>
              <w:tr2bl w:val="nil"/>
            </w:tcBorders>
            <w:shd w:val="clear" w:color="auto" w:fill="auto"/>
            <w:vAlign w:val="center"/>
          </w:tcPr>
          <w:p w14:paraId="54ECF95F">
            <w:pPr>
              <w:pStyle w:val="49"/>
              <w:kinsoku/>
              <w:overflowPunct/>
              <w:topLinePunct w:val="0"/>
              <w:bidi w:val="0"/>
              <w:spacing w:line="360" w:lineRule="atLeast"/>
              <w:rPr>
                <w:rFonts w:hint="eastAsia" w:ascii="宋体" w:hAnsi="宋体" w:eastAsia="宋体" w:cs="宋体"/>
                <w:color w:val="auto"/>
                <w:sz w:val="21"/>
                <w:szCs w:val="21"/>
                <w:lang w:val="en-US" w:eastAsia="zh-CN"/>
              </w:rPr>
            </w:pPr>
            <w:bookmarkStart w:id="43" w:name="_Toc22190"/>
            <w:bookmarkStart w:id="44" w:name="_Toc533345492"/>
            <w:r>
              <w:rPr>
                <w:rFonts w:hint="eastAsia" w:ascii="宋体" w:hAnsi="宋体" w:eastAsia="宋体" w:cs="宋体"/>
                <w:color w:val="auto"/>
                <w:sz w:val="21"/>
                <w:szCs w:val="21"/>
                <w:lang w:val="en-US" w:eastAsia="zh-CN"/>
              </w:rPr>
              <w:t>4</w:t>
            </w:r>
          </w:p>
        </w:tc>
        <w:tc>
          <w:tcPr>
            <w:tcW w:w="1308" w:type="dxa"/>
            <w:tcBorders>
              <w:tl2br w:val="nil"/>
              <w:tr2bl w:val="nil"/>
            </w:tcBorders>
            <w:shd w:val="clear" w:color="auto" w:fill="auto"/>
            <w:vAlign w:val="center"/>
          </w:tcPr>
          <w:p w14:paraId="4FE71ABA">
            <w:pPr>
              <w:pStyle w:val="49"/>
              <w:kinsoku/>
              <w:overflowPunct/>
              <w:topLinePunct w:val="0"/>
              <w:bidi w:val="0"/>
              <w:spacing w:line="360" w:lineRule="atLeas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塔机刚性值、垂直度超标</w:t>
            </w:r>
          </w:p>
        </w:tc>
        <w:tc>
          <w:tcPr>
            <w:tcW w:w="7090" w:type="dxa"/>
            <w:tcBorders>
              <w:tl2br w:val="nil"/>
              <w:tr2bl w:val="nil"/>
            </w:tcBorders>
            <w:shd w:val="clear" w:color="auto" w:fill="auto"/>
            <w:vAlign w:val="center"/>
          </w:tcPr>
          <w:p w14:paraId="6C115F7D">
            <w:pPr>
              <w:spacing w:line="360" w:lineRule="auto"/>
              <w:ind w:left="0" w:leftChars="0" w:firstLine="0" w:firstLineChars="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基础设计应充分考虑地勘数据，保证基础持力层达到基础设计的要求。</w:t>
            </w:r>
          </w:p>
          <w:p w14:paraId="5BEAF862">
            <w:pPr>
              <w:spacing w:line="360" w:lineRule="auto"/>
              <w:ind w:left="0" w:leftChars="0" w:firstLine="0" w:firstLineChars="0"/>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lang w:val="en-US" w:eastAsia="zh-CN" w:bidi="ar-SA"/>
              </w:rPr>
              <w:t>塔机预埋件预埋时，需要可靠控制四个主弦杆的水平度，水平度不大于1/1000。</w:t>
            </w:r>
          </w:p>
          <w:p w14:paraId="47C44F55">
            <w:pPr>
              <w:spacing w:line="360" w:lineRule="auto"/>
              <w:ind w:left="0" w:leftChars="0" w:firstLine="0" w:firstLineChars="0"/>
              <w:rPr>
                <w:rFonts w:hint="eastAsia" w:ascii="宋体" w:hAnsi="宋体" w:eastAsia="宋体" w:cs="宋体"/>
                <w:color w:val="auto"/>
                <w:lang w:val="en-US" w:eastAsia="zh-CN"/>
              </w:rPr>
            </w:pPr>
            <w:r>
              <w:rPr>
                <w:rFonts w:hint="eastAsia" w:ascii="宋体" w:hAnsi="宋体" w:eastAsia="宋体" w:cs="宋体"/>
                <w:color w:val="auto"/>
                <w:kern w:val="2"/>
                <w:sz w:val="21"/>
                <w:szCs w:val="21"/>
                <w:lang w:val="en-US" w:eastAsia="zh-CN" w:bidi="ar-SA"/>
              </w:rPr>
              <w:t>塔机附着时，通过调节附着装置，使附着以下部分的垂直度不超过千分之二，附着以上的部不超过千分之四。</w:t>
            </w:r>
          </w:p>
        </w:tc>
      </w:tr>
    </w:tbl>
    <w:p w14:paraId="09185770">
      <w:pPr>
        <w:pStyle w:val="3"/>
        <w:keepNext w:val="0"/>
        <w:pageBreakBefore w:val="0"/>
        <w:widowControl w:val="0"/>
        <w:numPr>
          <w:ilvl w:val="1"/>
          <w:numId w:val="1"/>
        </w:numPr>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45" w:name="_Toc12477"/>
      <w:r>
        <w:rPr>
          <w:rFonts w:hint="eastAsia" w:ascii="宋体" w:hAnsi="宋体" w:eastAsia="宋体" w:cs="宋体"/>
          <w:sz w:val="24"/>
          <w:szCs w:val="24"/>
        </w:rPr>
        <w:t>质量保证措施</w:t>
      </w:r>
      <w:bookmarkEnd w:id="43"/>
      <w:bookmarkEnd w:id="44"/>
      <w:bookmarkEnd w:id="45"/>
    </w:p>
    <w:p w14:paraId="6F1123BF">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为了保证塔吊</w:t>
      </w:r>
      <w:r>
        <w:rPr>
          <w:rFonts w:hint="eastAsia" w:cs="宋体"/>
          <w:sz w:val="24"/>
          <w:szCs w:val="24"/>
          <w:lang w:eastAsia="zh-CN"/>
        </w:rPr>
        <w:t>拆除</w:t>
      </w:r>
      <w:r>
        <w:rPr>
          <w:rFonts w:hint="eastAsia" w:ascii="宋体" w:hAnsi="宋体" w:eastAsia="宋体" w:cs="宋体"/>
          <w:sz w:val="24"/>
          <w:szCs w:val="24"/>
        </w:rPr>
        <w:t>质量，树立良好的质量信誉，全面贯彻落实公司制定的质量管理作业文件，实现对施工过程的有效控制，特制定以下控制措施：</w:t>
      </w:r>
    </w:p>
    <w:p w14:paraId="1C38196F">
      <w:pPr>
        <w:numPr>
          <w:ilvl w:val="0"/>
          <w:numId w:val="25"/>
        </w:numPr>
        <w:bidi w:val="0"/>
        <w:ind w:left="425" w:leftChars="0" w:hanging="425" w:firstLineChars="0"/>
        <w:rPr>
          <w:rFonts w:hint="eastAsia"/>
        </w:rPr>
      </w:pPr>
      <w:r>
        <w:rPr>
          <w:rFonts w:hint="eastAsia"/>
        </w:rPr>
        <w:t>作业前由技术员及工长组织作业人员认真学习图纸、资料，了解作业技术要求，掌握作业方法和作业要领。同时宣传质量，提高意识，加强作业人员的工作责任心。</w:t>
      </w:r>
    </w:p>
    <w:p w14:paraId="0886516A">
      <w:pPr>
        <w:numPr>
          <w:ilvl w:val="0"/>
          <w:numId w:val="25"/>
        </w:numPr>
        <w:bidi w:val="0"/>
        <w:ind w:left="425" w:leftChars="0" w:hanging="425" w:firstLineChars="0"/>
        <w:rPr>
          <w:rFonts w:hint="eastAsia"/>
        </w:rPr>
      </w:pPr>
      <w:r>
        <w:rPr>
          <w:rFonts w:hint="eastAsia"/>
        </w:rPr>
        <w:t>对重要工序的作业方法、作业要领，应进行作业前的施工技术培训。</w:t>
      </w:r>
    </w:p>
    <w:p w14:paraId="3F34428F">
      <w:pPr>
        <w:numPr>
          <w:ilvl w:val="0"/>
          <w:numId w:val="25"/>
        </w:numPr>
        <w:bidi w:val="0"/>
        <w:ind w:left="425" w:leftChars="0" w:hanging="425" w:firstLineChars="0"/>
        <w:rPr>
          <w:rFonts w:hint="eastAsia"/>
        </w:rPr>
      </w:pPr>
      <w:r>
        <w:rPr>
          <w:rFonts w:hint="eastAsia"/>
        </w:rPr>
        <w:t>认真做好作业前的技术交底工作，使每个作业人员充分的理解施工工艺和技术要求，达到作业人员对工作心中有数，交底后必须双方签字。</w:t>
      </w:r>
    </w:p>
    <w:p w14:paraId="60DFFE0E">
      <w:pPr>
        <w:numPr>
          <w:ilvl w:val="0"/>
          <w:numId w:val="25"/>
        </w:numPr>
        <w:bidi w:val="0"/>
        <w:ind w:left="425" w:leftChars="0" w:hanging="425" w:firstLineChars="0"/>
        <w:rPr>
          <w:rFonts w:hint="eastAsia"/>
        </w:rPr>
      </w:pPr>
      <w:r>
        <w:rPr>
          <w:rFonts w:hint="eastAsia"/>
        </w:rPr>
        <w:t>班长和安全员认真做好作业过程的质量监督控制，确保每一道工序的施工质量以及工序间合理衔接，不留缺陷，不留尾工，认真做好作业后的自检工作。</w:t>
      </w:r>
    </w:p>
    <w:p w14:paraId="5C93D26F">
      <w:pPr>
        <w:numPr>
          <w:ilvl w:val="0"/>
          <w:numId w:val="25"/>
        </w:numPr>
        <w:bidi w:val="0"/>
        <w:ind w:left="425" w:leftChars="0" w:hanging="425" w:firstLineChars="0"/>
        <w:rPr>
          <w:rFonts w:hint="eastAsia"/>
        </w:rPr>
      </w:pPr>
      <w:r>
        <w:rPr>
          <w:rFonts w:hint="eastAsia"/>
        </w:rPr>
        <w:t>对作业中容易发生的质量问题，作业前做出预测，并采取有效的、可操作的预防措施，消除施工质量缺陷。</w:t>
      </w:r>
    </w:p>
    <w:p w14:paraId="641030C0">
      <w:pPr>
        <w:numPr>
          <w:ilvl w:val="0"/>
          <w:numId w:val="25"/>
        </w:numPr>
        <w:bidi w:val="0"/>
        <w:ind w:left="425" w:leftChars="0" w:hanging="425" w:firstLineChars="0"/>
        <w:rPr>
          <w:rFonts w:hint="eastAsia"/>
        </w:rPr>
      </w:pPr>
      <w:r>
        <w:rPr>
          <w:rFonts w:hint="eastAsia"/>
        </w:rPr>
        <w:t>作业中发现设备缺陷或施工质量问题，及时向技术员提出并采取措施后进行处理。重大质量问题必须停工，待提出处理意见或制定整改措施后方可进行整改。</w:t>
      </w:r>
    </w:p>
    <w:p w14:paraId="253A45C2">
      <w:pPr>
        <w:numPr>
          <w:ilvl w:val="0"/>
          <w:numId w:val="25"/>
        </w:numPr>
        <w:bidi w:val="0"/>
        <w:ind w:left="425" w:leftChars="0" w:hanging="425" w:firstLineChars="0"/>
        <w:rPr>
          <w:rFonts w:hint="eastAsia"/>
        </w:rPr>
      </w:pPr>
      <w:r>
        <w:rPr>
          <w:rFonts w:hint="eastAsia"/>
        </w:rPr>
        <w:t>积极配合项目部工程管理部门和监理的质检工作，对查出的质量问题积极并及时的进行处理。</w:t>
      </w:r>
    </w:p>
    <w:p w14:paraId="01D80018">
      <w:pPr>
        <w:pStyle w:val="3"/>
        <w:keepNext w:val="0"/>
        <w:pageBreakBefore w:val="0"/>
        <w:widowControl w:val="0"/>
        <w:numPr>
          <w:ilvl w:val="1"/>
          <w:numId w:val="1"/>
        </w:numPr>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46" w:name="_Toc20817"/>
      <w:r>
        <w:rPr>
          <w:rFonts w:hint="eastAsia" w:ascii="宋体" w:hAnsi="宋体" w:eastAsia="宋体" w:cs="宋体"/>
          <w:sz w:val="24"/>
          <w:szCs w:val="24"/>
        </w:rPr>
        <w:t>作业过程中控制点的设置</w:t>
      </w:r>
      <w:bookmarkEnd w:id="46"/>
    </w:p>
    <w:p w14:paraId="344C8933">
      <w:pPr>
        <w:pStyle w:val="13"/>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1"/>
          <w:szCs w:val="21"/>
        </w:rPr>
      </w:pPr>
      <w:r>
        <w:rPr>
          <w:rFonts w:hint="eastAsia" w:ascii="宋体" w:hAnsi="宋体" w:eastAsia="宋体" w:cs="宋体"/>
          <w:sz w:val="24"/>
          <w:szCs w:val="24"/>
        </w:rPr>
        <w:t>表5.</w:t>
      </w:r>
      <w:r>
        <w:rPr>
          <w:rFonts w:hint="eastAsia" w:ascii="宋体" w:hAnsi="宋体" w:eastAsia="宋体" w:cs="宋体"/>
          <w:sz w:val="24"/>
          <w:szCs w:val="24"/>
          <w:lang w:val="en-US" w:eastAsia="zh-CN"/>
        </w:rPr>
        <w:t>3</w:t>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关键控制点设置</w:t>
      </w:r>
    </w:p>
    <w:tbl>
      <w:tblPr>
        <w:tblStyle w:val="41"/>
        <w:tblW w:w="953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374"/>
        <w:gridCol w:w="3895"/>
        <w:gridCol w:w="810"/>
        <w:gridCol w:w="949"/>
        <w:gridCol w:w="954"/>
        <w:gridCol w:w="701"/>
        <w:gridCol w:w="854"/>
      </w:tblGrid>
      <w:tr w14:paraId="058751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374" w:type="dxa"/>
            <w:vMerge w:val="restart"/>
            <w:tcBorders>
              <w:tl2br w:val="nil"/>
              <w:tr2bl w:val="nil"/>
            </w:tcBorders>
            <w:shd w:val="clear" w:color="auto" w:fill="auto"/>
            <w:vAlign w:val="center"/>
          </w:tcPr>
          <w:p w14:paraId="1EEC02D6">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序号</w:t>
            </w:r>
          </w:p>
        </w:tc>
        <w:tc>
          <w:tcPr>
            <w:tcW w:w="3895" w:type="dxa"/>
            <w:vMerge w:val="restart"/>
            <w:tcBorders>
              <w:tl2br w:val="nil"/>
              <w:tr2bl w:val="nil"/>
            </w:tcBorders>
            <w:shd w:val="clear" w:color="auto" w:fill="auto"/>
            <w:vAlign w:val="center"/>
          </w:tcPr>
          <w:p w14:paraId="479F4F5D">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作业控制点</w:t>
            </w:r>
          </w:p>
        </w:tc>
        <w:tc>
          <w:tcPr>
            <w:tcW w:w="3414" w:type="dxa"/>
            <w:gridSpan w:val="4"/>
            <w:tcBorders>
              <w:tl2br w:val="nil"/>
              <w:tr2bl w:val="nil"/>
            </w:tcBorders>
            <w:shd w:val="clear" w:color="auto" w:fill="auto"/>
            <w:vAlign w:val="center"/>
          </w:tcPr>
          <w:p w14:paraId="1315D4BE">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检验单位</w:t>
            </w:r>
          </w:p>
        </w:tc>
        <w:tc>
          <w:tcPr>
            <w:tcW w:w="854" w:type="dxa"/>
            <w:vMerge w:val="restart"/>
            <w:tcBorders>
              <w:tl2br w:val="nil"/>
              <w:tr2bl w:val="nil"/>
            </w:tcBorders>
            <w:shd w:val="clear" w:color="auto" w:fill="auto"/>
            <w:vAlign w:val="center"/>
          </w:tcPr>
          <w:p w14:paraId="63FA71D7">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见证</w:t>
            </w:r>
          </w:p>
          <w:p w14:paraId="4F3E9439">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方式</w:t>
            </w:r>
          </w:p>
        </w:tc>
      </w:tr>
      <w:tr w14:paraId="1BDEEF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374" w:type="dxa"/>
            <w:vMerge w:val="continue"/>
            <w:tcBorders>
              <w:tl2br w:val="nil"/>
              <w:tr2bl w:val="nil"/>
            </w:tcBorders>
            <w:shd w:val="clear" w:color="auto" w:fill="auto"/>
            <w:vAlign w:val="center"/>
          </w:tcPr>
          <w:p w14:paraId="393732AE">
            <w:pPr>
              <w:pStyle w:val="49"/>
              <w:kinsoku/>
              <w:overflowPunct/>
              <w:topLinePunct w:val="0"/>
              <w:bidi w:val="0"/>
              <w:spacing w:line="360" w:lineRule="atLeast"/>
              <w:rPr>
                <w:rFonts w:hint="eastAsia" w:ascii="宋体" w:hAnsi="宋体" w:eastAsia="宋体" w:cs="宋体"/>
                <w:sz w:val="21"/>
                <w:szCs w:val="21"/>
              </w:rPr>
            </w:pPr>
          </w:p>
        </w:tc>
        <w:tc>
          <w:tcPr>
            <w:tcW w:w="3895" w:type="dxa"/>
            <w:vMerge w:val="continue"/>
            <w:tcBorders>
              <w:tl2br w:val="nil"/>
              <w:tr2bl w:val="nil"/>
            </w:tcBorders>
            <w:shd w:val="clear" w:color="auto" w:fill="auto"/>
            <w:vAlign w:val="center"/>
          </w:tcPr>
          <w:p w14:paraId="24B8DD48">
            <w:pPr>
              <w:pStyle w:val="49"/>
              <w:kinsoku/>
              <w:overflowPunct/>
              <w:topLinePunct w:val="0"/>
              <w:bidi w:val="0"/>
              <w:spacing w:line="360" w:lineRule="atLeast"/>
              <w:rPr>
                <w:rFonts w:hint="eastAsia" w:ascii="宋体" w:hAnsi="宋体" w:eastAsia="宋体" w:cs="宋体"/>
                <w:sz w:val="21"/>
                <w:szCs w:val="21"/>
              </w:rPr>
            </w:pPr>
          </w:p>
        </w:tc>
        <w:tc>
          <w:tcPr>
            <w:tcW w:w="810" w:type="dxa"/>
            <w:tcBorders>
              <w:tl2br w:val="nil"/>
              <w:tr2bl w:val="nil"/>
            </w:tcBorders>
            <w:shd w:val="clear" w:color="auto" w:fill="auto"/>
            <w:vAlign w:val="center"/>
          </w:tcPr>
          <w:p w14:paraId="63E995B1">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班组</w:t>
            </w:r>
          </w:p>
        </w:tc>
        <w:tc>
          <w:tcPr>
            <w:tcW w:w="949" w:type="dxa"/>
            <w:tcBorders>
              <w:tl2br w:val="nil"/>
              <w:tr2bl w:val="nil"/>
            </w:tcBorders>
            <w:shd w:val="clear" w:color="auto" w:fill="auto"/>
            <w:vAlign w:val="center"/>
          </w:tcPr>
          <w:p w14:paraId="676FE184">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专业</w:t>
            </w:r>
          </w:p>
          <w:p w14:paraId="181FADC3">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公司</w:t>
            </w:r>
          </w:p>
        </w:tc>
        <w:tc>
          <w:tcPr>
            <w:tcW w:w="954" w:type="dxa"/>
            <w:tcBorders>
              <w:tl2br w:val="nil"/>
              <w:tr2bl w:val="nil"/>
            </w:tcBorders>
            <w:shd w:val="clear" w:color="auto" w:fill="auto"/>
            <w:vAlign w:val="center"/>
          </w:tcPr>
          <w:p w14:paraId="620A4C33">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项目质检部门</w:t>
            </w:r>
          </w:p>
        </w:tc>
        <w:tc>
          <w:tcPr>
            <w:tcW w:w="701" w:type="dxa"/>
            <w:tcBorders>
              <w:tl2br w:val="nil"/>
              <w:tr2bl w:val="nil"/>
            </w:tcBorders>
            <w:shd w:val="clear" w:color="auto" w:fill="auto"/>
            <w:vAlign w:val="center"/>
          </w:tcPr>
          <w:p w14:paraId="09A1BA75">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监理</w:t>
            </w:r>
          </w:p>
        </w:tc>
        <w:tc>
          <w:tcPr>
            <w:tcW w:w="854" w:type="dxa"/>
            <w:vMerge w:val="continue"/>
            <w:tcBorders>
              <w:tl2br w:val="nil"/>
              <w:tr2bl w:val="nil"/>
            </w:tcBorders>
            <w:shd w:val="clear" w:color="auto" w:fill="auto"/>
            <w:vAlign w:val="center"/>
          </w:tcPr>
          <w:p w14:paraId="6B0FF3C1">
            <w:pPr>
              <w:pStyle w:val="49"/>
              <w:kinsoku/>
              <w:overflowPunct/>
              <w:topLinePunct w:val="0"/>
              <w:bidi w:val="0"/>
              <w:spacing w:line="360" w:lineRule="atLeast"/>
              <w:rPr>
                <w:rFonts w:hint="eastAsia" w:ascii="宋体" w:hAnsi="宋体" w:eastAsia="宋体" w:cs="宋体"/>
                <w:sz w:val="21"/>
                <w:szCs w:val="21"/>
              </w:rPr>
            </w:pPr>
          </w:p>
        </w:tc>
      </w:tr>
      <w:tr w14:paraId="2ECF97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374" w:type="dxa"/>
            <w:tcBorders>
              <w:tl2br w:val="nil"/>
              <w:tr2bl w:val="nil"/>
            </w:tcBorders>
            <w:shd w:val="clear" w:color="auto" w:fill="auto"/>
            <w:vAlign w:val="center"/>
          </w:tcPr>
          <w:p w14:paraId="060738DE">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w:t>
            </w:r>
          </w:p>
        </w:tc>
        <w:tc>
          <w:tcPr>
            <w:tcW w:w="3895" w:type="dxa"/>
            <w:tcBorders>
              <w:tl2br w:val="nil"/>
              <w:tr2bl w:val="nil"/>
            </w:tcBorders>
            <w:shd w:val="clear" w:color="auto" w:fill="auto"/>
            <w:vAlign w:val="center"/>
          </w:tcPr>
          <w:p w14:paraId="7A4F5E49">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施工中防止部件磕碰和交叉作业现象</w:t>
            </w:r>
            <w:r>
              <w:rPr>
                <w:rFonts w:hint="eastAsia" w:ascii="宋体" w:hAnsi="宋体" w:eastAsia="宋体" w:cs="宋体"/>
                <w:sz w:val="21"/>
                <w:szCs w:val="21"/>
                <w:lang w:eastAsia="zh-CN"/>
              </w:rPr>
              <w:t>。</w:t>
            </w:r>
          </w:p>
        </w:tc>
        <w:tc>
          <w:tcPr>
            <w:tcW w:w="810" w:type="dxa"/>
            <w:tcBorders>
              <w:tl2br w:val="nil"/>
              <w:tr2bl w:val="nil"/>
            </w:tcBorders>
            <w:shd w:val="clear" w:color="auto" w:fill="auto"/>
            <w:vAlign w:val="center"/>
          </w:tcPr>
          <w:p w14:paraId="317460A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t>
            </w:r>
          </w:p>
        </w:tc>
        <w:tc>
          <w:tcPr>
            <w:tcW w:w="949" w:type="dxa"/>
            <w:tcBorders>
              <w:tl2br w:val="nil"/>
              <w:tr2bl w:val="nil"/>
            </w:tcBorders>
            <w:shd w:val="clear" w:color="auto" w:fill="auto"/>
            <w:vAlign w:val="center"/>
          </w:tcPr>
          <w:p w14:paraId="599E0069">
            <w:pPr>
              <w:pStyle w:val="49"/>
              <w:kinsoku/>
              <w:overflowPunct/>
              <w:topLinePunct w:val="0"/>
              <w:bidi w:val="0"/>
              <w:spacing w:line="360" w:lineRule="atLeast"/>
              <w:rPr>
                <w:rFonts w:hint="eastAsia" w:ascii="宋体" w:hAnsi="宋体" w:eastAsia="宋体" w:cs="宋体"/>
                <w:sz w:val="21"/>
                <w:szCs w:val="21"/>
              </w:rPr>
            </w:pPr>
          </w:p>
        </w:tc>
        <w:tc>
          <w:tcPr>
            <w:tcW w:w="954" w:type="dxa"/>
            <w:tcBorders>
              <w:tl2br w:val="nil"/>
              <w:tr2bl w:val="nil"/>
            </w:tcBorders>
            <w:shd w:val="clear" w:color="auto" w:fill="auto"/>
            <w:vAlign w:val="center"/>
          </w:tcPr>
          <w:p w14:paraId="3B8AE740">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t>
            </w:r>
          </w:p>
        </w:tc>
        <w:tc>
          <w:tcPr>
            <w:tcW w:w="701" w:type="dxa"/>
            <w:tcBorders>
              <w:tl2br w:val="nil"/>
              <w:tr2bl w:val="nil"/>
            </w:tcBorders>
            <w:shd w:val="clear" w:color="auto" w:fill="auto"/>
            <w:vAlign w:val="center"/>
          </w:tcPr>
          <w:p w14:paraId="1D0CD60B">
            <w:pPr>
              <w:pStyle w:val="49"/>
              <w:kinsoku/>
              <w:overflowPunct/>
              <w:topLinePunct w:val="0"/>
              <w:bidi w:val="0"/>
              <w:spacing w:line="360" w:lineRule="atLeast"/>
              <w:rPr>
                <w:rFonts w:hint="eastAsia" w:ascii="宋体" w:hAnsi="宋体" w:eastAsia="宋体" w:cs="宋体"/>
                <w:sz w:val="21"/>
                <w:szCs w:val="21"/>
              </w:rPr>
            </w:pPr>
          </w:p>
        </w:tc>
        <w:tc>
          <w:tcPr>
            <w:tcW w:w="854" w:type="dxa"/>
            <w:tcBorders>
              <w:tl2br w:val="nil"/>
              <w:tr2bl w:val="nil"/>
            </w:tcBorders>
            <w:shd w:val="clear" w:color="auto" w:fill="auto"/>
            <w:vAlign w:val="center"/>
          </w:tcPr>
          <w:p w14:paraId="297FB68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R</w:t>
            </w:r>
          </w:p>
        </w:tc>
      </w:tr>
      <w:tr w14:paraId="1CD6E1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374" w:type="dxa"/>
            <w:tcBorders>
              <w:tl2br w:val="nil"/>
              <w:tr2bl w:val="nil"/>
            </w:tcBorders>
            <w:shd w:val="clear" w:color="auto" w:fill="auto"/>
            <w:vAlign w:val="center"/>
          </w:tcPr>
          <w:p w14:paraId="5615D1E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w:t>
            </w:r>
          </w:p>
        </w:tc>
        <w:tc>
          <w:tcPr>
            <w:tcW w:w="3895" w:type="dxa"/>
            <w:tcBorders>
              <w:tl2br w:val="nil"/>
              <w:tr2bl w:val="nil"/>
            </w:tcBorders>
            <w:shd w:val="clear" w:color="auto" w:fill="auto"/>
            <w:vAlign w:val="center"/>
          </w:tcPr>
          <w:p w14:paraId="2CAF03AD">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作业工机具、卡索具完好无损，无人员、设备损伤</w:t>
            </w:r>
            <w:r>
              <w:rPr>
                <w:rFonts w:hint="eastAsia" w:ascii="宋体" w:hAnsi="宋体" w:eastAsia="宋体" w:cs="宋体"/>
                <w:sz w:val="21"/>
                <w:szCs w:val="21"/>
                <w:lang w:eastAsia="zh-CN"/>
              </w:rPr>
              <w:t>。</w:t>
            </w:r>
          </w:p>
        </w:tc>
        <w:tc>
          <w:tcPr>
            <w:tcW w:w="810" w:type="dxa"/>
            <w:tcBorders>
              <w:tl2br w:val="nil"/>
              <w:tr2bl w:val="nil"/>
            </w:tcBorders>
            <w:shd w:val="clear" w:color="auto" w:fill="auto"/>
            <w:vAlign w:val="center"/>
          </w:tcPr>
          <w:p w14:paraId="7AFE59A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t>
            </w:r>
          </w:p>
        </w:tc>
        <w:tc>
          <w:tcPr>
            <w:tcW w:w="949" w:type="dxa"/>
            <w:tcBorders>
              <w:tl2br w:val="nil"/>
              <w:tr2bl w:val="nil"/>
            </w:tcBorders>
            <w:shd w:val="clear" w:color="auto" w:fill="auto"/>
            <w:vAlign w:val="center"/>
          </w:tcPr>
          <w:p w14:paraId="18C99626">
            <w:pPr>
              <w:pStyle w:val="49"/>
              <w:kinsoku/>
              <w:overflowPunct/>
              <w:topLinePunct w:val="0"/>
              <w:bidi w:val="0"/>
              <w:spacing w:line="360" w:lineRule="atLeast"/>
              <w:rPr>
                <w:rFonts w:hint="eastAsia" w:ascii="宋体" w:hAnsi="宋体" w:eastAsia="宋体" w:cs="宋体"/>
                <w:sz w:val="21"/>
                <w:szCs w:val="21"/>
              </w:rPr>
            </w:pPr>
          </w:p>
        </w:tc>
        <w:tc>
          <w:tcPr>
            <w:tcW w:w="954" w:type="dxa"/>
            <w:tcBorders>
              <w:tl2br w:val="nil"/>
              <w:tr2bl w:val="nil"/>
            </w:tcBorders>
            <w:shd w:val="clear" w:color="auto" w:fill="auto"/>
            <w:vAlign w:val="center"/>
          </w:tcPr>
          <w:p w14:paraId="28FD3EA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t>
            </w:r>
          </w:p>
        </w:tc>
        <w:tc>
          <w:tcPr>
            <w:tcW w:w="701" w:type="dxa"/>
            <w:tcBorders>
              <w:tl2br w:val="nil"/>
              <w:tr2bl w:val="nil"/>
            </w:tcBorders>
            <w:shd w:val="clear" w:color="auto" w:fill="auto"/>
            <w:vAlign w:val="center"/>
          </w:tcPr>
          <w:p w14:paraId="1E0533DA">
            <w:pPr>
              <w:pStyle w:val="49"/>
              <w:kinsoku/>
              <w:overflowPunct/>
              <w:topLinePunct w:val="0"/>
              <w:bidi w:val="0"/>
              <w:spacing w:line="360" w:lineRule="atLeast"/>
              <w:rPr>
                <w:rFonts w:hint="eastAsia" w:ascii="宋体" w:hAnsi="宋体" w:eastAsia="宋体" w:cs="宋体"/>
                <w:sz w:val="21"/>
                <w:szCs w:val="21"/>
              </w:rPr>
            </w:pPr>
          </w:p>
        </w:tc>
        <w:tc>
          <w:tcPr>
            <w:tcW w:w="854" w:type="dxa"/>
            <w:tcBorders>
              <w:tl2br w:val="nil"/>
              <w:tr2bl w:val="nil"/>
            </w:tcBorders>
            <w:shd w:val="clear" w:color="auto" w:fill="auto"/>
            <w:vAlign w:val="center"/>
          </w:tcPr>
          <w:p w14:paraId="4A31EFB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S</w:t>
            </w:r>
          </w:p>
        </w:tc>
      </w:tr>
      <w:tr w14:paraId="2C1DC4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374" w:type="dxa"/>
            <w:tcBorders>
              <w:tl2br w:val="nil"/>
              <w:tr2bl w:val="nil"/>
            </w:tcBorders>
            <w:shd w:val="clear" w:color="auto" w:fill="auto"/>
            <w:vAlign w:val="center"/>
          </w:tcPr>
          <w:p w14:paraId="7DEB80D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w:t>
            </w:r>
          </w:p>
        </w:tc>
        <w:tc>
          <w:tcPr>
            <w:tcW w:w="3895" w:type="dxa"/>
            <w:tcBorders>
              <w:tl2br w:val="nil"/>
              <w:tr2bl w:val="nil"/>
            </w:tcBorders>
            <w:shd w:val="clear" w:color="auto" w:fill="auto"/>
            <w:vAlign w:val="center"/>
          </w:tcPr>
          <w:p w14:paraId="5535B991">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各组件、零部件安全顺利</w:t>
            </w:r>
            <w:r>
              <w:rPr>
                <w:rFonts w:hint="eastAsia" w:cs="宋体"/>
                <w:sz w:val="21"/>
                <w:szCs w:val="21"/>
                <w:lang w:eastAsia="zh-CN"/>
              </w:rPr>
              <w:t>拆除</w:t>
            </w:r>
            <w:r>
              <w:rPr>
                <w:rFonts w:hint="eastAsia" w:ascii="宋体" w:hAnsi="宋体" w:eastAsia="宋体" w:cs="宋体"/>
                <w:sz w:val="21"/>
                <w:szCs w:val="21"/>
              </w:rPr>
              <w:t>、</w:t>
            </w:r>
            <w:r>
              <w:rPr>
                <w:rFonts w:hint="eastAsia" w:cs="宋体"/>
                <w:sz w:val="21"/>
                <w:szCs w:val="21"/>
                <w:lang w:eastAsia="zh-CN"/>
              </w:rPr>
              <w:t>拆除</w:t>
            </w:r>
            <w:r>
              <w:rPr>
                <w:rFonts w:hint="eastAsia" w:ascii="宋体" w:hAnsi="宋体" w:eastAsia="宋体" w:cs="宋体"/>
                <w:sz w:val="21"/>
                <w:szCs w:val="21"/>
              </w:rPr>
              <w:t>，无损坏或变形</w:t>
            </w:r>
            <w:r>
              <w:rPr>
                <w:rFonts w:hint="eastAsia" w:ascii="宋体" w:hAnsi="宋体" w:eastAsia="宋体" w:cs="宋体"/>
                <w:sz w:val="21"/>
                <w:szCs w:val="21"/>
                <w:lang w:eastAsia="zh-CN"/>
              </w:rPr>
              <w:t>。</w:t>
            </w:r>
          </w:p>
        </w:tc>
        <w:tc>
          <w:tcPr>
            <w:tcW w:w="810" w:type="dxa"/>
            <w:tcBorders>
              <w:tl2br w:val="nil"/>
              <w:tr2bl w:val="nil"/>
            </w:tcBorders>
            <w:shd w:val="clear" w:color="auto" w:fill="auto"/>
            <w:vAlign w:val="center"/>
          </w:tcPr>
          <w:p w14:paraId="1FEACCB4">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t>
            </w:r>
          </w:p>
        </w:tc>
        <w:tc>
          <w:tcPr>
            <w:tcW w:w="949" w:type="dxa"/>
            <w:tcBorders>
              <w:tl2br w:val="nil"/>
              <w:tr2bl w:val="nil"/>
            </w:tcBorders>
            <w:shd w:val="clear" w:color="auto" w:fill="auto"/>
            <w:vAlign w:val="center"/>
          </w:tcPr>
          <w:p w14:paraId="24DCB811">
            <w:pPr>
              <w:pStyle w:val="49"/>
              <w:kinsoku/>
              <w:overflowPunct/>
              <w:topLinePunct w:val="0"/>
              <w:bidi w:val="0"/>
              <w:spacing w:line="360" w:lineRule="atLeast"/>
              <w:rPr>
                <w:rFonts w:hint="eastAsia" w:ascii="宋体" w:hAnsi="宋体" w:eastAsia="宋体" w:cs="宋体"/>
                <w:sz w:val="21"/>
                <w:szCs w:val="21"/>
              </w:rPr>
            </w:pPr>
          </w:p>
        </w:tc>
        <w:tc>
          <w:tcPr>
            <w:tcW w:w="954" w:type="dxa"/>
            <w:tcBorders>
              <w:tl2br w:val="nil"/>
              <w:tr2bl w:val="nil"/>
            </w:tcBorders>
            <w:shd w:val="clear" w:color="auto" w:fill="auto"/>
            <w:vAlign w:val="center"/>
          </w:tcPr>
          <w:p w14:paraId="5CA707E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t>
            </w:r>
          </w:p>
        </w:tc>
        <w:tc>
          <w:tcPr>
            <w:tcW w:w="701" w:type="dxa"/>
            <w:tcBorders>
              <w:tl2br w:val="nil"/>
              <w:tr2bl w:val="nil"/>
            </w:tcBorders>
            <w:shd w:val="clear" w:color="auto" w:fill="auto"/>
            <w:vAlign w:val="center"/>
          </w:tcPr>
          <w:p w14:paraId="03AD50D5">
            <w:pPr>
              <w:pStyle w:val="49"/>
              <w:kinsoku/>
              <w:overflowPunct/>
              <w:topLinePunct w:val="0"/>
              <w:bidi w:val="0"/>
              <w:spacing w:line="360" w:lineRule="atLeast"/>
              <w:rPr>
                <w:rFonts w:hint="eastAsia" w:ascii="宋体" w:hAnsi="宋体" w:eastAsia="宋体" w:cs="宋体"/>
                <w:sz w:val="21"/>
                <w:szCs w:val="21"/>
              </w:rPr>
            </w:pPr>
          </w:p>
        </w:tc>
        <w:tc>
          <w:tcPr>
            <w:tcW w:w="854" w:type="dxa"/>
            <w:tcBorders>
              <w:tl2br w:val="nil"/>
              <w:tr2bl w:val="nil"/>
            </w:tcBorders>
            <w:shd w:val="clear" w:color="auto" w:fill="auto"/>
            <w:vAlign w:val="center"/>
          </w:tcPr>
          <w:p w14:paraId="502816A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w:t>
            </w:r>
          </w:p>
        </w:tc>
      </w:tr>
      <w:tr w14:paraId="201ABE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374" w:type="dxa"/>
            <w:tcBorders>
              <w:tl2br w:val="nil"/>
              <w:tr2bl w:val="nil"/>
            </w:tcBorders>
            <w:shd w:val="clear" w:color="auto" w:fill="auto"/>
            <w:vAlign w:val="center"/>
          </w:tcPr>
          <w:p w14:paraId="199AEC4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w:t>
            </w:r>
          </w:p>
        </w:tc>
        <w:tc>
          <w:tcPr>
            <w:tcW w:w="3895" w:type="dxa"/>
            <w:tcBorders>
              <w:tl2br w:val="nil"/>
              <w:tr2bl w:val="nil"/>
            </w:tcBorders>
            <w:shd w:val="clear" w:color="auto" w:fill="auto"/>
            <w:vAlign w:val="center"/>
          </w:tcPr>
          <w:p w14:paraId="077575E4">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做好各组件、零部件</w:t>
            </w:r>
            <w:r>
              <w:rPr>
                <w:rFonts w:hint="eastAsia" w:cs="宋体"/>
                <w:sz w:val="21"/>
                <w:szCs w:val="21"/>
                <w:lang w:eastAsia="zh-CN"/>
              </w:rPr>
              <w:t>拆除</w:t>
            </w:r>
            <w:r>
              <w:rPr>
                <w:rFonts w:hint="eastAsia" w:ascii="宋体" w:hAnsi="宋体" w:eastAsia="宋体" w:cs="宋体"/>
                <w:sz w:val="21"/>
                <w:szCs w:val="21"/>
              </w:rPr>
              <w:t>后清点、整理和存放工作。</w:t>
            </w:r>
          </w:p>
        </w:tc>
        <w:tc>
          <w:tcPr>
            <w:tcW w:w="810" w:type="dxa"/>
            <w:tcBorders>
              <w:tl2br w:val="nil"/>
              <w:tr2bl w:val="nil"/>
            </w:tcBorders>
            <w:shd w:val="clear" w:color="auto" w:fill="auto"/>
            <w:vAlign w:val="center"/>
          </w:tcPr>
          <w:p w14:paraId="3CF7B77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t>
            </w:r>
          </w:p>
        </w:tc>
        <w:tc>
          <w:tcPr>
            <w:tcW w:w="949" w:type="dxa"/>
            <w:tcBorders>
              <w:tl2br w:val="nil"/>
              <w:tr2bl w:val="nil"/>
            </w:tcBorders>
            <w:shd w:val="clear" w:color="auto" w:fill="auto"/>
            <w:vAlign w:val="center"/>
          </w:tcPr>
          <w:p w14:paraId="721AAF5C">
            <w:pPr>
              <w:pStyle w:val="49"/>
              <w:kinsoku/>
              <w:overflowPunct/>
              <w:topLinePunct w:val="0"/>
              <w:bidi w:val="0"/>
              <w:spacing w:line="360" w:lineRule="atLeast"/>
              <w:rPr>
                <w:rFonts w:hint="eastAsia" w:ascii="宋体" w:hAnsi="宋体" w:eastAsia="宋体" w:cs="宋体"/>
                <w:sz w:val="21"/>
                <w:szCs w:val="21"/>
              </w:rPr>
            </w:pPr>
          </w:p>
        </w:tc>
        <w:tc>
          <w:tcPr>
            <w:tcW w:w="954" w:type="dxa"/>
            <w:tcBorders>
              <w:tl2br w:val="nil"/>
              <w:tr2bl w:val="nil"/>
            </w:tcBorders>
            <w:shd w:val="clear" w:color="auto" w:fill="auto"/>
            <w:vAlign w:val="center"/>
          </w:tcPr>
          <w:p w14:paraId="068FD52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t>
            </w:r>
          </w:p>
        </w:tc>
        <w:tc>
          <w:tcPr>
            <w:tcW w:w="701" w:type="dxa"/>
            <w:tcBorders>
              <w:tl2br w:val="nil"/>
              <w:tr2bl w:val="nil"/>
            </w:tcBorders>
            <w:shd w:val="clear" w:color="auto" w:fill="auto"/>
            <w:vAlign w:val="center"/>
          </w:tcPr>
          <w:p w14:paraId="444EB577">
            <w:pPr>
              <w:pStyle w:val="49"/>
              <w:kinsoku/>
              <w:overflowPunct/>
              <w:topLinePunct w:val="0"/>
              <w:bidi w:val="0"/>
              <w:spacing w:line="360" w:lineRule="atLeast"/>
              <w:rPr>
                <w:rFonts w:hint="eastAsia" w:ascii="宋体" w:hAnsi="宋体" w:eastAsia="宋体" w:cs="宋体"/>
                <w:sz w:val="21"/>
                <w:szCs w:val="21"/>
              </w:rPr>
            </w:pPr>
          </w:p>
        </w:tc>
        <w:tc>
          <w:tcPr>
            <w:tcW w:w="854" w:type="dxa"/>
            <w:tcBorders>
              <w:tl2br w:val="nil"/>
              <w:tr2bl w:val="nil"/>
            </w:tcBorders>
            <w:shd w:val="clear" w:color="auto" w:fill="auto"/>
            <w:vAlign w:val="center"/>
          </w:tcPr>
          <w:p w14:paraId="64BDBEF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w:t>
            </w:r>
          </w:p>
        </w:tc>
      </w:tr>
      <w:tr w14:paraId="11D25F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jc w:val="center"/>
        </w:trPr>
        <w:tc>
          <w:tcPr>
            <w:tcW w:w="1374" w:type="dxa"/>
            <w:tcBorders>
              <w:tl2br w:val="nil"/>
              <w:tr2bl w:val="nil"/>
            </w:tcBorders>
            <w:shd w:val="clear" w:color="auto" w:fill="auto"/>
            <w:vAlign w:val="center"/>
          </w:tcPr>
          <w:p w14:paraId="330F5D1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w:t>
            </w:r>
          </w:p>
        </w:tc>
        <w:tc>
          <w:tcPr>
            <w:tcW w:w="3895" w:type="dxa"/>
            <w:tcBorders>
              <w:tl2br w:val="nil"/>
              <w:tr2bl w:val="nil"/>
            </w:tcBorders>
            <w:shd w:val="clear" w:color="auto" w:fill="auto"/>
            <w:vAlign w:val="center"/>
          </w:tcPr>
          <w:p w14:paraId="685E3190">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作业方法应该按照说明书和本方案要求严格执行</w:t>
            </w:r>
            <w:r>
              <w:rPr>
                <w:rFonts w:hint="eastAsia" w:ascii="宋体" w:hAnsi="宋体" w:eastAsia="宋体" w:cs="宋体"/>
                <w:sz w:val="21"/>
                <w:szCs w:val="21"/>
                <w:lang w:eastAsia="zh-CN"/>
              </w:rPr>
              <w:t>。</w:t>
            </w:r>
          </w:p>
        </w:tc>
        <w:tc>
          <w:tcPr>
            <w:tcW w:w="810" w:type="dxa"/>
            <w:tcBorders>
              <w:tl2br w:val="nil"/>
              <w:tr2bl w:val="nil"/>
            </w:tcBorders>
            <w:shd w:val="clear" w:color="auto" w:fill="auto"/>
            <w:vAlign w:val="center"/>
          </w:tcPr>
          <w:p w14:paraId="768EE000">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t>
            </w:r>
          </w:p>
        </w:tc>
        <w:tc>
          <w:tcPr>
            <w:tcW w:w="949" w:type="dxa"/>
            <w:tcBorders>
              <w:tl2br w:val="nil"/>
              <w:tr2bl w:val="nil"/>
            </w:tcBorders>
            <w:shd w:val="clear" w:color="auto" w:fill="auto"/>
            <w:vAlign w:val="center"/>
          </w:tcPr>
          <w:p w14:paraId="73CB53D8">
            <w:pPr>
              <w:pStyle w:val="49"/>
              <w:kinsoku/>
              <w:overflowPunct/>
              <w:topLinePunct w:val="0"/>
              <w:bidi w:val="0"/>
              <w:spacing w:line="360" w:lineRule="atLeast"/>
              <w:rPr>
                <w:rFonts w:hint="eastAsia" w:ascii="宋体" w:hAnsi="宋体" w:eastAsia="宋体" w:cs="宋体"/>
                <w:sz w:val="21"/>
                <w:szCs w:val="21"/>
              </w:rPr>
            </w:pPr>
          </w:p>
        </w:tc>
        <w:tc>
          <w:tcPr>
            <w:tcW w:w="954" w:type="dxa"/>
            <w:tcBorders>
              <w:tl2br w:val="nil"/>
              <w:tr2bl w:val="nil"/>
            </w:tcBorders>
            <w:shd w:val="clear" w:color="auto" w:fill="auto"/>
            <w:vAlign w:val="center"/>
          </w:tcPr>
          <w:p w14:paraId="63C1794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w:t>
            </w:r>
          </w:p>
        </w:tc>
        <w:tc>
          <w:tcPr>
            <w:tcW w:w="701" w:type="dxa"/>
            <w:tcBorders>
              <w:tl2br w:val="nil"/>
              <w:tr2bl w:val="nil"/>
            </w:tcBorders>
            <w:shd w:val="clear" w:color="auto" w:fill="auto"/>
            <w:vAlign w:val="center"/>
          </w:tcPr>
          <w:p w14:paraId="5CCEC5B5">
            <w:pPr>
              <w:pStyle w:val="49"/>
              <w:kinsoku/>
              <w:overflowPunct/>
              <w:topLinePunct w:val="0"/>
              <w:bidi w:val="0"/>
              <w:spacing w:line="360" w:lineRule="atLeast"/>
              <w:rPr>
                <w:rFonts w:hint="eastAsia" w:ascii="宋体" w:hAnsi="宋体" w:eastAsia="宋体" w:cs="宋体"/>
                <w:sz w:val="21"/>
                <w:szCs w:val="21"/>
              </w:rPr>
            </w:pPr>
          </w:p>
        </w:tc>
        <w:tc>
          <w:tcPr>
            <w:tcW w:w="854" w:type="dxa"/>
            <w:tcBorders>
              <w:tl2br w:val="nil"/>
              <w:tr2bl w:val="nil"/>
            </w:tcBorders>
            <w:shd w:val="clear" w:color="auto" w:fill="auto"/>
            <w:vAlign w:val="center"/>
          </w:tcPr>
          <w:p w14:paraId="41489094">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R</w:t>
            </w:r>
          </w:p>
        </w:tc>
      </w:tr>
    </w:tbl>
    <w:p w14:paraId="19F9DFB4">
      <w:pPr>
        <w:keepNext w:val="0"/>
        <w:widowControl w:val="0"/>
        <w:kinsoku/>
        <w:overflowPunct/>
        <w:topLinePunct w:val="0"/>
        <w:autoSpaceDE/>
        <w:autoSpaceDN/>
        <w:bidi w:val="0"/>
        <w:adjustRightInd/>
        <w:snapToGrid/>
        <w:spacing w:line="480" w:lineRule="atLeast"/>
        <w:ind w:firstLine="440"/>
        <w:textAlignment w:val="auto"/>
        <w:rPr>
          <w:rFonts w:hint="eastAsia" w:ascii="宋体" w:hAnsi="宋体" w:eastAsia="宋体" w:cs="宋体"/>
          <w:sz w:val="24"/>
          <w:szCs w:val="24"/>
        </w:rPr>
      </w:pPr>
      <w:r>
        <w:rPr>
          <w:rFonts w:hint="eastAsia" w:ascii="宋体" w:hAnsi="宋体" w:eastAsia="宋体" w:cs="宋体"/>
          <w:sz w:val="24"/>
          <w:szCs w:val="24"/>
        </w:rPr>
        <w:t>见证方式:R－记录确认点；W－见证点；H－停工待检点；S－连续监视监护</w:t>
      </w:r>
    </w:p>
    <w:p w14:paraId="7A34C809">
      <w:pPr>
        <w:pStyle w:val="2"/>
        <w:keepNext w:val="0"/>
        <w:widowControl w:val="0"/>
        <w:numPr>
          <w:ilvl w:val="0"/>
          <w:numId w:val="1"/>
        </w:numPr>
        <w:kinsoku/>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47" w:name="_Toc11577"/>
      <w:r>
        <w:rPr>
          <w:rFonts w:hint="eastAsia" w:ascii="宋体" w:hAnsi="宋体" w:eastAsia="宋体" w:cs="宋体"/>
          <w:sz w:val="24"/>
          <w:szCs w:val="24"/>
        </w:rPr>
        <w:t>施工安全保障措施</w:t>
      </w:r>
      <w:bookmarkEnd w:id="47"/>
    </w:p>
    <w:p w14:paraId="126FD2E9">
      <w:pPr>
        <w:pStyle w:val="3"/>
        <w:keepNext w:val="0"/>
        <w:widowControl w:val="0"/>
        <w:numPr>
          <w:ilvl w:val="1"/>
          <w:numId w:val="1"/>
        </w:numPr>
        <w:kinsoku/>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bookmarkStart w:id="48" w:name="_Toc122514838"/>
      <w:bookmarkStart w:id="49" w:name="_Toc6086"/>
      <w:r>
        <w:rPr>
          <w:rFonts w:hint="eastAsia" w:ascii="宋体" w:hAnsi="宋体" w:eastAsia="宋体" w:cs="宋体"/>
          <w:sz w:val="24"/>
          <w:szCs w:val="24"/>
        </w:rPr>
        <w:t>组织保障措施</w:t>
      </w:r>
      <w:bookmarkEnd w:id="48"/>
      <w:bookmarkEnd w:id="49"/>
    </w:p>
    <w:p w14:paraId="55220B1D">
      <w:pPr>
        <w:pStyle w:val="4"/>
        <w:keepNext w:val="0"/>
        <w:widowControl w:val="0"/>
        <w:numPr>
          <w:ilvl w:val="2"/>
          <w:numId w:val="1"/>
        </w:numPr>
        <w:kinsoku/>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bookmarkStart w:id="50" w:name="_Toc48"/>
      <w:bookmarkStart w:id="51" w:name="_Toc25637"/>
      <w:bookmarkStart w:id="52" w:name="_Toc8188"/>
      <w:bookmarkStart w:id="53" w:name="_Toc25817"/>
      <w:bookmarkStart w:id="54" w:name="_Toc9269"/>
      <w:bookmarkStart w:id="55" w:name="_Toc499370314"/>
      <w:bookmarkStart w:id="56" w:name="_Toc27838935"/>
      <w:bookmarkStart w:id="57" w:name="_Toc18608"/>
      <w:bookmarkStart w:id="58" w:name="_Toc499850192"/>
      <w:r>
        <w:rPr>
          <w:rFonts w:hint="eastAsia" w:ascii="宋体" w:hAnsi="宋体" w:eastAsia="宋体" w:cs="宋体"/>
          <w:sz w:val="24"/>
          <w:szCs w:val="24"/>
        </w:rPr>
        <w:t>安全</w:t>
      </w:r>
      <w:bookmarkEnd w:id="50"/>
      <w:r>
        <w:rPr>
          <w:rFonts w:hint="eastAsia" w:ascii="宋体" w:hAnsi="宋体" w:eastAsia="宋体" w:cs="宋体"/>
          <w:sz w:val="24"/>
          <w:szCs w:val="24"/>
        </w:rPr>
        <w:t>生产组织机构</w:t>
      </w:r>
      <w:bookmarkEnd w:id="51"/>
      <w:bookmarkEnd w:id="52"/>
      <w:bookmarkEnd w:id="53"/>
      <w:bookmarkEnd w:id="54"/>
      <w:bookmarkEnd w:id="55"/>
      <w:bookmarkEnd w:id="56"/>
      <w:bookmarkEnd w:id="57"/>
      <w:bookmarkEnd w:id="58"/>
    </w:p>
    <w:p w14:paraId="7A51E680">
      <w:pPr>
        <w:bidi w:val="0"/>
        <w:rPr>
          <w:rFonts w:hint="eastAsia"/>
        </w:rPr>
      </w:pPr>
      <w:r>
        <w:rPr>
          <w:rFonts w:hint="eastAsia"/>
        </w:rPr>
        <w:t>设置以项目经理为第一安全责任人的安全生产管理机构，建立由项目经理、书记任组长、其他项目班子成员任副组长，由安全管理部牵头、项目部相关职能部门、各工区、班组</w:t>
      </w:r>
      <w:r>
        <w:rPr>
          <w:rFonts w:hint="eastAsia"/>
          <w:lang w:eastAsia="zh-CN"/>
        </w:rPr>
        <w:t>、</w:t>
      </w:r>
      <w:r>
        <w:rPr>
          <w:rFonts w:hint="eastAsia"/>
          <w:lang w:val="en-US" w:eastAsia="zh-CN"/>
        </w:rPr>
        <w:t>拆除单位</w:t>
      </w:r>
      <w:r>
        <w:rPr>
          <w:rFonts w:hint="eastAsia"/>
        </w:rPr>
        <w:t>负责人为成员的安全生产领导小组。安全生产领导小组的活动贯穿于项目管理、施工技术管理、施工现场管理的全过程。</w:t>
      </w:r>
    </w:p>
    <w:p w14:paraId="4280BDD9">
      <w:pPr>
        <w:pStyle w:val="4"/>
        <w:keepNext w:val="0"/>
        <w:widowControl w:val="0"/>
        <w:numPr>
          <w:ilvl w:val="2"/>
          <w:numId w:val="1"/>
        </w:numPr>
        <w:kinsoku/>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bookmarkStart w:id="59" w:name="_Toc27838938"/>
      <w:r>
        <w:rPr>
          <w:rFonts w:hint="eastAsia" w:ascii="宋体" w:hAnsi="宋体" w:eastAsia="宋体" w:cs="宋体"/>
          <w:sz w:val="24"/>
          <w:szCs w:val="24"/>
        </w:rPr>
        <w:t>制度保证措施</w:t>
      </w:r>
      <w:bookmarkEnd w:id="59"/>
    </w:p>
    <w:p w14:paraId="687BB8C0">
      <w:pPr>
        <w:numPr>
          <w:ilvl w:val="0"/>
          <w:numId w:val="26"/>
        </w:numPr>
        <w:bidi w:val="0"/>
        <w:ind w:left="425" w:leftChars="0" w:hanging="425" w:firstLineChars="0"/>
        <w:rPr>
          <w:rFonts w:hint="eastAsia"/>
        </w:rPr>
      </w:pPr>
      <w:bookmarkStart w:id="60" w:name="_Toc27838939"/>
      <w:bookmarkStart w:id="61" w:name="_Toc23891"/>
      <w:r>
        <w:rPr>
          <w:rFonts w:hint="eastAsia"/>
        </w:rPr>
        <w:t>严格执行安全生产教育与培训制度，分项工程开工前，对参建人员进行岗前安全教育培训，经培训考试合格后方可上岗。</w:t>
      </w:r>
    </w:p>
    <w:p w14:paraId="4D1413E1">
      <w:pPr>
        <w:numPr>
          <w:ilvl w:val="0"/>
          <w:numId w:val="26"/>
        </w:numPr>
        <w:bidi w:val="0"/>
        <w:ind w:left="425" w:leftChars="0" w:hanging="425" w:firstLineChars="0"/>
        <w:rPr>
          <w:rFonts w:hint="eastAsia"/>
        </w:rPr>
      </w:pPr>
      <w:r>
        <w:rPr>
          <w:rFonts w:hint="eastAsia"/>
        </w:rPr>
        <w:t>严格执行特殊工种持证上岗制度，分项工程开工前，对特种作业人员进行专业安全培训，取得相应资格证书后，持证上岗。</w:t>
      </w:r>
    </w:p>
    <w:p w14:paraId="73167947">
      <w:pPr>
        <w:numPr>
          <w:ilvl w:val="0"/>
          <w:numId w:val="26"/>
        </w:numPr>
        <w:bidi w:val="0"/>
        <w:ind w:left="425" w:leftChars="0" w:hanging="425" w:firstLineChars="0"/>
        <w:rPr>
          <w:rFonts w:hint="eastAsia"/>
        </w:rPr>
      </w:pPr>
      <w:r>
        <w:rPr>
          <w:rFonts w:hint="eastAsia"/>
        </w:rPr>
        <w:t>严格执行安全技术交底制度，使作业人员能了解作业过程中可能存在的事故隐患，交底采用书面安全技术交底和现场安全技术交底相结合的方式。</w:t>
      </w:r>
    </w:p>
    <w:p w14:paraId="10A54755">
      <w:pPr>
        <w:numPr>
          <w:ilvl w:val="0"/>
          <w:numId w:val="26"/>
        </w:numPr>
        <w:bidi w:val="0"/>
        <w:ind w:left="425" w:leftChars="0" w:hanging="425" w:firstLineChars="0"/>
        <w:rPr>
          <w:rFonts w:hint="eastAsia"/>
        </w:rPr>
      </w:pPr>
      <w:r>
        <w:rPr>
          <w:rFonts w:hint="eastAsia"/>
        </w:rPr>
        <w:t>落实安全生产责任制，项目部以安全总监主管安全生产工作，专职安全员负责日常安全管理工作，班组设兼职安全员，进行现场安全管理、指导、监督、制止违章，在危险时采取紧急措施。专职安全员持证上岗，在现场均配戴好工作标志。</w:t>
      </w:r>
    </w:p>
    <w:p w14:paraId="7FBD20F3">
      <w:pPr>
        <w:numPr>
          <w:ilvl w:val="0"/>
          <w:numId w:val="26"/>
        </w:numPr>
        <w:bidi w:val="0"/>
        <w:ind w:left="425" w:leftChars="0" w:hanging="425" w:firstLineChars="0"/>
        <w:rPr>
          <w:rFonts w:hint="eastAsia"/>
        </w:rPr>
      </w:pPr>
      <w:r>
        <w:rPr>
          <w:rFonts w:hint="eastAsia"/>
        </w:rPr>
        <w:t>执行施工许可制度，分项工程开工前，针对工程实际编制切实可行的安全措施计划，并限期实施，没有安全保障措施时工程不得开工。</w:t>
      </w:r>
    </w:p>
    <w:p w14:paraId="7108AEC1">
      <w:pPr>
        <w:numPr>
          <w:ilvl w:val="0"/>
          <w:numId w:val="26"/>
        </w:numPr>
        <w:bidi w:val="0"/>
        <w:ind w:left="425" w:leftChars="0" w:hanging="425" w:firstLineChars="0"/>
        <w:rPr>
          <w:rFonts w:hint="eastAsia"/>
        </w:rPr>
      </w:pPr>
      <w:r>
        <w:rPr>
          <w:rFonts w:hint="eastAsia"/>
        </w:rPr>
        <w:t>实行安全例会制度，每周召开一次安全会议，决定安全生产的重大事项；每周进行一次安全检查，并随时召开部门安全会议，检查总结一周的安全工作，贯彻安全领导小组的决定，落实整改措施。</w:t>
      </w:r>
    </w:p>
    <w:p w14:paraId="6A5F44A9">
      <w:pPr>
        <w:numPr>
          <w:ilvl w:val="0"/>
          <w:numId w:val="26"/>
        </w:numPr>
        <w:bidi w:val="0"/>
        <w:ind w:left="425" w:leftChars="0" w:hanging="425" w:firstLineChars="0"/>
        <w:rPr>
          <w:rFonts w:hint="eastAsia"/>
        </w:rPr>
      </w:pPr>
      <w:r>
        <w:rPr>
          <w:rFonts w:hint="eastAsia"/>
        </w:rPr>
        <w:t>完善并执行安全目标管理制度，其中包括：禁酒令、安全生产带班管理制度、安全生产教育培训制度、施工起重机械使用登记制度、机械设备安全操作规程、安全用电制度、特种作业人员持证上岗制度、安全检查制度、“三同时”制度、生产安全事故报告和调查处理制度、安全预评价制度、工伤和意外伤害保险制度、高处作业十项禁令等。</w:t>
      </w:r>
    </w:p>
    <w:p w14:paraId="48B269C3">
      <w:pPr>
        <w:numPr>
          <w:ilvl w:val="0"/>
          <w:numId w:val="26"/>
        </w:numPr>
        <w:bidi w:val="0"/>
        <w:ind w:left="425" w:leftChars="0" w:hanging="425" w:firstLineChars="0"/>
        <w:rPr>
          <w:rFonts w:hint="eastAsia"/>
        </w:rPr>
      </w:pPr>
      <w:r>
        <w:rPr>
          <w:rFonts w:hint="eastAsia"/>
        </w:rPr>
        <w:t>实行安全目标管理，层层分解落实安全指标，严格执行与经济挂钩的奖惩制度，坚决实施安全一票否决权制度。</w:t>
      </w:r>
    </w:p>
    <w:p w14:paraId="6CA22824">
      <w:pPr>
        <w:numPr>
          <w:ilvl w:val="0"/>
          <w:numId w:val="26"/>
        </w:numPr>
        <w:bidi w:val="0"/>
        <w:ind w:left="425" w:leftChars="0" w:hanging="425" w:firstLineChars="0"/>
        <w:rPr>
          <w:rFonts w:hint="eastAsia"/>
        </w:rPr>
      </w:pPr>
      <w:r>
        <w:rPr>
          <w:rFonts w:hint="eastAsia"/>
        </w:rPr>
        <w:t>严格执行危险作业许可证制度，以控制和消除各类危险作业的风险，保障危险作业的安全进行。</w:t>
      </w:r>
    </w:p>
    <w:bookmarkEnd w:id="60"/>
    <w:bookmarkEnd w:id="61"/>
    <w:p w14:paraId="044C4F44">
      <w:pPr>
        <w:pStyle w:val="3"/>
        <w:keepNext w:val="0"/>
        <w:widowControl w:val="0"/>
        <w:numPr>
          <w:ilvl w:val="1"/>
          <w:numId w:val="1"/>
        </w:numPr>
        <w:kinsoku/>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62" w:name="_Toc30660"/>
      <w:r>
        <w:rPr>
          <w:rFonts w:hint="eastAsia" w:ascii="宋体" w:hAnsi="宋体" w:eastAsia="宋体" w:cs="宋体"/>
          <w:sz w:val="24"/>
          <w:szCs w:val="24"/>
        </w:rPr>
        <w:t>施工安全技术措施</w:t>
      </w:r>
      <w:bookmarkEnd w:id="62"/>
    </w:p>
    <w:p w14:paraId="4FB5804B">
      <w:pPr>
        <w:pStyle w:val="4"/>
        <w:keepNext w:val="0"/>
        <w:widowControl w:val="0"/>
        <w:numPr>
          <w:ilvl w:val="2"/>
          <w:numId w:val="1"/>
        </w:numPr>
        <w:kinsoku/>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安全方针及基本要求</w:t>
      </w:r>
    </w:p>
    <w:p w14:paraId="6478ABC4">
      <w:pPr>
        <w:numPr>
          <w:ilvl w:val="0"/>
          <w:numId w:val="27"/>
        </w:numPr>
        <w:bidi w:val="0"/>
        <w:ind w:left="425" w:leftChars="0" w:hanging="425" w:firstLineChars="0"/>
        <w:rPr>
          <w:rFonts w:hint="eastAsia"/>
        </w:rPr>
      </w:pPr>
      <w:r>
        <w:rPr>
          <w:rFonts w:hint="eastAsia"/>
        </w:rPr>
        <w:t>认真贯彻执行、落实国家“安全第一、预防为主、综合治理”的方针，严格执行国家、地方及企业安全技术规范、规章、制度，牢固树立“安全第一”的思想，坚持预防为主的方针，落实安全生产责任制。</w:t>
      </w:r>
    </w:p>
    <w:p w14:paraId="4EEAE9EF">
      <w:pPr>
        <w:numPr>
          <w:ilvl w:val="0"/>
          <w:numId w:val="27"/>
        </w:numPr>
        <w:bidi w:val="0"/>
        <w:ind w:left="425" w:leftChars="0" w:hanging="425" w:firstLineChars="0"/>
        <w:rPr>
          <w:rFonts w:hint="eastAsia"/>
        </w:rPr>
      </w:pPr>
      <w:r>
        <w:rPr>
          <w:rFonts w:hint="eastAsia"/>
        </w:rPr>
        <w:t>建立落实安全技术交底制度，各级交底必须履行签字手续。认真做好安全检查，做到有制度，有记录。</w:t>
      </w:r>
    </w:p>
    <w:p w14:paraId="3324BE23">
      <w:pPr>
        <w:numPr>
          <w:ilvl w:val="0"/>
          <w:numId w:val="27"/>
        </w:numPr>
        <w:bidi w:val="0"/>
        <w:ind w:left="425" w:leftChars="0" w:hanging="425" w:firstLineChars="0"/>
        <w:rPr>
          <w:rFonts w:hint="eastAsia"/>
        </w:rPr>
      </w:pPr>
      <w:r>
        <w:rPr>
          <w:rFonts w:hint="eastAsia"/>
          <w:lang w:val="en-US" w:eastAsia="zh-CN"/>
        </w:rPr>
        <w:t>特种作业人员</w:t>
      </w:r>
      <w:r>
        <w:rPr>
          <w:rFonts w:hint="eastAsia"/>
        </w:rPr>
        <w:t>必须持证上岗。</w:t>
      </w:r>
    </w:p>
    <w:p w14:paraId="6A1A093F">
      <w:pPr>
        <w:numPr>
          <w:ilvl w:val="0"/>
          <w:numId w:val="27"/>
        </w:numPr>
        <w:bidi w:val="0"/>
        <w:ind w:left="425" w:leftChars="0" w:hanging="425" w:firstLineChars="0"/>
        <w:rPr>
          <w:rFonts w:hint="eastAsia"/>
        </w:rPr>
      </w:pPr>
      <w:r>
        <w:rPr>
          <w:rFonts w:hint="eastAsia"/>
          <w:lang w:eastAsia="zh-CN"/>
        </w:rPr>
        <w:t>拆除</w:t>
      </w:r>
      <w:r>
        <w:rPr>
          <w:rFonts w:hint="eastAsia"/>
        </w:rPr>
        <w:t>施工区域必须有安全距离，并设安全警示标志，专人负责危险区域警戒告示。</w:t>
      </w:r>
    </w:p>
    <w:p w14:paraId="74ECF2D2">
      <w:pPr>
        <w:numPr>
          <w:ilvl w:val="0"/>
          <w:numId w:val="27"/>
        </w:numPr>
        <w:bidi w:val="0"/>
        <w:ind w:left="425" w:leftChars="0" w:hanging="425" w:firstLineChars="0"/>
        <w:rPr>
          <w:rFonts w:hint="eastAsia"/>
        </w:rPr>
      </w:pPr>
      <w:r>
        <w:rPr>
          <w:rFonts w:hint="eastAsia"/>
        </w:rPr>
        <w:t>确保文明施工，实行统一领导，分工责任，做到现场文明施工。</w:t>
      </w:r>
    </w:p>
    <w:p w14:paraId="06B00FA6">
      <w:pPr>
        <w:pStyle w:val="4"/>
        <w:bidi w:val="0"/>
        <w:rPr>
          <w:rFonts w:hint="eastAsia" w:ascii="宋体" w:hAnsi="宋体" w:eastAsia="宋体" w:cs="宋体"/>
        </w:rPr>
      </w:pPr>
      <w:bookmarkStart w:id="63" w:name="_Toc530055690"/>
      <w:r>
        <w:rPr>
          <w:rFonts w:hint="eastAsia" w:ascii="宋体" w:hAnsi="宋体" w:eastAsia="宋体" w:cs="宋体"/>
        </w:rPr>
        <w:t>作业安全规定</w:t>
      </w:r>
    </w:p>
    <w:bookmarkEnd w:id="63"/>
    <w:p w14:paraId="12098F36">
      <w:pPr>
        <w:keepNext w:val="0"/>
        <w:keepLines w:val="0"/>
        <w:pageBreakBefore w:val="0"/>
        <w:widowControl w:val="0"/>
        <w:numPr>
          <w:ilvl w:val="0"/>
          <w:numId w:val="28"/>
        </w:numPr>
        <w:kinsoku/>
        <w:wordWrap/>
        <w:overflowPunct/>
        <w:topLinePunct w:val="0"/>
        <w:autoSpaceDE/>
        <w:autoSpaceDN/>
        <w:bidi w:val="0"/>
        <w:adjustRightInd/>
        <w:snapToGrid/>
        <w:ind w:left="0" w:firstLine="0" w:firstLineChars="0"/>
        <w:textAlignment w:val="auto"/>
        <w:rPr>
          <w:rFonts w:hint="eastAsia"/>
        </w:rPr>
      </w:pPr>
      <w:r>
        <w:rPr>
          <w:rFonts w:hint="eastAsia"/>
        </w:rPr>
        <w:t>患高血压、心脏病、贫血病、癫痫病以及其它不适于高空作业的不得从事高空作业；</w:t>
      </w:r>
    </w:p>
    <w:p w14:paraId="4BCEC039">
      <w:pPr>
        <w:keepNext w:val="0"/>
        <w:keepLines w:val="0"/>
        <w:pageBreakBefore w:val="0"/>
        <w:widowControl w:val="0"/>
        <w:numPr>
          <w:ilvl w:val="0"/>
          <w:numId w:val="28"/>
        </w:numPr>
        <w:kinsoku/>
        <w:wordWrap/>
        <w:overflowPunct/>
        <w:topLinePunct w:val="0"/>
        <w:autoSpaceDE/>
        <w:autoSpaceDN/>
        <w:bidi w:val="0"/>
        <w:adjustRightInd/>
        <w:snapToGrid/>
        <w:ind w:left="0" w:firstLine="0" w:firstLineChars="0"/>
        <w:textAlignment w:val="auto"/>
        <w:rPr>
          <w:rFonts w:hint="eastAsia"/>
        </w:rPr>
      </w:pPr>
      <w:r>
        <w:rPr>
          <w:rFonts w:hint="eastAsia"/>
        </w:rPr>
        <w:t>高空作业衣着要灵便，禁止穿硬底和带钉易滑的鞋。衣服袖口、裤脚口要扎紧。</w:t>
      </w:r>
    </w:p>
    <w:p w14:paraId="663BA356">
      <w:pPr>
        <w:keepNext w:val="0"/>
        <w:keepLines w:val="0"/>
        <w:pageBreakBefore w:val="0"/>
        <w:widowControl w:val="0"/>
        <w:numPr>
          <w:ilvl w:val="0"/>
          <w:numId w:val="28"/>
        </w:numPr>
        <w:kinsoku/>
        <w:wordWrap/>
        <w:overflowPunct/>
        <w:topLinePunct w:val="0"/>
        <w:autoSpaceDE/>
        <w:autoSpaceDN/>
        <w:bidi w:val="0"/>
        <w:adjustRightInd/>
        <w:snapToGrid/>
        <w:ind w:left="0" w:firstLine="0" w:firstLineChars="0"/>
        <w:textAlignment w:val="auto"/>
        <w:rPr>
          <w:rFonts w:hint="eastAsia"/>
        </w:rPr>
      </w:pPr>
      <w:r>
        <w:rPr>
          <w:rFonts w:hint="eastAsia"/>
        </w:rPr>
        <w:t>在2m以上登高作业时，应使用安全带拴牢在固定物上，使用安全带前必须仔细检查绳带是否够力，带环是否牢固。</w:t>
      </w:r>
    </w:p>
    <w:p w14:paraId="539DACB9">
      <w:pPr>
        <w:keepNext w:val="0"/>
        <w:keepLines w:val="0"/>
        <w:pageBreakBefore w:val="0"/>
        <w:widowControl w:val="0"/>
        <w:numPr>
          <w:ilvl w:val="0"/>
          <w:numId w:val="28"/>
        </w:numPr>
        <w:kinsoku/>
        <w:wordWrap/>
        <w:overflowPunct/>
        <w:topLinePunct w:val="0"/>
        <w:autoSpaceDE/>
        <w:autoSpaceDN/>
        <w:bidi w:val="0"/>
        <w:adjustRightInd/>
        <w:snapToGrid/>
        <w:ind w:left="0" w:firstLine="0" w:firstLineChars="0"/>
        <w:textAlignment w:val="auto"/>
        <w:rPr>
          <w:rFonts w:hint="eastAsia"/>
        </w:rPr>
      </w:pPr>
      <w:r>
        <w:rPr>
          <w:rFonts w:hint="eastAsia"/>
        </w:rPr>
        <w:t>登高作业注意力要集中，不得开玩笑，不得快跑急跳，以防失足，从高空中滑落。</w:t>
      </w:r>
    </w:p>
    <w:p w14:paraId="6E3C9460">
      <w:pPr>
        <w:keepNext w:val="0"/>
        <w:keepLines w:val="0"/>
        <w:pageBreakBefore w:val="0"/>
        <w:widowControl w:val="0"/>
        <w:numPr>
          <w:ilvl w:val="0"/>
          <w:numId w:val="28"/>
        </w:numPr>
        <w:kinsoku/>
        <w:wordWrap/>
        <w:overflowPunct/>
        <w:topLinePunct w:val="0"/>
        <w:autoSpaceDE/>
        <w:autoSpaceDN/>
        <w:bidi w:val="0"/>
        <w:adjustRightInd/>
        <w:snapToGrid/>
        <w:ind w:left="0" w:firstLine="0" w:firstLineChars="0"/>
        <w:textAlignment w:val="auto"/>
        <w:rPr>
          <w:rFonts w:hint="eastAsia"/>
        </w:rPr>
      </w:pPr>
      <w:r>
        <w:rPr>
          <w:rFonts w:hint="eastAsia"/>
        </w:rPr>
        <w:t>高空作业用材料要堆放平稳，工具应随手放入工具袋内，同时用细绳联接工具与作业人员，上下递物件禁止抛掷。螺栓等各种小件物品放入小铁桶。</w:t>
      </w:r>
    </w:p>
    <w:p w14:paraId="6D89F050">
      <w:pPr>
        <w:pStyle w:val="4"/>
        <w:keepNext w:val="0"/>
        <w:widowControl w:val="0"/>
        <w:numPr>
          <w:ilvl w:val="2"/>
          <w:numId w:val="1"/>
        </w:numPr>
        <w:kinsoku/>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塔吊</w:t>
      </w:r>
      <w:r>
        <w:rPr>
          <w:rFonts w:hint="eastAsia" w:cs="宋体"/>
          <w:sz w:val="24"/>
          <w:szCs w:val="24"/>
          <w:lang w:eastAsia="zh-CN"/>
        </w:rPr>
        <w:t>拆除</w:t>
      </w:r>
      <w:r>
        <w:rPr>
          <w:rFonts w:hint="eastAsia" w:ascii="宋体" w:hAnsi="宋体" w:eastAsia="宋体" w:cs="宋体"/>
          <w:sz w:val="24"/>
          <w:szCs w:val="24"/>
        </w:rPr>
        <w:t>作业班组安全教育培训计划</w:t>
      </w:r>
    </w:p>
    <w:p w14:paraId="71D2B7CD">
      <w:pPr>
        <w:pStyle w:val="13"/>
        <w:keepNext w:val="0"/>
        <w:widowControl w:val="0"/>
        <w:kinsoku/>
        <w:overflowPunct/>
        <w:topLinePunct w:val="0"/>
        <w:autoSpaceDE/>
        <w:autoSpaceDN/>
        <w:bidi w:val="0"/>
        <w:adjustRightInd/>
        <w:snapToGrid/>
        <w:spacing w:line="480" w:lineRule="atLeast"/>
        <w:textAlignment w:val="auto"/>
        <w:rPr>
          <w:rFonts w:hint="eastAsia" w:ascii="宋体" w:hAnsi="宋体" w:eastAsia="宋体" w:cs="宋体"/>
          <w:sz w:val="21"/>
          <w:szCs w:val="21"/>
        </w:rPr>
      </w:pPr>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lang w:val="en-US" w:eastAsia="zh-CN"/>
        </w:rPr>
        <w:t>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t>.3</w:t>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塔吊</w:t>
      </w:r>
      <w:r>
        <w:rPr>
          <w:rFonts w:hint="eastAsia" w:ascii="宋体" w:hAnsi="宋体" w:cs="宋体"/>
          <w:sz w:val="24"/>
          <w:szCs w:val="24"/>
          <w:lang w:eastAsia="zh-CN"/>
        </w:rPr>
        <w:t>拆除</w:t>
      </w:r>
      <w:r>
        <w:rPr>
          <w:rFonts w:hint="eastAsia" w:ascii="宋体" w:hAnsi="宋体" w:eastAsia="宋体" w:cs="宋体"/>
          <w:sz w:val="24"/>
          <w:szCs w:val="24"/>
        </w:rPr>
        <w:t>作业班组安全教育培训计划表</w:t>
      </w:r>
    </w:p>
    <w:tbl>
      <w:tblPr>
        <w:tblStyle w:val="15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696"/>
        <w:gridCol w:w="3424"/>
        <w:gridCol w:w="1602"/>
        <w:gridCol w:w="1151"/>
        <w:gridCol w:w="1831"/>
        <w:gridCol w:w="1151"/>
      </w:tblGrid>
      <w:tr w14:paraId="38502F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1095" w:hRule="atLeast"/>
        </w:trPr>
        <w:tc>
          <w:tcPr>
            <w:tcW w:w="353" w:type="pct"/>
            <w:tcBorders>
              <w:tl2br w:val="nil"/>
              <w:tr2bl w:val="nil"/>
            </w:tcBorders>
            <w:shd w:val="clear" w:color="auto" w:fill="auto"/>
            <w:vAlign w:val="center"/>
          </w:tcPr>
          <w:p w14:paraId="0463925D">
            <w:pPr>
              <w:pStyle w:val="49"/>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序号</w:t>
            </w:r>
          </w:p>
        </w:tc>
        <w:tc>
          <w:tcPr>
            <w:tcW w:w="1737" w:type="pct"/>
            <w:tcBorders>
              <w:tl2br w:val="nil"/>
              <w:tr2bl w:val="nil"/>
            </w:tcBorders>
            <w:shd w:val="clear" w:color="auto" w:fill="auto"/>
            <w:vAlign w:val="center"/>
          </w:tcPr>
          <w:p w14:paraId="77F772DF">
            <w:pPr>
              <w:pStyle w:val="49"/>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教育培训名称</w:t>
            </w:r>
          </w:p>
        </w:tc>
        <w:tc>
          <w:tcPr>
            <w:tcW w:w="813" w:type="pct"/>
            <w:tcBorders>
              <w:tl2br w:val="nil"/>
              <w:tr2bl w:val="nil"/>
            </w:tcBorders>
            <w:shd w:val="clear" w:color="auto" w:fill="auto"/>
            <w:vAlign w:val="center"/>
          </w:tcPr>
          <w:p w14:paraId="3A69A8BA">
            <w:pPr>
              <w:pStyle w:val="49"/>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类别</w:t>
            </w:r>
          </w:p>
        </w:tc>
        <w:tc>
          <w:tcPr>
            <w:tcW w:w="584" w:type="pct"/>
            <w:tcBorders>
              <w:tl2br w:val="nil"/>
              <w:tr2bl w:val="nil"/>
            </w:tcBorders>
            <w:shd w:val="clear" w:color="auto" w:fill="auto"/>
            <w:vAlign w:val="center"/>
          </w:tcPr>
          <w:p w14:paraId="50339267">
            <w:pPr>
              <w:pStyle w:val="49"/>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责任部门</w:t>
            </w:r>
          </w:p>
        </w:tc>
        <w:tc>
          <w:tcPr>
            <w:tcW w:w="929" w:type="pct"/>
            <w:tcBorders>
              <w:tl2br w:val="nil"/>
              <w:tr2bl w:val="nil"/>
            </w:tcBorders>
            <w:shd w:val="clear" w:color="auto" w:fill="auto"/>
            <w:vAlign w:val="center"/>
          </w:tcPr>
          <w:p w14:paraId="7FA64A2B">
            <w:pPr>
              <w:pStyle w:val="49"/>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协助部门</w:t>
            </w:r>
          </w:p>
        </w:tc>
        <w:tc>
          <w:tcPr>
            <w:tcW w:w="584" w:type="pct"/>
            <w:tcBorders>
              <w:tl2br w:val="nil"/>
              <w:tr2bl w:val="nil"/>
            </w:tcBorders>
            <w:shd w:val="clear" w:color="auto" w:fill="auto"/>
            <w:vAlign w:val="center"/>
          </w:tcPr>
          <w:p w14:paraId="47C09B34">
            <w:pPr>
              <w:pStyle w:val="49"/>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计划时间</w:t>
            </w:r>
          </w:p>
        </w:tc>
      </w:tr>
      <w:tr w14:paraId="7DBB8E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569" w:hRule="atLeast"/>
        </w:trPr>
        <w:tc>
          <w:tcPr>
            <w:tcW w:w="353" w:type="pct"/>
            <w:tcBorders>
              <w:tl2br w:val="nil"/>
              <w:tr2bl w:val="nil"/>
            </w:tcBorders>
            <w:shd w:val="clear" w:color="auto" w:fill="auto"/>
            <w:vAlign w:val="center"/>
          </w:tcPr>
          <w:p w14:paraId="4DAE135F">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1737" w:type="pct"/>
            <w:tcBorders>
              <w:tl2br w:val="nil"/>
              <w:tr2bl w:val="nil"/>
            </w:tcBorders>
            <w:shd w:val="clear" w:color="auto" w:fill="auto"/>
            <w:vAlign w:val="center"/>
          </w:tcPr>
          <w:p w14:paraId="6908A30A">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塔吊</w:t>
            </w:r>
            <w:r>
              <w:rPr>
                <w:rFonts w:hint="eastAsia" w:cs="宋体"/>
                <w:sz w:val="21"/>
                <w:szCs w:val="21"/>
                <w:lang w:eastAsia="zh-CN"/>
              </w:rPr>
              <w:t>拆除</w:t>
            </w:r>
            <w:r>
              <w:rPr>
                <w:rFonts w:hint="eastAsia" w:ascii="宋体" w:hAnsi="宋体" w:eastAsia="宋体" w:cs="宋体"/>
                <w:sz w:val="21"/>
                <w:szCs w:val="21"/>
              </w:rPr>
              <w:t>班组进场安全教育培训</w:t>
            </w:r>
          </w:p>
        </w:tc>
        <w:tc>
          <w:tcPr>
            <w:tcW w:w="813" w:type="pct"/>
            <w:tcBorders>
              <w:tl2br w:val="nil"/>
              <w:tr2bl w:val="nil"/>
            </w:tcBorders>
            <w:shd w:val="clear" w:color="auto" w:fill="auto"/>
            <w:vAlign w:val="center"/>
          </w:tcPr>
          <w:p w14:paraId="407AF0A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三级安全教育</w:t>
            </w:r>
          </w:p>
        </w:tc>
        <w:tc>
          <w:tcPr>
            <w:tcW w:w="584" w:type="pct"/>
            <w:tcBorders>
              <w:tl2br w:val="nil"/>
              <w:tr2bl w:val="nil"/>
            </w:tcBorders>
            <w:shd w:val="clear" w:color="auto" w:fill="auto"/>
            <w:vAlign w:val="center"/>
          </w:tcPr>
          <w:p w14:paraId="2AB3881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安监部</w:t>
            </w:r>
          </w:p>
        </w:tc>
        <w:tc>
          <w:tcPr>
            <w:tcW w:w="929" w:type="pct"/>
            <w:tcBorders>
              <w:tl2br w:val="nil"/>
              <w:tr2bl w:val="nil"/>
            </w:tcBorders>
            <w:shd w:val="clear" w:color="auto" w:fill="auto"/>
            <w:vAlign w:val="center"/>
          </w:tcPr>
          <w:p w14:paraId="0F47E25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设备部、工程部</w:t>
            </w:r>
          </w:p>
        </w:tc>
        <w:tc>
          <w:tcPr>
            <w:tcW w:w="584" w:type="pct"/>
            <w:tcBorders>
              <w:tl2br w:val="nil"/>
              <w:tr2bl w:val="nil"/>
            </w:tcBorders>
            <w:shd w:val="clear" w:color="auto" w:fill="auto"/>
            <w:vAlign w:val="center"/>
          </w:tcPr>
          <w:p w14:paraId="315AD80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进场前</w:t>
            </w:r>
          </w:p>
        </w:tc>
      </w:tr>
      <w:tr w14:paraId="638BD3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1" w:hRule="atLeast"/>
        </w:trPr>
        <w:tc>
          <w:tcPr>
            <w:tcW w:w="353" w:type="pct"/>
            <w:tcBorders>
              <w:tl2br w:val="nil"/>
              <w:tr2bl w:val="nil"/>
            </w:tcBorders>
            <w:shd w:val="clear" w:color="auto" w:fill="auto"/>
            <w:vAlign w:val="center"/>
          </w:tcPr>
          <w:p w14:paraId="23ABCE38">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2</w:t>
            </w:r>
          </w:p>
        </w:tc>
        <w:tc>
          <w:tcPr>
            <w:tcW w:w="1737" w:type="pct"/>
            <w:tcBorders>
              <w:tl2br w:val="nil"/>
              <w:tr2bl w:val="nil"/>
            </w:tcBorders>
            <w:shd w:val="clear" w:color="auto" w:fill="auto"/>
            <w:vAlign w:val="center"/>
          </w:tcPr>
          <w:p w14:paraId="2BD11D2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塔吊</w:t>
            </w:r>
            <w:r>
              <w:rPr>
                <w:rFonts w:hint="eastAsia" w:cs="宋体"/>
                <w:sz w:val="21"/>
                <w:szCs w:val="21"/>
                <w:lang w:eastAsia="zh-CN"/>
              </w:rPr>
              <w:t>拆除</w:t>
            </w:r>
            <w:r>
              <w:rPr>
                <w:rFonts w:hint="eastAsia" w:ascii="宋体" w:hAnsi="宋体" w:eastAsia="宋体" w:cs="宋体"/>
                <w:sz w:val="21"/>
                <w:szCs w:val="21"/>
              </w:rPr>
              <w:t>班组专项安全教育</w:t>
            </w:r>
          </w:p>
        </w:tc>
        <w:tc>
          <w:tcPr>
            <w:tcW w:w="813" w:type="pct"/>
            <w:tcBorders>
              <w:tl2br w:val="nil"/>
              <w:tr2bl w:val="nil"/>
            </w:tcBorders>
            <w:shd w:val="clear" w:color="auto" w:fill="auto"/>
            <w:vAlign w:val="center"/>
          </w:tcPr>
          <w:p w14:paraId="59DAD60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专项安全教育</w:t>
            </w:r>
          </w:p>
        </w:tc>
        <w:tc>
          <w:tcPr>
            <w:tcW w:w="584" w:type="pct"/>
            <w:tcBorders>
              <w:tl2br w:val="nil"/>
              <w:tr2bl w:val="nil"/>
            </w:tcBorders>
            <w:shd w:val="clear" w:color="auto" w:fill="auto"/>
            <w:vAlign w:val="center"/>
          </w:tcPr>
          <w:p w14:paraId="7455ECE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安监部</w:t>
            </w:r>
          </w:p>
        </w:tc>
        <w:tc>
          <w:tcPr>
            <w:tcW w:w="929" w:type="pct"/>
            <w:tcBorders>
              <w:tl2br w:val="nil"/>
              <w:tr2bl w:val="nil"/>
            </w:tcBorders>
            <w:shd w:val="clear" w:color="auto" w:fill="auto"/>
            <w:vAlign w:val="center"/>
          </w:tcPr>
          <w:p w14:paraId="6C7BA78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设备部</w:t>
            </w:r>
          </w:p>
        </w:tc>
        <w:tc>
          <w:tcPr>
            <w:tcW w:w="584" w:type="pct"/>
            <w:tcBorders>
              <w:tl2br w:val="nil"/>
              <w:tr2bl w:val="nil"/>
            </w:tcBorders>
            <w:shd w:val="clear" w:color="auto" w:fill="auto"/>
            <w:vAlign w:val="center"/>
          </w:tcPr>
          <w:p w14:paraId="7C5561B4">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不定期</w:t>
            </w:r>
          </w:p>
        </w:tc>
      </w:tr>
      <w:tr w14:paraId="1E55DF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1" w:hRule="atLeast"/>
        </w:trPr>
        <w:tc>
          <w:tcPr>
            <w:tcW w:w="353" w:type="pct"/>
            <w:tcBorders>
              <w:tl2br w:val="nil"/>
              <w:tr2bl w:val="nil"/>
            </w:tcBorders>
            <w:shd w:val="clear" w:color="auto" w:fill="auto"/>
            <w:vAlign w:val="center"/>
          </w:tcPr>
          <w:p w14:paraId="42B48516">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3</w:t>
            </w:r>
          </w:p>
        </w:tc>
        <w:tc>
          <w:tcPr>
            <w:tcW w:w="1737" w:type="pct"/>
            <w:tcBorders>
              <w:tl2br w:val="nil"/>
              <w:tr2bl w:val="nil"/>
            </w:tcBorders>
            <w:shd w:val="clear" w:color="auto" w:fill="auto"/>
            <w:vAlign w:val="center"/>
          </w:tcPr>
          <w:p w14:paraId="515E9541">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塔吊</w:t>
            </w:r>
            <w:r>
              <w:rPr>
                <w:rFonts w:hint="eastAsia" w:cs="宋体"/>
                <w:sz w:val="21"/>
                <w:szCs w:val="21"/>
                <w:lang w:eastAsia="zh-CN"/>
              </w:rPr>
              <w:t>拆除</w:t>
            </w:r>
            <w:r>
              <w:rPr>
                <w:rFonts w:hint="eastAsia" w:ascii="宋体" w:hAnsi="宋体" w:eastAsia="宋体" w:cs="宋体"/>
                <w:sz w:val="21"/>
                <w:szCs w:val="21"/>
              </w:rPr>
              <w:t>班组日常安全教育</w:t>
            </w:r>
          </w:p>
        </w:tc>
        <w:tc>
          <w:tcPr>
            <w:tcW w:w="813" w:type="pct"/>
            <w:tcBorders>
              <w:tl2br w:val="nil"/>
              <w:tr2bl w:val="nil"/>
            </w:tcBorders>
            <w:shd w:val="clear" w:color="auto" w:fill="auto"/>
            <w:vAlign w:val="center"/>
          </w:tcPr>
          <w:p w14:paraId="167F206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日常安全教育</w:t>
            </w:r>
          </w:p>
        </w:tc>
        <w:tc>
          <w:tcPr>
            <w:tcW w:w="584" w:type="pct"/>
            <w:tcBorders>
              <w:tl2br w:val="nil"/>
              <w:tr2bl w:val="nil"/>
            </w:tcBorders>
            <w:shd w:val="clear" w:color="auto" w:fill="auto"/>
            <w:vAlign w:val="center"/>
          </w:tcPr>
          <w:p w14:paraId="0E6AA08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安监部</w:t>
            </w:r>
          </w:p>
        </w:tc>
        <w:tc>
          <w:tcPr>
            <w:tcW w:w="929" w:type="pct"/>
            <w:tcBorders>
              <w:tl2br w:val="nil"/>
              <w:tr2bl w:val="nil"/>
            </w:tcBorders>
            <w:shd w:val="clear" w:color="auto" w:fill="auto"/>
            <w:vAlign w:val="center"/>
          </w:tcPr>
          <w:p w14:paraId="309C841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设备部</w:t>
            </w:r>
          </w:p>
        </w:tc>
        <w:tc>
          <w:tcPr>
            <w:tcW w:w="584" w:type="pct"/>
            <w:tcBorders>
              <w:tl2br w:val="nil"/>
              <w:tr2bl w:val="nil"/>
            </w:tcBorders>
            <w:shd w:val="clear" w:color="auto" w:fill="auto"/>
            <w:vAlign w:val="center"/>
          </w:tcPr>
          <w:p w14:paraId="072A71D6">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不定期</w:t>
            </w:r>
          </w:p>
        </w:tc>
      </w:tr>
      <w:tr w14:paraId="209BF9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731" w:hRule="atLeast"/>
        </w:trPr>
        <w:tc>
          <w:tcPr>
            <w:tcW w:w="353" w:type="pct"/>
            <w:tcBorders>
              <w:tl2br w:val="nil"/>
              <w:tr2bl w:val="nil"/>
            </w:tcBorders>
            <w:shd w:val="clear" w:color="auto" w:fill="auto"/>
            <w:vAlign w:val="center"/>
          </w:tcPr>
          <w:p w14:paraId="3EBFBA30">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4</w:t>
            </w:r>
          </w:p>
        </w:tc>
        <w:tc>
          <w:tcPr>
            <w:tcW w:w="1737" w:type="pct"/>
            <w:tcBorders>
              <w:tl2br w:val="nil"/>
              <w:tr2bl w:val="nil"/>
            </w:tcBorders>
            <w:shd w:val="clear" w:color="auto" w:fill="auto"/>
            <w:vAlign w:val="center"/>
          </w:tcPr>
          <w:p w14:paraId="0865935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塔吊拆除班组专项安全教育培训</w:t>
            </w:r>
          </w:p>
        </w:tc>
        <w:tc>
          <w:tcPr>
            <w:tcW w:w="813" w:type="pct"/>
            <w:tcBorders>
              <w:tl2br w:val="nil"/>
              <w:tr2bl w:val="nil"/>
            </w:tcBorders>
            <w:shd w:val="clear" w:color="auto" w:fill="auto"/>
            <w:vAlign w:val="center"/>
          </w:tcPr>
          <w:p w14:paraId="3289715A">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专项安全教育</w:t>
            </w:r>
          </w:p>
        </w:tc>
        <w:tc>
          <w:tcPr>
            <w:tcW w:w="584" w:type="pct"/>
            <w:tcBorders>
              <w:tl2br w:val="nil"/>
              <w:tr2bl w:val="nil"/>
            </w:tcBorders>
            <w:shd w:val="clear" w:color="auto" w:fill="auto"/>
            <w:vAlign w:val="center"/>
          </w:tcPr>
          <w:p w14:paraId="0D9FC4D6">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安监部</w:t>
            </w:r>
          </w:p>
        </w:tc>
        <w:tc>
          <w:tcPr>
            <w:tcW w:w="929" w:type="pct"/>
            <w:tcBorders>
              <w:tl2br w:val="nil"/>
              <w:tr2bl w:val="nil"/>
            </w:tcBorders>
            <w:shd w:val="clear" w:color="auto" w:fill="auto"/>
            <w:vAlign w:val="center"/>
          </w:tcPr>
          <w:p w14:paraId="330D120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设备部、工程部</w:t>
            </w:r>
          </w:p>
        </w:tc>
        <w:tc>
          <w:tcPr>
            <w:tcW w:w="584" w:type="pct"/>
            <w:tcBorders>
              <w:tl2br w:val="nil"/>
              <w:tr2bl w:val="nil"/>
            </w:tcBorders>
            <w:shd w:val="clear" w:color="auto" w:fill="auto"/>
            <w:vAlign w:val="center"/>
          </w:tcPr>
          <w:p w14:paraId="30F71795">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拆除前</w:t>
            </w:r>
          </w:p>
        </w:tc>
      </w:tr>
    </w:tbl>
    <w:p w14:paraId="3FB97CAA">
      <w:pPr>
        <w:pStyle w:val="4"/>
        <w:keepNext w:val="0"/>
        <w:pageBreakBefore w:val="0"/>
        <w:widowControl w:val="0"/>
        <w:numPr>
          <w:ilvl w:val="2"/>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bookmarkStart w:id="64" w:name="_Toc530055691"/>
      <w:r>
        <w:rPr>
          <w:rFonts w:hint="eastAsia" w:ascii="宋体" w:hAnsi="宋体" w:eastAsia="宋体" w:cs="宋体"/>
          <w:sz w:val="24"/>
          <w:szCs w:val="24"/>
        </w:rPr>
        <w:t>塔吊</w:t>
      </w:r>
      <w:r>
        <w:rPr>
          <w:rFonts w:hint="eastAsia" w:cs="宋体"/>
          <w:sz w:val="24"/>
          <w:szCs w:val="24"/>
          <w:lang w:eastAsia="zh-CN"/>
        </w:rPr>
        <w:t>拆除</w:t>
      </w:r>
      <w:r>
        <w:rPr>
          <w:rFonts w:hint="eastAsia" w:ascii="宋体" w:hAnsi="宋体" w:eastAsia="宋体" w:cs="宋体"/>
          <w:sz w:val="24"/>
          <w:szCs w:val="24"/>
        </w:rPr>
        <w:t>作业安全保证措施</w:t>
      </w:r>
    </w:p>
    <w:p w14:paraId="7F75B638">
      <w:pPr>
        <w:numPr>
          <w:ilvl w:val="0"/>
          <w:numId w:val="29"/>
        </w:numPr>
        <w:bidi w:val="0"/>
        <w:ind w:left="425" w:leftChars="0" w:hanging="425" w:firstLineChars="0"/>
        <w:rPr>
          <w:rFonts w:hint="eastAsia"/>
        </w:rPr>
      </w:pPr>
      <w:r>
        <w:rPr>
          <w:rFonts w:hint="eastAsia"/>
          <w:lang w:eastAsia="zh-CN"/>
        </w:rPr>
        <w:t>拆除</w:t>
      </w:r>
      <w:r>
        <w:rPr>
          <w:rFonts w:hint="eastAsia"/>
        </w:rPr>
        <w:t>作业前，组织学习</w:t>
      </w:r>
      <w:r>
        <w:rPr>
          <w:rFonts w:hint="eastAsia"/>
          <w:lang w:eastAsia="zh-CN"/>
        </w:rPr>
        <w:t>拆除</w:t>
      </w:r>
      <w:r>
        <w:rPr>
          <w:rFonts w:hint="eastAsia"/>
        </w:rPr>
        <w:t>安全技术方案，对组织作业人员进行技术方案交底，每天对分项工作内容，技术要求，安全措施以及注意事项进行单独交底。</w:t>
      </w:r>
    </w:p>
    <w:p w14:paraId="2A78F31B">
      <w:pPr>
        <w:numPr>
          <w:ilvl w:val="0"/>
          <w:numId w:val="29"/>
        </w:numPr>
        <w:bidi w:val="0"/>
        <w:ind w:left="425" w:leftChars="0" w:hanging="425" w:firstLineChars="0"/>
        <w:rPr>
          <w:rFonts w:hint="eastAsia"/>
        </w:rPr>
      </w:pPr>
      <w:r>
        <w:rPr>
          <w:rFonts w:hint="eastAsia"/>
        </w:rPr>
        <w:t>所有</w:t>
      </w:r>
      <w:r>
        <w:rPr>
          <w:rFonts w:hint="eastAsia"/>
          <w:lang w:eastAsia="zh-CN"/>
        </w:rPr>
        <w:t>拆除</w:t>
      </w:r>
      <w:r>
        <w:rPr>
          <w:rFonts w:hint="eastAsia"/>
        </w:rPr>
        <w:t>人员必须听从现场统一指挥。如发现信号不明或错误时应停止作业，待联络清楚后再进行作业。</w:t>
      </w:r>
    </w:p>
    <w:p w14:paraId="1F185F7C">
      <w:pPr>
        <w:numPr>
          <w:ilvl w:val="0"/>
          <w:numId w:val="29"/>
        </w:numPr>
        <w:bidi w:val="0"/>
        <w:ind w:left="425" w:leftChars="0" w:hanging="425" w:firstLineChars="0"/>
        <w:rPr>
          <w:rFonts w:hint="eastAsia"/>
        </w:rPr>
      </w:pPr>
      <w:r>
        <w:rPr>
          <w:rFonts w:hint="eastAsia"/>
        </w:rPr>
        <w:t>作业人员经过培训考核合格，司机、吊装指挥、电工及检验人员要持证上岗，进入作业现场必须戴安全帽，高空作业时要系安全带，着防滑鞋，冬季、雨季应采取防滑措施。</w:t>
      </w:r>
    </w:p>
    <w:p w14:paraId="29935971">
      <w:pPr>
        <w:numPr>
          <w:ilvl w:val="0"/>
          <w:numId w:val="29"/>
        </w:numPr>
        <w:bidi w:val="0"/>
        <w:ind w:left="425" w:leftChars="0" w:hanging="425" w:firstLineChars="0"/>
        <w:rPr>
          <w:rFonts w:hint="eastAsia"/>
        </w:rPr>
      </w:pPr>
      <w:r>
        <w:rPr>
          <w:rFonts w:hint="eastAsia"/>
        </w:rPr>
        <w:t>塔吊的</w:t>
      </w:r>
      <w:r>
        <w:rPr>
          <w:rFonts w:hint="eastAsia"/>
          <w:lang w:eastAsia="zh-CN"/>
        </w:rPr>
        <w:t>拆除</w:t>
      </w:r>
      <w:r>
        <w:rPr>
          <w:rFonts w:hint="eastAsia"/>
        </w:rPr>
        <w:t>作业必须在白天进行，如需加快进度，可在具备良好照明条件的夜间做一些拼装工作，不得在大风、浓雾和雨雪天气进行。</w:t>
      </w:r>
    </w:p>
    <w:p w14:paraId="3E4E7811">
      <w:pPr>
        <w:numPr>
          <w:ilvl w:val="0"/>
          <w:numId w:val="29"/>
        </w:numPr>
        <w:bidi w:val="0"/>
        <w:ind w:left="425" w:leftChars="0" w:hanging="425" w:firstLineChars="0"/>
        <w:rPr>
          <w:rFonts w:hint="eastAsia"/>
        </w:rPr>
      </w:pPr>
      <w:r>
        <w:rPr>
          <w:rFonts w:hint="eastAsia"/>
        </w:rPr>
        <w:t>顶部风速大于</w:t>
      </w:r>
      <w:r>
        <w:rPr>
          <w:rFonts w:hint="eastAsia"/>
          <w:lang w:val="en-US" w:eastAsia="zh-CN"/>
        </w:rPr>
        <w:t>8</w:t>
      </w:r>
      <w:r>
        <w:rPr>
          <w:rFonts w:hint="eastAsia"/>
        </w:rPr>
        <w:t>m/s（</w:t>
      </w:r>
      <w:r>
        <w:rPr>
          <w:rFonts w:hint="eastAsia"/>
          <w:lang w:val="en-US" w:eastAsia="zh-CN"/>
        </w:rPr>
        <w:t>4</w:t>
      </w:r>
      <w:r>
        <w:rPr>
          <w:rFonts w:hint="eastAsia"/>
        </w:rPr>
        <w:t>级风）时禁止作业。</w:t>
      </w:r>
      <w:r>
        <w:rPr>
          <w:rFonts w:hint="eastAsia"/>
          <w:lang w:eastAsia="zh-CN"/>
        </w:rPr>
        <w:t>拆除</w:t>
      </w:r>
      <w:r>
        <w:rPr>
          <w:rFonts w:hint="eastAsia"/>
        </w:rPr>
        <w:t>基本节段时遇</w:t>
      </w:r>
      <w:r>
        <w:rPr>
          <w:rFonts w:hint="eastAsia"/>
          <w:lang w:val="en-US" w:eastAsia="zh-CN"/>
        </w:rPr>
        <w:t>8</w:t>
      </w:r>
      <w:r>
        <w:rPr>
          <w:rFonts w:hint="eastAsia"/>
        </w:rPr>
        <w:t>m/s</w:t>
      </w:r>
      <w:r>
        <w:rPr>
          <w:rFonts w:hint="eastAsia"/>
          <w:lang w:val="en-US" w:eastAsia="zh-CN"/>
        </w:rPr>
        <w:t>(4</w:t>
      </w:r>
      <w:r>
        <w:rPr>
          <w:rFonts w:hint="eastAsia"/>
        </w:rPr>
        <w:t>级风</w:t>
      </w:r>
      <w:r>
        <w:rPr>
          <w:rFonts w:hint="eastAsia"/>
          <w:lang w:val="en-US" w:eastAsia="zh-CN"/>
        </w:rPr>
        <w:t>)</w:t>
      </w:r>
      <w:r>
        <w:rPr>
          <w:rFonts w:hint="eastAsia"/>
        </w:rPr>
        <w:t>以上禁止作业。</w:t>
      </w:r>
    </w:p>
    <w:p w14:paraId="28C5B82D">
      <w:pPr>
        <w:numPr>
          <w:ilvl w:val="0"/>
          <w:numId w:val="29"/>
        </w:numPr>
        <w:bidi w:val="0"/>
        <w:ind w:left="425" w:leftChars="0" w:hanging="425" w:firstLineChars="0"/>
        <w:rPr>
          <w:rFonts w:hint="eastAsia"/>
        </w:rPr>
      </w:pPr>
      <w:r>
        <w:rPr>
          <w:rFonts w:hint="eastAsia"/>
        </w:rPr>
        <w:t>套架上、下支座，前后臂等大件吊装作业前，安全生产负责人必须进行专项安全技术交底。每次起吊离地面20cm左右时必须停机，挂好揽风绳，检查安全平稳性，确认安全可靠方能继续起吊。</w:t>
      </w:r>
    </w:p>
    <w:p w14:paraId="426A3653">
      <w:pPr>
        <w:numPr>
          <w:ilvl w:val="0"/>
          <w:numId w:val="29"/>
        </w:numPr>
        <w:bidi w:val="0"/>
        <w:ind w:left="425" w:leftChars="0" w:hanging="425" w:firstLineChars="0"/>
        <w:rPr>
          <w:rFonts w:hint="eastAsia"/>
        </w:rPr>
      </w:pPr>
      <w:r>
        <w:rPr>
          <w:rFonts w:hint="eastAsia"/>
          <w:lang w:eastAsia="zh-CN"/>
        </w:rPr>
        <w:t>拆除</w:t>
      </w:r>
      <w:r>
        <w:rPr>
          <w:rFonts w:hint="eastAsia"/>
        </w:rPr>
        <w:t>作业区5米至10米范围内应设警戒线，应由施工现场派专人把守，非作业人员不得进入警戒线。专职安全员应随时检查各岗位人员的安全情况，夜间作业应有良好的照明。</w:t>
      </w:r>
    </w:p>
    <w:p w14:paraId="68AC83F5">
      <w:pPr>
        <w:numPr>
          <w:ilvl w:val="0"/>
          <w:numId w:val="29"/>
        </w:numPr>
        <w:bidi w:val="0"/>
        <w:ind w:left="425" w:leftChars="0" w:hanging="425" w:firstLineChars="0"/>
        <w:rPr>
          <w:rFonts w:hint="eastAsia"/>
        </w:rPr>
      </w:pPr>
      <w:r>
        <w:rPr>
          <w:rFonts w:hint="eastAsia"/>
          <w:lang w:eastAsia="zh-CN"/>
        </w:rPr>
        <w:t>拆除</w:t>
      </w:r>
      <w:r>
        <w:rPr>
          <w:rFonts w:hint="eastAsia"/>
        </w:rPr>
        <w:t>架设用的钢丝绳及其固定必须符合标准和满足</w:t>
      </w:r>
      <w:r>
        <w:rPr>
          <w:rFonts w:hint="eastAsia"/>
          <w:lang w:eastAsia="zh-CN"/>
        </w:rPr>
        <w:t>拆除</w:t>
      </w:r>
      <w:r>
        <w:rPr>
          <w:rFonts w:hint="eastAsia"/>
        </w:rPr>
        <w:t>上的要求。地锚等临时设施必须构筑牢固。</w:t>
      </w:r>
    </w:p>
    <w:p w14:paraId="5E9C9DC2">
      <w:pPr>
        <w:numPr>
          <w:ilvl w:val="0"/>
          <w:numId w:val="29"/>
        </w:numPr>
        <w:bidi w:val="0"/>
        <w:ind w:left="425" w:leftChars="0" w:hanging="425" w:firstLineChars="0"/>
        <w:rPr>
          <w:rFonts w:hint="eastAsia"/>
        </w:rPr>
      </w:pPr>
      <w:r>
        <w:rPr>
          <w:rFonts w:hint="eastAsia"/>
        </w:rPr>
        <w:t>在进行逐件组拼或部件</w:t>
      </w:r>
      <w:r>
        <w:rPr>
          <w:rFonts w:hint="eastAsia"/>
          <w:lang w:eastAsia="zh-CN"/>
        </w:rPr>
        <w:t>拆除</w:t>
      </w:r>
      <w:r>
        <w:rPr>
          <w:rFonts w:hint="eastAsia"/>
        </w:rPr>
        <w:t>之前，必须对部件各部分的完好情况、连接情况和钢丝绳穿绕情况、电气线路等进行全面检查。</w:t>
      </w:r>
    </w:p>
    <w:p w14:paraId="38F55A2B">
      <w:pPr>
        <w:numPr>
          <w:ilvl w:val="0"/>
          <w:numId w:val="29"/>
        </w:numPr>
        <w:bidi w:val="0"/>
        <w:ind w:left="425" w:leftChars="0" w:hanging="425" w:firstLineChars="0"/>
        <w:rPr>
          <w:rFonts w:hint="eastAsia"/>
        </w:rPr>
      </w:pPr>
      <w:r>
        <w:rPr>
          <w:rFonts w:hint="eastAsia"/>
        </w:rPr>
        <w:t>在架设过程中，结构和钢丝绳的受力以在立塔初始阶段最为不利，随着塔架起升则逐渐减小。</w:t>
      </w:r>
    </w:p>
    <w:p w14:paraId="2CCF4502">
      <w:pPr>
        <w:numPr>
          <w:ilvl w:val="0"/>
          <w:numId w:val="29"/>
        </w:numPr>
        <w:bidi w:val="0"/>
        <w:ind w:left="425" w:leftChars="0" w:hanging="425" w:firstLineChars="0"/>
        <w:rPr>
          <w:rFonts w:hint="eastAsia"/>
        </w:rPr>
      </w:pPr>
      <w:r>
        <w:rPr>
          <w:rFonts w:hint="eastAsia"/>
        </w:rPr>
        <w:t>在拆装起重臂和平衡臂时，要始终保持起重机的平衡，严禁只拆装一个臂就中断作业。</w:t>
      </w:r>
    </w:p>
    <w:p w14:paraId="70B4FC80">
      <w:pPr>
        <w:numPr>
          <w:ilvl w:val="0"/>
          <w:numId w:val="29"/>
        </w:numPr>
        <w:bidi w:val="0"/>
        <w:ind w:left="425" w:leftChars="0" w:hanging="425" w:firstLineChars="0"/>
        <w:rPr>
          <w:rFonts w:hint="eastAsia"/>
        </w:rPr>
      </w:pPr>
      <w:r>
        <w:rPr>
          <w:rFonts w:hint="eastAsia"/>
        </w:rPr>
        <w:t>在</w:t>
      </w:r>
      <w:r>
        <w:rPr>
          <w:rFonts w:hint="eastAsia"/>
          <w:lang w:eastAsia="zh-CN"/>
        </w:rPr>
        <w:t>拆除</w:t>
      </w:r>
      <w:r>
        <w:rPr>
          <w:rFonts w:hint="eastAsia"/>
        </w:rPr>
        <w:t>作业过程中，如突然发生停电、机械故障、天气骤变等情况不能继续作业，或作业时间已到需要停休时，必须使起重机已</w:t>
      </w:r>
      <w:r>
        <w:rPr>
          <w:rFonts w:hint="eastAsia"/>
          <w:lang w:eastAsia="zh-CN"/>
        </w:rPr>
        <w:t>拆除</w:t>
      </w:r>
      <w:r>
        <w:rPr>
          <w:rFonts w:hint="eastAsia"/>
        </w:rPr>
        <w:t>的部位达到稳定状态并已锁固牢靠，所有结构件已连接牢固，回转塔身的重心线处于塔底支承四边中心处，再经过检查确认妥善后，方可停止作业。</w:t>
      </w:r>
    </w:p>
    <w:p w14:paraId="0CE3642C">
      <w:pPr>
        <w:numPr>
          <w:ilvl w:val="0"/>
          <w:numId w:val="29"/>
        </w:numPr>
        <w:bidi w:val="0"/>
        <w:ind w:left="425" w:leftChars="0" w:hanging="425" w:firstLineChars="0"/>
        <w:rPr>
          <w:rFonts w:hint="eastAsia"/>
        </w:rPr>
      </w:pPr>
      <w:r>
        <w:rPr>
          <w:rFonts w:hint="eastAsia"/>
          <w:lang w:eastAsia="zh-CN"/>
        </w:rPr>
        <w:t>拆除</w:t>
      </w:r>
      <w:r>
        <w:rPr>
          <w:rFonts w:hint="eastAsia"/>
        </w:rPr>
        <w:t>时应按</w:t>
      </w:r>
      <w:r>
        <w:rPr>
          <w:rFonts w:hint="eastAsia"/>
          <w:lang w:eastAsia="zh-CN"/>
        </w:rPr>
        <w:t>拆除</w:t>
      </w:r>
      <w:r>
        <w:rPr>
          <w:rFonts w:hint="eastAsia"/>
        </w:rPr>
        <w:t>要求使用规定的螺栓、销轴等连接件，并要有可靠的防松或保护装置。螺栓紧固时应附合规定的预紧力。钢丝绳</w:t>
      </w:r>
      <w:r>
        <w:rPr>
          <w:rFonts w:hint="eastAsia"/>
          <w:lang w:eastAsia="zh-CN"/>
        </w:rPr>
        <w:t>拆除</w:t>
      </w:r>
      <w:r>
        <w:rPr>
          <w:rFonts w:hint="eastAsia"/>
        </w:rPr>
        <w:t>应严格执行《起重机械用钢丝绳检验和报废实用规范》。</w:t>
      </w:r>
    </w:p>
    <w:p w14:paraId="2E3114E1">
      <w:pPr>
        <w:numPr>
          <w:ilvl w:val="0"/>
          <w:numId w:val="29"/>
        </w:numPr>
        <w:bidi w:val="0"/>
        <w:ind w:left="425" w:leftChars="0" w:hanging="425" w:firstLineChars="0"/>
        <w:rPr>
          <w:rFonts w:hint="eastAsia"/>
        </w:rPr>
      </w:pPr>
      <w:r>
        <w:rPr>
          <w:rFonts w:hint="eastAsia"/>
        </w:rPr>
        <w:t>在</w:t>
      </w:r>
      <w:r>
        <w:rPr>
          <w:rFonts w:hint="eastAsia"/>
          <w:lang w:eastAsia="zh-CN"/>
        </w:rPr>
        <w:t>拆除</w:t>
      </w:r>
      <w:r>
        <w:rPr>
          <w:rFonts w:hint="eastAsia"/>
        </w:rPr>
        <w:t>起重机时，必须将大车行走限位装置和限位器碰块</w:t>
      </w:r>
      <w:r>
        <w:rPr>
          <w:rFonts w:hint="eastAsia"/>
          <w:lang w:eastAsia="zh-CN"/>
        </w:rPr>
        <w:t>拆除</w:t>
      </w:r>
      <w:r>
        <w:rPr>
          <w:rFonts w:hint="eastAsia"/>
        </w:rPr>
        <w:t>牢固可靠。并将各部位的栏杆、平台、护链、扶杆、护圈等安全防护装置装齐。</w:t>
      </w:r>
    </w:p>
    <w:p w14:paraId="1526B6C2">
      <w:pPr>
        <w:numPr>
          <w:ilvl w:val="0"/>
          <w:numId w:val="29"/>
        </w:numPr>
        <w:bidi w:val="0"/>
        <w:ind w:left="425" w:leftChars="0" w:hanging="425" w:firstLineChars="0"/>
        <w:rPr>
          <w:rFonts w:hint="eastAsia"/>
        </w:rPr>
      </w:pPr>
      <w:r>
        <w:rPr>
          <w:rFonts w:hint="eastAsia"/>
          <w:lang w:eastAsia="zh-CN"/>
        </w:rPr>
        <w:t>拆除</w:t>
      </w:r>
      <w:r>
        <w:rPr>
          <w:rFonts w:hint="eastAsia"/>
        </w:rPr>
        <w:t>作业的程序，辅助设备、索具、工具以及地锚构筑等，均应遵照该机使用说明书中的规定或参照标准的</w:t>
      </w:r>
      <w:r>
        <w:rPr>
          <w:rFonts w:hint="eastAsia"/>
          <w:lang w:eastAsia="zh-CN"/>
        </w:rPr>
        <w:t>拆除</w:t>
      </w:r>
      <w:r>
        <w:rPr>
          <w:rFonts w:hint="eastAsia"/>
        </w:rPr>
        <w:t>工艺办理。</w:t>
      </w:r>
    </w:p>
    <w:p w14:paraId="5ED88372">
      <w:pPr>
        <w:pStyle w:val="4"/>
        <w:keepNext w:val="0"/>
        <w:pageBreakBefore w:val="0"/>
        <w:widowControl w:val="0"/>
        <w:numPr>
          <w:ilvl w:val="2"/>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安全防护措施</w:t>
      </w:r>
    </w:p>
    <w:bookmarkEnd w:id="64"/>
    <w:p w14:paraId="50278335">
      <w:pPr>
        <w:numPr>
          <w:ilvl w:val="0"/>
          <w:numId w:val="30"/>
        </w:numPr>
        <w:bidi w:val="0"/>
        <w:ind w:left="425" w:leftChars="0" w:hanging="425" w:firstLineChars="0"/>
        <w:rPr>
          <w:rFonts w:hint="eastAsia"/>
        </w:rPr>
      </w:pPr>
      <w:r>
        <w:rPr>
          <w:rFonts w:hint="eastAsia"/>
        </w:rPr>
        <w:t>吊装工作区内禁止非工作人员进入，起重臂下严禁站人</w:t>
      </w:r>
      <w:r>
        <w:rPr>
          <w:rFonts w:hint="eastAsia"/>
          <w:lang w:eastAsia="zh-CN"/>
        </w:rPr>
        <w:t>。</w:t>
      </w:r>
    </w:p>
    <w:p w14:paraId="5734DF70">
      <w:pPr>
        <w:numPr>
          <w:ilvl w:val="0"/>
          <w:numId w:val="30"/>
        </w:numPr>
        <w:bidi w:val="0"/>
        <w:ind w:left="425" w:leftChars="0" w:hanging="425" w:firstLineChars="0"/>
        <w:rPr>
          <w:rFonts w:hint="eastAsia"/>
        </w:rPr>
      </w:pPr>
      <w:r>
        <w:rPr>
          <w:rFonts w:hint="eastAsia"/>
        </w:rPr>
        <w:t>身体不适的工人不能进行高空作业，作业前全体作业人员必须明确重点措施方法，按既定的施工方案进行作业</w:t>
      </w:r>
      <w:r>
        <w:rPr>
          <w:rFonts w:hint="eastAsia"/>
          <w:lang w:eastAsia="zh-CN"/>
        </w:rPr>
        <w:t>。</w:t>
      </w:r>
    </w:p>
    <w:p w14:paraId="787AC006">
      <w:pPr>
        <w:numPr>
          <w:ilvl w:val="0"/>
          <w:numId w:val="30"/>
        </w:numPr>
        <w:bidi w:val="0"/>
        <w:ind w:left="425" w:leftChars="0" w:hanging="425" w:firstLineChars="0"/>
        <w:rPr>
          <w:rFonts w:hint="eastAsia"/>
        </w:rPr>
      </w:pPr>
      <w:r>
        <w:rPr>
          <w:rFonts w:hint="eastAsia"/>
          <w:lang w:eastAsia="zh-CN"/>
        </w:rPr>
        <w:t>拆除</w:t>
      </w:r>
      <w:r>
        <w:rPr>
          <w:rFonts w:hint="eastAsia"/>
        </w:rPr>
        <w:t>起重机大臂、套架、平衡臂、回转总成及电器系统时，高空作业人员必须带好安全带</w:t>
      </w:r>
      <w:r>
        <w:rPr>
          <w:rFonts w:hint="eastAsia"/>
          <w:lang w:eastAsia="zh-CN"/>
        </w:rPr>
        <w:t>。</w:t>
      </w:r>
    </w:p>
    <w:p w14:paraId="0BE125EB">
      <w:pPr>
        <w:numPr>
          <w:ilvl w:val="0"/>
          <w:numId w:val="30"/>
        </w:numPr>
        <w:bidi w:val="0"/>
        <w:ind w:left="425" w:leftChars="0" w:hanging="425" w:firstLineChars="0"/>
        <w:rPr>
          <w:rFonts w:hint="eastAsia"/>
        </w:rPr>
      </w:pPr>
      <w:r>
        <w:rPr>
          <w:rFonts w:hint="eastAsia"/>
        </w:rPr>
        <w:t>不准超负荷吊装，吊装人员必须戴安全帽，穿防滑鞋，带工具袋，不能在工作中嬉闹，必须认真作业</w:t>
      </w:r>
      <w:r>
        <w:rPr>
          <w:rFonts w:hint="eastAsia"/>
          <w:lang w:eastAsia="zh-CN"/>
        </w:rPr>
        <w:t>。</w:t>
      </w:r>
    </w:p>
    <w:p w14:paraId="1ED5F561">
      <w:pPr>
        <w:numPr>
          <w:ilvl w:val="0"/>
          <w:numId w:val="30"/>
        </w:numPr>
        <w:bidi w:val="0"/>
        <w:ind w:left="425" w:leftChars="0" w:hanging="425" w:firstLineChars="0"/>
        <w:rPr>
          <w:rFonts w:hint="eastAsia"/>
        </w:rPr>
      </w:pPr>
      <w:r>
        <w:rPr>
          <w:rFonts w:hint="eastAsia"/>
        </w:rPr>
        <w:t>严禁工人站在被吊运的构件上，构件上也不能摆放零星物件</w:t>
      </w:r>
      <w:r>
        <w:rPr>
          <w:rFonts w:hint="eastAsia"/>
          <w:lang w:eastAsia="zh-CN"/>
        </w:rPr>
        <w:t>。</w:t>
      </w:r>
    </w:p>
    <w:p w14:paraId="71865053">
      <w:pPr>
        <w:numPr>
          <w:ilvl w:val="0"/>
          <w:numId w:val="30"/>
        </w:numPr>
        <w:bidi w:val="0"/>
        <w:ind w:left="425" w:leftChars="0" w:hanging="425" w:firstLineChars="0"/>
        <w:rPr>
          <w:rFonts w:hint="eastAsia"/>
        </w:rPr>
      </w:pPr>
      <w:r>
        <w:rPr>
          <w:rFonts w:hint="eastAsia"/>
        </w:rPr>
        <w:t>吊运时，绑扎方法要可靠，以防止中途落下伤人和起重机因失重而倾翻</w:t>
      </w:r>
      <w:r>
        <w:rPr>
          <w:rFonts w:hint="eastAsia"/>
          <w:lang w:eastAsia="zh-CN"/>
        </w:rPr>
        <w:t>。</w:t>
      </w:r>
    </w:p>
    <w:p w14:paraId="605580A4">
      <w:pPr>
        <w:numPr>
          <w:ilvl w:val="0"/>
          <w:numId w:val="30"/>
        </w:numPr>
        <w:bidi w:val="0"/>
        <w:ind w:left="425" w:leftChars="0" w:hanging="425" w:firstLineChars="0"/>
        <w:rPr>
          <w:rFonts w:hint="eastAsia"/>
        </w:rPr>
      </w:pPr>
      <w:r>
        <w:rPr>
          <w:rFonts w:hint="eastAsia"/>
        </w:rPr>
        <w:t>吊装过程应由专人负责指挥，信号要求准确、明确到位</w:t>
      </w:r>
      <w:r>
        <w:rPr>
          <w:rFonts w:hint="eastAsia"/>
          <w:lang w:eastAsia="zh-CN"/>
        </w:rPr>
        <w:t>。</w:t>
      </w:r>
    </w:p>
    <w:p w14:paraId="6219BBF6">
      <w:pPr>
        <w:numPr>
          <w:ilvl w:val="0"/>
          <w:numId w:val="30"/>
        </w:numPr>
        <w:bidi w:val="0"/>
        <w:ind w:left="425" w:leftChars="0" w:hanging="425" w:firstLineChars="0"/>
        <w:rPr>
          <w:rFonts w:hint="eastAsia"/>
        </w:rPr>
      </w:pPr>
      <w:r>
        <w:rPr>
          <w:rFonts w:hint="eastAsia"/>
        </w:rPr>
        <w:t>电工须穿绝缘鞋，戴好绝缘手套，不违章操作</w:t>
      </w:r>
      <w:r>
        <w:rPr>
          <w:rFonts w:hint="eastAsia"/>
          <w:lang w:eastAsia="zh-CN"/>
        </w:rPr>
        <w:t>。</w:t>
      </w:r>
    </w:p>
    <w:p w14:paraId="2ACBFFC8">
      <w:pPr>
        <w:numPr>
          <w:ilvl w:val="0"/>
          <w:numId w:val="30"/>
        </w:numPr>
        <w:bidi w:val="0"/>
        <w:ind w:left="425" w:leftChars="0" w:hanging="425" w:firstLineChars="0"/>
        <w:rPr>
          <w:rFonts w:hint="eastAsia"/>
        </w:rPr>
      </w:pPr>
      <w:bookmarkStart w:id="65" w:name="_Toc3803_WPSOffice_Level2"/>
      <w:r>
        <w:rPr>
          <w:rFonts w:hint="eastAsia"/>
        </w:rPr>
        <w:t>构件吊装到位后要</w:t>
      </w:r>
      <w:bookmarkEnd w:id="65"/>
      <w:r>
        <w:rPr>
          <w:rFonts w:hint="eastAsia"/>
        </w:rPr>
        <w:t>求固定可靠，再进入下一步操作，严禁将构件浮放在某一处，以免落下发生意外。</w:t>
      </w:r>
    </w:p>
    <w:p w14:paraId="2B529716">
      <w:pPr>
        <w:numPr>
          <w:ilvl w:val="0"/>
          <w:numId w:val="30"/>
        </w:numPr>
        <w:bidi w:val="0"/>
        <w:ind w:left="425" w:leftChars="0" w:hanging="425" w:firstLineChars="0"/>
        <w:rPr>
          <w:rFonts w:hint="eastAsia"/>
        </w:rPr>
      </w:pPr>
      <w:r>
        <w:rPr>
          <w:rFonts w:hint="eastAsia"/>
        </w:rPr>
        <w:t>设备工具摆放整齐、合理，做到安全、有序</w:t>
      </w:r>
      <w:r>
        <w:rPr>
          <w:rFonts w:hint="eastAsia"/>
          <w:lang w:eastAsia="zh-CN"/>
        </w:rPr>
        <w:t>。</w:t>
      </w:r>
    </w:p>
    <w:p w14:paraId="71D4C5F7">
      <w:pPr>
        <w:numPr>
          <w:ilvl w:val="0"/>
          <w:numId w:val="30"/>
        </w:numPr>
        <w:bidi w:val="0"/>
        <w:ind w:left="425" w:leftChars="0" w:hanging="425" w:firstLineChars="0"/>
        <w:rPr>
          <w:rFonts w:hint="eastAsia"/>
        </w:rPr>
      </w:pPr>
      <w:r>
        <w:rPr>
          <w:rFonts w:hint="eastAsia"/>
          <w:lang w:eastAsia="zh-CN"/>
        </w:rPr>
        <w:t>拆除</w:t>
      </w:r>
      <w:r>
        <w:rPr>
          <w:rFonts w:hint="eastAsia"/>
        </w:rPr>
        <w:t>作业中，应严格按</w:t>
      </w:r>
      <w:r>
        <w:rPr>
          <w:rFonts w:hint="eastAsia"/>
          <w:lang w:eastAsia="zh-CN"/>
        </w:rPr>
        <w:t>拆除</w:t>
      </w:r>
      <w:r>
        <w:rPr>
          <w:rFonts w:hint="eastAsia"/>
        </w:rPr>
        <w:t>顺序进行，作业时严禁抛掷物件</w:t>
      </w:r>
      <w:r>
        <w:rPr>
          <w:rFonts w:hint="eastAsia"/>
          <w:lang w:eastAsia="zh-CN"/>
        </w:rPr>
        <w:t>。</w:t>
      </w:r>
    </w:p>
    <w:p w14:paraId="60978731">
      <w:pPr>
        <w:numPr>
          <w:ilvl w:val="0"/>
          <w:numId w:val="30"/>
        </w:numPr>
        <w:bidi w:val="0"/>
        <w:ind w:left="425" w:leftChars="0" w:hanging="425" w:firstLineChars="0"/>
        <w:rPr>
          <w:rFonts w:hint="eastAsia"/>
        </w:rPr>
      </w:pPr>
      <w:r>
        <w:rPr>
          <w:rFonts w:hint="eastAsia"/>
        </w:rPr>
        <w:t>塔吊基础四周设置围挡，悬挂安全警示标牌。</w:t>
      </w:r>
    </w:p>
    <w:p w14:paraId="2947F2F5">
      <w:pPr>
        <w:pStyle w:val="4"/>
        <w:keepNext w:val="0"/>
        <w:pageBreakBefore w:val="0"/>
        <w:widowControl w:val="0"/>
        <w:numPr>
          <w:ilvl w:val="2"/>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bookmarkStart w:id="66" w:name="_Toc530055692"/>
      <w:r>
        <w:rPr>
          <w:rFonts w:hint="eastAsia" w:cs="宋体"/>
          <w:sz w:val="24"/>
          <w:szCs w:val="24"/>
          <w:lang w:eastAsia="zh-CN"/>
        </w:rPr>
        <w:t>拆除</w:t>
      </w:r>
      <w:r>
        <w:rPr>
          <w:rFonts w:hint="eastAsia" w:ascii="宋体" w:hAnsi="宋体" w:eastAsia="宋体" w:cs="宋体"/>
          <w:sz w:val="24"/>
          <w:szCs w:val="24"/>
        </w:rPr>
        <w:t>过程注意事项</w:t>
      </w:r>
    </w:p>
    <w:bookmarkEnd w:id="66"/>
    <w:p w14:paraId="5E236062">
      <w:pPr>
        <w:numPr>
          <w:ilvl w:val="0"/>
          <w:numId w:val="31"/>
        </w:numPr>
        <w:bidi w:val="0"/>
        <w:ind w:left="425" w:leftChars="0" w:hanging="425" w:firstLineChars="0"/>
        <w:rPr>
          <w:rFonts w:hint="eastAsia"/>
        </w:rPr>
      </w:pPr>
      <w:r>
        <w:rPr>
          <w:rFonts w:hint="eastAsia"/>
        </w:rPr>
        <w:t>保证塔式起重机</w:t>
      </w:r>
      <w:r>
        <w:rPr>
          <w:rFonts w:hint="eastAsia"/>
          <w:lang w:eastAsia="zh-CN"/>
        </w:rPr>
        <w:t>拆除</w:t>
      </w:r>
      <w:r>
        <w:rPr>
          <w:rFonts w:hint="eastAsia"/>
        </w:rPr>
        <w:t>技术措施的合理性及可行性，提高各防护措施的技术参数</w:t>
      </w:r>
      <w:r>
        <w:rPr>
          <w:rFonts w:hint="eastAsia"/>
          <w:lang w:eastAsia="zh-CN"/>
        </w:rPr>
        <w:t>。</w:t>
      </w:r>
    </w:p>
    <w:p w14:paraId="631DD56E">
      <w:pPr>
        <w:numPr>
          <w:ilvl w:val="0"/>
          <w:numId w:val="31"/>
        </w:numPr>
        <w:bidi w:val="0"/>
        <w:ind w:left="425" w:leftChars="0" w:hanging="425" w:firstLineChars="0"/>
        <w:rPr>
          <w:rFonts w:hint="eastAsia"/>
        </w:rPr>
      </w:pPr>
      <w:r>
        <w:rPr>
          <w:rFonts w:hint="eastAsia"/>
          <w:lang w:eastAsia="zh-CN"/>
        </w:rPr>
        <w:t>拆除</w:t>
      </w:r>
      <w:r>
        <w:rPr>
          <w:rFonts w:hint="eastAsia"/>
        </w:rPr>
        <w:t>塔式起重机所用履带式起重机应装有音像清晰的喇叭、电铃或汽笛等信号装置在起重量臂、吊钩、平衡重等转动体上应标以鲜明的色彩标志</w:t>
      </w:r>
      <w:r>
        <w:rPr>
          <w:rFonts w:hint="eastAsia"/>
          <w:lang w:eastAsia="zh-CN"/>
        </w:rPr>
        <w:t>。</w:t>
      </w:r>
    </w:p>
    <w:p w14:paraId="0BC27B37">
      <w:pPr>
        <w:numPr>
          <w:ilvl w:val="0"/>
          <w:numId w:val="31"/>
        </w:numPr>
        <w:bidi w:val="0"/>
        <w:ind w:left="425" w:leftChars="0" w:hanging="425" w:firstLineChars="0"/>
        <w:rPr>
          <w:rFonts w:hint="eastAsia"/>
        </w:rPr>
      </w:pPr>
      <w:bookmarkStart w:id="67" w:name="_Toc29074_WPSOffice_Level2"/>
      <w:r>
        <w:rPr>
          <w:rFonts w:hint="eastAsia"/>
        </w:rPr>
        <w:t>起重机吊钩上</w:t>
      </w:r>
      <w:bookmarkEnd w:id="67"/>
      <w:r>
        <w:rPr>
          <w:rFonts w:hint="eastAsia"/>
        </w:rPr>
        <w:t>须持有防脱钩装置</w:t>
      </w:r>
      <w:r>
        <w:rPr>
          <w:rFonts w:hint="eastAsia"/>
          <w:lang w:eastAsia="zh-CN"/>
        </w:rPr>
        <w:t>。</w:t>
      </w:r>
    </w:p>
    <w:p w14:paraId="636345A0">
      <w:pPr>
        <w:numPr>
          <w:ilvl w:val="0"/>
          <w:numId w:val="31"/>
        </w:numPr>
        <w:bidi w:val="0"/>
        <w:ind w:left="425" w:leftChars="0" w:hanging="425" w:firstLineChars="0"/>
        <w:rPr>
          <w:rFonts w:hint="eastAsia"/>
        </w:rPr>
      </w:pPr>
      <w:r>
        <w:rPr>
          <w:rFonts w:hint="eastAsia"/>
        </w:rPr>
        <w:t>起重吊装指挥人员必须持证上岗，作业时应与操作人员密切配合，执行规定的指挥信号。操作人员应按照指挥人员的信号进行作业，当信号不清或错误时操作人员可拒绝执行</w:t>
      </w:r>
      <w:r>
        <w:rPr>
          <w:rFonts w:hint="eastAsia"/>
          <w:lang w:eastAsia="zh-CN"/>
        </w:rPr>
        <w:t>。</w:t>
      </w:r>
    </w:p>
    <w:p w14:paraId="44269864">
      <w:pPr>
        <w:numPr>
          <w:ilvl w:val="0"/>
          <w:numId w:val="31"/>
        </w:numPr>
        <w:bidi w:val="0"/>
        <w:ind w:left="425" w:leftChars="0" w:hanging="425" w:firstLineChars="0"/>
        <w:rPr>
          <w:rFonts w:hint="eastAsia"/>
        </w:rPr>
      </w:pPr>
      <w:r>
        <w:rPr>
          <w:rFonts w:hint="eastAsia"/>
        </w:rPr>
        <w:t>在六级以上大风或大雨、大雾等恶劣天气时，应停止起重吊装作业，雨雪过后作业前，应先试吊，确认制动器灵敏可靠后方可进行作业</w:t>
      </w:r>
      <w:r>
        <w:rPr>
          <w:rFonts w:hint="eastAsia"/>
          <w:lang w:eastAsia="zh-CN"/>
        </w:rPr>
        <w:t>。</w:t>
      </w:r>
    </w:p>
    <w:p w14:paraId="2D6EE1B4">
      <w:pPr>
        <w:numPr>
          <w:ilvl w:val="0"/>
          <w:numId w:val="31"/>
        </w:numPr>
        <w:bidi w:val="0"/>
        <w:ind w:left="425" w:leftChars="0" w:hanging="425" w:firstLineChars="0"/>
        <w:rPr>
          <w:rFonts w:hint="eastAsia"/>
        </w:rPr>
      </w:pPr>
      <w:r>
        <w:rPr>
          <w:rFonts w:hint="eastAsia"/>
          <w:lang w:eastAsia="zh-CN"/>
        </w:rPr>
        <w:t>拆除</w:t>
      </w:r>
      <w:r>
        <w:rPr>
          <w:rFonts w:hint="eastAsia"/>
        </w:rPr>
        <w:t>标准节时应先检查焊接支腿是否焊接经过验收，验收合格后才可</w:t>
      </w:r>
      <w:r>
        <w:rPr>
          <w:rFonts w:hint="eastAsia"/>
          <w:lang w:eastAsia="zh-CN"/>
        </w:rPr>
        <w:t>拆除。</w:t>
      </w:r>
    </w:p>
    <w:p w14:paraId="1103F7F4">
      <w:pPr>
        <w:numPr>
          <w:ilvl w:val="0"/>
          <w:numId w:val="31"/>
        </w:numPr>
        <w:bidi w:val="0"/>
        <w:ind w:left="425" w:leftChars="0" w:hanging="425" w:firstLineChars="0"/>
        <w:rPr>
          <w:rFonts w:hint="eastAsia"/>
        </w:rPr>
      </w:pPr>
      <w:r>
        <w:rPr>
          <w:rFonts w:hint="eastAsia"/>
        </w:rPr>
        <w:t>检查各连接部件的螺栓及销轴是否符合图纸设计要求，并每</w:t>
      </w:r>
      <w:r>
        <w:rPr>
          <w:rFonts w:hint="eastAsia"/>
          <w:lang w:eastAsia="zh-CN"/>
        </w:rPr>
        <w:t>拆除</w:t>
      </w:r>
      <w:r>
        <w:rPr>
          <w:rFonts w:hint="eastAsia"/>
        </w:rPr>
        <w:t>一个部件后螺栓销轴都要确定符合要求再</w:t>
      </w:r>
      <w:r>
        <w:rPr>
          <w:rFonts w:hint="eastAsia"/>
          <w:lang w:eastAsia="zh-CN"/>
        </w:rPr>
        <w:t>拆除</w:t>
      </w:r>
      <w:r>
        <w:rPr>
          <w:rFonts w:hint="eastAsia"/>
        </w:rPr>
        <w:t>下一个部件</w:t>
      </w:r>
      <w:r>
        <w:rPr>
          <w:rFonts w:hint="eastAsia"/>
          <w:lang w:eastAsia="zh-CN"/>
        </w:rPr>
        <w:t>。</w:t>
      </w:r>
    </w:p>
    <w:p w14:paraId="10912944">
      <w:pPr>
        <w:numPr>
          <w:ilvl w:val="0"/>
          <w:numId w:val="31"/>
        </w:numPr>
        <w:bidi w:val="0"/>
        <w:ind w:left="425" w:leftChars="0" w:hanging="425" w:firstLineChars="0"/>
        <w:rPr>
          <w:rFonts w:hint="eastAsia"/>
        </w:rPr>
      </w:pPr>
      <w:r>
        <w:rPr>
          <w:rFonts w:hint="eastAsia"/>
        </w:rPr>
        <w:t>重物提升和下降速度应平稳、均匀，不得突然制动，左右回转应平稳，当回转未停稳前不得作反向动作</w:t>
      </w:r>
      <w:r>
        <w:rPr>
          <w:rFonts w:hint="eastAsia"/>
          <w:lang w:eastAsia="zh-CN"/>
        </w:rPr>
        <w:t>。</w:t>
      </w:r>
    </w:p>
    <w:p w14:paraId="14C42D0E">
      <w:pPr>
        <w:numPr>
          <w:ilvl w:val="0"/>
          <w:numId w:val="31"/>
        </w:numPr>
        <w:bidi w:val="0"/>
        <w:ind w:left="425" w:leftChars="0" w:hanging="425" w:firstLineChars="0"/>
        <w:rPr>
          <w:rFonts w:hint="eastAsia"/>
        </w:rPr>
      </w:pPr>
      <w:r>
        <w:rPr>
          <w:rFonts w:hint="eastAsia"/>
        </w:rPr>
        <w:t>作业中所使用钢丝绳应有制造厂签发的产品技术性能和质量合格证明文件，当无证明文件时，必须经过试验合格后方可使用</w:t>
      </w:r>
      <w:r>
        <w:rPr>
          <w:rFonts w:hint="eastAsia"/>
          <w:lang w:eastAsia="zh-CN"/>
        </w:rPr>
        <w:t>。</w:t>
      </w:r>
    </w:p>
    <w:p w14:paraId="0F9C2383">
      <w:pPr>
        <w:numPr>
          <w:ilvl w:val="0"/>
          <w:numId w:val="31"/>
        </w:numPr>
        <w:bidi w:val="0"/>
        <w:ind w:left="425" w:leftChars="0" w:hanging="425" w:firstLineChars="0"/>
        <w:rPr>
          <w:rFonts w:hint="eastAsia"/>
        </w:rPr>
      </w:pPr>
      <w:r>
        <w:rPr>
          <w:rFonts w:hint="eastAsia"/>
        </w:rPr>
        <w:t>应根据所吊重物的重量和提升高度，调整起重臂长度和仰角，并应估计吊索和重物本身的高度，留出适当空间</w:t>
      </w:r>
      <w:r>
        <w:rPr>
          <w:rFonts w:hint="eastAsia"/>
          <w:lang w:eastAsia="zh-CN"/>
        </w:rPr>
        <w:t>。</w:t>
      </w:r>
    </w:p>
    <w:p w14:paraId="04C609C9">
      <w:pPr>
        <w:pStyle w:val="4"/>
        <w:keepNext w:val="0"/>
        <w:pageBreakBefore w:val="0"/>
        <w:widowControl w:val="0"/>
        <w:numPr>
          <w:ilvl w:val="2"/>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bookmarkStart w:id="68" w:name="_Toc530055693"/>
      <w:r>
        <w:rPr>
          <w:rFonts w:hint="eastAsia" w:ascii="宋体" w:hAnsi="宋体" w:eastAsia="宋体" w:cs="宋体"/>
          <w:sz w:val="24"/>
          <w:szCs w:val="24"/>
        </w:rPr>
        <w:t>电气作业安全规定</w:t>
      </w:r>
    </w:p>
    <w:bookmarkEnd w:id="68"/>
    <w:p w14:paraId="7055CF37">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严格按有关规定</w:t>
      </w:r>
      <w:r>
        <w:rPr>
          <w:rFonts w:hint="eastAsia" w:cs="宋体"/>
          <w:sz w:val="24"/>
          <w:szCs w:val="24"/>
          <w:lang w:eastAsia="zh-CN"/>
        </w:rPr>
        <w:t>拆除</w:t>
      </w:r>
      <w:r>
        <w:rPr>
          <w:rFonts w:hint="eastAsia" w:ascii="宋体" w:hAnsi="宋体" w:eastAsia="宋体" w:cs="宋体"/>
          <w:sz w:val="24"/>
          <w:szCs w:val="24"/>
        </w:rPr>
        <w:t>线路及设备，用电设备都</w:t>
      </w:r>
      <w:r>
        <w:rPr>
          <w:rFonts w:hint="eastAsia" w:cs="宋体"/>
          <w:sz w:val="24"/>
          <w:szCs w:val="24"/>
          <w:lang w:eastAsia="zh-CN"/>
        </w:rPr>
        <w:t>拆除</w:t>
      </w:r>
      <w:r>
        <w:rPr>
          <w:rFonts w:hint="eastAsia" w:ascii="宋体" w:hAnsi="宋体" w:eastAsia="宋体" w:cs="宋体"/>
          <w:sz w:val="24"/>
          <w:szCs w:val="24"/>
        </w:rPr>
        <w:t>地线，不合格的电气器材严禁使用。</w:t>
      </w:r>
      <w:r>
        <w:rPr>
          <w:rFonts w:hint="eastAsia" w:cs="宋体"/>
          <w:sz w:val="24"/>
          <w:szCs w:val="24"/>
          <w:lang w:eastAsia="zh-CN"/>
        </w:rPr>
        <w:t>拆除</w:t>
      </w:r>
      <w:r>
        <w:rPr>
          <w:rFonts w:hint="eastAsia" w:ascii="宋体" w:hAnsi="宋体" w:eastAsia="宋体" w:cs="宋体"/>
          <w:sz w:val="24"/>
          <w:szCs w:val="24"/>
        </w:rPr>
        <w:t>临时用电工程，必须由电工完成。电工必须持有效证件上岗。</w:t>
      </w:r>
    </w:p>
    <w:p w14:paraId="0CA64B0A">
      <w:pPr>
        <w:pStyle w:val="5"/>
        <w:bidi w:val="0"/>
        <w:rPr>
          <w:rFonts w:hint="eastAsia" w:ascii="宋体" w:hAnsi="宋体" w:eastAsia="宋体" w:cs="宋体"/>
        </w:rPr>
      </w:pPr>
      <w:r>
        <w:rPr>
          <w:rFonts w:hint="eastAsia" w:ascii="宋体" w:hAnsi="宋体" w:eastAsia="宋体" w:cs="宋体"/>
        </w:rPr>
        <w:t>配电箱及开关箱的设置</w:t>
      </w:r>
      <w:r>
        <w:rPr>
          <w:rFonts w:hint="eastAsia" w:ascii="宋体" w:hAnsi="宋体" w:eastAsia="宋体" w:cs="宋体"/>
          <w:lang w:eastAsia="zh-CN"/>
        </w:rPr>
        <w:t>。</w:t>
      </w:r>
    </w:p>
    <w:p w14:paraId="76AA644A">
      <w:pPr>
        <w:numPr>
          <w:ilvl w:val="0"/>
          <w:numId w:val="32"/>
        </w:numPr>
        <w:bidi w:val="0"/>
        <w:ind w:left="425" w:leftChars="0" w:hanging="425" w:firstLineChars="0"/>
        <w:rPr>
          <w:rFonts w:hint="eastAsia"/>
        </w:rPr>
      </w:pPr>
      <w:r>
        <w:rPr>
          <w:rFonts w:hint="eastAsia"/>
        </w:rPr>
        <w:t>动力配电箱与照明配电箱宜分别设置，如设置在同一配电箱内，动力和照明线路应分路设置。</w:t>
      </w:r>
    </w:p>
    <w:p w14:paraId="40AC0D32">
      <w:pPr>
        <w:numPr>
          <w:ilvl w:val="0"/>
          <w:numId w:val="32"/>
        </w:numPr>
        <w:bidi w:val="0"/>
        <w:ind w:left="425" w:leftChars="0" w:hanging="425" w:firstLineChars="0"/>
        <w:rPr>
          <w:rFonts w:hint="eastAsia"/>
        </w:rPr>
      </w:pPr>
      <w:r>
        <w:rPr>
          <w:rFonts w:hint="eastAsia"/>
        </w:rPr>
        <w:t>每台电器设备应有各自专用的开关箱，必须实行“一机一闸”制，严禁用同一个电器开关直接控制两台或两台以上的用电设备（含插座）。</w:t>
      </w:r>
    </w:p>
    <w:p w14:paraId="2F08AA9B">
      <w:pPr>
        <w:numPr>
          <w:ilvl w:val="0"/>
          <w:numId w:val="32"/>
        </w:numPr>
        <w:bidi w:val="0"/>
        <w:ind w:left="425" w:leftChars="0" w:hanging="425" w:firstLineChars="0"/>
        <w:rPr>
          <w:rFonts w:hint="eastAsia"/>
        </w:rPr>
      </w:pPr>
      <w:r>
        <w:rPr>
          <w:rFonts w:hint="eastAsia"/>
        </w:rPr>
        <w:t>总配电箱应设在靠近电源的地区。分配电箱应装设在用电设备或负荷相对集中的地区。分配电箱与开关箱的距离不得超过30m。开关箱与其控制的固定式用电设备的水平距离不宜超过3m。</w:t>
      </w:r>
    </w:p>
    <w:p w14:paraId="12993FFC">
      <w:pPr>
        <w:numPr>
          <w:ilvl w:val="0"/>
          <w:numId w:val="32"/>
        </w:numPr>
        <w:bidi w:val="0"/>
        <w:ind w:left="425" w:leftChars="0" w:hanging="425" w:firstLineChars="0"/>
        <w:rPr>
          <w:rFonts w:hint="eastAsia"/>
        </w:rPr>
      </w:pPr>
      <w:r>
        <w:rPr>
          <w:rFonts w:hint="eastAsia"/>
        </w:rPr>
        <w:t>配电箱、开关箱油脂装设在干燥、通风及常温场所；不得装设在有严重损伤作用的瓦斯、烟气、蒸汽、液体及其他有害介质中。不得装设在易受外来固体物撞击、强烈振动，液体浸溅及热源烘烤的场所。否则，须做特殊防护处理。</w:t>
      </w:r>
    </w:p>
    <w:p w14:paraId="0B03E004">
      <w:pPr>
        <w:numPr>
          <w:ilvl w:val="0"/>
          <w:numId w:val="32"/>
        </w:numPr>
        <w:bidi w:val="0"/>
        <w:ind w:left="425" w:leftChars="0" w:hanging="425" w:firstLineChars="0"/>
        <w:rPr>
          <w:rFonts w:hint="eastAsia"/>
        </w:rPr>
      </w:pPr>
      <w:r>
        <w:rPr>
          <w:rFonts w:hint="eastAsia"/>
        </w:rPr>
        <w:t>配电箱、开关箱周围应有足够二人同时工作的空间和通道。不得堆放任何妨碍操作、维修的物品；不得有灌木、杂草。</w:t>
      </w:r>
    </w:p>
    <w:p w14:paraId="70749FDC">
      <w:pPr>
        <w:numPr>
          <w:ilvl w:val="0"/>
          <w:numId w:val="32"/>
        </w:numPr>
        <w:bidi w:val="0"/>
        <w:ind w:left="425" w:leftChars="0" w:hanging="425" w:firstLineChars="0"/>
        <w:rPr>
          <w:rFonts w:hint="eastAsia"/>
        </w:rPr>
      </w:pPr>
      <w:r>
        <w:rPr>
          <w:rFonts w:hint="eastAsia"/>
        </w:rPr>
        <w:t>配电箱、开关箱应装设端正、牢固、移动式分配电箱、开关箱应装设在坚固的支架上。固定式分配电箱、开关箱的下底与地面的垂直距离应大于1.3m</w:t>
      </w:r>
      <w:r>
        <w:rPr>
          <w:rFonts w:hint="eastAsia"/>
          <w:lang w:eastAsia="zh-CN"/>
        </w:rPr>
        <w:t>，</w:t>
      </w:r>
      <w:r>
        <w:rPr>
          <w:rFonts w:hint="eastAsia"/>
        </w:rPr>
        <w:t>小于1.5m</w:t>
      </w:r>
      <w:r>
        <w:rPr>
          <w:rFonts w:hint="eastAsia"/>
          <w:lang w:eastAsia="zh-CN"/>
        </w:rPr>
        <w:t>；</w:t>
      </w:r>
      <w:r>
        <w:rPr>
          <w:rFonts w:hint="eastAsia"/>
        </w:rPr>
        <w:t>移动式分配电箱、开关箱的下底与地面垂直距离宜大于0.6m</w:t>
      </w:r>
      <w:r>
        <w:rPr>
          <w:rFonts w:hint="eastAsia"/>
          <w:lang w:eastAsia="zh-CN"/>
        </w:rPr>
        <w:t>，</w:t>
      </w:r>
      <w:r>
        <w:rPr>
          <w:rFonts w:hint="eastAsia"/>
        </w:rPr>
        <w:t>小于1.5m。</w:t>
      </w:r>
    </w:p>
    <w:p w14:paraId="04DD0827">
      <w:pPr>
        <w:numPr>
          <w:ilvl w:val="0"/>
          <w:numId w:val="32"/>
        </w:numPr>
        <w:bidi w:val="0"/>
        <w:ind w:left="425" w:leftChars="0" w:hanging="425" w:firstLineChars="0"/>
        <w:rPr>
          <w:rFonts w:hint="eastAsia"/>
        </w:rPr>
      </w:pPr>
      <w:r>
        <w:rPr>
          <w:rFonts w:hint="eastAsia"/>
        </w:rPr>
        <w:t>配电箱、开关箱内的开关电器（含插座）应按其规定的位置紧固在电器</w:t>
      </w:r>
      <w:r>
        <w:rPr>
          <w:rFonts w:hint="eastAsia"/>
          <w:lang w:eastAsia="zh-CN"/>
        </w:rPr>
        <w:t>拆除</w:t>
      </w:r>
      <w:r>
        <w:rPr>
          <w:rFonts w:hint="eastAsia"/>
        </w:rPr>
        <w:t>板上，不得歪斜和松动。</w:t>
      </w:r>
    </w:p>
    <w:p w14:paraId="7D185950">
      <w:pPr>
        <w:numPr>
          <w:ilvl w:val="0"/>
          <w:numId w:val="32"/>
        </w:numPr>
        <w:bidi w:val="0"/>
        <w:ind w:left="425" w:leftChars="0" w:hanging="425" w:firstLineChars="0"/>
        <w:rPr>
          <w:rFonts w:hint="eastAsia"/>
        </w:rPr>
      </w:pPr>
      <w:r>
        <w:rPr>
          <w:rFonts w:hint="eastAsia"/>
        </w:rPr>
        <w:t>配电箱、开关箱内的工作零线应通过接线端子板连接，并应与保护零线接线端子板分设。</w:t>
      </w:r>
    </w:p>
    <w:p w14:paraId="2A24BE86">
      <w:pPr>
        <w:numPr>
          <w:ilvl w:val="0"/>
          <w:numId w:val="32"/>
        </w:numPr>
        <w:bidi w:val="0"/>
        <w:ind w:left="425" w:leftChars="0" w:hanging="425" w:firstLineChars="0"/>
        <w:rPr>
          <w:rFonts w:hint="eastAsia"/>
        </w:rPr>
      </w:pPr>
      <w:r>
        <w:rPr>
          <w:rFonts w:hint="eastAsia"/>
        </w:rPr>
        <w:t>配电箱、开关箱内的连接线接头不得松动，不得有外露带电部分。配电箱、开关箱中导线的进线口和出线口应设在箱体下底面，严禁设在箱体的上顶面、侧面、后面或箱门处。</w:t>
      </w:r>
    </w:p>
    <w:p w14:paraId="20F814B7">
      <w:pPr>
        <w:numPr>
          <w:ilvl w:val="0"/>
          <w:numId w:val="32"/>
        </w:numPr>
        <w:bidi w:val="0"/>
        <w:ind w:left="425" w:leftChars="0" w:hanging="425" w:firstLineChars="0"/>
        <w:rPr>
          <w:rFonts w:hint="eastAsia"/>
        </w:rPr>
      </w:pPr>
      <w:r>
        <w:rPr>
          <w:rFonts w:hint="eastAsia"/>
        </w:rPr>
        <w:t>配电箱和开关箱的金属体、金属电器</w:t>
      </w:r>
      <w:r>
        <w:rPr>
          <w:rFonts w:hint="eastAsia"/>
          <w:lang w:eastAsia="zh-CN"/>
        </w:rPr>
        <w:t>拆除</w:t>
      </w:r>
      <w:r>
        <w:rPr>
          <w:rFonts w:hint="eastAsia"/>
        </w:rPr>
        <w:t>板以及箱内电器</w:t>
      </w:r>
      <w:bookmarkStart w:id="69" w:name="_Toc11882_WPSOffice_Level1"/>
      <w:r>
        <w:rPr>
          <w:rFonts w:hint="eastAsia"/>
        </w:rPr>
        <w:t>的不应带电金属底座、外壳等必须保护接零</w:t>
      </w:r>
      <w:bookmarkEnd w:id="69"/>
      <w:r>
        <w:rPr>
          <w:rFonts w:hint="eastAsia"/>
        </w:rPr>
        <w:t>。</w:t>
      </w:r>
      <w:bookmarkStart w:id="70" w:name="_Toc14617_WPSOffice_Level2"/>
      <w:r>
        <w:rPr>
          <w:rFonts w:hint="eastAsia"/>
        </w:rPr>
        <w:t>保护零线应通过接线端子板</w:t>
      </w:r>
      <w:bookmarkEnd w:id="70"/>
      <w:r>
        <w:rPr>
          <w:rFonts w:hint="eastAsia"/>
        </w:rPr>
        <w:t>连接。</w:t>
      </w:r>
    </w:p>
    <w:p w14:paraId="0FE65AEF">
      <w:pPr>
        <w:numPr>
          <w:ilvl w:val="0"/>
          <w:numId w:val="32"/>
        </w:numPr>
        <w:bidi w:val="0"/>
        <w:ind w:left="425" w:leftChars="0" w:hanging="425" w:firstLineChars="0"/>
        <w:rPr>
          <w:rFonts w:hint="eastAsia"/>
        </w:rPr>
      </w:pPr>
      <w:r>
        <w:rPr>
          <w:rFonts w:hint="eastAsia"/>
        </w:rPr>
        <w:t>配电箱、开关箱必须防雨、防尘，遇到配电箱内存在灰尘、混凝土等杂物，电工必须及时清理。</w:t>
      </w:r>
    </w:p>
    <w:p w14:paraId="07611263">
      <w:pPr>
        <w:numPr>
          <w:ilvl w:val="0"/>
          <w:numId w:val="32"/>
        </w:numPr>
        <w:bidi w:val="0"/>
        <w:ind w:left="425" w:leftChars="0" w:hanging="425" w:firstLineChars="0"/>
        <w:rPr>
          <w:rFonts w:hint="eastAsia"/>
        </w:rPr>
      </w:pPr>
      <w:r>
        <w:rPr>
          <w:rFonts w:hint="eastAsia"/>
        </w:rPr>
        <w:t>严禁使用容易引发触电事故的木质配电箱。</w:t>
      </w:r>
    </w:p>
    <w:p w14:paraId="46E5C0E3">
      <w:pPr>
        <w:numPr>
          <w:ilvl w:val="0"/>
          <w:numId w:val="32"/>
        </w:numPr>
        <w:bidi w:val="0"/>
        <w:ind w:left="425" w:leftChars="0" w:hanging="425" w:firstLineChars="0"/>
        <w:rPr>
          <w:rFonts w:hint="eastAsia"/>
        </w:rPr>
      </w:pPr>
      <w:r>
        <w:rPr>
          <w:rFonts w:hint="eastAsia"/>
        </w:rPr>
        <w:t>遇到雷电、暴雨等恶劣天气，施工现场作业区域应关闭总供电源。</w:t>
      </w:r>
    </w:p>
    <w:p w14:paraId="52E247D5">
      <w:pPr>
        <w:pStyle w:val="5"/>
        <w:bidi w:val="0"/>
        <w:rPr>
          <w:rFonts w:hint="eastAsia" w:ascii="宋体" w:hAnsi="宋体" w:eastAsia="宋体" w:cs="宋体"/>
        </w:rPr>
      </w:pPr>
      <w:r>
        <w:rPr>
          <w:rFonts w:hint="eastAsia" w:ascii="宋体" w:hAnsi="宋体" w:eastAsia="宋体" w:cs="宋体"/>
        </w:rPr>
        <w:t>漏电保护器的设置</w:t>
      </w:r>
      <w:r>
        <w:rPr>
          <w:rFonts w:hint="eastAsia" w:ascii="宋体" w:hAnsi="宋体" w:eastAsia="宋体" w:cs="宋体"/>
          <w:lang w:eastAsia="zh-CN"/>
        </w:rPr>
        <w:t>。</w:t>
      </w:r>
    </w:p>
    <w:p w14:paraId="676C561A">
      <w:pPr>
        <w:numPr>
          <w:ilvl w:val="0"/>
          <w:numId w:val="33"/>
        </w:numPr>
        <w:bidi w:val="0"/>
        <w:ind w:left="425" w:leftChars="0" w:hanging="425" w:firstLineChars="0"/>
        <w:rPr>
          <w:rFonts w:hint="eastAsia"/>
        </w:rPr>
      </w:pPr>
      <w:r>
        <w:rPr>
          <w:rFonts w:hint="eastAsia"/>
        </w:rPr>
        <w:t>施工现场的总配电箱和开关箱应至少设置两级漏电保护器，而且两级漏电保护器的额定漏电动作电流和额定漏电动作时间应合理配合，使之具有分级保护的功能。</w:t>
      </w:r>
    </w:p>
    <w:p w14:paraId="79D12DB6">
      <w:pPr>
        <w:numPr>
          <w:ilvl w:val="0"/>
          <w:numId w:val="33"/>
        </w:numPr>
        <w:bidi w:val="0"/>
        <w:ind w:left="425" w:leftChars="0" w:hanging="425" w:firstLineChars="0"/>
        <w:rPr>
          <w:rFonts w:hint="eastAsia"/>
        </w:rPr>
      </w:pPr>
      <w:r>
        <w:rPr>
          <w:rFonts w:hint="eastAsia"/>
        </w:rPr>
        <w:t>开关箱中必须设置漏电保护器，施工现场所有的用电设备，除做保护接零外，必须在设备负荷线的首端处</w:t>
      </w:r>
      <w:r>
        <w:rPr>
          <w:rFonts w:hint="eastAsia"/>
          <w:lang w:eastAsia="zh-CN"/>
        </w:rPr>
        <w:t>拆除</w:t>
      </w:r>
      <w:r>
        <w:rPr>
          <w:rFonts w:hint="eastAsia"/>
        </w:rPr>
        <w:t>漏电保护器。</w:t>
      </w:r>
    </w:p>
    <w:p w14:paraId="2CFA9231">
      <w:pPr>
        <w:numPr>
          <w:ilvl w:val="0"/>
          <w:numId w:val="33"/>
        </w:numPr>
        <w:bidi w:val="0"/>
        <w:ind w:left="425" w:leftChars="0" w:hanging="425" w:firstLineChars="0"/>
        <w:rPr>
          <w:rFonts w:hint="eastAsia"/>
        </w:rPr>
      </w:pPr>
      <w:r>
        <w:rPr>
          <w:rFonts w:hint="eastAsia"/>
        </w:rPr>
        <w:t>漏电保护器应装设在配电箱电源隔离开关的负荷侧和开关箱电源隔离开关的负荷侧。</w:t>
      </w:r>
    </w:p>
    <w:p w14:paraId="55FBB76E">
      <w:pPr>
        <w:numPr>
          <w:ilvl w:val="0"/>
          <w:numId w:val="33"/>
        </w:numPr>
        <w:bidi w:val="0"/>
        <w:ind w:left="425" w:leftChars="0" w:hanging="425" w:firstLineChars="0"/>
        <w:rPr>
          <w:rFonts w:hint="eastAsia"/>
        </w:rPr>
      </w:pPr>
      <w:r>
        <w:rPr>
          <w:rFonts w:hint="eastAsia"/>
        </w:rPr>
        <w:t>开关箱内的漏电保护器其额定漏电动作电流应不大于30mA，额定漏电动作时间应小于0.1s。潮湿和有腐蚀介质场所的漏电保护器应采用防溅型产品，其额定漏电动作电流应不大于15mA</w:t>
      </w:r>
      <w:r>
        <w:rPr>
          <w:rFonts w:hint="eastAsia"/>
          <w:lang w:eastAsia="zh-CN"/>
        </w:rPr>
        <w:t>，</w:t>
      </w:r>
      <w:r>
        <w:rPr>
          <w:rFonts w:hint="eastAsia"/>
        </w:rPr>
        <w:t>额定漏电动作时间应小于0.1s。</w:t>
      </w:r>
    </w:p>
    <w:p w14:paraId="10579FEA">
      <w:pPr>
        <w:pStyle w:val="4"/>
        <w:keepNext w:val="0"/>
        <w:pageBreakBefore w:val="0"/>
        <w:widowControl w:val="0"/>
        <w:numPr>
          <w:ilvl w:val="2"/>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bookmarkStart w:id="71" w:name="_Toc530055694"/>
      <w:bookmarkStart w:id="72" w:name="_Toc4051_WPSOffice_Level2"/>
      <w:r>
        <w:rPr>
          <w:rFonts w:hint="eastAsia" w:ascii="宋体" w:hAnsi="宋体" w:eastAsia="宋体" w:cs="宋体"/>
          <w:sz w:val="24"/>
          <w:szCs w:val="24"/>
        </w:rPr>
        <w:t>起重作业的安全规定</w:t>
      </w:r>
    </w:p>
    <w:bookmarkEnd w:id="71"/>
    <w:bookmarkEnd w:id="72"/>
    <w:p w14:paraId="1A0BDD11">
      <w:pPr>
        <w:numPr>
          <w:ilvl w:val="0"/>
          <w:numId w:val="34"/>
        </w:numPr>
        <w:bidi w:val="0"/>
        <w:ind w:left="425" w:leftChars="0" w:hanging="425" w:firstLineChars="0"/>
        <w:rPr>
          <w:rFonts w:hint="eastAsia"/>
        </w:rPr>
      </w:pPr>
      <w:r>
        <w:rPr>
          <w:rFonts w:hint="eastAsia"/>
        </w:rPr>
        <w:t>工作前检查起重所用的一切工具、设备、吊索具是否良好，如不符合规定的，必须修理或更换。</w:t>
      </w:r>
    </w:p>
    <w:p w14:paraId="78D220D1">
      <w:pPr>
        <w:numPr>
          <w:ilvl w:val="0"/>
          <w:numId w:val="34"/>
        </w:numPr>
        <w:bidi w:val="0"/>
        <w:ind w:left="425" w:leftChars="0" w:hanging="425" w:firstLineChars="0"/>
        <w:rPr>
          <w:rFonts w:hint="eastAsia"/>
        </w:rPr>
      </w:pPr>
      <w:r>
        <w:rPr>
          <w:rFonts w:hint="eastAsia"/>
        </w:rPr>
        <w:t>起重作业前应了解吊物尺寸、重量和起吊高度等，不得冒险作业和超负荷作业。</w:t>
      </w:r>
    </w:p>
    <w:p w14:paraId="59C5A4FD">
      <w:pPr>
        <w:numPr>
          <w:ilvl w:val="0"/>
          <w:numId w:val="34"/>
        </w:numPr>
        <w:bidi w:val="0"/>
        <w:ind w:left="425" w:leftChars="0" w:hanging="425" w:firstLineChars="0"/>
        <w:rPr>
          <w:rFonts w:hint="eastAsia"/>
        </w:rPr>
      </w:pPr>
      <w:r>
        <w:rPr>
          <w:rFonts w:hint="eastAsia"/>
        </w:rPr>
        <w:t>起重作业由专业起重作业人员指挥，统一指挥信号和哨声，指挥者站在所有作业人员能看到的位置。同时指挥者本人应清楚地看到重物吊装的全部过程。</w:t>
      </w:r>
    </w:p>
    <w:p w14:paraId="3D3F9BAC">
      <w:pPr>
        <w:numPr>
          <w:ilvl w:val="0"/>
          <w:numId w:val="34"/>
        </w:numPr>
        <w:bidi w:val="0"/>
        <w:ind w:left="425" w:leftChars="0" w:hanging="425" w:firstLineChars="0"/>
        <w:rPr>
          <w:rFonts w:hint="eastAsia"/>
        </w:rPr>
      </w:pPr>
      <w:r>
        <w:rPr>
          <w:rFonts w:hint="eastAsia"/>
        </w:rPr>
        <w:t>起吊前应将吊物上的工具和杂物清除，以免掉下伤人，吊物上禁止站人。</w:t>
      </w:r>
    </w:p>
    <w:p w14:paraId="2A5AFC60">
      <w:pPr>
        <w:numPr>
          <w:ilvl w:val="0"/>
          <w:numId w:val="34"/>
        </w:numPr>
        <w:bidi w:val="0"/>
        <w:ind w:left="425" w:leftChars="0" w:hanging="425" w:firstLineChars="0"/>
        <w:rPr>
          <w:rFonts w:hint="eastAsia"/>
        </w:rPr>
      </w:pPr>
      <w:r>
        <w:rPr>
          <w:rFonts w:hint="eastAsia"/>
        </w:rPr>
        <w:t>起重时发现吊物不平衡应放下调整，起吊物及构件在未</w:t>
      </w:r>
      <w:r>
        <w:rPr>
          <w:rFonts w:hint="eastAsia"/>
          <w:lang w:eastAsia="zh-CN"/>
        </w:rPr>
        <w:t>拆除</w:t>
      </w:r>
      <w:r>
        <w:rPr>
          <w:rFonts w:hint="eastAsia"/>
        </w:rPr>
        <w:t>稳前，不得放下吊钩。</w:t>
      </w:r>
    </w:p>
    <w:p w14:paraId="20645837">
      <w:pPr>
        <w:numPr>
          <w:ilvl w:val="0"/>
          <w:numId w:val="34"/>
        </w:numPr>
        <w:bidi w:val="0"/>
        <w:ind w:left="425" w:leftChars="0" w:hanging="425" w:firstLineChars="0"/>
        <w:rPr>
          <w:rFonts w:hint="eastAsia"/>
        </w:rPr>
      </w:pPr>
      <w:r>
        <w:rPr>
          <w:rFonts w:hint="eastAsia"/>
        </w:rPr>
        <w:t>严格执行“十不吊”要求。</w:t>
      </w:r>
    </w:p>
    <w:p w14:paraId="2979F311">
      <w:pPr>
        <w:pStyle w:val="4"/>
        <w:keepNext w:val="0"/>
        <w:pageBreakBefore w:val="0"/>
        <w:widowControl w:val="0"/>
        <w:numPr>
          <w:ilvl w:val="2"/>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监测监控措施</w:t>
      </w:r>
    </w:p>
    <w:p w14:paraId="625528A2">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根据本工程特点，塔吊监测的主要内容主要为塔吊塔身垂直度监测、基础沉降监测、基础位移监测、塔机所有安全装置的监测。</w:t>
      </w:r>
    </w:p>
    <w:p w14:paraId="65C7BBBC">
      <w:pPr>
        <w:pStyle w:val="5"/>
        <w:bidi w:val="0"/>
        <w:rPr>
          <w:rFonts w:hint="eastAsia" w:ascii="宋体" w:hAnsi="宋体" w:eastAsia="宋体" w:cs="宋体"/>
        </w:rPr>
      </w:pPr>
      <w:r>
        <w:rPr>
          <w:rFonts w:hint="eastAsia" w:ascii="宋体" w:hAnsi="宋体" w:eastAsia="宋体" w:cs="宋体"/>
        </w:rPr>
        <w:t>监控措施</w:t>
      </w:r>
    </w:p>
    <w:p w14:paraId="6CDA6A01">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施工过程中，安全员必须对工人的施工操作进行监控。整个监控通过现场的指导，定期检查及不定期的检查来执行。</w:t>
      </w:r>
    </w:p>
    <w:p w14:paraId="3F3904A0">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在施工过程中，由安全专项方案作为指导，同时依据相关安全生产规范，在现场指导工人的操作是否规范，有问题的现场要求整改或指导。在生产过程中应组织生产管理相关部门的定期检查，对容易出现问题的工序要加强监控，对不容易出现问题的施工工序也要时有监控。通过加强监控来树立工人对安全生产的意识。安全部也要组织不定期的突击检查，以加强监控力度及覆盖外围。</w:t>
      </w:r>
    </w:p>
    <w:p w14:paraId="62F26180">
      <w:pPr>
        <w:pStyle w:val="5"/>
        <w:bidi w:val="0"/>
        <w:rPr>
          <w:rFonts w:hint="eastAsia" w:ascii="宋体" w:hAnsi="宋体" w:eastAsia="宋体" w:cs="宋体"/>
        </w:rPr>
      </w:pPr>
      <w:r>
        <w:rPr>
          <w:rFonts w:hint="eastAsia" w:ascii="宋体" w:hAnsi="宋体" w:eastAsia="宋体" w:cs="宋体"/>
        </w:rPr>
        <w:t>监测措施</w:t>
      </w:r>
    </w:p>
    <w:p w14:paraId="13C5DDF6">
      <w:pPr>
        <w:pStyle w:val="6"/>
        <w:bidi w:val="0"/>
        <w:rPr>
          <w:rFonts w:hint="eastAsia"/>
        </w:rPr>
      </w:pPr>
      <w:r>
        <w:rPr>
          <w:rFonts w:hint="eastAsia"/>
        </w:rPr>
        <w:t>监测人员配备</w:t>
      </w:r>
    </w:p>
    <w:p w14:paraId="2297F562">
      <w:pPr>
        <w:pStyle w:val="13"/>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lang w:val="en-US" w:eastAsia="zh-CN"/>
        </w:rPr>
        <w:t>2</w:t>
      </w:r>
      <w:r>
        <w:rPr>
          <w:rFonts w:hint="eastAsia" w:ascii="宋体" w:hAnsi="宋体" w:eastAsia="宋体" w:cs="宋体"/>
          <w:sz w:val="24"/>
          <w:szCs w:val="24"/>
        </w:rPr>
        <w:fldChar w:fldCharType="end"/>
      </w:r>
      <w:r>
        <w:rPr>
          <w:rFonts w:hint="eastAsia" w:ascii="宋体" w:hAnsi="宋体" w:eastAsia="宋体" w:cs="宋体"/>
          <w:sz w:val="24"/>
          <w:szCs w:val="24"/>
          <w:lang w:val="en-US" w:eastAsia="zh-CN"/>
        </w:rPr>
        <w:t>.9.2.</w:t>
      </w:r>
      <w:r>
        <w:rPr>
          <w:rFonts w:hint="eastAsia" w:ascii="宋体" w:hAnsi="宋体" w:cs="宋体"/>
          <w:sz w:val="24"/>
          <w:szCs w:val="24"/>
          <w:lang w:val="en-US" w:eastAsia="zh-CN"/>
        </w:rPr>
        <w:t>1</w:t>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监测人员配备表</w:t>
      </w:r>
    </w:p>
    <w:tbl>
      <w:tblPr>
        <w:tblStyle w:val="121"/>
        <w:tblW w:w="5000" w:type="pct"/>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070"/>
        <w:gridCol w:w="1648"/>
        <w:gridCol w:w="5967"/>
        <w:gridCol w:w="1170"/>
      </w:tblGrid>
      <w:tr w14:paraId="7802277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2" w:hRule="atLeast"/>
          <w:jc w:val="center"/>
        </w:trPr>
        <w:tc>
          <w:tcPr>
            <w:tcW w:w="543" w:type="pct"/>
            <w:tcBorders>
              <w:tl2br w:val="nil"/>
              <w:tr2bl w:val="nil"/>
            </w:tcBorders>
            <w:shd w:val="clear" w:color="auto" w:fill="auto"/>
            <w:vAlign w:val="center"/>
          </w:tcPr>
          <w:p w14:paraId="19C272C5">
            <w:pPr>
              <w:widowControl w:val="0"/>
              <w:adjustRightInd w:val="0"/>
              <w:snapToGrid w:val="0"/>
              <w:spacing w:line="240" w:lineRule="auto"/>
              <w:ind w:firstLine="0" w:firstLineChars="0"/>
              <w:jc w:val="center"/>
              <w:rPr>
                <w:rFonts w:hint="eastAsia" w:ascii="宋体" w:hAnsi="宋体" w:eastAsia="宋体" w:cs="宋体"/>
                <w:b/>
                <w:i w:val="0"/>
                <w:kern w:val="2"/>
                <w:sz w:val="21"/>
                <w:szCs w:val="21"/>
                <w:lang w:val="en-US" w:eastAsia="zh-CN" w:bidi="ar-SA"/>
              </w:rPr>
            </w:pPr>
            <w:r>
              <w:rPr>
                <w:rFonts w:hint="eastAsia" w:ascii="宋体" w:hAnsi="宋体" w:eastAsia="宋体" w:cs="宋体"/>
                <w:b/>
                <w:i w:val="0"/>
                <w:kern w:val="2"/>
                <w:sz w:val="21"/>
                <w:szCs w:val="21"/>
                <w:lang w:val="en-US" w:eastAsia="zh-CN" w:bidi="ar-SA"/>
              </w:rPr>
              <w:t>姓名</w:t>
            </w:r>
          </w:p>
        </w:tc>
        <w:tc>
          <w:tcPr>
            <w:tcW w:w="836" w:type="pct"/>
            <w:tcBorders>
              <w:tl2br w:val="nil"/>
              <w:tr2bl w:val="nil"/>
            </w:tcBorders>
            <w:shd w:val="clear" w:color="auto" w:fill="auto"/>
            <w:vAlign w:val="center"/>
          </w:tcPr>
          <w:p w14:paraId="580FC0CC">
            <w:pPr>
              <w:widowControl w:val="0"/>
              <w:adjustRightInd w:val="0"/>
              <w:snapToGrid w:val="0"/>
              <w:spacing w:line="240" w:lineRule="auto"/>
              <w:ind w:firstLine="0" w:firstLineChars="0"/>
              <w:jc w:val="center"/>
              <w:rPr>
                <w:rFonts w:hint="eastAsia" w:ascii="宋体" w:hAnsi="宋体" w:eastAsia="宋体" w:cs="宋体"/>
                <w:b/>
                <w:i w:val="0"/>
                <w:kern w:val="2"/>
                <w:sz w:val="21"/>
                <w:szCs w:val="21"/>
                <w:lang w:val="en-US" w:eastAsia="zh-CN" w:bidi="ar-SA"/>
              </w:rPr>
            </w:pPr>
            <w:r>
              <w:rPr>
                <w:rFonts w:hint="eastAsia" w:ascii="宋体" w:hAnsi="宋体" w:eastAsia="宋体" w:cs="宋体"/>
                <w:b/>
                <w:i w:val="0"/>
                <w:kern w:val="2"/>
                <w:sz w:val="21"/>
                <w:szCs w:val="21"/>
                <w:lang w:val="en-US" w:eastAsia="zh-CN" w:bidi="ar-SA"/>
              </w:rPr>
              <w:t>职务</w:t>
            </w:r>
          </w:p>
        </w:tc>
        <w:tc>
          <w:tcPr>
            <w:tcW w:w="3027" w:type="pct"/>
            <w:tcBorders>
              <w:tl2br w:val="nil"/>
              <w:tr2bl w:val="nil"/>
            </w:tcBorders>
            <w:shd w:val="clear" w:color="auto" w:fill="auto"/>
            <w:vAlign w:val="center"/>
          </w:tcPr>
          <w:p w14:paraId="43D8E913">
            <w:pPr>
              <w:widowControl w:val="0"/>
              <w:adjustRightInd w:val="0"/>
              <w:snapToGrid w:val="0"/>
              <w:spacing w:line="240" w:lineRule="auto"/>
              <w:ind w:firstLine="0" w:firstLineChars="0"/>
              <w:jc w:val="center"/>
              <w:rPr>
                <w:rFonts w:hint="eastAsia" w:ascii="宋体" w:hAnsi="宋体" w:eastAsia="宋体" w:cs="宋体"/>
                <w:b/>
                <w:i w:val="0"/>
                <w:kern w:val="2"/>
                <w:sz w:val="21"/>
                <w:szCs w:val="21"/>
                <w:lang w:val="en-US" w:eastAsia="zh-CN" w:bidi="ar-SA"/>
              </w:rPr>
            </w:pPr>
            <w:r>
              <w:rPr>
                <w:rFonts w:hint="eastAsia" w:ascii="宋体" w:hAnsi="宋体" w:eastAsia="宋体" w:cs="宋体"/>
                <w:b/>
                <w:i w:val="0"/>
                <w:kern w:val="2"/>
                <w:sz w:val="21"/>
                <w:szCs w:val="21"/>
                <w:lang w:val="en-US" w:eastAsia="zh-CN" w:bidi="ar-SA"/>
              </w:rPr>
              <w:t>工作内容</w:t>
            </w:r>
          </w:p>
        </w:tc>
        <w:tc>
          <w:tcPr>
            <w:tcW w:w="593" w:type="pct"/>
            <w:tcBorders>
              <w:tl2br w:val="nil"/>
              <w:tr2bl w:val="nil"/>
            </w:tcBorders>
            <w:shd w:val="clear" w:color="auto" w:fill="auto"/>
            <w:vAlign w:val="center"/>
          </w:tcPr>
          <w:p w14:paraId="3152C182">
            <w:pPr>
              <w:widowControl w:val="0"/>
              <w:adjustRightInd w:val="0"/>
              <w:snapToGrid w:val="0"/>
              <w:spacing w:line="240" w:lineRule="auto"/>
              <w:ind w:firstLine="0" w:firstLineChars="0"/>
              <w:jc w:val="center"/>
              <w:rPr>
                <w:rFonts w:hint="eastAsia" w:ascii="宋体" w:hAnsi="宋体" w:eastAsia="宋体" w:cs="宋体"/>
                <w:b/>
                <w:i w:val="0"/>
                <w:kern w:val="2"/>
                <w:sz w:val="21"/>
                <w:szCs w:val="21"/>
                <w:lang w:val="en-US" w:eastAsia="zh-CN" w:bidi="ar-SA"/>
              </w:rPr>
            </w:pPr>
            <w:r>
              <w:rPr>
                <w:rFonts w:hint="eastAsia" w:ascii="宋体" w:hAnsi="宋体" w:eastAsia="宋体" w:cs="宋体"/>
                <w:b/>
                <w:i w:val="0"/>
                <w:kern w:val="2"/>
                <w:sz w:val="21"/>
                <w:szCs w:val="21"/>
                <w:lang w:val="en-US" w:eastAsia="zh-CN" w:bidi="ar-SA"/>
              </w:rPr>
              <w:t>备注</w:t>
            </w:r>
          </w:p>
        </w:tc>
      </w:tr>
      <w:tr w14:paraId="3300EDB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7" w:hRule="atLeast"/>
          <w:jc w:val="center"/>
        </w:trPr>
        <w:tc>
          <w:tcPr>
            <w:tcW w:w="543" w:type="pct"/>
            <w:tcBorders>
              <w:tl2br w:val="nil"/>
              <w:tr2bl w:val="nil"/>
            </w:tcBorders>
            <w:shd w:val="clear" w:color="auto" w:fill="auto"/>
            <w:vAlign w:val="center"/>
          </w:tcPr>
          <w:p w14:paraId="1DB81CA6">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吕仕昌</w:t>
            </w:r>
          </w:p>
        </w:tc>
        <w:tc>
          <w:tcPr>
            <w:tcW w:w="836" w:type="pct"/>
            <w:tcBorders>
              <w:tl2br w:val="nil"/>
              <w:tr2bl w:val="nil"/>
            </w:tcBorders>
            <w:shd w:val="clear" w:color="auto" w:fill="auto"/>
            <w:vAlign w:val="center"/>
          </w:tcPr>
          <w:p w14:paraId="3E80D5A8">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项目负责人</w:t>
            </w:r>
          </w:p>
        </w:tc>
        <w:tc>
          <w:tcPr>
            <w:tcW w:w="3027" w:type="pct"/>
            <w:tcBorders>
              <w:tl2br w:val="nil"/>
              <w:tr2bl w:val="nil"/>
            </w:tcBorders>
            <w:shd w:val="clear" w:color="auto" w:fill="auto"/>
            <w:vAlign w:val="center"/>
          </w:tcPr>
          <w:p w14:paraId="053D0152">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负责塔吊审核塔吊安拆方案中所需监测数据</w:t>
            </w:r>
          </w:p>
        </w:tc>
        <w:tc>
          <w:tcPr>
            <w:tcW w:w="593" w:type="pct"/>
            <w:tcBorders>
              <w:tl2br w:val="nil"/>
              <w:tr2bl w:val="nil"/>
            </w:tcBorders>
            <w:shd w:val="clear" w:color="auto" w:fill="auto"/>
            <w:vAlign w:val="center"/>
          </w:tcPr>
          <w:p w14:paraId="2121B6CB">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p>
        </w:tc>
      </w:tr>
      <w:tr w14:paraId="74C1B94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7" w:hRule="atLeast"/>
          <w:jc w:val="center"/>
        </w:trPr>
        <w:tc>
          <w:tcPr>
            <w:tcW w:w="543" w:type="pct"/>
            <w:tcBorders>
              <w:tl2br w:val="nil"/>
              <w:tr2bl w:val="nil"/>
            </w:tcBorders>
            <w:shd w:val="clear" w:color="auto" w:fill="auto"/>
            <w:vAlign w:val="center"/>
          </w:tcPr>
          <w:p w14:paraId="69209183">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cs="宋体"/>
                <w:kern w:val="2"/>
                <w:sz w:val="21"/>
                <w:szCs w:val="21"/>
                <w:lang w:val="en-US" w:eastAsia="zh-CN" w:bidi="ar-SA"/>
              </w:rPr>
              <w:t>温涛</w:t>
            </w:r>
          </w:p>
        </w:tc>
        <w:tc>
          <w:tcPr>
            <w:tcW w:w="836" w:type="pct"/>
            <w:tcBorders>
              <w:tl2br w:val="nil"/>
              <w:tr2bl w:val="nil"/>
            </w:tcBorders>
            <w:shd w:val="clear" w:color="auto" w:fill="auto"/>
            <w:vAlign w:val="center"/>
          </w:tcPr>
          <w:p w14:paraId="16D2CE16">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技术负责人</w:t>
            </w:r>
          </w:p>
        </w:tc>
        <w:tc>
          <w:tcPr>
            <w:tcW w:w="5623" w:type="dxa"/>
            <w:tcBorders>
              <w:tl2br w:val="nil"/>
              <w:tr2bl w:val="nil"/>
            </w:tcBorders>
            <w:shd w:val="clear" w:color="auto" w:fill="auto"/>
            <w:vAlign w:val="center"/>
          </w:tcPr>
          <w:p w14:paraId="1E7A6D4F">
            <w:pPr>
              <w:adjustRightInd w:val="0"/>
              <w:snapToGrid w:val="0"/>
              <w:spacing w:line="240" w:lineRule="auto"/>
              <w:ind w:firstLine="0" w:firstLineChars="0"/>
              <w:jc w:val="center"/>
              <w:rPr>
                <w:rFonts w:hint="eastAsia" w:ascii="宋体" w:hAnsi="宋体" w:eastAsia="宋体" w:cs="宋体"/>
                <w:sz w:val="24"/>
              </w:rPr>
            </w:pPr>
            <w:r>
              <w:rPr>
                <w:rStyle w:val="48"/>
                <w:rFonts w:hint="eastAsia" w:ascii="宋体" w:hAnsi="宋体" w:eastAsia="宋体" w:cs="宋体"/>
                <w:lang w:val="en-US" w:eastAsia="zh-CN"/>
              </w:rPr>
              <w:t>塔机安拆过程技术指导</w:t>
            </w:r>
          </w:p>
        </w:tc>
        <w:tc>
          <w:tcPr>
            <w:tcW w:w="593" w:type="pct"/>
            <w:tcBorders>
              <w:tl2br w:val="nil"/>
              <w:tr2bl w:val="nil"/>
            </w:tcBorders>
            <w:shd w:val="clear" w:color="auto" w:fill="auto"/>
            <w:vAlign w:val="center"/>
          </w:tcPr>
          <w:p w14:paraId="696ADDC5">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p>
        </w:tc>
      </w:tr>
      <w:tr w14:paraId="4314243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7" w:hRule="atLeast"/>
          <w:jc w:val="center"/>
        </w:trPr>
        <w:tc>
          <w:tcPr>
            <w:tcW w:w="543" w:type="pct"/>
            <w:tcBorders>
              <w:tl2br w:val="nil"/>
              <w:tr2bl w:val="nil"/>
            </w:tcBorders>
            <w:shd w:val="clear" w:color="auto" w:fill="auto"/>
            <w:vAlign w:val="center"/>
          </w:tcPr>
          <w:p w14:paraId="41D40979">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于志刚</w:t>
            </w:r>
          </w:p>
        </w:tc>
        <w:tc>
          <w:tcPr>
            <w:tcW w:w="836" w:type="pct"/>
            <w:tcBorders>
              <w:tl2br w:val="nil"/>
              <w:tr2bl w:val="nil"/>
            </w:tcBorders>
            <w:shd w:val="clear" w:color="auto" w:fill="auto"/>
            <w:vAlign w:val="center"/>
          </w:tcPr>
          <w:p w14:paraId="5C28E634">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安全总监</w:t>
            </w:r>
          </w:p>
        </w:tc>
        <w:tc>
          <w:tcPr>
            <w:tcW w:w="3027" w:type="pct"/>
            <w:tcBorders>
              <w:tl2br w:val="nil"/>
              <w:tr2bl w:val="nil"/>
            </w:tcBorders>
            <w:shd w:val="clear" w:color="auto" w:fill="auto"/>
            <w:vAlign w:val="center"/>
          </w:tcPr>
          <w:p w14:paraId="687F3C82">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负责塔吊</w:t>
            </w:r>
            <w:r>
              <w:rPr>
                <w:rFonts w:hint="eastAsia" w:cs="宋体"/>
                <w:kern w:val="2"/>
                <w:sz w:val="21"/>
                <w:szCs w:val="21"/>
                <w:lang w:val="en-US" w:eastAsia="zh-CN" w:bidi="ar-SA"/>
              </w:rPr>
              <w:t>拆除</w:t>
            </w:r>
            <w:r>
              <w:rPr>
                <w:rFonts w:hint="eastAsia" w:ascii="宋体" w:hAnsi="宋体" w:eastAsia="宋体" w:cs="宋体"/>
                <w:kern w:val="2"/>
                <w:sz w:val="21"/>
                <w:szCs w:val="21"/>
                <w:lang w:val="en-US" w:eastAsia="zh-CN" w:bidi="ar-SA"/>
              </w:rPr>
              <w:t>过程中的安全监管</w:t>
            </w:r>
          </w:p>
        </w:tc>
        <w:tc>
          <w:tcPr>
            <w:tcW w:w="593" w:type="pct"/>
            <w:tcBorders>
              <w:tl2br w:val="nil"/>
              <w:tr2bl w:val="nil"/>
            </w:tcBorders>
            <w:shd w:val="clear" w:color="auto" w:fill="auto"/>
            <w:vAlign w:val="center"/>
          </w:tcPr>
          <w:p w14:paraId="60A138F5">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p>
        </w:tc>
      </w:tr>
      <w:tr w14:paraId="553C86C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8" w:hRule="atLeast"/>
          <w:jc w:val="center"/>
        </w:trPr>
        <w:tc>
          <w:tcPr>
            <w:tcW w:w="543" w:type="pct"/>
            <w:tcBorders>
              <w:tl2br w:val="nil"/>
              <w:tr2bl w:val="nil"/>
            </w:tcBorders>
            <w:shd w:val="clear" w:color="auto" w:fill="auto"/>
            <w:vAlign w:val="center"/>
          </w:tcPr>
          <w:p w14:paraId="5D690A29">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孔令波</w:t>
            </w:r>
          </w:p>
        </w:tc>
        <w:tc>
          <w:tcPr>
            <w:tcW w:w="836" w:type="pct"/>
            <w:tcBorders>
              <w:tl2br w:val="nil"/>
              <w:tr2bl w:val="nil"/>
            </w:tcBorders>
            <w:shd w:val="clear" w:color="auto" w:fill="auto"/>
            <w:vAlign w:val="center"/>
          </w:tcPr>
          <w:p w14:paraId="1711F3A3">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测量组长</w:t>
            </w:r>
          </w:p>
        </w:tc>
        <w:tc>
          <w:tcPr>
            <w:tcW w:w="3027" w:type="pct"/>
            <w:tcBorders>
              <w:tl2br w:val="nil"/>
              <w:tr2bl w:val="nil"/>
            </w:tcBorders>
            <w:shd w:val="clear" w:color="auto" w:fill="auto"/>
            <w:vAlign w:val="center"/>
          </w:tcPr>
          <w:p w14:paraId="554821F6">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负责塔吊</w:t>
            </w:r>
            <w:r>
              <w:rPr>
                <w:rFonts w:hint="eastAsia" w:cs="宋体"/>
                <w:kern w:val="2"/>
                <w:sz w:val="21"/>
                <w:szCs w:val="21"/>
                <w:lang w:val="en-US" w:eastAsia="zh-CN" w:bidi="ar-SA"/>
              </w:rPr>
              <w:t>拆除</w:t>
            </w:r>
            <w:r>
              <w:rPr>
                <w:rFonts w:hint="eastAsia" w:ascii="宋体" w:hAnsi="宋体" w:eastAsia="宋体" w:cs="宋体"/>
                <w:kern w:val="2"/>
                <w:sz w:val="21"/>
                <w:szCs w:val="21"/>
                <w:lang w:val="en-US" w:eastAsia="zh-CN" w:bidi="ar-SA"/>
              </w:rPr>
              <w:t>过程中的测量工作</w:t>
            </w:r>
          </w:p>
        </w:tc>
        <w:tc>
          <w:tcPr>
            <w:tcW w:w="593" w:type="pct"/>
            <w:tcBorders>
              <w:tl2br w:val="nil"/>
              <w:tr2bl w:val="nil"/>
            </w:tcBorders>
            <w:shd w:val="clear" w:color="auto" w:fill="auto"/>
            <w:vAlign w:val="center"/>
          </w:tcPr>
          <w:p w14:paraId="742E3EA0">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p>
        </w:tc>
      </w:tr>
      <w:tr w14:paraId="2063533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2" w:hRule="atLeast"/>
          <w:jc w:val="center"/>
        </w:trPr>
        <w:tc>
          <w:tcPr>
            <w:tcW w:w="543" w:type="pct"/>
            <w:tcBorders>
              <w:tl2br w:val="nil"/>
              <w:tr2bl w:val="nil"/>
            </w:tcBorders>
            <w:shd w:val="clear" w:color="auto" w:fill="auto"/>
            <w:vAlign w:val="center"/>
          </w:tcPr>
          <w:p w14:paraId="24534FCA">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刘云祥</w:t>
            </w:r>
          </w:p>
        </w:tc>
        <w:tc>
          <w:tcPr>
            <w:tcW w:w="836" w:type="pct"/>
            <w:tcBorders>
              <w:tl2br w:val="nil"/>
              <w:tr2bl w:val="nil"/>
            </w:tcBorders>
            <w:shd w:val="clear" w:color="auto" w:fill="auto"/>
            <w:vAlign w:val="center"/>
          </w:tcPr>
          <w:p w14:paraId="2871611E">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安拆工长</w:t>
            </w:r>
          </w:p>
        </w:tc>
        <w:tc>
          <w:tcPr>
            <w:tcW w:w="3027" w:type="pct"/>
            <w:tcBorders>
              <w:tl2br w:val="nil"/>
              <w:tr2bl w:val="nil"/>
            </w:tcBorders>
            <w:shd w:val="clear" w:color="auto" w:fill="auto"/>
            <w:vAlign w:val="center"/>
          </w:tcPr>
          <w:p w14:paraId="73660D33">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负责配合测量员完成塔吊监测工作</w:t>
            </w:r>
          </w:p>
        </w:tc>
        <w:tc>
          <w:tcPr>
            <w:tcW w:w="593" w:type="pct"/>
            <w:tcBorders>
              <w:tl2br w:val="nil"/>
              <w:tr2bl w:val="nil"/>
            </w:tcBorders>
            <w:shd w:val="clear" w:color="auto" w:fill="auto"/>
            <w:vAlign w:val="center"/>
          </w:tcPr>
          <w:p w14:paraId="06F74F38">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p>
        </w:tc>
      </w:tr>
    </w:tbl>
    <w:p w14:paraId="366EC10E">
      <w:pPr>
        <w:pStyle w:val="6"/>
        <w:bidi w:val="0"/>
        <w:rPr>
          <w:rFonts w:hint="eastAsia"/>
        </w:rPr>
      </w:pPr>
      <w:r>
        <w:rPr>
          <w:rFonts w:hint="eastAsia"/>
        </w:rPr>
        <w:t>监测监管要求</w:t>
      </w:r>
    </w:p>
    <w:p w14:paraId="697F87B4">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lang w:eastAsia="zh-CN"/>
        </w:rPr>
      </w:pPr>
      <w:r>
        <w:rPr>
          <w:rFonts w:hint="eastAsia" w:ascii="宋体" w:hAnsi="宋体" w:eastAsia="宋体" w:cs="宋体"/>
          <w:sz w:val="24"/>
          <w:szCs w:val="24"/>
        </w:rPr>
        <w:t>前期准备：必须将所需监测资料收集齐全，所需测量数据制定成表格，并将控制要求负责表格后面</w:t>
      </w:r>
      <w:r>
        <w:rPr>
          <w:rFonts w:hint="eastAsia" w:ascii="宋体" w:hAnsi="宋体" w:eastAsia="宋体" w:cs="宋体"/>
          <w:sz w:val="24"/>
          <w:szCs w:val="24"/>
          <w:lang w:eastAsia="zh-CN"/>
        </w:rPr>
        <w:t>。</w:t>
      </w:r>
    </w:p>
    <w:p w14:paraId="736C24C7">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lang w:eastAsia="zh-CN"/>
        </w:rPr>
      </w:pPr>
      <w:r>
        <w:rPr>
          <w:rFonts w:hint="eastAsia" w:ascii="宋体" w:hAnsi="宋体" w:eastAsia="宋体" w:cs="宋体"/>
          <w:sz w:val="24"/>
          <w:szCs w:val="24"/>
        </w:rPr>
        <w:t>现场测量：保证测量人员固定，设备固定、观测线路固定的三固定原则，保证测量仪器工作正常，现场测量员技术过关，注意施工安全</w:t>
      </w:r>
      <w:r>
        <w:rPr>
          <w:rFonts w:hint="eastAsia" w:ascii="宋体" w:hAnsi="宋体" w:eastAsia="宋体" w:cs="宋体"/>
          <w:sz w:val="24"/>
          <w:szCs w:val="24"/>
          <w:lang w:eastAsia="zh-CN"/>
        </w:rPr>
        <w:t>。</w:t>
      </w:r>
    </w:p>
    <w:p w14:paraId="57517031">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lang w:eastAsia="zh-CN"/>
        </w:rPr>
      </w:pPr>
      <w:r>
        <w:rPr>
          <w:rFonts w:hint="eastAsia" w:ascii="宋体" w:hAnsi="宋体" w:eastAsia="宋体" w:cs="宋体"/>
          <w:sz w:val="24"/>
          <w:szCs w:val="24"/>
        </w:rPr>
        <w:t>数据处理：现场测量数据必须形成档案，以便存储。同时将测量数据及时反馈给</w:t>
      </w:r>
      <w:r>
        <w:rPr>
          <w:rFonts w:hint="eastAsia" w:cs="宋体"/>
          <w:sz w:val="24"/>
          <w:szCs w:val="24"/>
          <w:lang w:eastAsia="zh-CN"/>
        </w:rPr>
        <w:t>拆除</w:t>
      </w:r>
      <w:r>
        <w:rPr>
          <w:rFonts w:hint="eastAsia" w:ascii="宋体" w:hAnsi="宋体" w:eastAsia="宋体" w:cs="宋体"/>
          <w:sz w:val="24"/>
          <w:szCs w:val="24"/>
        </w:rPr>
        <w:t>工长，</w:t>
      </w:r>
      <w:r>
        <w:rPr>
          <w:rFonts w:hint="eastAsia" w:cs="宋体"/>
          <w:sz w:val="24"/>
          <w:szCs w:val="24"/>
          <w:lang w:eastAsia="zh-CN"/>
        </w:rPr>
        <w:t>拆除</w:t>
      </w:r>
      <w:r>
        <w:rPr>
          <w:rFonts w:hint="eastAsia" w:ascii="宋体" w:hAnsi="宋体" w:eastAsia="宋体" w:cs="宋体"/>
          <w:sz w:val="24"/>
          <w:szCs w:val="24"/>
        </w:rPr>
        <w:t>工长根据反馈数据确定是否需要采取相应处理措施</w:t>
      </w:r>
      <w:r>
        <w:rPr>
          <w:rFonts w:hint="eastAsia" w:ascii="宋体" w:hAnsi="宋体" w:eastAsia="宋体" w:cs="宋体"/>
          <w:sz w:val="24"/>
          <w:szCs w:val="24"/>
          <w:lang w:eastAsia="zh-CN"/>
        </w:rPr>
        <w:t>。</w:t>
      </w:r>
    </w:p>
    <w:p w14:paraId="6DE6D3FB">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档案归档：塔吊</w:t>
      </w:r>
      <w:r>
        <w:rPr>
          <w:rFonts w:hint="eastAsia" w:cs="宋体"/>
          <w:sz w:val="24"/>
          <w:szCs w:val="24"/>
          <w:lang w:eastAsia="zh-CN"/>
        </w:rPr>
        <w:t>拆除</w:t>
      </w:r>
      <w:r>
        <w:rPr>
          <w:rFonts w:hint="eastAsia" w:ascii="宋体" w:hAnsi="宋体" w:eastAsia="宋体" w:cs="宋体"/>
          <w:sz w:val="24"/>
          <w:szCs w:val="24"/>
        </w:rPr>
        <w:t>完成，检测合格后，保证所有监测资料能够快速查阅，资料控制、保护措施全面</w:t>
      </w:r>
      <w:r>
        <w:rPr>
          <w:rFonts w:hint="eastAsia" w:ascii="宋体" w:hAnsi="宋体" w:eastAsia="宋体" w:cs="宋体"/>
          <w:sz w:val="24"/>
          <w:szCs w:val="24"/>
          <w:lang w:eastAsia="zh-CN"/>
        </w:rPr>
        <w:t>。</w:t>
      </w:r>
    </w:p>
    <w:p w14:paraId="0F697839">
      <w:pPr>
        <w:pStyle w:val="6"/>
        <w:bidi w:val="0"/>
        <w:rPr>
          <w:rFonts w:hint="eastAsia"/>
        </w:rPr>
      </w:pPr>
      <w:r>
        <w:rPr>
          <w:rFonts w:hint="eastAsia"/>
        </w:rPr>
        <w:t>监测方法</w:t>
      </w:r>
    </w:p>
    <w:p w14:paraId="644D8539">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cs="宋体"/>
          <w:sz w:val="24"/>
          <w:szCs w:val="24"/>
          <w:lang w:eastAsia="zh-CN"/>
        </w:rPr>
        <w:t>拆除</w:t>
      </w:r>
      <w:r>
        <w:rPr>
          <w:rFonts w:hint="eastAsia" w:ascii="宋体" w:hAnsi="宋体" w:eastAsia="宋体" w:cs="宋体"/>
          <w:sz w:val="24"/>
          <w:szCs w:val="24"/>
        </w:rPr>
        <w:t>时每</w:t>
      </w:r>
      <w:r>
        <w:rPr>
          <w:rFonts w:hint="eastAsia" w:cs="宋体"/>
          <w:sz w:val="24"/>
          <w:szCs w:val="24"/>
          <w:lang w:eastAsia="zh-CN"/>
        </w:rPr>
        <w:t>拆除</w:t>
      </w:r>
      <w:r>
        <w:rPr>
          <w:rFonts w:hint="eastAsia" w:ascii="宋体" w:hAnsi="宋体" w:eastAsia="宋体" w:cs="宋体"/>
          <w:sz w:val="24"/>
          <w:szCs w:val="24"/>
        </w:rPr>
        <w:t>一节塔身节即对塔吊垂直度进行测量，满足要求后方可进行下道工序施工。</w:t>
      </w:r>
    </w:p>
    <w:p w14:paraId="21735169">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cs="宋体"/>
          <w:sz w:val="24"/>
          <w:szCs w:val="24"/>
          <w:lang w:eastAsia="zh-CN"/>
        </w:rPr>
        <w:t>拆除</w:t>
      </w:r>
      <w:r>
        <w:rPr>
          <w:rFonts w:hint="eastAsia" w:ascii="宋体" w:hAnsi="宋体" w:eastAsia="宋体" w:cs="宋体"/>
          <w:sz w:val="24"/>
          <w:szCs w:val="24"/>
        </w:rPr>
        <w:t>完成每周对塔吊的垂直度进行监测，当倾斜度超过</w:t>
      </w:r>
      <w:r>
        <w:rPr>
          <w:rFonts w:hint="eastAsia" w:ascii="宋体" w:hAnsi="宋体" w:eastAsia="宋体" w:cs="宋体"/>
          <w:sz w:val="24"/>
          <w:szCs w:val="24"/>
          <w:lang w:val="en-US" w:eastAsia="zh-CN"/>
        </w:rPr>
        <w:t>3</w:t>
      </w:r>
      <w:r>
        <w:rPr>
          <w:rFonts w:hint="eastAsia" w:ascii="宋体" w:hAnsi="宋体" w:eastAsia="宋体" w:cs="宋体"/>
          <w:sz w:val="24"/>
          <w:szCs w:val="24"/>
        </w:rPr>
        <w:t>/1000时或者倾斜速率连续三日大于5mm/d时，应立即停止塔吊的使用，查明相关原因。</w:t>
      </w:r>
    </w:p>
    <w:p w14:paraId="42D6F312">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2）在塔吊上</w:t>
      </w:r>
      <w:r>
        <w:rPr>
          <w:rFonts w:hint="eastAsia" w:cs="宋体"/>
          <w:sz w:val="24"/>
          <w:szCs w:val="24"/>
          <w:lang w:eastAsia="zh-CN"/>
        </w:rPr>
        <w:t>拆除</w:t>
      </w:r>
      <w:r>
        <w:rPr>
          <w:rFonts w:hint="eastAsia" w:ascii="宋体" w:hAnsi="宋体" w:eastAsia="宋体" w:cs="宋体"/>
          <w:sz w:val="24"/>
          <w:szCs w:val="24"/>
        </w:rPr>
        <w:t>塔吊监控监控系统，确保塔吊作业安全，监控项目主要包括群塔防碰撞、空间限位保护、超载保护、人机管理、远程监控等方面。</w:t>
      </w:r>
    </w:p>
    <w:p w14:paraId="13769E6B">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3）塔吊</w:t>
      </w:r>
      <w:r>
        <w:rPr>
          <w:rFonts w:hint="eastAsia" w:cs="宋体"/>
          <w:sz w:val="24"/>
          <w:szCs w:val="24"/>
          <w:lang w:eastAsia="zh-CN"/>
        </w:rPr>
        <w:t>拆除</w:t>
      </w:r>
      <w:r>
        <w:rPr>
          <w:rFonts w:hint="eastAsia" w:ascii="宋体" w:hAnsi="宋体" w:eastAsia="宋体" w:cs="宋体"/>
          <w:sz w:val="24"/>
          <w:szCs w:val="24"/>
        </w:rPr>
        <w:t>期间</w:t>
      </w:r>
      <w:r>
        <w:rPr>
          <w:rFonts w:hint="eastAsia" w:cs="宋体"/>
          <w:sz w:val="24"/>
          <w:szCs w:val="24"/>
          <w:lang w:eastAsia="zh-CN"/>
        </w:rPr>
        <w:t>拆除</w:t>
      </w:r>
      <w:r>
        <w:rPr>
          <w:rFonts w:hint="eastAsia" w:ascii="宋体" w:hAnsi="宋体" w:eastAsia="宋体" w:cs="宋体"/>
          <w:sz w:val="24"/>
          <w:szCs w:val="24"/>
        </w:rPr>
        <w:t>风速仪对现场风速进行监测，当现场风速达到</w:t>
      </w:r>
      <w:r>
        <w:rPr>
          <w:rFonts w:hint="eastAsia" w:ascii="宋体" w:hAnsi="宋体" w:eastAsia="宋体" w:cs="宋体"/>
          <w:color w:val="0000FF"/>
          <w:lang w:val="en-US" w:eastAsia="zh-CN"/>
        </w:rPr>
        <w:t>8</w:t>
      </w:r>
      <w:r>
        <w:rPr>
          <w:rFonts w:hint="eastAsia" w:ascii="宋体" w:hAnsi="宋体" w:eastAsia="宋体" w:cs="宋体"/>
          <w:color w:val="0000FF"/>
        </w:rPr>
        <w:t>m/s</w:t>
      </w:r>
      <w:r>
        <w:rPr>
          <w:rFonts w:hint="eastAsia" w:ascii="宋体" w:hAnsi="宋体" w:eastAsia="宋体" w:cs="宋体"/>
          <w:color w:val="0000FF"/>
          <w:lang w:eastAsia="zh-CN"/>
        </w:rPr>
        <w:t>（</w:t>
      </w:r>
      <w:r>
        <w:rPr>
          <w:rFonts w:hint="eastAsia" w:ascii="宋体" w:hAnsi="宋体" w:eastAsia="宋体" w:cs="宋体"/>
          <w:sz w:val="24"/>
          <w:szCs w:val="24"/>
          <w:lang w:val="en-US" w:eastAsia="zh-CN"/>
        </w:rPr>
        <w:t>4</w:t>
      </w:r>
      <w:r>
        <w:rPr>
          <w:rFonts w:hint="eastAsia" w:ascii="宋体" w:hAnsi="宋体" w:eastAsia="宋体" w:cs="宋体"/>
          <w:sz w:val="24"/>
          <w:szCs w:val="24"/>
        </w:rPr>
        <w:t>级风</w:t>
      </w:r>
      <w:r>
        <w:rPr>
          <w:rFonts w:hint="eastAsia" w:ascii="宋体" w:hAnsi="宋体" w:eastAsia="宋体" w:cs="宋体"/>
          <w:sz w:val="24"/>
          <w:szCs w:val="24"/>
          <w:lang w:eastAsia="zh-CN"/>
        </w:rPr>
        <w:t>）</w:t>
      </w:r>
      <w:r>
        <w:rPr>
          <w:rFonts w:hint="eastAsia" w:ascii="宋体" w:hAnsi="宋体" w:eastAsia="宋体" w:cs="宋体"/>
          <w:sz w:val="24"/>
          <w:szCs w:val="24"/>
        </w:rPr>
        <w:t>时需停止塔吊</w:t>
      </w:r>
      <w:r>
        <w:rPr>
          <w:rFonts w:hint="eastAsia" w:cs="宋体"/>
          <w:sz w:val="24"/>
          <w:szCs w:val="24"/>
          <w:lang w:eastAsia="zh-CN"/>
        </w:rPr>
        <w:t>拆除</w:t>
      </w:r>
      <w:r>
        <w:rPr>
          <w:rFonts w:hint="eastAsia" w:ascii="宋体" w:hAnsi="宋体" w:eastAsia="宋体" w:cs="宋体"/>
          <w:sz w:val="24"/>
          <w:szCs w:val="24"/>
        </w:rPr>
        <w:t>与使用。</w:t>
      </w:r>
    </w:p>
    <w:p w14:paraId="52047A7F">
      <w:pPr>
        <w:bidi w:val="0"/>
        <w:rPr>
          <w:rFonts w:hint="eastAsia"/>
        </w:rPr>
      </w:pPr>
      <w:r>
        <w:rPr>
          <w:rFonts w:hint="eastAsia"/>
        </w:rPr>
        <w:t>大风天气时，将塔吊回转机构的制动器完全松开，起重臂应能随风转动，塔吊控制器挂零档，吊钩应收起，靠塔身放置，当气象播报风力可达1</w:t>
      </w:r>
      <w:r>
        <w:rPr>
          <w:rFonts w:hint="eastAsia"/>
          <w:lang w:val="en-US" w:eastAsia="zh-CN"/>
        </w:rPr>
        <w:t>1</w:t>
      </w:r>
      <w:r>
        <w:rPr>
          <w:rFonts w:hint="eastAsia"/>
        </w:rPr>
        <w:t>级及以上时应在大风天气来临前降低塔吊高度。</w:t>
      </w:r>
    </w:p>
    <w:p w14:paraId="74C858CE">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4)塔吊限位装置、钢丝绳检测，定期对塔吊限位装置、钢丝绳进行检查，发现问题立即进行更换。</w:t>
      </w:r>
    </w:p>
    <w:p w14:paraId="7C9BFBE0">
      <w:pPr>
        <w:bidi w:val="0"/>
        <w:rPr>
          <w:rFonts w:hint="eastAsia"/>
        </w:rPr>
      </w:pPr>
      <w:r>
        <w:rPr>
          <w:rFonts w:hint="eastAsia"/>
        </w:rPr>
        <w:t>5）用经纬仪定期测量塔吊垂直度确保塔吊使用过程的安全稳定，独立高度下或最上层附着框以上塔身轴线对支承面垂直度不得大于4/1000。</w:t>
      </w:r>
    </w:p>
    <w:p w14:paraId="34AB1C76">
      <w:pPr>
        <w:pStyle w:val="6"/>
        <w:bidi w:val="0"/>
        <w:rPr>
          <w:rFonts w:hint="eastAsia"/>
        </w:rPr>
      </w:pPr>
      <w:r>
        <w:rPr>
          <w:rFonts w:hint="eastAsia"/>
        </w:rPr>
        <w:t>主要监测内容</w:t>
      </w:r>
    </w:p>
    <w:p w14:paraId="329175DB">
      <w:pPr>
        <w:pStyle w:val="13"/>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1"/>
          <w:szCs w:val="21"/>
        </w:rPr>
      </w:pPr>
      <w:r>
        <w:rPr>
          <w:rFonts w:hint="eastAsia" w:ascii="宋体" w:hAnsi="宋体" w:eastAsia="宋体" w:cs="宋体"/>
          <w:sz w:val="24"/>
          <w:szCs w:val="24"/>
        </w:rPr>
        <w:t>表</w:t>
      </w:r>
      <w:r>
        <w:rPr>
          <w:rFonts w:hint="eastAsia" w:ascii="宋体" w:hAnsi="宋体" w:eastAsia="宋体" w:cs="宋体"/>
          <w:sz w:val="24"/>
          <w:szCs w:val="24"/>
          <w:lang w:val="en-US" w:eastAsia="zh-CN"/>
        </w:rPr>
        <w:t>6.2.9.2.</w:t>
      </w:r>
      <w:r>
        <w:rPr>
          <w:rFonts w:hint="eastAsia" w:ascii="宋体" w:hAnsi="宋体" w:cs="宋体"/>
          <w:sz w:val="24"/>
          <w:szCs w:val="24"/>
          <w:lang w:val="en-US" w:eastAsia="zh-CN"/>
        </w:rPr>
        <w:t>4</w:t>
      </w:r>
      <w:r>
        <w:rPr>
          <w:rFonts w:hint="eastAsia" w:ascii="宋体" w:hAnsi="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rPr>
        <w:t>主要监测内容明细表</w:t>
      </w:r>
    </w:p>
    <w:tbl>
      <w:tblPr>
        <w:tblStyle w:val="121"/>
        <w:tblW w:w="95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9"/>
        <w:gridCol w:w="1014"/>
        <w:gridCol w:w="498"/>
        <w:gridCol w:w="1611"/>
        <w:gridCol w:w="735"/>
        <w:gridCol w:w="555"/>
        <w:gridCol w:w="2206"/>
        <w:gridCol w:w="532"/>
        <w:gridCol w:w="509"/>
        <w:gridCol w:w="1424"/>
        <w:gridCol w:w="5"/>
      </w:tblGrid>
      <w:tr w14:paraId="7A555C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6" w:hRule="atLeast"/>
          <w:tblHeader/>
          <w:jc w:val="center"/>
        </w:trPr>
        <w:tc>
          <w:tcPr>
            <w:tcW w:w="1483" w:type="dxa"/>
            <w:gridSpan w:val="2"/>
            <w:tcBorders>
              <w:tl2br w:val="nil"/>
              <w:tr2bl w:val="nil"/>
            </w:tcBorders>
            <w:shd w:val="clear" w:color="auto" w:fill="auto"/>
            <w:vAlign w:val="center"/>
          </w:tcPr>
          <w:p w14:paraId="3CCA15E4">
            <w:pPr>
              <w:pStyle w:val="49"/>
              <w:kinsoku/>
              <w:overflowPunct/>
              <w:topLinePunct w:val="0"/>
              <w:bidi w:val="0"/>
              <w:adjustRightInd w:val="0"/>
              <w:snapToGrid w:val="0"/>
              <w:spacing w:line="360" w:lineRule="atLeast"/>
              <w:rPr>
                <w:rFonts w:hint="eastAsia" w:ascii="宋体" w:hAnsi="宋体" w:eastAsia="宋体" w:cs="宋体"/>
                <w:b/>
                <w:bCs w:val="0"/>
                <w:i w:val="0"/>
                <w:sz w:val="21"/>
                <w:szCs w:val="21"/>
              </w:rPr>
            </w:pPr>
            <w:r>
              <w:rPr>
                <w:rFonts w:hint="eastAsia" w:ascii="宋体" w:hAnsi="宋体" w:eastAsia="宋体" w:cs="宋体"/>
                <w:b/>
                <w:bCs w:val="0"/>
                <w:i w:val="0"/>
                <w:sz w:val="21"/>
                <w:szCs w:val="21"/>
              </w:rPr>
              <w:t>施工</w:t>
            </w:r>
            <w:r>
              <w:rPr>
                <w:rFonts w:hint="eastAsia" w:ascii="宋体" w:hAnsi="宋体" w:eastAsia="宋体" w:cs="宋体"/>
                <w:b/>
                <w:bCs w:val="0"/>
                <w:i w:val="0"/>
                <w:spacing w:val="7"/>
                <w:sz w:val="21"/>
                <w:szCs w:val="21"/>
              </w:rPr>
              <w:t>单位</w:t>
            </w:r>
          </w:p>
        </w:tc>
        <w:tc>
          <w:tcPr>
            <w:tcW w:w="2109" w:type="dxa"/>
            <w:gridSpan w:val="2"/>
            <w:tcBorders>
              <w:tl2br w:val="nil"/>
              <w:tr2bl w:val="nil"/>
            </w:tcBorders>
            <w:shd w:val="clear" w:color="auto" w:fill="auto"/>
            <w:vAlign w:val="center"/>
          </w:tcPr>
          <w:p w14:paraId="1FAB431A">
            <w:pPr>
              <w:pStyle w:val="49"/>
              <w:kinsoku/>
              <w:overflowPunct/>
              <w:topLinePunct w:val="0"/>
              <w:bidi w:val="0"/>
              <w:adjustRightInd w:val="0"/>
              <w:snapToGrid w:val="0"/>
              <w:spacing w:line="360" w:lineRule="atLeast"/>
              <w:rPr>
                <w:rFonts w:hint="eastAsia" w:ascii="宋体" w:hAnsi="宋体" w:eastAsia="宋体" w:cs="宋体"/>
                <w:b/>
                <w:bCs w:val="0"/>
                <w:i w:val="0"/>
                <w:sz w:val="21"/>
                <w:szCs w:val="21"/>
                <w:lang w:val="en-US" w:eastAsia="zh-CN"/>
              </w:rPr>
            </w:pPr>
          </w:p>
        </w:tc>
        <w:tc>
          <w:tcPr>
            <w:tcW w:w="1290" w:type="dxa"/>
            <w:gridSpan w:val="2"/>
            <w:tcBorders>
              <w:tl2br w:val="nil"/>
              <w:tr2bl w:val="nil"/>
            </w:tcBorders>
            <w:shd w:val="clear" w:color="auto" w:fill="auto"/>
            <w:vAlign w:val="center"/>
          </w:tcPr>
          <w:p w14:paraId="62A8E796">
            <w:pPr>
              <w:pStyle w:val="49"/>
              <w:kinsoku/>
              <w:overflowPunct/>
              <w:topLinePunct w:val="0"/>
              <w:bidi w:val="0"/>
              <w:adjustRightInd w:val="0"/>
              <w:snapToGrid w:val="0"/>
              <w:spacing w:line="360" w:lineRule="atLeast"/>
              <w:rPr>
                <w:rFonts w:hint="eastAsia" w:ascii="宋体" w:hAnsi="宋体" w:eastAsia="宋体" w:cs="宋体"/>
                <w:b/>
                <w:bCs w:val="0"/>
                <w:i w:val="0"/>
                <w:sz w:val="21"/>
                <w:szCs w:val="21"/>
                <w:lang w:val="en-US" w:eastAsia="zh-CN"/>
              </w:rPr>
            </w:pPr>
            <w:r>
              <w:rPr>
                <w:rFonts w:hint="eastAsia" w:ascii="宋体" w:hAnsi="宋体" w:eastAsia="宋体" w:cs="宋体"/>
                <w:b/>
                <w:bCs w:val="0"/>
                <w:i w:val="0"/>
                <w:sz w:val="21"/>
                <w:szCs w:val="21"/>
                <w:lang w:val="en-US" w:eastAsia="zh-CN"/>
              </w:rPr>
              <w:t>工程名称</w:t>
            </w:r>
          </w:p>
        </w:tc>
        <w:tc>
          <w:tcPr>
            <w:tcW w:w="2206" w:type="dxa"/>
            <w:tcBorders>
              <w:tl2br w:val="nil"/>
              <w:tr2bl w:val="nil"/>
            </w:tcBorders>
            <w:shd w:val="clear" w:color="auto" w:fill="auto"/>
            <w:vAlign w:val="center"/>
          </w:tcPr>
          <w:p w14:paraId="6E0729EB">
            <w:pPr>
              <w:pStyle w:val="49"/>
              <w:kinsoku/>
              <w:overflowPunct/>
              <w:topLinePunct w:val="0"/>
              <w:bidi w:val="0"/>
              <w:adjustRightInd w:val="0"/>
              <w:snapToGrid w:val="0"/>
              <w:spacing w:line="360" w:lineRule="atLeast"/>
              <w:rPr>
                <w:rFonts w:hint="eastAsia" w:ascii="宋体" w:hAnsi="宋体" w:eastAsia="宋体" w:cs="宋体"/>
                <w:b/>
                <w:bCs w:val="0"/>
                <w:i w:val="0"/>
                <w:sz w:val="21"/>
                <w:szCs w:val="21"/>
                <w:lang w:val="en-US" w:eastAsia="zh-CN"/>
              </w:rPr>
            </w:pPr>
            <w:r>
              <w:rPr>
                <w:rFonts w:hint="eastAsia" w:cs="宋体"/>
                <w:b/>
                <w:bCs w:val="0"/>
                <w:i w:val="0"/>
                <w:sz w:val="21"/>
                <w:szCs w:val="21"/>
                <w:lang w:val="en-US" w:eastAsia="zh-CN"/>
              </w:rPr>
              <w:t>G9221杭甬高速宁波段三期工程威海路至柴桥段SG02 标跨港区及甬江特大桥</w:t>
            </w:r>
            <w:r>
              <w:rPr>
                <w:rFonts w:hint="eastAsia" w:ascii="宋体" w:hAnsi="宋体" w:eastAsia="宋体" w:cs="宋体"/>
                <w:b/>
                <w:bCs w:val="0"/>
                <w:i w:val="0"/>
                <w:sz w:val="21"/>
                <w:szCs w:val="21"/>
                <w:lang w:val="en-US" w:eastAsia="zh-CN"/>
              </w:rPr>
              <w:t>项目</w:t>
            </w:r>
          </w:p>
        </w:tc>
        <w:tc>
          <w:tcPr>
            <w:tcW w:w="1041" w:type="dxa"/>
            <w:gridSpan w:val="2"/>
            <w:tcBorders>
              <w:tl2br w:val="nil"/>
              <w:tr2bl w:val="nil"/>
            </w:tcBorders>
            <w:shd w:val="clear" w:color="auto" w:fill="auto"/>
            <w:vAlign w:val="center"/>
          </w:tcPr>
          <w:p w14:paraId="2E9B0765">
            <w:pPr>
              <w:pStyle w:val="49"/>
              <w:kinsoku/>
              <w:overflowPunct/>
              <w:topLinePunct w:val="0"/>
              <w:bidi w:val="0"/>
              <w:adjustRightInd w:val="0"/>
              <w:snapToGrid w:val="0"/>
              <w:spacing w:line="360" w:lineRule="atLeast"/>
              <w:rPr>
                <w:rFonts w:hint="eastAsia" w:ascii="宋体" w:hAnsi="宋体" w:eastAsia="宋体" w:cs="宋体"/>
                <w:b/>
                <w:bCs w:val="0"/>
                <w:i w:val="0"/>
                <w:sz w:val="21"/>
                <w:szCs w:val="21"/>
              </w:rPr>
            </w:pPr>
            <w:r>
              <w:rPr>
                <w:rFonts w:hint="eastAsia" w:ascii="宋体" w:hAnsi="宋体" w:eastAsia="宋体" w:cs="宋体"/>
                <w:b/>
                <w:bCs w:val="0"/>
                <w:i w:val="0"/>
                <w:spacing w:val="7"/>
                <w:sz w:val="21"/>
                <w:szCs w:val="21"/>
              </w:rPr>
              <w:t>工程地</w:t>
            </w:r>
            <w:r>
              <w:rPr>
                <w:rFonts w:hint="eastAsia" w:ascii="宋体" w:hAnsi="宋体" w:eastAsia="宋体" w:cs="宋体"/>
                <w:b/>
                <w:bCs w:val="0"/>
                <w:i w:val="0"/>
                <w:spacing w:val="6"/>
                <w:sz w:val="21"/>
                <w:szCs w:val="21"/>
              </w:rPr>
              <w:t>址</w:t>
            </w:r>
          </w:p>
        </w:tc>
        <w:tc>
          <w:tcPr>
            <w:tcW w:w="1429" w:type="dxa"/>
            <w:gridSpan w:val="2"/>
            <w:tcBorders>
              <w:tl2br w:val="nil"/>
              <w:tr2bl w:val="nil"/>
            </w:tcBorders>
            <w:shd w:val="clear" w:color="auto" w:fill="auto"/>
            <w:vAlign w:val="center"/>
          </w:tcPr>
          <w:p w14:paraId="616F7A6F">
            <w:pPr>
              <w:pStyle w:val="49"/>
              <w:kinsoku/>
              <w:overflowPunct/>
              <w:topLinePunct w:val="0"/>
              <w:bidi w:val="0"/>
              <w:adjustRightInd w:val="0"/>
              <w:snapToGrid w:val="0"/>
              <w:spacing w:line="360" w:lineRule="atLeast"/>
              <w:rPr>
                <w:rFonts w:hint="default" w:ascii="宋体" w:hAnsi="宋体" w:eastAsia="宋体" w:cs="宋体"/>
                <w:b/>
                <w:bCs w:val="0"/>
                <w:i w:val="0"/>
                <w:sz w:val="21"/>
                <w:szCs w:val="21"/>
                <w:lang w:val="en-US" w:eastAsia="zh-CN"/>
              </w:rPr>
            </w:pPr>
            <w:r>
              <w:rPr>
                <w:rFonts w:hint="eastAsia" w:cs="宋体"/>
                <w:b/>
                <w:bCs w:val="0"/>
                <w:i w:val="0"/>
                <w:sz w:val="21"/>
                <w:szCs w:val="21"/>
                <w:lang w:val="en-US" w:eastAsia="zh-CN"/>
              </w:rPr>
              <w:t>宁波</w:t>
            </w:r>
          </w:p>
        </w:tc>
      </w:tr>
      <w:tr w14:paraId="639829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2" w:hRule="atLeast"/>
          <w:tblHeader/>
          <w:jc w:val="center"/>
        </w:trPr>
        <w:tc>
          <w:tcPr>
            <w:tcW w:w="1483" w:type="dxa"/>
            <w:gridSpan w:val="2"/>
            <w:tcBorders>
              <w:tl2br w:val="nil"/>
              <w:tr2bl w:val="nil"/>
            </w:tcBorders>
            <w:shd w:val="clear" w:color="auto" w:fill="auto"/>
            <w:vAlign w:val="center"/>
          </w:tcPr>
          <w:p w14:paraId="6B16CFCA">
            <w:pPr>
              <w:pStyle w:val="49"/>
              <w:kinsoku/>
              <w:overflowPunct/>
              <w:topLinePunct w:val="0"/>
              <w:bidi w:val="0"/>
              <w:adjustRightInd w:val="0"/>
              <w:snapToGrid w:val="0"/>
              <w:spacing w:line="360" w:lineRule="atLeast"/>
              <w:rPr>
                <w:rFonts w:hint="eastAsia" w:ascii="宋体" w:hAnsi="宋体" w:eastAsia="宋体" w:cs="宋体"/>
                <w:b/>
                <w:bCs w:val="0"/>
                <w:i w:val="0"/>
                <w:sz w:val="21"/>
                <w:szCs w:val="21"/>
              </w:rPr>
            </w:pPr>
            <w:r>
              <w:rPr>
                <w:rFonts w:hint="eastAsia" w:ascii="宋体" w:hAnsi="宋体" w:eastAsia="宋体" w:cs="宋体"/>
                <w:b/>
                <w:bCs w:val="0"/>
                <w:i w:val="0"/>
                <w:spacing w:val="7"/>
                <w:sz w:val="21"/>
                <w:szCs w:val="21"/>
              </w:rPr>
              <w:t>生产厂</w:t>
            </w:r>
            <w:r>
              <w:rPr>
                <w:rFonts w:hint="eastAsia" w:ascii="宋体" w:hAnsi="宋体" w:eastAsia="宋体" w:cs="宋体"/>
                <w:b/>
                <w:bCs w:val="0"/>
                <w:i w:val="0"/>
                <w:spacing w:val="6"/>
                <w:sz w:val="21"/>
                <w:szCs w:val="21"/>
              </w:rPr>
              <w:t>家</w:t>
            </w:r>
          </w:p>
        </w:tc>
        <w:tc>
          <w:tcPr>
            <w:tcW w:w="2109" w:type="dxa"/>
            <w:gridSpan w:val="2"/>
            <w:tcBorders>
              <w:tl2br w:val="nil"/>
              <w:tr2bl w:val="nil"/>
            </w:tcBorders>
            <w:shd w:val="clear" w:color="auto" w:fill="auto"/>
            <w:vAlign w:val="center"/>
          </w:tcPr>
          <w:p w14:paraId="04051CDC">
            <w:pPr>
              <w:pStyle w:val="49"/>
              <w:kinsoku/>
              <w:overflowPunct/>
              <w:topLinePunct w:val="0"/>
              <w:bidi w:val="0"/>
              <w:adjustRightInd w:val="0"/>
              <w:snapToGrid w:val="0"/>
              <w:spacing w:line="360" w:lineRule="atLeast"/>
              <w:rPr>
                <w:rFonts w:hint="eastAsia" w:ascii="宋体" w:hAnsi="宋体" w:eastAsia="宋体" w:cs="宋体"/>
                <w:b/>
                <w:bCs w:val="0"/>
                <w:i w:val="0"/>
                <w:sz w:val="21"/>
                <w:szCs w:val="21"/>
                <w:lang w:val="en-US" w:eastAsia="zh-CN"/>
              </w:rPr>
            </w:pPr>
            <w:r>
              <w:rPr>
                <w:rFonts w:hint="eastAsia" w:cs="宋体"/>
                <w:b/>
                <w:bCs w:val="0"/>
                <w:i w:val="0"/>
                <w:sz w:val="21"/>
                <w:szCs w:val="21"/>
                <w:lang w:val="en-US" w:eastAsia="zh-CN"/>
              </w:rPr>
              <w:t>浙江虎霸建设机械有限公司</w:t>
            </w:r>
          </w:p>
        </w:tc>
        <w:tc>
          <w:tcPr>
            <w:tcW w:w="1290" w:type="dxa"/>
            <w:gridSpan w:val="2"/>
            <w:tcBorders>
              <w:tl2br w:val="nil"/>
              <w:tr2bl w:val="nil"/>
            </w:tcBorders>
            <w:shd w:val="clear" w:color="auto" w:fill="auto"/>
            <w:vAlign w:val="center"/>
          </w:tcPr>
          <w:p w14:paraId="241C0232">
            <w:pPr>
              <w:pStyle w:val="49"/>
              <w:kinsoku/>
              <w:overflowPunct/>
              <w:topLinePunct w:val="0"/>
              <w:bidi w:val="0"/>
              <w:adjustRightInd w:val="0"/>
              <w:snapToGrid w:val="0"/>
              <w:spacing w:line="360" w:lineRule="atLeast"/>
              <w:rPr>
                <w:rFonts w:hint="eastAsia" w:ascii="宋体" w:hAnsi="宋体" w:eastAsia="宋体" w:cs="宋体"/>
                <w:b/>
                <w:bCs w:val="0"/>
                <w:i w:val="0"/>
                <w:sz w:val="21"/>
                <w:szCs w:val="21"/>
              </w:rPr>
            </w:pPr>
            <w:r>
              <w:rPr>
                <w:rFonts w:hint="eastAsia" w:cs="宋体"/>
                <w:b/>
                <w:bCs w:val="0"/>
                <w:i w:val="0"/>
                <w:spacing w:val="7"/>
                <w:sz w:val="21"/>
                <w:szCs w:val="21"/>
                <w:lang w:eastAsia="zh-CN"/>
              </w:rPr>
              <w:t>拆除</w:t>
            </w:r>
            <w:r>
              <w:rPr>
                <w:rFonts w:hint="eastAsia" w:ascii="宋体" w:hAnsi="宋体" w:eastAsia="宋体" w:cs="宋体"/>
                <w:b/>
                <w:bCs w:val="0"/>
                <w:i w:val="0"/>
                <w:spacing w:val="6"/>
                <w:sz w:val="21"/>
                <w:szCs w:val="21"/>
              </w:rPr>
              <w:t>单位</w:t>
            </w:r>
          </w:p>
        </w:tc>
        <w:tc>
          <w:tcPr>
            <w:tcW w:w="2206" w:type="dxa"/>
            <w:tcBorders>
              <w:tl2br w:val="nil"/>
              <w:tr2bl w:val="nil"/>
            </w:tcBorders>
            <w:shd w:val="clear" w:color="auto" w:fill="auto"/>
            <w:vAlign w:val="center"/>
          </w:tcPr>
          <w:p w14:paraId="333CD4C8">
            <w:pPr>
              <w:pStyle w:val="49"/>
              <w:kinsoku/>
              <w:overflowPunct/>
              <w:topLinePunct w:val="0"/>
              <w:bidi w:val="0"/>
              <w:adjustRightInd w:val="0"/>
              <w:snapToGrid w:val="0"/>
              <w:spacing w:line="360" w:lineRule="atLeast"/>
              <w:rPr>
                <w:rFonts w:hint="eastAsia" w:ascii="宋体" w:hAnsi="宋体" w:eastAsia="宋体" w:cs="宋体"/>
                <w:b/>
                <w:bCs w:val="0"/>
                <w:i w:val="0"/>
                <w:sz w:val="21"/>
                <w:szCs w:val="21"/>
                <w:lang w:eastAsia="zh-CN"/>
              </w:rPr>
            </w:pPr>
            <w:r>
              <w:rPr>
                <w:rFonts w:hint="eastAsia" w:cs="宋体"/>
                <w:b/>
                <w:bCs w:val="0"/>
                <w:i w:val="0"/>
                <w:spacing w:val="7"/>
                <w:sz w:val="21"/>
                <w:szCs w:val="21"/>
                <w:lang w:eastAsia="zh-CN"/>
              </w:rPr>
              <w:t>重庆桥渝工程机械租赁有限公司</w:t>
            </w:r>
          </w:p>
        </w:tc>
        <w:tc>
          <w:tcPr>
            <w:tcW w:w="1041" w:type="dxa"/>
            <w:gridSpan w:val="2"/>
            <w:tcBorders>
              <w:tl2br w:val="nil"/>
              <w:tr2bl w:val="nil"/>
            </w:tcBorders>
            <w:shd w:val="clear" w:color="auto" w:fill="auto"/>
            <w:vAlign w:val="center"/>
          </w:tcPr>
          <w:p w14:paraId="52A43F29">
            <w:pPr>
              <w:pStyle w:val="49"/>
              <w:kinsoku/>
              <w:overflowPunct/>
              <w:topLinePunct w:val="0"/>
              <w:bidi w:val="0"/>
              <w:adjustRightInd w:val="0"/>
              <w:snapToGrid w:val="0"/>
              <w:spacing w:line="360" w:lineRule="atLeast"/>
              <w:rPr>
                <w:rFonts w:hint="eastAsia" w:ascii="宋体" w:hAnsi="宋体" w:eastAsia="宋体" w:cs="宋体"/>
                <w:b/>
                <w:bCs w:val="0"/>
                <w:i w:val="0"/>
                <w:sz w:val="21"/>
                <w:szCs w:val="21"/>
              </w:rPr>
            </w:pPr>
            <w:r>
              <w:rPr>
                <w:rFonts w:hint="eastAsia" w:ascii="宋体" w:hAnsi="宋体" w:eastAsia="宋体" w:cs="宋体"/>
                <w:b/>
                <w:bCs w:val="0"/>
                <w:i w:val="0"/>
                <w:spacing w:val="7"/>
                <w:sz w:val="21"/>
                <w:szCs w:val="21"/>
              </w:rPr>
              <w:t>规格型号</w:t>
            </w:r>
          </w:p>
        </w:tc>
        <w:tc>
          <w:tcPr>
            <w:tcW w:w="1429" w:type="dxa"/>
            <w:gridSpan w:val="2"/>
            <w:tcBorders>
              <w:tl2br w:val="nil"/>
              <w:tr2bl w:val="nil"/>
            </w:tcBorders>
            <w:shd w:val="clear" w:color="auto" w:fill="auto"/>
            <w:vAlign w:val="center"/>
          </w:tcPr>
          <w:p w14:paraId="2804A321">
            <w:pPr>
              <w:pStyle w:val="49"/>
              <w:kinsoku/>
              <w:overflowPunct/>
              <w:topLinePunct w:val="0"/>
              <w:bidi w:val="0"/>
              <w:adjustRightInd w:val="0"/>
              <w:snapToGrid w:val="0"/>
              <w:spacing w:line="360" w:lineRule="atLeast"/>
              <w:rPr>
                <w:rFonts w:hint="eastAsia" w:ascii="宋体" w:hAnsi="宋体" w:eastAsia="宋体" w:cs="宋体"/>
                <w:b/>
                <w:bCs w:val="0"/>
                <w:i w:val="0"/>
                <w:sz w:val="21"/>
                <w:szCs w:val="21"/>
                <w:lang w:val="en-US" w:eastAsia="zh-CN"/>
              </w:rPr>
            </w:pPr>
            <w:r>
              <w:rPr>
                <w:rFonts w:hint="eastAsia" w:cs="宋体"/>
                <w:b/>
                <w:bCs w:val="0"/>
                <w:i w:val="0"/>
                <w:sz w:val="21"/>
                <w:szCs w:val="21"/>
                <w:lang w:val="en-US" w:eastAsia="zh-CN"/>
              </w:rPr>
              <w:t>QTZp160（T6515-10）</w:t>
            </w:r>
          </w:p>
        </w:tc>
      </w:tr>
      <w:tr w14:paraId="010616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2" w:hRule="atLeast"/>
          <w:jc w:val="center"/>
        </w:trPr>
        <w:tc>
          <w:tcPr>
            <w:tcW w:w="469" w:type="dxa"/>
            <w:tcBorders>
              <w:tl2br w:val="nil"/>
              <w:tr2bl w:val="nil"/>
            </w:tcBorders>
            <w:shd w:val="clear" w:color="auto" w:fill="auto"/>
            <w:vAlign w:val="center"/>
          </w:tcPr>
          <w:p w14:paraId="0E21E3FB">
            <w:pPr>
              <w:pStyle w:val="49"/>
              <w:kinsoku/>
              <w:overflowPunct/>
              <w:topLinePunct w:val="0"/>
              <w:bidi w:val="0"/>
              <w:adjustRightInd w:val="0"/>
              <w:snapToGrid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512" w:type="dxa"/>
            <w:gridSpan w:val="2"/>
            <w:tcBorders>
              <w:tl2br w:val="nil"/>
              <w:tr2bl w:val="nil"/>
            </w:tcBorders>
            <w:shd w:val="clear" w:color="auto" w:fill="auto"/>
            <w:vAlign w:val="center"/>
          </w:tcPr>
          <w:p w14:paraId="677C9551">
            <w:pPr>
              <w:pStyle w:val="49"/>
              <w:kinsoku/>
              <w:overflowPunct/>
              <w:topLinePunct w:val="0"/>
              <w:bidi w:val="0"/>
              <w:adjustRightInd w:val="0"/>
              <w:snapToGrid w:val="0"/>
              <w:spacing w:line="360" w:lineRule="atLeast"/>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pacing w:val="7"/>
                <w:sz w:val="21"/>
                <w:szCs w:val="21"/>
              </w:rPr>
              <w:t>监测项目</w:t>
            </w:r>
          </w:p>
        </w:tc>
        <w:tc>
          <w:tcPr>
            <w:tcW w:w="2346" w:type="dxa"/>
            <w:gridSpan w:val="2"/>
            <w:tcBorders>
              <w:tl2br w:val="nil"/>
              <w:tr2bl w:val="nil"/>
            </w:tcBorders>
            <w:shd w:val="clear" w:color="auto" w:fill="auto"/>
            <w:vAlign w:val="center"/>
          </w:tcPr>
          <w:p w14:paraId="43B6B97B">
            <w:pPr>
              <w:pStyle w:val="49"/>
              <w:kinsoku/>
              <w:overflowPunct/>
              <w:topLinePunct w:val="0"/>
              <w:bidi w:val="0"/>
              <w:adjustRightInd w:val="0"/>
              <w:snapToGrid w:val="0"/>
              <w:spacing w:line="360" w:lineRule="atLeast"/>
              <w:rPr>
                <w:rFonts w:hint="eastAsia" w:ascii="宋体" w:hAnsi="宋体" w:eastAsia="宋体" w:cs="宋体"/>
                <w:sz w:val="21"/>
                <w:szCs w:val="21"/>
              </w:rPr>
            </w:pPr>
            <w:r>
              <w:rPr>
                <w:rFonts w:hint="eastAsia" w:ascii="宋体" w:hAnsi="宋体" w:eastAsia="宋体" w:cs="宋体"/>
                <w:spacing w:val="7"/>
                <w:sz w:val="21"/>
                <w:szCs w:val="21"/>
              </w:rPr>
              <w:t>技术要求</w:t>
            </w:r>
          </w:p>
        </w:tc>
        <w:tc>
          <w:tcPr>
            <w:tcW w:w="3293" w:type="dxa"/>
            <w:gridSpan w:val="3"/>
            <w:tcBorders>
              <w:tl2br w:val="nil"/>
              <w:tr2bl w:val="nil"/>
            </w:tcBorders>
            <w:shd w:val="clear" w:color="auto" w:fill="auto"/>
            <w:vAlign w:val="center"/>
          </w:tcPr>
          <w:p w14:paraId="49BD40E0">
            <w:pPr>
              <w:pStyle w:val="49"/>
              <w:kinsoku/>
              <w:overflowPunct/>
              <w:topLinePunct w:val="0"/>
              <w:bidi w:val="0"/>
              <w:adjustRightInd w:val="0"/>
              <w:snapToGrid w:val="0"/>
              <w:spacing w:line="360" w:lineRule="atLeast"/>
              <w:rPr>
                <w:rFonts w:hint="eastAsia" w:ascii="宋体" w:hAnsi="宋体" w:eastAsia="宋体" w:cs="宋体"/>
                <w:sz w:val="21"/>
                <w:szCs w:val="21"/>
              </w:rPr>
            </w:pPr>
            <w:r>
              <w:rPr>
                <w:rFonts w:hint="eastAsia" w:ascii="宋体" w:hAnsi="宋体" w:eastAsia="宋体" w:cs="宋体"/>
                <w:spacing w:val="9"/>
                <w:sz w:val="21"/>
                <w:szCs w:val="21"/>
              </w:rPr>
              <w:t>监</w:t>
            </w:r>
            <w:r>
              <w:rPr>
                <w:rFonts w:hint="eastAsia" w:ascii="宋体" w:hAnsi="宋体" w:eastAsia="宋体" w:cs="宋体"/>
                <w:sz w:val="21"/>
                <w:szCs w:val="21"/>
              </w:rPr>
              <w:t>测方法</w:t>
            </w:r>
            <w:r>
              <w:rPr>
                <w:rFonts w:hint="eastAsia" w:ascii="宋体" w:hAnsi="宋体" w:eastAsia="宋体" w:cs="宋体"/>
                <w:spacing w:val="10"/>
                <w:sz w:val="21"/>
                <w:szCs w:val="21"/>
              </w:rPr>
              <w:t>、</w:t>
            </w:r>
            <w:r>
              <w:rPr>
                <w:rFonts w:hint="eastAsia" w:ascii="宋体" w:hAnsi="宋体" w:eastAsia="宋体" w:cs="宋体"/>
                <w:sz w:val="21"/>
                <w:szCs w:val="21"/>
              </w:rPr>
              <w:t>仪器</w:t>
            </w:r>
          </w:p>
        </w:tc>
        <w:tc>
          <w:tcPr>
            <w:tcW w:w="1938" w:type="dxa"/>
            <w:gridSpan w:val="3"/>
            <w:tcBorders>
              <w:tl2br w:val="nil"/>
              <w:tr2bl w:val="nil"/>
            </w:tcBorders>
            <w:shd w:val="clear" w:color="auto" w:fill="auto"/>
            <w:vAlign w:val="center"/>
          </w:tcPr>
          <w:p w14:paraId="42C1B076">
            <w:pPr>
              <w:pStyle w:val="49"/>
              <w:kinsoku/>
              <w:overflowPunct/>
              <w:topLinePunct w:val="0"/>
              <w:bidi w:val="0"/>
              <w:adjustRightInd w:val="0"/>
              <w:snapToGrid w:val="0"/>
              <w:spacing w:line="360" w:lineRule="atLeast"/>
              <w:rPr>
                <w:rFonts w:hint="eastAsia" w:ascii="宋体" w:hAnsi="宋体" w:eastAsia="宋体" w:cs="宋体"/>
                <w:sz w:val="21"/>
                <w:szCs w:val="21"/>
              </w:rPr>
            </w:pPr>
            <w:r>
              <w:rPr>
                <w:rFonts w:hint="eastAsia" w:ascii="宋体" w:hAnsi="宋体" w:eastAsia="宋体" w:cs="宋体"/>
                <w:spacing w:val="9"/>
                <w:sz w:val="21"/>
                <w:szCs w:val="21"/>
              </w:rPr>
              <w:t>监测</w:t>
            </w:r>
            <w:r>
              <w:rPr>
                <w:rFonts w:hint="eastAsia" w:ascii="宋体" w:hAnsi="宋体" w:eastAsia="宋体" w:cs="宋体"/>
                <w:sz w:val="21"/>
                <w:szCs w:val="21"/>
              </w:rPr>
              <w:t>周期</w:t>
            </w:r>
            <w:r>
              <w:rPr>
                <w:rFonts w:hint="eastAsia" w:ascii="宋体" w:hAnsi="宋体" w:eastAsia="宋体" w:cs="宋体"/>
                <w:spacing w:val="4"/>
                <w:sz w:val="21"/>
                <w:szCs w:val="21"/>
              </w:rPr>
              <w:t>/</w:t>
            </w:r>
            <w:r>
              <w:rPr>
                <w:rFonts w:hint="eastAsia" w:ascii="宋体" w:hAnsi="宋体" w:eastAsia="宋体" w:cs="宋体"/>
                <w:sz w:val="21"/>
                <w:szCs w:val="21"/>
              </w:rPr>
              <w:t>频率</w:t>
            </w:r>
          </w:p>
        </w:tc>
      </w:tr>
      <w:tr w14:paraId="603C02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30" w:hRule="atLeast"/>
          <w:jc w:val="center"/>
        </w:trPr>
        <w:tc>
          <w:tcPr>
            <w:tcW w:w="469" w:type="dxa"/>
            <w:tcBorders>
              <w:tl2br w:val="nil"/>
              <w:tr2bl w:val="nil"/>
            </w:tcBorders>
            <w:shd w:val="clear" w:color="auto" w:fill="auto"/>
            <w:vAlign w:val="center"/>
          </w:tcPr>
          <w:p w14:paraId="44FD807B">
            <w:pPr>
              <w:pStyle w:val="49"/>
              <w:kinsoku/>
              <w:overflowPunct/>
              <w:topLinePunct w:val="0"/>
              <w:bidi w:val="0"/>
              <w:adjustRightInd w:val="0"/>
              <w:snapToGrid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512" w:type="dxa"/>
            <w:gridSpan w:val="2"/>
            <w:tcBorders>
              <w:tl2br w:val="nil"/>
              <w:tr2bl w:val="nil"/>
            </w:tcBorders>
            <w:shd w:val="clear" w:color="auto" w:fill="auto"/>
            <w:vAlign w:val="center"/>
          </w:tcPr>
          <w:p w14:paraId="6D6A7F44">
            <w:pPr>
              <w:pStyle w:val="49"/>
              <w:kinsoku/>
              <w:overflowPunct/>
              <w:topLinePunct w:val="0"/>
              <w:bidi w:val="0"/>
              <w:adjustRightInd w:val="0"/>
              <w:snapToGrid w:val="0"/>
              <w:spacing w:line="360" w:lineRule="atLeast"/>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埋件预埋质量</w:t>
            </w:r>
          </w:p>
        </w:tc>
        <w:tc>
          <w:tcPr>
            <w:tcW w:w="2346" w:type="dxa"/>
            <w:gridSpan w:val="2"/>
            <w:tcBorders>
              <w:tl2br w:val="nil"/>
              <w:tr2bl w:val="nil"/>
            </w:tcBorders>
            <w:shd w:val="clear" w:color="auto" w:fill="auto"/>
            <w:vAlign w:val="center"/>
          </w:tcPr>
          <w:p w14:paraId="33FB17C3">
            <w:pPr>
              <w:pStyle w:val="49"/>
              <w:kinsoku/>
              <w:overflowPunct/>
              <w:topLinePunct w:val="0"/>
              <w:bidi w:val="0"/>
              <w:adjustRightInd w:val="0"/>
              <w:snapToGrid w:val="0"/>
              <w:spacing w:line="360" w:lineRule="atLeast"/>
              <w:jc w:val="left"/>
              <w:rPr>
                <w:rFonts w:hint="eastAsia" w:ascii="宋体" w:hAnsi="宋体" w:eastAsia="宋体" w:cs="宋体"/>
                <w:color w:val="000000" w:themeColor="text1"/>
                <w:spacing w:val="9"/>
                <w:sz w:val="21"/>
                <w:szCs w:val="21"/>
                <w:lang w:val="en-US" w:eastAsia="zh-CN"/>
                <w14:textFill>
                  <w14:solidFill>
                    <w14:schemeClr w14:val="tx1"/>
                  </w14:solidFill>
                </w14:textFill>
              </w:rPr>
            </w:pPr>
            <w:r>
              <w:rPr>
                <w:rFonts w:hint="eastAsia" w:ascii="宋体" w:hAnsi="宋体" w:eastAsia="宋体" w:cs="宋体"/>
                <w:color w:val="000000" w:themeColor="text1"/>
                <w:spacing w:val="9"/>
                <w:sz w:val="21"/>
                <w:szCs w:val="21"/>
                <w:lang w:val="en-US" w:eastAsia="zh-CN"/>
                <w14:textFill>
                  <w14:solidFill>
                    <w14:schemeClr w14:val="tx1"/>
                  </w14:solidFill>
                </w14:textFill>
              </w:rPr>
              <w:t>严格按照图纸要求的</w:t>
            </w:r>
          </w:p>
          <w:p w14:paraId="26C0D4F0">
            <w:pPr>
              <w:pStyle w:val="49"/>
              <w:kinsoku/>
              <w:overflowPunct/>
              <w:topLinePunct w:val="0"/>
              <w:bidi w:val="0"/>
              <w:adjustRightInd w:val="0"/>
              <w:snapToGrid w:val="0"/>
              <w:spacing w:line="360" w:lineRule="atLeast"/>
              <w:jc w:val="left"/>
              <w:rPr>
                <w:rFonts w:hint="eastAsia" w:ascii="宋体" w:hAnsi="宋体" w:eastAsia="宋体" w:cs="宋体"/>
                <w:color w:val="000000" w:themeColor="text1"/>
                <w:spacing w:val="9"/>
                <w:sz w:val="21"/>
                <w:szCs w:val="21"/>
                <w:lang w:val="en-US" w:eastAsia="zh-CN"/>
                <w14:textFill>
                  <w14:solidFill>
                    <w14:schemeClr w14:val="tx1"/>
                  </w14:solidFill>
                </w14:textFill>
              </w:rPr>
            </w:pPr>
            <w:r>
              <w:rPr>
                <w:rFonts w:hint="eastAsia" w:ascii="宋体" w:hAnsi="宋体" w:eastAsia="宋体" w:cs="宋体"/>
                <w:color w:val="000000" w:themeColor="text1"/>
                <w:spacing w:val="9"/>
                <w:sz w:val="21"/>
                <w:szCs w:val="21"/>
                <w:lang w:val="en-US" w:eastAsia="zh-CN"/>
                <w14:textFill>
                  <w14:solidFill>
                    <w14:schemeClr w14:val="tx1"/>
                  </w14:solidFill>
                </w14:textFill>
              </w:rPr>
              <w:t>定位于精度预埋。</w:t>
            </w:r>
          </w:p>
        </w:tc>
        <w:tc>
          <w:tcPr>
            <w:tcW w:w="3293" w:type="dxa"/>
            <w:gridSpan w:val="3"/>
            <w:tcBorders>
              <w:tl2br w:val="nil"/>
              <w:tr2bl w:val="nil"/>
            </w:tcBorders>
            <w:shd w:val="clear" w:color="auto" w:fill="auto"/>
            <w:vAlign w:val="center"/>
          </w:tcPr>
          <w:p w14:paraId="3E1DE9F8">
            <w:pPr>
              <w:pStyle w:val="49"/>
              <w:kinsoku/>
              <w:overflowPunct/>
              <w:topLinePunct w:val="0"/>
              <w:bidi w:val="0"/>
              <w:adjustRightInd w:val="0"/>
              <w:snapToGrid w:val="0"/>
              <w:spacing w:line="360" w:lineRule="atLeast"/>
              <w:jc w:val="left"/>
              <w:rPr>
                <w:rFonts w:hint="eastAsia" w:ascii="宋体" w:hAnsi="宋体" w:eastAsia="宋体" w:cs="宋体"/>
                <w:color w:val="000000" w:themeColor="text1"/>
                <w:spacing w:val="9"/>
                <w:sz w:val="21"/>
                <w:szCs w:val="21"/>
                <w:lang w:val="en-US" w:eastAsia="zh-CN"/>
                <w14:textFill>
                  <w14:solidFill>
                    <w14:schemeClr w14:val="tx1"/>
                  </w14:solidFill>
                </w14:textFill>
              </w:rPr>
            </w:pPr>
            <w:r>
              <w:rPr>
                <w:rFonts w:hint="eastAsia" w:ascii="宋体" w:hAnsi="宋体" w:eastAsia="宋体" w:cs="宋体"/>
                <w:color w:val="000000" w:themeColor="text1"/>
                <w:spacing w:val="9"/>
                <w:sz w:val="21"/>
                <w:szCs w:val="21"/>
                <w:lang w:val="en-US" w:eastAsia="zh-CN"/>
                <w14:textFill>
                  <w14:solidFill>
                    <w14:schemeClr w14:val="tx1"/>
                  </w14:solidFill>
                </w14:textFill>
              </w:rPr>
              <w:t>使用经纬仪定位基准线，卷</w:t>
            </w:r>
          </w:p>
          <w:p w14:paraId="7B0B6319">
            <w:pPr>
              <w:pStyle w:val="49"/>
              <w:kinsoku/>
              <w:overflowPunct/>
              <w:topLinePunct w:val="0"/>
              <w:bidi w:val="0"/>
              <w:adjustRightInd w:val="0"/>
              <w:snapToGrid w:val="0"/>
              <w:spacing w:line="360" w:lineRule="atLeast"/>
              <w:jc w:val="left"/>
              <w:rPr>
                <w:rFonts w:hint="eastAsia" w:ascii="宋体" w:hAnsi="宋体" w:eastAsia="宋体" w:cs="宋体"/>
                <w:color w:val="000000" w:themeColor="text1"/>
                <w:spacing w:val="9"/>
                <w:sz w:val="21"/>
                <w:szCs w:val="21"/>
                <w:lang w:val="en-US" w:eastAsia="zh-CN"/>
                <w14:textFill>
                  <w14:solidFill>
                    <w14:schemeClr w14:val="tx1"/>
                  </w14:solidFill>
                </w14:textFill>
              </w:rPr>
            </w:pPr>
            <w:r>
              <w:rPr>
                <w:rFonts w:hint="eastAsia" w:ascii="宋体" w:hAnsi="宋体" w:eastAsia="宋体" w:cs="宋体"/>
                <w:color w:val="000000" w:themeColor="text1"/>
                <w:spacing w:val="9"/>
                <w:sz w:val="21"/>
                <w:szCs w:val="21"/>
                <w:lang w:val="en-US" w:eastAsia="zh-CN"/>
                <w14:textFill>
                  <w14:solidFill>
                    <w14:schemeClr w14:val="tx1"/>
                  </w14:solidFill>
                </w14:textFill>
              </w:rPr>
              <w:t>尺测量预埋误差。</w:t>
            </w:r>
          </w:p>
        </w:tc>
        <w:tc>
          <w:tcPr>
            <w:tcW w:w="1938" w:type="dxa"/>
            <w:gridSpan w:val="3"/>
            <w:tcBorders>
              <w:tl2br w:val="nil"/>
              <w:tr2bl w:val="nil"/>
            </w:tcBorders>
            <w:shd w:val="clear" w:color="auto" w:fill="auto"/>
            <w:vAlign w:val="center"/>
          </w:tcPr>
          <w:p w14:paraId="7EF1D9AD">
            <w:pPr>
              <w:pStyle w:val="49"/>
              <w:kinsoku/>
              <w:overflowPunct/>
              <w:topLinePunct w:val="0"/>
              <w:bidi w:val="0"/>
              <w:adjustRightInd w:val="0"/>
              <w:snapToGrid w:val="0"/>
              <w:spacing w:line="360" w:lineRule="atLeast"/>
              <w:rPr>
                <w:rFonts w:hint="eastAsia" w:ascii="宋体" w:hAnsi="宋体" w:eastAsia="宋体" w:cs="宋体"/>
                <w:sz w:val="21"/>
                <w:szCs w:val="21"/>
              </w:rPr>
            </w:pPr>
            <w:r>
              <w:rPr>
                <w:rFonts w:hint="eastAsia" w:ascii="宋体" w:hAnsi="宋体" w:eastAsia="宋体" w:cs="宋体"/>
                <w:spacing w:val="9"/>
                <w:sz w:val="21"/>
                <w:szCs w:val="21"/>
              </w:rPr>
              <w:t>塔</w:t>
            </w:r>
            <w:r>
              <w:rPr>
                <w:rFonts w:hint="eastAsia" w:ascii="宋体" w:hAnsi="宋体" w:eastAsia="宋体" w:cs="宋体"/>
                <w:sz w:val="21"/>
                <w:szCs w:val="21"/>
              </w:rPr>
              <w:t>吊</w:t>
            </w:r>
            <w:r>
              <w:rPr>
                <w:rFonts w:hint="eastAsia" w:cs="宋体"/>
                <w:sz w:val="21"/>
                <w:szCs w:val="21"/>
                <w:lang w:eastAsia="zh-CN"/>
              </w:rPr>
              <w:t>拆除</w:t>
            </w:r>
            <w:r>
              <w:rPr>
                <w:rFonts w:hint="eastAsia" w:ascii="宋体" w:hAnsi="宋体" w:eastAsia="宋体" w:cs="宋体"/>
                <w:sz w:val="21"/>
                <w:szCs w:val="21"/>
              </w:rPr>
              <w:t>之前</w:t>
            </w:r>
          </w:p>
        </w:tc>
      </w:tr>
      <w:tr w14:paraId="351860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2" w:hRule="atLeast"/>
          <w:jc w:val="center"/>
        </w:trPr>
        <w:tc>
          <w:tcPr>
            <w:tcW w:w="469" w:type="dxa"/>
            <w:tcBorders>
              <w:tl2br w:val="nil"/>
              <w:tr2bl w:val="nil"/>
            </w:tcBorders>
            <w:shd w:val="clear" w:color="auto" w:fill="auto"/>
            <w:vAlign w:val="center"/>
          </w:tcPr>
          <w:p w14:paraId="63EAC13F">
            <w:pPr>
              <w:pStyle w:val="49"/>
              <w:kinsoku/>
              <w:overflowPunct/>
              <w:topLinePunct w:val="0"/>
              <w:bidi w:val="0"/>
              <w:adjustRightInd w:val="0"/>
              <w:snapToGrid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512" w:type="dxa"/>
            <w:gridSpan w:val="2"/>
            <w:tcBorders>
              <w:tl2br w:val="nil"/>
              <w:tr2bl w:val="nil"/>
            </w:tcBorders>
            <w:shd w:val="clear" w:color="auto" w:fill="auto"/>
            <w:vAlign w:val="center"/>
          </w:tcPr>
          <w:p w14:paraId="62C3FE82">
            <w:pPr>
              <w:pStyle w:val="49"/>
              <w:kinsoku/>
              <w:overflowPunct/>
              <w:topLinePunct w:val="0"/>
              <w:bidi w:val="0"/>
              <w:adjustRightInd w:val="0"/>
              <w:snapToGrid w:val="0"/>
              <w:spacing w:line="360" w:lineRule="atLeast"/>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pacing w:val="5"/>
                <w:sz w:val="21"/>
                <w:szCs w:val="21"/>
              </w:rPr>
              <w:t>顶</w:t>
            </w:r>
            <w:r>
              <w:rPr>
                <w:rFonts w:hint="eastAsia" w:ascii="宋体" w:hAnsi="宋体" w:eastAsia="宋体" w:cs="宋体"/>
                <w:spacing w:val="4"/>
                <w:sz w:val="21"/>
                <w:szCs w:val="21"/>
              </w:rPr>
              <w:t>升</w:t>
            </w:r>
          </w:p>
        </w:tc>
        <w:tc>
          <w:tcPr>
            <w:tcW w:w="2346" w:type="dxa"/>
            <w:gridSpan w:val="2"/>
            <w:tcBorders>
              <w:tl2br w:val="nil"/>
              <w:tr2bl w:val="nil"/>
            </w:tcBorders>
            <w:shd w:val="clear" w:color="auto" w:fill="auto"/>
            <w:vAlign w:val="center"/>
          </w:tcPr>
          <w:p w14:paraId="1875D81B">
            <w:pPr>
              <w:pStyle w:val="49"/>
              <w:kinsoku/>
              <w:overflowPunct/>
              <w:topLinePunct w:val="0"/>
              <w:bidi w:val="0"/>
              <w:adjustRightInd w:val="0"/>
              <w:snapToGrid w:val="0"/>
              <w:spacing w:line="360" w:lineRule="atLeast"/>
              <w:rPr>
                <w:rFonts w:hint="eastAsia" w:ascii="宋体" w:hAnsi="宋体" w:eastAsia="宋体" w:cs="宋体"/>
                <w:sz w:val="21"/>
                <w:szCs w:val="21"/>
                <w:lang w:eastAsia="zh-CN"/>
              </w:rPr>
            </w:pPr>
            <w:r>
              <w:rPr>
                <w:rFonts w:hint="eastAsia" w:ascii="宋体" w:hAnsi="宋体" w:eastAsia="宋体" w:cs="宋体"/>
                <w:spacing w:val="9"/>
                <w:sz w:val="21"/>
                <w:szCs w:val="21"/>
              </w:rPr>
              <w:t>按顶升</w:t>
            </w:r>
            <w:r>
              <w:rPr>
                <w:rFonts w:hint="eastAsia" w:ascii="宋体" w:hAnsi="宋体" w:eastAsia="宋体" w:cs="宋体"/>
                <w:sz w:val="21"/>
                <w:szCs w:val="21"/>
              </w:rPr>
              <w:t>具体要求</w:t>
            </w:r>
            <w:r>
              <w:rPr>
                <w:rFonts w:hint="eastAsia" w:ascii="宋体" w:hAnsi="宋体" w:eastAsia="宋体" w:cs="宋体"/>
                <w:sz w:val="21"/>
                <w:szCs w:val="21"/>
                <w:lang w:eastAsia="zh-CN"/>
              </w:rPr>
              <w:t>。</w:t>
            </w:r>
          </w:p>
        </w:tc>
        <w:tc>
          <w:tcPr>
            <w:tcW w:w="3293" w:type="dxa"/>
            <w:gridSpan w:val="3"/>
            <w:tcBorders>
              <w:tl2br w:val="nil"/>
              <w:tr2bl w:val="nil"/>
            </w:tcBorders>
            <w:shd w:val="clear" w:color="auto" w:fill="auto"/>
            <w:vAlign w:val="center"/>
          </w:tcPr>
          <w:p w14:paraId="0AA8F701">
            <w:pPr>
              <w:pStyle w:val="49"/>
              <w:kinsoku/>
              <w:overflowPunct/>
              <w:topLinePunct w:val="0"/>
              <w:bidi w:val="0"/>
              <w:adjustRightInd w:val="0"/>
              <w:snapToGrid w:val="0"/>
              <w:spacing w:line="360" w:lineRule="atLeas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pacing w:val="1"/>
                <w:sz w:val="21"/>
                <w:szCs w:val="21"/>
                <w14:textFill>
                  <w14:solidFill>
                    <w14:schemeClr w14:val="tx1"/>
                  </w14:solidFill>
                </w14:textFill>
              </w:rPr>
              <w:t>肉眼观察</w:t>
            </w:r>
            <w:r>
              <w:rPr>
                <w:rFonts w:hint="eastAsia" w:ascii="宋体" w:hAnsi="宋体" w:eastAsia="宋体" w:cs="宋体"/>
                <w:color w:val="000000" w:themeColor="text1"/>
                <w:spacing w:val="1"/>
                <w:sz w:val="21"/>
                <w:szCs w:val="21"/>
                <w:lang w:eastAsia="zh-CN"/>
                <w14:textFill>
                  <w14:solidFill>
                    <w14:schemeClr w14:val="tx1"/>
                  </w14:solidFill>
                </w14:textFill>
              </w:rPr>
              <w:t>。</w:t>
            </w:r>
          </w:p>
        </w:tc>
        <w:tc>
          <w:tcPr>
            <w:tcW w:w="1938" w:type="dxa"/>
            <w:gridSpan w:val="3"/>
            <w:tcBorders>
              <w:tl2br w:val="nil"/>
              <w:tr2bl w:val="nil"/>
            </w:tcBorders>
            <w:shd w:val="clear" w:color="auto" w:fill="auto"/>
            <w:vAlign w:val="center"/>
          </w:tcPr>
          <w:p w14:paraId="30543B27">
            <w:pPr>
              <w:pStyle w:val="49"/>
              <w:kinsoku/>
              <w:overflowPunct/>
              <w:topLinePunct w:val="0"/>
              <w:bidi w:val="0"/>
              <w:adjustRightInd w:val="0"/>
              <w:snapToGrid w:val="0"/>
              <w:spacing w:line="36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顶升</w:t>
            </w:r>
            <w:r>
              <w:rPr>
                <w:rFonts w:hint="eastAsia" w:ascii="宋体" w:hAnsi="宋体" w:eastAsia="宋体" w:cs="宋体"/>
                <w:color w:val="000000" w:themeColor="text1"/>
                <w:spacing w:val="7"/>
                <w:sz w:val="21"/>
                <w:szCs w:val="21"/>
                <w14:textFill>
                  <w14:solidFill>
                    <w14:schemeClr w14:val="tx1"/>
                  </w14:solidFill>
                </w14:textFill>
              </w:rPr>
              <w:t>前</w:t>
            </w:r>
            <w:r>
              <w:rPr>
                <w:rFonts w:hint="eastAsia" w:ascii="宋体" w:hAnsi="宋体" w:eastAsia="宋体" w:cs="宋体"/>
                <w:color w:val="000000" w:themeColor="text1"/>
                <w:spacing w:val="12"/>
                <w:sz w:val="21"/>
                <w:szCs w:val="21"/>
                <w14:textFill>
                  <w14:solidFill>
                    <w14:schemeClr w14:val="tx1"/>
                  </w14:solidFill>
                </w14:textFill>
              </w:rPr>
              <w:t>、</w:t>
            </w:r>
            <w:r>
              <w:rPr>
                <w:rFonts w:hint="eastAsia" w:ascii="宋体" w:hAnsi="宋体" w:eastAsia="宋体" w:cs="宋体"/>
                <w:color w:val="000000" w:themeColor="text1"/>
                <w:spacing w:val="7"/>
                <w:sz w:val="21"/>
                <w:szCs w:val="21"/>
                <w14:textFill>
                  <w14:solidFill>
                    <w14:schemeClr w14:val="tx1"/>
                  </w14:solidFill>
                </w14:textFill>
              </w:rPr>
              <w:t>中</w:t>
            </w:r>
            <w:r>
              <w:rPr>
                <w:rFonts w:hint="eastAsia" w:ascii="宋体" w:hAnsi="宋体" w:eastAsia="宋体" w:cs="宋体"/>
                <w:color w:val="000000" w:themeColor="text1"/>
                <w:spacing w:val="12"/>
                <w:sz w:val="21"/>
                <w:szCs w:val="21"/>
                <w14:textFill>
                  <w14:solidFill>
                    <w14:schemeClr w14:val="tx1"/>
                  </w14:solidFill>
                </w14:textFill>
              </w:rPr>
              <w:t>、</w:t>
            </w:r>
            <w:r>
              <w:rPr>
                <w:rFonts w:hint="eastAsia" w:ascii="宋体" w:hAnsi="宋体" w:eastAsia="宋体" w:cs="宋体"/>
                <w:color w:val="000000" w:themeColor="text1"/>
                <w:spacing w:val="7"/>
                <w:sz w:val="21"/>
                <w:szCs w:val="21"/>
                <w14:textFill>
                  <w14:solidFill>
                    <w14:schemeClr w14:val="tx1"/>
                  </w14:solidFill>
                </w14:textFill>
              </w:rPr>
              <w:t>后</w:t>
            </w:r>
          </w:p>
        </w:tc>
      </w:tr>
      <w:tr w14:paraId="20A543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568" w:hRule="atLeast"/>
          <w:jc w:val="center"/>
        </w:trPr>
        <w:tc>
          <w:tcPr>
            <w:tcW w:w="469" w:type="dxa"/>
            <w:tcBorders>
              <w:tl2br w:val="nil"/>
              <w:tr2bl w:val="nil"/>
            </w:tcBorders>
            <w:shd w:val="clear" w:color="auto" w:fill="auto"/>
            <w:vAlign w:val="center"/>
          </w:tcPr>
          <w:p w14:paraId="7E647E03">
            <w:pPr>
              <w:pStyle w:val="49"/>
              <w:kinsoku/>
              <w:overflowPunct/>
              <w:topLinePunct w:val="0"/>
              <w:bidi w:val="0"/>
              <w:adjustRightInd w:val="0"/>
              <w:snapToGrid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1512" w:type="dxa"/>
            <w:gridSpan w:val="2"/>
            <w:tcBorders>
              <w:tl2br w:val="nil"/>
              <w:tr2bl w:val="nil"/>
            </w:tcBorders>
            <w:shd w:val="clear" w:color="auto" w:fill="auto"/>
            <w:vAlign w:val="center"/>
          </w:tcPr>
          <w:p w14:paraId="1ED16A0C">
            <w:pPr>
              <w:pStyle w:val="49"/>
              <w:kinsoku/>
              <w:overflowPunct/>
              <w:topLinePunct w:val="0"/>
              <w:bidi w:val="0"/>
              <w:adjustRightInd w:val="0"/>
              <w:snapToGrid w:val="0"/>
              <w:spacing w:line="360" w:lineRule="atLeast"/>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塔身垂直度</w:t>
            </w:r>
          </w:p>
        </w:tc>
        <w:tc>
          <w:tcPr>
            <w:tcW w:w="2346" w:type="dxa"/>
            <w:gridSpan w:val="2"/>
            <w:tcBorders>
              <w:tl2br w:val="nil"/>
              <w:tr2bl w:val="nil"/>
            </w:tcBorders>
            <w:shd w:val="clear" w:color="auto" w:fill="auto"/>
            <w:vAlign w:val="center"/>
          </w:tcPr>
          <w:p w14:paraId="60710FCC">
            <w:pPr>
              <w:pStyle w:val="49"/>
              <w:kinsoku/>
              <w:overflowPunct/>
              <w:topLinePunct w:val="0"/>
              <w:bidi w:val="0"/>
              <w:adjustRightInd w:val="0"/>
              <w:snapToGrid w:val="0"/>
              <w:spacing w:line="360" w:lineRule="atLeast"/>
              <w:jc w:val="left"/>
              <w:rPr>
                <w:rFonts w:hint="eastAsia" w:ascii="宋体" w:hAnsi="宋体" w:eastAsia="宋体" w:cs="宋体"/>
                <w:sz w:val="21"/>
                <w:szCs w:val="21"/>
              </w:rPr>
            </w:pPr>
            <w:r>
              <w:rPr>
                <w:rFonts w:hint="eastAsia" w:ascii="宋体" w:hAnsi="宋体" w:eastAsia="宋体" w:cs="宋体"/>
                <w:color w:val="000000" w:themeColor="text1"/>
                <w:spacing w:val="9"/>
                <w:sz w:val="21"/>
                <w:szCs w:val="21"/>
                <w:lang w:val="en-US" w:eastAsia="zh-CN"/>
                <w14:textFill>
                  <w14:solidFill>
                    <w14:schemeClr w14:val="tx1"/>
                  </w14:solidFill>
                </w14:textFill>
              </w:rPr>
              <w:t>空载、风速不大于3m/s状态下，独立状态塔身（或附着状态下最高附着点以上塔身）轴心线的侧向垂直度误差不大于0.4%，最高附着点以下塔身轴心线的垂直度误差不大于0.2%。</w:t>
            </w:r>
          </w:p>
        </w:tc>
        <w:tc>
          <w:tcPr>
            <w:tcW w:w="3293" w:type="dxa"/>
            <w:gridSpan w:val="3"/>
            <w:tcBorders>
              <w:tl2br w:val="nil"/>
              <w:tr2bl w:val="nil"/>
            </w:tcBorders>
            <w:shd w:val="clear" w:color="auto" w:fill="auto"/>
            <w:vAlign w:val="center"/>
          </w:tcPr>
          <w:p w14:paraId="1D987352">
            <w:pPr>
              <w:pStyle w:val="49"/>
              <w:kinsoku/>
              <w:overflowPunct/>
              <w:topLinePunct w:val="0"/>
              <w:bidi w:val="0"/>
              <w:adjustRightInd w:val="0"/>
              <w:snapToGrid w:val="0"/>
              <w:spacing w:line="36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9"/>
                <w:sz w:val="21"/>
                <w:szCs w:val="21"/>
                <w14:textFill>
                  <w14:solidFill>
                    <w14:schemeClr w14:val="tx1"/>
                  </w14:solidFill>
                </w14:textFill>
              </w:rPr>
              <w:t>使用经纬仪测量</w:t>
            </w:r>
            <w:r>
              <w:rPr>
                <w:rFonts w:hint="eastAsia" w:ascii="宋体" w:hAnsi="宋体" w:eastAsia="宋体" w:cs="宋体"/>
                <w:color w:val="000000" w:themeColor="text1"/>
                <w:spacing w:val="10"/>
                <w:sz w:val="21"/>
                <w:szCs w:val="21"/>
                <w14:textFill>
                  <w14:solidFill>
                    <w14:schemeClr w14:val="tx1"/>
                  </w14:solidFill>
                </w14:textFill>
              </w:rPr>
              <w:t>，</w:t>
            </w:r>
            <w:r>
              <w:rPr>
                <w:rFonts w:hint="eastAsia" w:ascii="宋体" w:hAnsi="宋体" w:eastAsia="宋体" w:cs="宋体"/>
                <w:color w:val="000000" w:themeColor="text1"/>
                <w:spacing w:val="9"/>
                <w:sz w:val="21"/>
                <w:szCs w:val="21"/>
                <w14:textFill>
                  <w14:solidFill>
                    <w14:schemeClr w14:val="tx1"/>
                  </w14:solidFill>
                </w14:textFill>
              </w:rPr>
              <w:t>将起重</w:t>
            </w:r>
            <w:r>
              <w:rPr>
                <w:rFonts w:hint="eastAsia" w:ascii="宋体" w:hAnsi="宋体" w:eastAsia="宋体" w:cs="宋体"/>
                <w:color w:val="000000" w:themeColor="text1"/>
                <w:sz w:val="21"/>
                <w:szCs w:val="21"/>
                <w14:textFill>
                  <w14:solidFill>
                    <w14:schemeClr w14:val="tx1"/>
                  </w14:solidFill>
                </w14:textFill>
              </w:rPr>
              <w:t>臂</w:t>
            </w:r>
            <w:r>
              <w:rPr>
                <w:rFonts w:hint="eastAsia" w:ascii="宋体" w:hAnsi="宋体" w:eastAsia="宋体" w:cs="宋体"/>
                <w:color w:val="000000" w:themeColor="text1"/>
                <w:spacing w:val="9"/>
                <w:sz w:val="21"/>
                <w:szCs w:val="21"/>
                <w14:textFill>
                  <w14:solidFill>
                    <w14:schemeClr w14:val="tx1"/>
                  </w14:solidFill>
                </w14:textFill>
              </w:rPr>
              <w:t>转到东西方向</w:t>
            </w:r>
            <w:r>
              <w:rPr>
                <w:rFonts w:hint="eastAsia" w:ascii="宋体" w:hAnsi="宋体" w:eastAsia="宋体" w:cs="宋体"/>
                <w:color w:val="000000" w:themeColor="text1"/>
                <w:spacing w:val="10"/>
                <w:sz w:val="21"/>
                <w:szCs w:val="21"/>
                <w14:textFill>
                  <w14:solidFill>
                    <w14:schemeClr w14:val="tx1"/>
                  </w14:solidFill>
                </w14:textFill>
              </w:rPr>
              <w:t>，</w:t>
            </w:r>
            <w:r>
              <w:rPr>
                <w:rFonts w:hint="eastAsia" w:ascii="宋体" w:hAnsi="宋体" w:eastAsia="宋体" w:cs="宋体"/>
                <w:color w:val="000000" w:themeColor="text1"/>
                <w:spacing w:val="9"/>
                <w:sz w:val="21"/>
                <w:szCs w:val="21"/>
                <w14:textFill>
                  <w14:solidFill>
                    <w14:schemeClr w14:val="tx1"/>
                  </w14:solidFill>
                </w14:textFill>
              </w:rPr>
              <w:t>检测南方</w:t>
            </w:r>
            <w:r>
              <w:rPr>
                <w:rFonts w:hint="eastAsia" w:ascii="宋体" w:hAnsi="宋体" w:eastAsia="宋体" w:cs="宋体"/>
                <w:color w:val="000000" w:themeColor="text1"/>
                <w:sz w:val="21"/>
                <w:szCs w:val="21"/>
                <w14:textFill>
                  <w14:solidFill>
                    <w14:schemeClr w14:val="tx1"/>
                  </w14:solidFill>
                </w14:textFill>
              </w:rPr>
              <w:t>方</w:t>
            </w:r>
            <w:r>
              <w:rPr>
                <w:rFonts w:hint="eastAsia" w:ascii="宋体" w:hAnsi="宋体" w:eastAsia="宋体" w:cs="宋体"/>
                <w:color w:val="000000" w:themeColor="text1"/>
                <w:spacing w:val="9"/>
                <w:sz w:val="21"/>
                <w:szCs w:val="21"/>
                <w14:textFill>
                  <w14:solidFill>
                    <w14:schemeClr w14:val="tx1"/>
                  </w14:solidFill>
                </w14:textFill>
              </w:rPr>
              <w:t>向塔身垂直度</w:t>
            </w:r>
            <w:r>
              <w:rPr>
                <w:rFonts w:hint="eastAsia" w:ascii="宋体" w:hAnsi="宋体" w:eastAsia="宋体" w:cs="宋体"/>
                <w:color w:val="000000" w:themeColor="text1"/>
                <w:spacing w:val="10"/>
                <w:sz w:val="21"/>
                <w:szCs w:val="21"/>
                <w14:textFill>
                  <w14:solidFill>
                    <w14:schemeClr w14:val="tx1"/>
                  </w14:solidFill>
                </w14:textFill>
              </w:rPr>
              <w:t>，</w:t>
            </w:r>
            <w:r>
              <w:rPr>
                <w:rFonts w:hint="eastAsia" w:ascii="宋体" w:hAnsi="宋体" w:eastAsia="宋体" w:cs="宋体"/>
                <w:color w:val="000000" w:themeColor="text1"/>
                <w:spacing w:val="9"/>
                <w:sz w:val="21"/>
                <w:szCs w:val="21"/>
                <w14:textFill>
                  <w14:solidFill>
                    <w14:schemeClr w14:val="tx1"/>
                  </w14:solidFill>
                </w14:textFill>
              </w:rPr>
              <w:t>将起重臂</w:t>
            </w:r>
            <w:r>
              <w:rPr>
                <w:rFonts w:hint="eastAsia" w:ascii="宋体" w:hAnsi="宋体" w:eastAsia="宋体" w:cs="宋体"/>
                <w:color w:val="000000" w:themeColor="text1"/>
                <w:sz w:val="21"/>
                <w:szCs w:val="21"/>
                <w14:textFill>
                  <w14:solidFill>
                    <w14:schemeClr w14:val="tx1"/>
                  </w14:solidFill>
                </w14:textFill>
              </w:rPr>
              <w:t>转</w:t>
            </w:r>
            <w:r>
              <w:rPr>
                <w:rFonts w:hint="eastAsia" w:ascii="宋体" w:hAnsi="宋体" w:eastAsia="宋体" w:cs="宋体"/>
                <w:color w:val="000000" w:themeColor="text1"/>
                <w:spacing w:val="9"/>
                <w:sz w:val="21"/>
                <w:szCs w:val="21"/>
                <w14:textFill>
                  <w14:solidFill>
                    <w14:schemeClr w14:val="tx1"/>
                  </w14:solidFill>
                </w14:textFill>
              </w:rPr>
              <w:t>到南北方向</w:t>
            </w:r>
            <w:r>
              <w:rPr>
                <w:rFonts w:hint="eastAsia" w:ascii="宋体" w:hAnsi="宋体" w:eastAsia="宋体" w:cs="宋体"/>
                <w:color w:val="000000" w:themeColor="text1"/>
                <w:spacing w:val="10"/>
                <w:sz w:val="21"/>
                <w:szCs w:val="21"/>
                <w14:textFill>
                  <w14:solidFill>
                    <w14:schemeClr w14:val="tx1"/>
                  </w14:solidFill>
                </w14:textFill>
              </w:rPr>
              <w:t>，</w:t>
            </w:r>
            <w:r>
              <w:rPr>
                <w:rFonts w:hint="eastAsia" w:ascii="宋体" w:hAnsi="宋体" w:eastAsia="宋体" w:cs="宋体"/>
                <w:color w:val="000000" w:themeColor="text1"/>
                <w:spacing w:val="9"/>
                <w:sz w:val="21"/>
                <w:szCs w:val="21"/>
                <w14:textFill>
                  <w14:solidFill>
                    <w14:schemeClr w14:val="tx1"/>
                  </w14:solidFill>
                </w14:textFill>
              </w:rPr>
              <w:t>加测东西方</w:t>
            </w:r>
            <w:r>
              <w:rPr>
                <w:rFonts w:hint="eastAsia" w:ascii="宋体" w:hAnsi="宋体" w:eastAsia="宋体" w:cs="宋体"/>
                <w:color w:val="000000" w:themeColor="text1"/>
                <w:sz w:val="21"/>
                <w:szCs w:val="21"/>
                <w14:textFill>
                  <w14:solidFill>
                    <w14:schemeClr w14:val="tx1"/>
                  </w14:solidFill>
                </w14:textFill>
              </w:rPr>
              <w:t>向</w:t>
            </w:r>
            <w:r>
              <w:rPr>
                <w:rFonts w:hint="eastAsia" w:ascii="宋体" w:hAnsi="宋体" w:eastAsia="宋体" w:cs="宋体"/>
                <w:color w:val="000000" w:themeColor="text1"/>
                <w:spacing w:val="7"/>
                <w:sz w:val="21"/>
                <w:szCs w:val="21"/>
                <w14:textFill>
                  <w14:solidFill>
                    <w14:schemeClr w14:val="tx1"/>
                  </w14:solidFill>
                </w14:textFill>
              </w:rPr>
              <w:t>塔身垂</w:t>
            </w:r>
            <w:r>
              <w:rPr>
                <w:rFonts w:hint="eastAsia" w:ascii="宋体" w:hAnsi="宋体" w:eastAsia="宋体" w:cs="宋体"/>
                <w:color w:val="000000" w:themeColor="text1"/>
                <w:spacing w:val="6"/>
                <w:sz w:val="21"/>
                <w:szCs w:val="21"/>
                <w14:textFill>
                  <w14:solidFill>
                    <w14:schemeClr w14:val="tx1"/>
                  </w14:solidFill>
                </w14:textFill>
              </w:rPr>
              <w:t>直度</w:t>
            </w:r>
            <w:r>
              <w:rPr>
                <w:rFonts w:hint="eastAsia" w:ascii="宋体" w:hAnsi="宋体" w:eastAsia="宋体" w:cs="宋体"/>
                <w:color w:val="000000" w:themeColor="text1"/>
                <w:sz w:val="21"/>
                <w:szCs w:val="21"/>
                <w14:textFill>
                  <w14:solidFill>
                    <w14:schemeClr w14:val="tx1"/>
                  </w14:solidFill>
                </w14:textFill>
              </w:rPr>
              <w:t>。</w:t>
            </w:r>
          </w:p>
        </w:tc>
        <w:tc>
          <w:tcPr>
            <w:tcW w:w="1938" w:type="dxa"/>
            <w:gridSpan w:val="3"/>
            <w:tcBorders>
              <w:tl2br w:val="nil"/>
              <w:tr2bl w:val="nil"/>
            </w:tcBorders>
            <w:shd w:val="clear" w:color="auto" w:fill="auto"/>
            <w:vAlign w:val="center"/>
          </w:tcPr>
          <w:p w14:paraId="6C23C30E">
            <w:pPr>
              <w:pStyle w:val="49"/>
              <w:kinsoku/>
              <w:overflowPunct/>
              <w:topLinePunct w:val="0"/>
              <w:bidi w:val="0"/>
              <w:adjustRightInd w:val="0"/>
              <w:snapToGrid w:val="0"/>
              <w:spacing w:line="36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9"/>
                <w:sz w:val="21"/>
                <w:szCs w:val="21"/>
                <w14:textFill>
                  <w14:solidFill>
                    <w14:schemeClr w14:val="tx1"/>
                  </w14:solidFill>
                </w14:textFill>
              </w:rPr>
              <w:t>首次</w:t>
            </w:r>
            <w:r>
              <w:rPr>
                <w:rFonts w:hint="eastAsia" w:cs="宋体"/>
                <w:color w:val="000000" w:themeColor="text1"/>
                <w:spacing w:val="9"/>
                <w:sz w:val="21"/>
                <w:szCs w:val="21"/>
                <w:lang w:eastAsia="zh-CN"/>
                <w14:textFill>
                  <w14:solidFill>
                    <w14:schemeClr w14:val="tx1"/>
                  </w14:solidFill>
                </w14:textFill>
              </w:rPr>
              <w:t>拆除</w:t>
            </w:r>
            <w:r>
              <w:rPr>
                <w:rFonts w:hint="eastAsia" w:ascii="宋体" w:hAnsi="宋体" w:eastAsia="宋体" w:cs="宋体"/>
                <w:color w:val="000000" w:themeColor="text1"/>
                <w:spacing w:val="9"/>
                <w:sz w:val="21"/>
                <w:szCs w:val="21"/>
                <w14:textFill>
                  <w14:solidFill>
                    <w14:schemeClr w14:val="tx1"/>
                  </w14:solidFill>
                </w14:textFill>
              </w:rPr>
              <w:t>或</w:t>
            </w:r>
            <w:r>
              <w:rPr>
                <w:rFonts w:hint="eastAsia" w:ascii="宋体" w:hAnsi="宋体" w:eastAsia="宋体" w:cs="宋体"/>
                <w:color w:val="000000" w:themeColor="text1"/>
                <w:sz w:val="21"/>
                <w:szCs w:val="21"/>
                <w14:textFill>
                  <w14:solidFill>
                    <w14:schemeClr w14:val="tx1"/>
                  </w14:solidFill>
                </w14:textFill>
              </w:rPr>
              <w:t>每次加节后</w:t>
            </w:r>
          </w:p>
        </w:tc>
      </w:tr>
      <w:tr w14:paraId="7DAFB9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3" w:hRule="atLeast"/>
          <w:jc w:val="center"/>
        </w:trPr>
        <w:tc>
          <w:tcPr>
            <w:tcW w:w="469" w:type="dxa"/>
            <w:tcBorders>
              <w:tl2br w:val="nil"/>
              <w:tr2bl w:val="nil"/>
            </w:tcBorders>
            <w:shd w:val="clear" w:color="auto" w:fill="auto"/>
            <w:vAlign w:val="center"/>
          </w:tcPr>
          <w:p w14:paraId="38FF00FC">
            <w:pPr>
              <w:pStyle w:val="49"/>
              <w:kinsoku/>
              <w:overflowPunct/>
              <w:topLinePunct w:val="0"/>
              <w:bidi w:val="0"/>
              <w:adjustRightInd w:val="0"/>
              <w:snapToGrid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1512" w:type="dxa"/>
            <w:gridSpan w:val="2"/>
            <w:tcBorders>
              <w:tl2br w:val="nil"/>
              <w:tr2bl w:val="nil"/>
            </w:tcBorders>
            <w:shd w:val="clear" w:color="auto" w:fill="auto"/>
            <w:vAlign w:val="center"/>
          </w:tcPr>
          <w:p w14:paraId="5C046679">
            <w:pPr>
              <w:pStyle w:val="49"/>
              <w:kinsoku/>
              <w:overflowPunct/>
              <w:topLinePunct w:val="0"/>
              <w:bidi w:val="0"/>
              <w:adjustRightInd w:val="0"/>
              <w:snapToGrid w:val="0"/>
              <w:spacing w:line="360" w:lineRule="atLeast"/>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pacing w:val="4"/>
                <w:sz w:val="21"/>
                <w:szCs w:val="21"/>
              </w:rPr>
              <w:t>风速</w:t>
            </w:r>
          </w:p>
        </w:tc>
        <w:tc>
          <w:tcPr>
            <w:tcW w:w="2346" w:type="dxa"/>
            <w:gridSpan w:val="2"/>
            <w:tcBorders>
              <w:tl2br w:val="nil"/>
              <w:tr2bl w:val="nil"/>
            </w:tcBorders>
            <w:shd w:val="clear" w:color="auto" w:fill="auto"/>
            <w:vAlign w:val="center"/>
          </w:tcPr>
          <w:p w14:paraId="4B994A60">
            <w:pPr>
              <w:pStyle w:val="49"/>
              <w:kinsoku/>
              <w:overflowPunct/>
              <w:topLinePunct w:val="0"/>
              <w:bidi w:val="0"/>
              <w:adjustRightInd w:val="0"/>
              <w:snapToGrid w:val="0"/>
              <w:spacing w:line="360" w:lineRule="atLeast"/>
              <w:rPr>
                <w:rFonts w:hint="eastAsia" w:ascii="宋体" w:hAnsi="宋体" w:eastAsia="宋体" w:cs="宋体"/>
                <w:sz w:val="21"/>
                <w:szCs w:val="21"/>
                <w:lang w:eastAsia="zh-CN"/>
              </w:rPr>
            </w:pPr>
            <w:r>
              <w:rPr>
                <w:rFonts w:hint="eastAsia" w:ascii="宋体" w:hAnsi="宋体" w:eastAsia="宋体" w:cs="宋体"/>
                <w:spacing w:val="9"/>
                <w:sz w:val="21"/>
                <w:szCs w:val="21"/>
                <w:lang w:val="en-US" w:eastAsia="zh-CN"/>
              </w:rPr>
              <w:t>4</w:t>
            </w:r>
            <w:r>
              <w:rPr>
                <w:rFonts w:hint="eastAsia" w:ascii="宋体" w:hAnsi="宋体" w:eastAsia="宋体" w:cs="宋体"/>
                <w:spacing w:val="9"/>
                <w:sz w:val="21"/>
                <w:szCs w:val="21"/>
              </w:rPr>
              <w:t>级风以上不准起吊</w:t>
            </w:r>
            <w:r>
              <w:rPr>
                <w:rFonts w:hint="eastAsia" w:ascii="宋体" w:hAnsi="宋体" w:eastAsia="宋体" w:cs="宋体"/>
                <w:spacing w:val="9"/>
                <w:sz w:val="21"/>
                <w:szCs w:val="21"/>
                <w:lang w:eastAsia="zh-CN"/>
              </w:rPr>
              <w:t>。</w:t>
            </w:r>
          </w:p>
        </w:tc>
        <w:tc>
          <w:tcPr>
            <w:tcW w:w="3293" w:type="dxa"/>
            <w:gridSpan w:val="3"/>
            <w:tcBorders>
              <w:tl2br w:val="nil"/>
              <w:tr2bl w:val="nil"/>
            </w:tcBorders>
            <w:shd w:val="clear" w:color="auto" w:fill="auto"/>
            <w:vAlign w:val="center"/>
          </w:tcPr>
          <w:p w14:paraId="71930877">
            <w:pPr>
              <w:pStyle w:val="49"/>
              <w:kinsoku/>
              <w:overflowPunct/>
              <w:topLinePunct w:val="0"/>
              <w:bidi w:val="0"/>
              <w:adjustRightInd w:val="0"/>
              <w:snapToGrid w:val="0"/>
              <w:spacing w:line="360" w:lineRule="atLeas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pacing w:val="9"/>
                <w:sz w:val="21"/>
                <w:szCs w:val="21"/>
                <w14:textFill>
                  <w14:solidFill>
                    <w14:schemeClr w14:val="tx1"/>
                  </w14:solidFill>
                </w14:textFill>
              </w:rPr>
              <w:t>使用风速仪监控塔吊顶部风</w:t>
            </w:r>
            <w:r>
              <w:rPr>
                <w:rFonts w:hint="eastAsia" w:ascii="宋体" w:hAnsi="宋体" w:eastAsia="宋体" w:cs="宋体"/>
                <w:color w:val="000000" w:themeColor="text1"/>
                <w:sz w:val="21"/>
                <w:szCs w:val="21"/>
                <w14:textFill>
                  <w14:solidFill>
                    <w14:schemeClr w14:val="tx1"/>
                  </w14:solidFill>
                </w14:textFill>
              </w:rPr>
              <w:t>速</w:t>
            </w:r>
            <w:r>
              <w:rPr>
                <w:rFonts w:hint="eastAsia" w:ascii="宋体" w:hAnsi="宋体" w:eastAsia="宋体" w:cs="宋体"/>
                <w:color w:val="000000" w:themeColor="text1"/>
                <w:sz w:val="21"/>
                <w:szCs w:val="21"/>
                <w:lang w:val="en-US" w:eastAsia="zh-CN"/>
                <w14:textFill>
                  <w14:solidFill>
                    <w14:schemeClr w14:val="tx1"/>
                  </w14:solidFill>
                </w14:textFill>
              </w:rPr>
              <w:t>4</w:t>
            </w:r>
            <w:r>
              <w:rPr>
                <w:rFonts w:hint="eastAsia" w:ascii="宋体" w:hAnsi="宋体" w:eastAsia="宋体" w:cs="宋体"/>
                <w:color w:val="000000" w:themeColor="text1"/>
                <w:sz w:val="21"/>
                <w:szCs w:val="21"/>
                <w14:textFill>
                  <w14:solidFill>
                    <w14:schemeClr w14:val="tx1"/>
                  </w14:solidFill>
                </w14:textFill>
              </w:rPr>
              <w:t>级风以上不准吊重</w:t>
            </w:r>
            <w:r>
              <w:rPr>
                <w:rFonts w:hint="eastAsia" w:ascii="宋体" w:hAnsi="宋体" w:eastAsia="宋体" w:cs="宋体"/>
                <w:color w:val="000000" w:themeColor="text1"/>
                <w:spacing w:val="-94"/>
                <w:sz w:val="21"/>
                <w:szCs w:val="21"/>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（塔吊</w:t>
            </w:r>
            <w:r>
              <w:rPr>
                <w:rFonts w:hint="eastAsia" w:cs="宋体"/>
                <w:color w:val="000000" w:themeColor="text1"/>
                <w:sz w:val="21"/>
                <w:szCs w:val="21"/>
                <w:lang w:val="en-US" w:eastAsia="zh-CN"/>
                <w14:textFill>
                  <w14:solidFill>
                    <w14:schemeClr w14:val="tx1"/>
                  </w14:solidFill>
                </w14:textFill>
              </w:rPr>
              <w:t>自</w:t>
            </w:r>
            <w:r>
              <w:rPr>
                <w:rFonts w:hint="eastAsia" w:ascii="宋体" w:hAnsi="宋体" w:eastAsia="宋体" w:cs="宋体"/>
                <w:color w:val="000000" w:themeColor="text1"/>
                <w:sz w:val="21"/>
                <w:szCs w:val="21"/>
                <w14:textFill>
                  <w14:solidFill>
                    <w14:schemeClr w14:val="tx1"/>
                  </w14:solidFill>
                </w14:textFill>
              </w:rPr>
              <w:t>带</w:t>
            </w:r>
            <w:r>
              <w:rPr>
                <w:rFonts w:hint="eastAsia" w:ascii="宋体" w:hAnsi="宋体" w:eastAsia="宋体" w:cs="宋体"/>
                <w:color w:val="000000" w:themeColor="text1"/>
                <w:spacing w:val="-5"/>
                <w:sz w:val="21"/>
                <w:szCs w:val="21"/>
                <w14:textFill>
                  <w14:solidFill>
                    <w14:schemeClr w14:val="tx1"/>
                  </w14:solidFill>
                </w14:textFill>
              </w:rPr>
              <w:t>）</w:t>
            </w:r>
            <w:r>
              <w:rPr>
                <w:rFonts w:hint="eastAsia" w:ascii="宋体" w:hAnsi="宋体" w:eastAsia="宋体" w:cs="宋体"/>
                <w:color w:val="000000" w:themeColor="text1"/>
                <w:spacing w:val="-5"/>
                <w:sz w:val="21"/>
                <w:szCs w:val="21"/>
                <w:lang w:eastAsia="zh-CN"/>
                <w14:textFill>
                  <w14:solidFill>
                    <w14:schemeClr w14:val="tx1"/>
                  </w14:solidFill>
                </w14:textFill>
              </w:rPr>
              <w:t>。</w:t>
            </w:r>
          </w:p>
        </w:tc>
        <w:tc>
          <w:tcPr>
            <w:tcW w:w="1938" w:type="dxa"/>
            <w:gridSpan w:val="3"/>
            <w:tcBorders>
              <w:tl2br w:val="nil"/>
              <w:tr2bl w:val="nil"/>
            </w:tcBorders>
            <w:shd w:val="clear" w:color="auto" w:fill="auto"/>
            <w:vAlign w:val="center"/>
          </w:tcPr>
          <w:p w14:paraId="0F27A2AF">
            <w:pPr>
              <w:pStyle w:val="49"/>
              <w:kinsoku/>
              <w:overflowPunct/>
              <w:topLinePunct w:val="0"/>
              <w:bidi w:val="0"/>
              <w:adjustRightInd w:val="0"/>
              <w:snapToGrid w:val="0"/>
              <w:spacing w:line="36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5"/>
                <w:sz w:val="21"/>
                <w:szCs w:val="21"/>
                <w14:textFill>
                  <w14:solidFill>
                    <w14:schemeClr w14:val="tx1"/>
                  </w14:solidFill>
                </w14:textFill>
              </w:rPr>
              <w:t>每</w:t>
            </w:r>
            <w:r>
              <w:rPr>
                <w:rFonts w:hint="eastAsia" w:ascii="宋体" w:hAnsi="宋体" w:eastAsia="宋体" w:cs="宋体"/>
                <w:color w:val="000000" w:themeColor="text1"/>
                <w:spacing w:val="4"/>
                <w:sz w:val="21"/>
                <w:szCs w:val="21"/>
                <w14:textFill>
                  <w14:solidFill>
                    <w14:schemeClr w14:val="tx1"/>
                  </w14:solidFill>
                </w14:textFill>
              </w:rPr>
              <w:t>天</w:t>
            </w:r>
          </w:p>
        </w:tc>
      </w:tr>
      <w:tr w14:paraId="1DD6CA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4" w:hRule="atLeast"/>
          <w:jc w:val="center"/>
        </w:trPr>
        <w:tc>
          <w:tcPr>
            <w:tcW w:w="469" w:type="dxa"/>
            <w:tcBorders>
              <w:tl2br w:val="nil"/>
              <w:tr2bl w:val="nil"/>
            </w:tcBorders>
            <w:shd w:val="clear" w:color="auto" w:fill="auto"/>
            <w:vAlign w:val="center"/>
          </w:tcPr>
          <w:p w14:paraId="4DD97563">
            <w:pPr>
              <w:pStyle w:val="49"/>
              <w:kinsoku/>
              <w:overflowPunct/>
              <w:topLinePunct w:val="0"/>
              <w:bidi w:val="0"/>
              <w:adjustRightInd w:val="0"/>
              <w:snapToGrid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1512" w:type="dxa"/>
            <w:gridSpan w:val="2"/>
            <w:tcBorders>
              <w:tl2br w:val="nil"/>
              <w:tr2bl w:val="nil"/>
            </w:tcBorders>
            <w:shd w:val="clear" w:color="auto" w:fill="auto"/>
            <w:vAlign w:val="center"/>
          </w:tcPr>
          <w:p w14:paraId="093DE750">
            <w:pPr>
              <w:pStyle w:val="49"/>
              <w:kinsoku/>
              <w:overflowPunct/>
              <w:topLinePunct w:val="0"/>
              <w:bidi w:val="0"/>
              <w:adjustRightInd w:val="0"/>
              <w:snapToGrid w:val="0"/>
              <w:spacing w:line="360" w:lineRule="atLeast"/>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安全保</w:t>
            </w:r>
            <w:r>
              <w:rPr>
                <w:rFonts w:hint="eastAsia" w:ascii="宋体" w:hAnsi="宋体" w:eastAsia="宋体" w:cs="宋体"/>
                <w:spacing w:val="7"/>
                <w:sz w:val="21"/>
                <w:szCs w:val="21"/>
              </w:rPr>
              <w:t>护装置</w:t>
            </w:r>
          </w:p>
        </w:tc>
        <w:tc>
          <w:tcPr>
            <w:tcW w:w="2346" w:type="dxa"/>
            <w:gridSpan w:val="2"/>
            <w:tcBorders>
              <w:tl2br w:val="nil"/>
              <w:tr2bl w:val="nil"/>
            </w:tcBorders>
            <w:shd w:val="clear" w:color="auto" w:fill="auto"/>
            <w:vAlign w:val="center"/>
          </w:tcPr>
          <w:p w14:paraId="0EDE5951">
            <w:pPr>
              <w:pStyle w:val="49"/>
              <w:numPr>
                <w:ilvl w:val="0"/>
                <w:numId w:val="0"/>
              </w:numPr>
              <w:kinsoku/>
              <w:overflowPunct/>
              <w:topLinePunct w:val="0"/>
              <w:bidi w:val="0"/>
              <w:adjustRightInd w:val="0"/>
              <w:snapToGrid w:val="0"/>
              <w:spacing w:line="360" w:lineRule="atLeast"/>
              <w:jc w:val="both"/>
              <w:rPr>
                <w:rFonts w:hint="eastAsia" w:ascii="宋体" w:hAnsi="宋体" w:eastAsia="宋体" w:cs="宋体"/>
                <w:spacing w:val="9"/>
                <w:sz w:val="21"/>
                <w:szCs w:val="21"/>
                <w:lang w:eastAsia="zh-CN"/>
              </w:rPr>
            </w:pPr>
            <w:r>
              <w:rPr>
                <w:rFonts w:hint="eastAsia" w:ascii="宋体" w:hAnsi="宋体" w:eastAsia="宋体" w:cs="宋体"/>
                <w:spacing w:val="9"/>
                <w:sz w:val="21"/>
                <w:szCs w:val="21"/>
                <w:lang w:val="en-US" w:eastAsia="zh-CN"/>
              </w:rPr>
              <w:t>1.</w:t>
            </w:r>
            <w:r>
              <w:rPr>
                <w:rFonts w:hint="eastAsia" w:ascii="宋体" w:hAnsi="宋体" w:eastAsia="宋体" w:cs="宋体"/>
                <w:spacing w:val="9"/>
                <w:sz w:val="21"/>
                <w:szCs w:val="21"/>
              </w:rPr>
              <w:t>高度限位，吊钩距起重臂2m跳闸</w:t>
            </w:r>
            <w:r>
              <w:rPr>
                <w:rFonts w:hint="eastAsia" w:ascii="宋体" w:hAnsi="宋体" w:eastAsia="宋体" w:cs="宋体"/>
                <w:spacing w:val="9"/>
                <w:sz w:val="21"/>
                <w:szCs w:val="21"/>
                <w:lang w:eastAsia="zh-CN"/>
              </w:rPr>
              <w:t>。</w:t>
            </w:r>
          </w:p>
          <w:p w14:paraId="3C068FCB">
            <w:pPr>
              <w:pStyle w:val="49"/>
              <w:numPr>
                <w:ilvl w:val="0"/>
                <w:numId w:val="0"/>
              </w:numPr>
              <w:kinsoku/>
              <w:overflowPunct/>
              <w:topLinePunct w:val="0"/>
              <w:bidi w:val="0"/>
              <w:adjustRightInd w:val="0"/>
              <w:snapToGrid w:val="0"/>
              <w:spacing w:line="360" w:lineRule="atLeast"/>
              <w:jc w:val="both"/>
              <w:rPr>
                <w:rFonts w:hint="eastAsia" w:ascii="宋体" w:hAnsi="宋体" w:eastAsia="宋体" w:cs="宋体"/>
                <w:sz w:val="21"/>
                <w:szCs w:val="21"/>
                <w:lang w:eastAsia="zh-CN"/>
              </w:rPr>
            </w:pPr>
            <w:r>
              <w:rPr>
                <w:rFonts w:hint="eastAsia" w:ascii="宋体" w:hAnsi="宋体" w:eastAsia="宋体" w:cs="宋体"/>
                <w:spacing w:val="9"/>
                <w:sz w:val="21"/>
                <w:szCs w:val="21"/>
              </w:rPr>
              <w:t>2.重量与力矩限制：根据性能参数试吊</w:t>
            </w:r>
            <w:r>
              <w:rPr>
                <w:rFonts w:hint="eastAsia" w:ascii="宋体" w:hAnsi="宋体" w:eastAsia="宋体" w:cs="宋体"/>
                <w:spacing w:val="9"/>
                <w:sz w:val="21"/>
                <w:szCs w:val="21"/>
                <w:lang w:eastAsia="zh-CN"/>
              </w:rPr>
              <w:t>。</w:t>
            </w:r>
          </w:p>
        </w:tc>
        <w:tc>
          <w:tcPr>
            <w:tcW w:w="3293" w:type="dxa"/>
            <w:gridSpan w:val="3"/>
            <w:tcBorders>
              <w:tl2br w:val="nil"/>
              <w:tr2bl w:val="nil"/>
            </w:tcBorders>
            <w:shd w:val="clear" w:color="auto" w:fill="auto"/>
            <w:vAlign w:val="center"/>
          </w:tcPr>
          <w:p w14:paraId="03B5D3CA">
            <w:pPr>
              <w:pStyle w:val="49"/>
              <w:kinsoku/>
              <w:overflowPunct/>
              <w:topLinePunct w:val="0"/>
              <w:bidi w:val="0"/>
              <w:adjustRightInd w:val="0"/>
              <w:snapToGrid w:val="0"/>
              <w:spacing w:line="360" w:lineRule="atLeast"/>
              <w:jc w:val="both"/>
              <w:rPr>
                <w:rFonts w:hint="eastAsia" w:ascii="宋体" w:hAnsi="宋体" w:eastAsia="宋体" w:cs="宋体"/>
                <w:color w:val="000000" w:themeColor="text1"/>
                <w:spacing w:val="9"/>
                <w:sz w:val="21"/>
                <w:szCs w:val="21"/>
                <w:lang w:eastAsia="zh-CN"/>
                <w14:textFill>
                  <w14:solidFill>
                    <w14:schemeClr w14:val="tx1"/>
                  </w14:solidFill>
                </w14:textFill>
              </w:rPr>
            </w:pPr>
            <w:r>
              <w:rPr>
                <w:rFonts w:hint="eastAsia" w:ascii="宋体" w:hAnsi="宋体" w:eastAsia="宋体" w:cs="宋体"/>
                <w:color w:val="000000" w:themeColor="text1"/>
                <w:spacing w:val="9"/>
                <w:sz w:val="21"/>
                <w:szCs w:val="21"/>
                <w14:textFill>
                  <w14:solidFill>
                    <w14:schemeClr w14:val="tx1"/>
                  </w14:solidFill>
                </w14:textFill>
              </w:rPr>
              <w:t>1.塔机吊钩到达距离起重臂2m位置时跳闸。（塔机自带）</w:t>
            </w:r>
            <w:r>
              <w:rPr>
                <w:rFonts w:hint="eastAsia" w:ascii="宋体" w:hAnsi="宋体" w:eastAsia="宋体" w:cs="宋体"/>
                <w:color w:val="000000" w:themeColor="text1"/>
                <w:spacing w:val="9"/>
                <w:sz w:val="21"/>
                <w:szCs w:val="21"/>
                <w:lang w:eastAsia="zh-CN"/>
                <w14:textFill>
                  <w14:solidFill>
                    <w14:schemeClr w14:val="tx1"/>
                  </w14:solidFill>
                </w14:textFill>
              </w:rPr>
              <w:t>。</w:t>
            </w:r>
          </w:p>
          <w:p w14:paraId="6AF5EA44">
            <w:pPr>
              <w:pStyle w:val="49"/>
              <w:kinsoku/>
              <w:overflowPunct/>
              <w:topLinePunct w:val="0"/>
              <w:bidi w:val="0"/>
              <w:adjustRightInd w:val="0"/>
              <w:snapToGrid w:val="0"/>
              <w:spacing w:line="360" w:lineRule="atLeast"/>
              <w:jc w:val="both"/>
              <w:rPr>
                <w:rFonts w:hint="eastAsia" w:ascii="宋体" w:hAnsi="宋体" w:eastAsia="宋体" w:cs="宋体"/>
                <w:color w:val="000000" w:themeColor="text1"/>
                <w:spacing w:val="9"/>
                <w:sz w:val="21"/>
                <w:szCs w:val="21"/>
                <w14:textFill>
                  <w14:solidFill>
                    <w14:schemeClr w14:val="tx1"/>
                  </w14:solidFill>
                </w14:textFill>
              </w:rPr>
            </w:pPr>
            <w:r>
              <w:rPr>
                <w:rFonts w:hint="eastAsia" w:ascii="宋体" w:hAnsi="宋体" w:eastAsia="宋体" w:cs="宋体"/>
                <w:color w:val="000000" w:themeColor="text1"/>
                <w:spacing w:val="9"/>
                <w:sz w:val="21"/>
                <w:szCs w:val="21"/>
                <w14:textFill>
                  <w14:solidFill>
                    <w14:schemeClr w14:val="tx1"/>
                  </w14:solidFill>
                </w14:textFill>
              </w:rPr>
              <w:t>2.超重、超力矩塔机不能起</w:t>
            </w:r>
          </w:p>
          <w:p w14:paraId="10DCE8A4">
            <w:pPr>
              <w:pStyle w:val="49"/>
              <w:kinsoku/>
              <w:overflowPunct/>
              <w:topLinePunct w:val="0"/>
              <w:bidi w:val="0"/>
              <w:adjustRightInd w:val="0"/>
              <w:snapToGrid w:val="0"/>
              <w:spacing w:line="360" w:lineRule="atLeas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pacing w:val="9"/>
                <w:sz w:val="21"/>
                <w:szCs w:val="21"/>
                <w14:textFill>
                  <w14:solidFill>
                    <w14:schemeClr w14:val="tx1"/>
                  </w14:solidFill>
                </w14:textFill>
              </w:rPr>
              <w:t>吊（塔机自带）</w:t>
            </w:r>
            <w:r>
              <w:rPr>
                <w:rFonts w:hint="eastAsia" w:ascii="宋体" w:hAnsi="宋体" w:eastAsia="宋体" w:cs="宋体"/>
                <w:color w:val="000000" w:themeColor="text1"/>
                <w:spacing w:val="9"/>
                <w:sz w:val="21"/>
                <w:szCs w:val="21"/>
                <w:lang w:eastAsia="zh-CN"/>
                <w14:textFill>
                  <w14:solidFill>
                    <w14:schemeClr w14:val="tx1"/>
                  </w14:solidFill>
                </w14:textFill>
              </w:rPr>
              <w:t>。</w:t>
            </w:r>
          </w:p>
        </w:tc>
        <w:tc>
          <w:tcPr>
            <w:tcW w:w="1938" w:type="dxa"/>
            <w:gridSpan w:val="3"/>
            <w:tcBorders>
              <w:tl2br w:val="nil"/>
              <w:tr2bl w:val="nil"/>
            </w:tcBorders>
            <w:shd w:val="clear" w:color="auto" w:fill="auto"/>
            <w:vAlign w:val="center"/>
          </w:tcPr>
          <w:p w14:paraId="4DE0C60F">
            <w:pPr>
              <w:pStyle w:val="49"/>
              <w:kinsoku/>
              <w:overflowPunct/>
              <w:topLinePunct w:val="0"/>
              <w:bidi w:val="0"/>
              <w:adjustRightInd w:val="0"/>
              <w:snapToGrid w:val="0"/>
              <w:spacing w:line="360" w:lineRule="atLeas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5"/>
                <w:sz w:val="21"/>
                <w:szCs w:val="21"/>
                <w14:textFill>
                  <w14:solidFill>
                    <w14:schemeClr w14:val="tx1"/>
                  </w14:solidFill>
                </w14:textFill>
              </w:rPr>
              <w:t>每</w:t>
            </w:r>
            <w:r>
              <w:rPr>
                <w:rFonts w:hint="eastAsia" w:ascii="宋体" w:hAnsi="宋体" w:eastAsia="宋体" w:cs="宋体"/>
                <w:color w:val="000000" w:themeColor="text1"/>
                <w:spacing w:val="4"/>
                <w:sz w:val="21"/>
                <w:szCs w:val="21"/>
                <w14:textFill>
                  <w14:solidFill>
                    <w14:schemeClr w14:val="tx1"/>
                  </w14:solidFill>
                </w14:textFill>
              </w:rPr>
              <w:t>月</w:t>
            </w:r>
          </w:p>
        </w:tc>
      </w:tr>
      <w:tr w14:paraId="789577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5" w:type="dxa"/>
          <w:trHeight w:val="1030" w:hRule="atLeast"/>
          <w:jc w:val="center"/>
        </w:trPr>
        <w:tc>
          <w:tcPr>
            <w:tcW w:w="469" w:type="dxa"/>
            <w:tcBorders>
              <w:tl2br w:val="nil"/>
              <w:tr2bl w:val="nil"/>
            </w:tcBorders>
            <w:shd w:val="clear" w:color="auto" w:fill="auto"/>
            <w:vAlign w:val="center"/>
          </w:tcPr>
          <w:p w14:paraId="3E762B6A">
            <w:pPr>
              <w:pStyle w:val="49"/>
              <w:kinsoku/>
              <w:overflowPunct/>
              <w:topLinePunct w:val="0"/>
              <w:bidi w:val="0"/>
              <w:adjustRightInd w:val="0"/>
              <w:snapToGrid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1512" w:type="dxa"/>
            <w:gridSpan w:val="2"/>
            <w:tcBorders>
              <w:tl2br w:val="nil"/>
              <w:tr2bl w:val="nil"/>
            </w:tcBorders>
            <w:shd w:val="clear" w:color="auto" w:fill="auto"/>
            <w:vAlign w:val="center"/>
          </w:tcPr>
          <w:p w14:paraId="56129337">
            <w:pPr>
              <w:pStyle w:val="49"/>
              <w:kinsoku/>
              <w:overflowPunct/>
              <w:topLinePunct w:val="0"/>
              <w:bidi w:val="0"/>
              <w:adjustRightInd w:val="0"/>
              <w:snapToGrid w:val="0"/>
              <w:spacing w:line="360" w:lineRule="atLeast"/>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pacing w:val="4"/>
                <w:sz w:val="21"/>
                <w:szCs w:val="21"/>
              </w:rPr>
              <w:t>防雷装置</w:t>
            </w:r>
          </w:p>
        </w:tc>
        <w:tc>
          <w:tcPr>
            <w:tcW w:w="2346" w:type="dxa"/>
            <w:gridSpan w:val="2"/>
            <w:tcBorders>
              <w:tl2br w:val="nil"/>
              <w:tr2bl w:val="nil"/>
            </w:tcBorders>
            <w:shd w:val="clear" w:color="auto" w:fill="auto"/>
            <w:vAlign w:val="center"/>
          </w:tcPr>
          <w:p w14:paraId="38078D14">
            <w:pPr>
              <w:pStyle w:val="49"/>
              <w:kinsoku/>
              <w:overflowPunct/>
              <w:topLinePunct w:val="0"/>
              <w:bidi w:val="0"/>
              <w:adjustRightInd w:val="0"/>
              <w:snapToGrid w:val="0"/>
              <w:spacing w:line="360" w:lineRule="atLeast"/>
              <w:rPr>
                <w:rFonts w:hint="eastAsia" w:ascii="宋体" w:hAnsi="宋体" w:eastAsia="宋体" w:cs="宋体"/>
                <w:color w:val="000000" w:themeColor="text1"/>
                <w:spacing w:val="5"/>
                <w:sz w:val="21"/>
                <w:szCs w:val="21"/>
                <w14:textFill>
                  <w14:solidFill>
                    <w14:schemeClr w14:val="tx1"/>
                  </w14:solidFill>
                </w14:textFill>
              </w:rPr>
            </w:pPr>
            <w:r>
              <w:rPr>
                <w:rFonts w:hint="eastAsia" w:ascii="宋体" w:hAnsi="宋体" w:eastAsia="宋体" w:cs="宋体"/>
                <w:color w:val="000000" w:themeColor="text1"/>
                <w:spacing w:val="5"/>
                <w:sz w:val="21"/>
                <w:szCs w:val="21"/>
                <w14:textFill>
                  <w14:solidFill>
                    <w14:schemeClr w14:val="tx1"/>
                  </w14:solidFill>
                </w14:textFill>
              </w:rPr>
              <w:t>塔机避雷线与建筑物</w:t>
            </w:r>
          </w:p>
          <w:p w14:paraId="5A1C0603">
            <w:pPr>
              <w:pStyle w:val="49"/>
              <w:kinsoku/>
              <w:overflowPunct/>
              <w:topLinePunct w:val="0"/>
              <w:bidi w:val="0"/>
              <w:adjustRightInd w:val="0"/>
              <w:snapToGrid w:val="0"/>
              <w:spacing w:line="360" w:lineRule="atLeast"/>
              <w:rPr>
                <w:rFonts w:hint="eastAsia" w:ascii="宋体" w:hAnsi="宋体" w:eastAsia="宋体" w:cs="宋体"/>
                <w:color w:val="000000" w:themeColor="text1"/>
                <w:spacing w:val="9"/>
                <w:sz w:val="21"/>
                <w:szCs w:val="21"/>
                <w:lang w:eastAsia="zh-CN"/>
                <w14:textFill>
                  <w14:solidFill>
                    <w14:schemeClr w14:val="tx1"/>
                  </w14:solidFill>
                </w14:textFill>
              </w:rPr>
            </w:pPr>
            <w:r>
              <w:rPr>
                <w:rFonts w:hint="eastAsia" w:ascii="宋体" w:hAnsi="宋体" w:eastAsia="宋体" w:cs="宋体"/>
                <w:color w:val="000000" w:themeColor="text1"/>
                <w:spacing w:val="5"/>
                <w:sz w:val="21"/>
                <w:szCs w:val="21"/>
                <w14:textFill>
                  <w14:solidFill>
                    <w14:schemeClr w14:val="tx1"/>
                  </w14:solidFill>
                </w14:textFill>
              </w:rPr>
              <w:t>接地相连</w:t>
            </w:r>
            <w:r>
              <w:rPr>
                <w:rFonts w:hint="eastAsia" w:ascii="宋体" w:hAnsi="宋体" w:eastAsia="宋体" w:cs="宋体"/>
                <w:color w:val="000000" w:themeColor="text1"/>
                <w:spacing w:val="5"/>
                <w:sz w:val="21"/>
                <w:szCs w:val="21"/>
                <w:lang w:eastAsia="zh-CN"/>
                <w14:textFill>
                  <w14:solidFill>
                    <w14:schemeClr w14:val="tx1"/>
                  </w14:solidFill>
                </w14:textFill>
              </w:rPr>
              <w:t>。</w:t>
            </w:r>
          </w:p>
        </w:tc>
        <w:tc>
          <w:tcPr>
            <w:tcW w:w="3293" w:type="dxa"/>
            <w:gridSpan w:val="3"/>
            <w:tcBorders>
              <w:tl2br w:val="nil"/>
              <w:tr2bl w:val="nil"/>
            </w:tcBorders>
            <w:shd w:val="clear" w:color="auto" w:fill="auto"/>
            <w:vAlign w:val="center"/>
          </w:tcPr>
          <w:p w14:paraId="6A25F97B">
            <w:pPr>
              <w:pStyle w:val="49"/>
              <w:kinsoku/>
              <w:overflowPunct/>
              <w:topLinePunct w:val="0"/>
              <w:bidi w:val="0"/>
              <w:adjustRightInd w:val="0"/>
              <w:snapToGrid w:val="0"/>
              <w:spacing w:line="360" w:lineRule="atLeast"/>
              <w:rPr>
                <w:rFonts w:hint="eastAsia" w:ascii="宋体" w:hAnsi="宋体" w:eastAsia="宋体" w:cs="宋体"/>
                <w:color w:val="000000" w:themeColor="text1"/>
                <w:spacing w:val="9"/>
                <w:sz w:val="21"/>
                <w:szCs w:val="21"/>
                <w:lang w:eastAsia="zh-CN"/>
                <w14:textFill>
                  <w14:solidFill>
                    <w14:schemeClr w14:val="tx1"/>
                  </w14:solidFill>
                </w14:textFill>
              </w:rPr>
            </w:pPr>
            <w:r>
              <w:rPr>
                <w:rFonts w:hint="eastAsia" w:ascii="宋体" w:hAnsi="宋体" w:eastAsia="宋体" w:cs="宋体"/>
                <w:color w:val="000000" w:themeColor="text1"/>
                <w:spacing w:val="9"/>
                <w:sz w:val="21"/>
                <w:szCs w:val="21"/>
                <w14:textFill>
                  <w14:solidFill>
                    <w14:schemeClr w14:val="tx1"/>
                  </w14:solidFill>
                </w14:textFill>
              </w:rPr>
              <w:t>检测避雷电阻，要求电阻在1Ω之内</w:t>
            </w:r>
            <w:r>
              <w:rPr>
                <w:rFonts w:hint="eastAsia" w:ascii="宋体" w:hAnsi="宋体" w:eastAsia="宋体" w:cs="宋体"/>
                <w:color w:val="000000" w:themeColor="text1"/>
                <w:spacing w:val="9"/>
                <w:sz w:val="21"/>
                <w:szCs w:val="21"/>
                <w:lang w:eastAsia="zh-CN"/>
                <w14:textFill>
                  <w14:solidFill>
                    <w14:schemeClr w14:val="tx1"/>
                  </w14:solidFill>
                </w14:textFill>
              </w:rPr>
              <w:t>。</w:t>
            </w:r>
          </w:p>
        </w:tc>
        <w:tc>
          <w:tcPr>
            <w:tcW w:w="1933" w:type="dxa"/>
            <w:gridSpan w:val="2"/>
            <w:tcBorders>
              <w:tl2br w:val="nil"/>
              <w:tr2bl w:val="nil"/>
            </w:tcBorders>
            <w:shd w:val="clear" w:color="auto" w:fill="auto"/>
            <w:vAlign w:val="center"/>
          </w:tcPr>
          <w:p w14:paraId="467F2710">
            <w:pPr>
              <w:pStyle w:val="49"/>
              <w:kinsoku/>
              <w:overflowPunct/>
              <w:topLinePunct w:val="0"/>
              <w:bidi w:val="0"/>
              <w:adjustRightInd w:val="0"/>
              <w:snapToGrid w:val="0"/>
              <w:spacing w:line="360" w:lineRule="atLeast"/>
              <w:rPr>
                <w:rFonts w:hint="eastAsia" w:ascii="宋体" w:hAnsi="宋体" w:eastAsia="宋体" w:cs="宋体"/>
                <w:sz w:val="21"/>
                <w:szCs w:val="21"/>
              </w:rPr>
            </w:pPr>
            <w:r>
              <w:rPr>
                <w:rFonts w:hint="eastAsia" w:ascii="宋体" w:hAnsi="宋体" w:eastAsia="宋体" w:cs="宋体"/>
                <w:sz w:val="21"/>
                <w:szCs w:val="21"/>
              </w:rPr>
              <w:t>每次爬升后</w:t>
            </w:r>
          </w:p>
        </w:tc>
      </w:tr>
      <w:tr w14:paraId="48D948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5" w:type="dxa"/>
          <w:trHeight w:val="1030" w:hRule="atLeast"/>
          <w:jc w:val="center"/>
        </w:trPr>
        <w:tc>
          <w:tcPr>
            <w:tcW w:w="469" w:type="dxa"/>
            <w:tcBorders>
              <w:tl2br w:val="nil"/>
              <w:tr2bl w:val="nil"/>
            </w:tcBorders>
            <w:shd w:val="clear" w:color="auto" w:fill="auto"/>
            <w:vAlign w:val="center"/>
          </w:tcPr>
          <w:p w14:paraId="33ADAEFA">
            <w:pPr>
              <w:pStyle w:val="49"/>
              <w:kinsoku/>
              <w:overflowPunct/>
              <w:topLinePunct w:val="0"/>
              <w:bidi w:val="0"/>
              <w:adjustRightInd w:val="0"/>
              <w:snapToGrid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1512" w:type="dxa"/>
            <w:gridSpan w:val="2"/>
            <w:tcBorders>
              <w:tl2br w:val="nil"/>
              <w:tr2bl w:val="nil"/>
            </w:tcBorders>
            <w:shd w:val="clear" w:color="auto" w:fill="auto"/>
            <w:vAlign w:val="center"/>
          </w:tcPr>
          <w:p w14:paraId="4AED1741">
            <w:pPr>
              <w:pStyle w:val="49"/>
              <w:kinsoku/>
              <w:overflowPunct/>
              <w:topLinePunct w:val="0"/>
              <w:bidi w:val="0"/>
              <w:adjustRightInd w:val="0"/>
              <w:snapToGrid w:val="0"/>
              <w:spacing w:line="360" w:lineRule="atLeast"/>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钢</w:t>
            </w:r>
            <w:r>
              <w:rPr>
                <w:rFonts w:hint="eastAsia" w:ascii="宋体" w:hAnsi="宋体" w:eastAsia="宋体" w:cs="宋体"/>
                <w:spacing w:val="7"/>
                <w:sz w:val="21"/>
                <w:szCs w:val="21"/>
              </w:rPr>
              <w:t>丝绳</w:t>
            </w:r>
          </w:p>
        </w:tc>
        <w:tc>
          <w:tcPr>
            <w:tcW w:w="2346" w:type="dxa"/>
            <w:gridSpan w:val="2"/>
            <w:tcBorders>
              <w:tl2br w:val="nil"/>
              <w:tr2bl w:val="nil"/>
            </w:tcBorders>
            <w:shd w:val="clear" w:color="auto" w:fill="auto"/>
            <w:vAlign w:val="center"/>
          </w:tcPr>
          <w:p w14:paraId="0A7251F5">
            <w:pPr>
              <w:pStyle w:val="49"/>
              <w:kinsoku/>
              <w:overflowPunct/>
              <w:topLinePunct w:val="0"/>
              <w:bidi w:val="0"/>
              <w:adjustRightInd w:val="0"/>
              <w:snapToGrid w:val="0"/>
              <w:spacing w:line="360" w:lineRule="atLeast"/>
              <w:rPr>
                <w:rFonts w:hint="eastAsia" w:ascii="宋体" w:hAnsi="宋体" w:eastAsia="宋体" w:cs="宋体"/>
                <w:color w:val="000000" w:themeColor="text1"/>
                <w:spacing w:val="9"/>
                <w:sz w:val="21"/>
                <w:szCs w:val="21"/>
                <w14:textFill>
                  <w14:solidFill>
                    <w14:schemeClr w14:val="tx1"/>
                  </w14:solidFill>
                </w14:textFill>
              </w:rPr>
            </w:pPr>
            <w:r>
              <w:rPr>
                <w:rFonts w:hint="eastAsia" w:ascii="宋体" w:hAnsi="宋体" w:eastAsia="宋体" w:cs="宋体"/>
                <w:color w:val="000000" w:themeColor="text1"/>
                <w:spacing w:val="9"/>
                <w:sz w:val="21"/>
                <w:szCs w:val="21"/>
                <w14:textFill>
                  <w14:solidFill>
                    <w14:schemeClr w14:val="tx1"/>
                  </w14:solidFill>
                </w14:textFill>
              </w:rPr>
              <w:t>按钢丝绳标准</w:t>
            </w:r>
          </w:p>
          <w:p w14:paraId="420B2656">
            <w:pPr>
              <w:pStyle w:val="49"/>
              <w:kinsoku/>
              <w:overflowPunct/>
              <w:topLinePunct w:val="0"/>
              <w:bidi w:val="0"/>
              <w:adjustRightInd w:val="0"/>
              <w:snapToGrid w:val="0"/>
              <w:spacing w:line="360" w:lineRule="atLeas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pacing w:val="9"/>
                <w:sz w:val="21"/>
                <w:szCs w:val="21"/>
                <w14:textFill>
                  <w14:solidFill>
                    <w14:schemeClr w14:val="tx1"/>
                  </w14:solidFill>
                </w14:textFill>
              </w:rPr>
              <w:t>GB8918-2006</w:t>
            </w:r>
            <w:r>
              <w:rPr>
                <w:rFonts w:hint="eastAsia" w:ascii="宋体" w:hAnsi="宋体" w:eastAsia="宋体" w:cs="宋体"/>
                <w:color w:val="000000" w:themeColor="text1"/>
                <w:spacing w:val="9"/>
                <w:sz w:val="21"/>
                <w:szCs w:val="21"/>
                <w:lang w:eastAsia="zh-CN"/>
                <w14:textFill>
                  <w14:solidFill>
                    <w14:schemeClr w14:val="tx1"/>
                  </w14:solidFill>
                </w14:textFill>
              </w:rPr>
              <w:t>。</w:t>
            </w:r>
          </w:p>
        </w:tc>
        <w:tc>
          <w:tcPr>
            <w:tcW w:w="3293" w:type="dxa"/>
            <w:gridSpan w:val="3"/>
            <w:tcBorders>
              <w:tl2br w:val="nil"/>
              <w:tr2bl w:val="nil"/>
            </w:tcBorders>
            <w:shd w:val="clear" w:color="auto" w:fill="auto"/>
            <w:vAlign w:val="center"/>
          </w:tcPr>
          <w:p w14:paraId="0D972BB4">
            <w:pPr>
              <w:pStyle w:val="49"/>
              <w:kinsoku/>
              <w:overflowPunct/>
              <w:topLinePunct w:val="0"/>
              <w:bidi w:val="0"/>
              <w:adjustRightInd w:val="0"/>
              <w:snapToGrid w:val="0"/>
              <w:spacing w:line="360" w:lineRule="atLeas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pacing w:val="3"/>
                <w:sz w:val="21"/>
                <w:szCs w:val="21"/>
                <w14:textFill>
                  <w14:solidFill>
                    <w14:schemeClr w14:val="tx1"/>
                  </w14:solidFill>
                </w14:textFill>
              </w:rPr>
              <w:t>肉</w:t>
            </w:r>
            <w:r>
              <w:rPr>
                <w:rFonts w:hint="eastAsia" w:ascii="宋体" w:hAnsi="宋体" w:eastAsia="宋体" w:cs="宋体"/>
                <w:color w:val="000000" w:themeColor="text1"/>
                <w:spacing w:val="2"/>
                <w:sz w:val="21"/>
                <w:szCs w:val="21"/>
                <w14:textFill>
                  <w14:solidFill>
                    <w14:schemeClr w14:val="tx1"/>
                  </w14:solidFill>
                </w14:textFill>
              </w:rPr>
              <w:t>眼观察</w:t>
            </w:r>
            <w:r>
              <w:rPr>
                <w:rFonts w:hint="eastAsia" w:ascii="宋体" w:hAnsi="宋体" w:eastAsia="宋体" w:cs="宋体"/>
                <w:color w:val="000000" w:themeColor="text1"/>
                <w:spacing w:val="2"/>
                <w:sz w:val="21"/>
                <w:szCs w:val="21"/>
                <w:lang w:eastAsia="zh-CN"/>
                <w14:textFill>
                  <w14:solidFill>
                    <w14:schemeClr w14:val="tx1"/>
                  </w14:solidFill>
                </w14:textFill>
              </w:rPr>
              <w:t>。</w:t>
            </w:r>
          </w:p>
        </w:tc>
        <w:tc>
          <w:tcPr>
            <w:tcW w:w="1933" w:type="dxa"/>
            <w:gridSpan w:val="2"/>
            <w:tcBorders>
              <w:tl2br w:val="nil"/>
              <w:tr2bl w:val="nil"/>
            </w:tcBorders>
            <w:shd w:val="clear" w:color="auto" w:fill="auto"/>
            <w:vAlign w:val="center"/>
          </w:tcPr>
          <w:p w14:paraId="35FFAAEB">
            <w:pPr>
              <w:pStyle w:val="49"/>
              <w:kinsoku/>
              <w:overflowPunct/>
              <w:topLinePunct w:val="0"/>
              <w:bidi w:val="0"/>
              <w:adjustRightInd w:val="0"/>
              <w:snapToGrid w:val="0"/>
              <w:spacing w:line="360" w:lineRule="atLeast"/>
              <w:rPr>
                <w:rFonts w:hint="eastAsia" w:ascii="宋体" w:hAnsi="宋体" w:eastAsia="宋体" w:cs="宋体"/>
                <w:sz w:val="21"/>
                <w:szCs w:val="21"/>
              </w:rPr>
            </w:pPr>
            <w:r>
              <w:rPr>
                <w:rFonts w:hint="eastAsia" w:ascii="宋体" w:hAnsi="宋体" w:eastAsia="宋体" w:cs="宋体"/>
                <w:spacing w:val="5"/>
                <w:sz w:val="21"/>
                <w:szCs w:val="21"/>
              </w:rPr>
              <w:t>每</w:t>
            </w:r>
            <w:r>
              <w:rPr>
                <w:rFonts w:hint="eastAsia" w:ascii="宋体" w:hAnsi="宋体" w:eastAsia="宋体" w:cs="宋体"/>
                <w:spacing w:val="4"/>
                <w:sz w:val="21"/>
                <w:szCs w:val="21"/>
              </w:rPr>
              <w:t>天</w:t>
            </w:r>
          </w:p>
        </w:tc>
      </w:tr>
      <w:tr w14:paraId="5CA312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5" w:type="dxa"/>
          <w:trHeight w:val="1543" w:hRule="atLeast"/>
          <w:jc w:val="center"/>
        </w:trPr>
        <w:tc>
          <w:tcPr>
            <w:tcW w:w="469" w:type="dxa"/>
            <w:tcBorders>
              <w:tl2br w:val="nil"/>
              <w:tr2bl w:val="nil"/>
            </w:tcBorders>
            <w:shd w:val="clear" w:color="auto" w:fill="auto"/>
            <w:vAlign w:val="center"/>
          </w:tcPr>
          <w:p w14:paraId="630EA0EA">
            <w:pPr>
              <w:pStyle w:val="49"/>
              <w:kinsoku/>
              <w:overflowPunct/>
              <w:topLinePunct w:val="0"/>
              <w:bidi w:val="0"/>
              <w:adjustRightInd w:val="0"/>
              <w:snapToGrid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1512" w:type="dxa"/>
            <w:gridSpan w:val="2"/>
            <w:tcBorders>
              <w:tl2br w:val="nil"/>
              <w:tr2bl w:val="nil"/>
            </w:tcBorders>
            <w:shd w:val="clear" w:color="auto" w:fill="auto"/>
            <w:vAlign w:val="center"/>
          </w:tcPr>
          <w:p w14:paraId="252F4B94">
            <w:pPr>
              <w:pStyle w:val="49"/>
              <w:kinsoku/>
              <w:overflowPunct/>
              <w:topLinePunct w:val="0"/>
              <w:bidi w:val="0"/>
              <w:adjustRightInd w:val="0"/>
              <w:snapToGrid w:val="0"/>
              <w:spacing w:line="360" w:lineRule="atLeast"/>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pacing w:val="4"/>
                <w:sz w:val="21"/>
                <w:szCs w:val="21"/>
              </w:rPr>
              <w:t>吊装吊点与吊</w:t>
            </w:r>
            <w:r>
              <w:rPr>
                <w:rFonts w:hint="eastAsia" w:ascii="宋体" w:hAnsi="宋体" w:eastAsia="宋体" w:cs="宋体"/>
                <w:sz w:val="21"/>
                <w:szCs w:val="21"/>
              </w:rPr>
              <w:t>装用钢丝绳</w:t>
            </w:r>
          </w:p>
        </w:tc>
        <w:tc>
          <w:tcPr>
            <w:tcW w:w="2346" w:type="dxa"/>
            <w:gridSpan w:val="2"/>
            <w:tcBorders>
              <w:tl2br w:val="nil"/>
              <w:tr2bl w:val="nil"/>
            </w:tcBorders>
            <w:shd w:val="clear" w:color="auto" w:fill="auto"/>
            <w:vAlign w:val="center"/>
          </w:tcPr>
          <w:p w14:paraId="1A8B9FC0">
            <w:pPr>
              <w:pStyle w:val="49"/>
              <w:kinsoku/>
              <w:overflowPunct/>
              <w:topLinePunct w:val="0"/>
              <w:bidi w:val="0"/>
              <w:adjustRightInd w:val="0"/>
              <w:snapToGrid w:val="0"/>
              <w:spacing w:line="360" w:lineRule="atLeast"/>
              <w:rPr>
                <w:rFonts w:hint="eastAsia" w:ascii="宋体" w:hAnsi="宋体" w:eastAsia="宋体" w:cs="宋体"/>
                <w:color w:val="000000" w:themeColor="text1"/>
                <w:spacing w:val="9"/>
                <w:sz w:val="21"/>
                <w:szCs w:val="21"/>
                <w14:textFill>
                  <w14:solidFill>
                    <w14:schemeClr w14:val="tx1"/>
                  </w14:solidFill>
                </w14:textFill>
              </w:rPr>
            </w:pPr>
            <w:r>
              <w:rPr>
                <w:rFonts w:hint="eastAsia" w:ascii="宋体" w:hAnsi="宋体" w:eastAsia="宋体" w:cs="宋体"/>
                <w:color w:val="000000" w:themeColor="text1"/>
                <w:spacing w:val="9"/>
                <w:sz w:val="21"/>
                <w:szCs w:val="21"/>
                <w14:textFill>
                  <w14:solidFill>
                    <w14:schemeClr w14:val="tx1"/>
                  </w14:solidFill>
                </w14:textFill>
              </w:rPr>
              <w:t>要求构件吊点选择合理，吊装钢丝绳满足使用要求。</w:t>
            </w:r>
          </w:p>
        </w:tc>
        <w:tc>
          <w:tcPr>
            <w:tcW w:w="3293" w:type="dxa"/>
            <w:gridSpan w:val="3"/>
            <w:tcBorders>
              <w:tl2br w:val="nil"/>
              <w:tr2bl w:val="nil"/>
            </w:tcBorders>
            <w:shd w:val="clear" w:color="auto" w:fill="auto"/>
            <w:vAlign w:val="center"/>
          </w:tcPr>
          <w:p w14:paraId="3E49D1D6">
            <w:pPr>
              <w:pStyle w:val="49"/>
              <w:kinsoku/>
              <w:overflowPunct/>
              <w:topLinePunct w:val="0"/>
              <w:bidi w:val="0"/>
              <w:adjustRightInd w:val="0"/>
              <w:snapToGrid w:val="0"/>
              <w:spacing w:line="360" w:lineRule="atLeast"/>
              <w:rPr>
                <w:rFonts w:hint="eastAsia" w:ascii="宋体" w:hAnsi="宋体" w:eastAsia="宋体" w:cs="宋体"/>
                <w:color w:val="000000" w:themeColor="text1"/>
                <w:spacing w:val="9"/>
                <w:sz w:val="21"/>
                <w:szCs w:val="21"/>
                <w14:textFill>
                  <w14:solidFill>
                    <w14:schemeClr w14:val="tx1"/>
                  </w14:solidFill>
                </w14:textFill>
              </w:rPr>
            </w:pPr>
            <w:r>
              <w:rPr>
                <w:rFonts w:hint="eastAsia" w:ascii="宋体" w:hAnsi="宋体" w:eastAsia="宋体" w:cs="宋体"/>
                <w:color w:val="000000" w:themeColor="text1"/>
                <w:spacing w:val="9"/>
                <w:sz w:val="21"/>
                <w:szCs w:val="21"/>
                <w14:textFill>
                  <w14:solidFill>
                    <w14:schemeClr w14:val="tx1"/>
                  </w14:solidFill>
                </w14:textFill>
              </w:rPr>
              <w:t>专人绑扎构件，吊装钢丝绳安全系数取8倍以上。</w:t>
            </w:r>
          </w:p>
        </w:tc>
        <w:tc>
          <w:tcPr>
            <w:tcW w:w="1933" w:type="dxa"/>
            <w:gridSpan w:val="2"/>
            <w:tcBorders>
              <w:tl2br w:val="nil"/>
              <w:tr2bl w:val="nil"/>
            </w:tcBorders>
            <w:shd w:val="clear" w:color="auto" w:fill="auto"/>
            <w:vAlign w:val="center"/>
          </w:tcPr>
          <w:p w14:paraId="18B134F8">
            <w:pPr>
              <w:pStyle w:val="49"/>
              <w:kinsoku/>
              <w:overflowPunct/>
              <w:topLinePunct w:val="0"/>
              <w:bidi w:val="0"/>
              <w:adjustRightInd w:val="0"/>
              <w:snapToGrid w:val="0"/>
              <w:spacing w:line="360" w:lineRule="atLeast"/>
              <w:rPr>
                <w:rFonts w:hint="eastAsia" w:ascii="宋体" w:hAnsi="宋体" w:eastAsia="宋体" w:cs="宋体"/>
                <w:spacing w:val="9"/>
                <w:sz w:val="21"/>
                <w:szCs w:val="21"/>
              </w:rPr>
            </w:pPr>
            <w:r>
              <w:rPr>
                <w:rFonts w:hint="eastAsia" w:ascii="宋体" w:hAnsi="宋体" w:eastAsia="宋体" w:cs="宋体"/>
                <w:spacing w:val="9"/>
                <w:sz w:val="21"/>
                <w:szCs w:val="21"/>
              </w:rPr>
              <w:t>每天</w:t>
            </w:r>
          </w:p>
        </w:tc>
      </w:tr>
      <w:tr w14:paraId="548C0E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5" w:type="dxa"/>
          <w:trHeight w:val="535" w:hRule="atLeast"/>
          <w:jc w:val="center"/>
        </w:trPr>
        <w:tc>
          <w:tcPr>
            <w:tcW w:w="469" w:type="dxa"/>
            <w:tcBorders>
              <w:tl2br w:val="nil"/>
              <w:tr2bl w:val="nil"/>
            </w:tcBorders>
            <w:shd w:val="clear" w:color="auto" w:fill="auto"/>
            <w:vAlign w:val="center"/>
          </w:tcPr>
          <w:p w14:paraId="57B703EF">
            <w:pPr>
              <w:pStyle w:val="49"/>
              <w:kinsoku/>
              <w:overflowPunct/>
              <w:topLinePunct w:val="0"/>
              <w:bidi w:val="0"/>
              <w:adjustRightInd w:val="0"/>
              <w:snapToGrid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1512" w:type="dxa"/>
            <w:gridSpan w:val="2"/>
            <w:tcBorders>
              <w:tl2br w:val="nil"/>
              <w:tr2bl w:val="nil"/>
            </w:tcBorders>
            <w:shd w:val="clear" w:color="auto" w:fill="auto"/>
            <w:vAlign w:val="center"/>
          </w:tcPr>
          <w:p w14:paraId="53F3BC62">
            <w:pPr>
              <w:pStyle w:val="49"/>
              <w:kinsoku/>
              <w:overflowPunct/>
              <w:topLinePunct w:val="0"/>
              <w:bidi w:val="0"/>
              <w:adjustRightInd w:val="0"/>
              <w:snapToGrid w:val="0"/>
              <w:spacing w:line="360" w:lineRule="atLeast"/>
              <w:ind w:firstLine="0" w:firstLineChars="0"/>
              <w:rPr>
                <w:rFonts w:hint="eastAsia" w:ascii="宋体" w:hAnsi="宋体" w:eastAsia="宋体" w:cs="宋体"/>
                <w:kern w:val="2"/>
                <w:sz w:val="21"/>
                <w:szCs w:val="21"/>
                <w:lang w:val="en-US" w:eastAsia="zh-CN" w:bidi="ar-SA"/>
              </w:rPr>
            </w:pPr>
            <w:r>
              <w:rPr>
                <w:rFonts w:hint="eastAsia" w:cs="宋体"/>
                <w:spacing w:val="-1"/>
                <w:sz w:val="21"/>
                <w:szCs w:val="21"/>
                <w:lang w:eastAsia="zh-CN"/>
              </w:rPr>
              <w:t>汽车吊</w:t>
            </w:r>
            <w:r>
              <w:rPr>
                <w:rFonts w:hint="eastAsia" w:ascii="宋体" w:hAnsi="宋体" w:eastAsia="宋体" w:cs="宋体"/>
                <w:spacing w:val="-1"/>
                <w:sz w:val="21"/>
                <w:szCs w:val="21"/>
              </w:rPr>
              <w:t>与汽车吊</w:t>
            </w:r>
          </w:p>
        </w:tc>
        <w:tc>
          <w:tcPr>
            <w:tcW w:w="2346" w:type="dxa"/>
            <w:gridSpan w:val="2"/>
            <w:tcBorders>
              <w:tl2br w:val="nil"/>
              <w:tr2bl w:val="nil"/>
            </w:tcBorders>
            <w:shd w:val="clear" w:color="auto" w:fill="auto"/>
            <w:vAlign w:val="center"/>
          </w:tcPr>
          <w:p w14:paraId="6C87C9C7">
            <w:pPr>
              <w:pStyle w:val="49"/>
              <w:kinsoku/>
              <w:overflowPunct/>
              <w:topLinePunct w:val="0"/>
              <w:bidi w:val="0"/>
              <w:adjustRightInd w:val="0"/>
              <w:snapToGrid w:val="0"/>
              <w:spacing w:line="360" w:lineRule="atLeast"/>
              <w:rPr>
                <w:rFonts w:hint="eastAsia" w:ascii="宋体" w:hAnsi="宋体" w:eastAsia="宋体" w:cs="宋体"/>
                <w:color w:val="000000" w:themeColor="text1"/>
                <w:spacing w:val="9"/>
                <w:sz w:val="21"/>
                <w:szCs w:val="21"/>
                <w:lang w:eastAsia="zh-CN"/>
                <w14:textFill>
                  <w14:solidFill>
                    <w14:schemeClr w14:val="tx1"/>
                  </w14:solidFill>
                </w14:textFill>
              </w:rPr>
            </w:pPr>
            <w:r>
              <w:rPr>
                <w:rFonts w:hint="eastAsia" w:ascii="宋体" w:hAnsi="宋体" w:eastAsia="宋体" w:cs="宋体"/>
                <w:color w:val="000000" w:themeColor="text1"/>
                <w:spacing w:val="9"/>
                <w:sz w:val="21"/>
                <w:szCs w:val="21"/>
                <w14:textFill>
                  <w14:solidFill>
                    <w14:schemeClr w14:val="tx1"/>
                  </w14:solidFill>
                </w14:textFill>
              </w:rPr>
              <w:t>严禁超力矩</w:t>
            </w:r>
            <w:r>
              <w:rPr>
                <w:rFonts w:hint="eastAsia" w:ascii="宋体" w:hAnsi="宋体" w:eastAsia="宋体" w:cs="宋体"/>
                <w:color w:val="000000" w:themeColor="text1"/>
                <w:spacing w:val="9"/>
                <w:sz w:val="21"/>
                <w:szCs w:val="21"/>
                <w:lang w:eastAsia="zh-CN"/>
                <w14:textFill>
                  <w14:solidFill>
                    <w14:schemeClr w14:val="tx1"/>
                  </w14:solidFill>
                </w14:textFill>
              </w:rPr>
              <w:t>。</w:t>
            </w:r>
          </w:p>
        </w:tc>
        <w:tc>
          <w:tcPr>
            <w:tcW w:w="3293" w:type="dxa"/>
            <w:gridSpan w:val="3"/>
            <w:tcBorders>
              <w:tl2br w:val="nil"/>
              <w:tr2bl w:val="nil"/>
            </w:tcBorders>
            <w:shd w:val="clear" w:color="auto" w:fill="auto"/>
            <w:vAlign w:val="center"/>
          </w:tcPr>
          <w:p w14:paraId="154D326F">
            <w:pPr>
              <w:pStyle w:val="49"/>
              <w:kinsoku/>
              <w:overflowPunct/>
              <w:topLinePunct w:val="0"/>
              <w:bidi w:val="0"/>
              <w:adjustRightInd w:val="0"/>
              <w:snapToGrid w:val="0"/>
              <w:spacing w:line="360" w:lineRule="atLeast"/>
              <w:rPr>
                <w:rFonts w:hint="eastAsia" w:ascii="宋体" w:hAnsi="宋体" w:eastAsia="宋体" w:cs="宋体"/>
                <w:color w:val="000000" w:themeColor="text1"/>
                <w:spacing w:val="9"/>
                <w:sz w:val="21"/>
                <w:szCs w:val="21"/>
                <w:lang w:eastAsia="zh-CN"/>
                <w14:textFill>
                  <w14:solidFill>
                    <w14:schemeClr w14:val="tx1"/>
                  </w14:solidFill>
                </w14:textFill>
              </w:rPr>
            </w:pPr>
            <w:r>
              <w:rPr>
                <w:rFonts w:hint="eastAsia" w:ascii="宋体" w:hAnsi="宋体" w:eastAsia="宋体" w:cs="宋体"/>
                <w:color w:val="000000" w:themeColor="text1"/>
                <w:spacing w:val="9"/>
                <w:sz w:val="21"/>
                <w:szCs w:val="21"/>
                <w14:textFill>
                  <w14:solidFill>
                    <w14:schemeClr w14:val="tx1"/>
                  </w14:solidFill>
                </w14:textFill>
              </w:rPr>
              <w:t>肉眼观察</w:t>
            </w:r>
            <w:r>
              <w:rPr>
                <w:rFonts w:hint="eastAsia" w:ascii="宋体" w:hAnsi="宋体" w:eastAsia="宋体" w:cs="宋体"/>
                <w:color w:val="000000" w:themeColor="text1"/>
                <w:spacing w:val="9"/>
                <w:sz w:val="21"/>
                <w:szCs w:val="21"/>
                <w:lang w:eastAsia="zh-CN"/>
                <w14:textFill>
                  <w14:solidFill>
                    <w14:schemeClr w14:val="tx1"/>
                  </w14:solidFill>
                </w14:textFill>
              </w:rPr>
              <w:t>。</w:t>
            </w:r>
          </w:p>
        </w:tc>
        <w:tc>
          <w:tcPr>
            <w:tcW w:w="1933" w:type="dxa"/>
            <w:gridSpan w:val="2"/>
            <w:tcBorders>
              <w:tl2br w:val="nil"/>
              <w:tr2bl w:val="nil"/>
            </w:tcBorders>
            <w:shd w:val="clear" w:color="auto" w:fill="auto"/>
            <w:vAlign w:val="center"/>
          </w:tcPr>
          <w:p w14:paraId="5C554D61">
            <w:pPr>
              <w:pStyle w:val="49"/>
              <w:kinsoku/>
              <w:overflowPunct/>
              <w:topLinePunct w:val="0"/>
              <w:bidi w:val="0"/>
              <w:adjustRightInd w:val="0"/>
              <w:snapToGrid w:val="0"/>
              <w:spacing w:line="360" w:lineRule="atLeast"/>
              <w:rPr>
                <w:rFonts w:hint="eastAsia" w:ascii="宋体" w:hAnsi="宋体" w:eastAsia="宋体" w:cs="宋体"/>
                <w:spacing w:val="9"/>
                <w:sz w:val="21"/>
                <w:szCs w:val="21"/>
              </w:rPr>
            </w:pPr>
            <w:r>
              <w:rPr>
                <w:rFonts w:hint="eastAsia" w:ascii="宋体" w:hAnsi="宋体" w:eastAsia="宋体" w:cs="宋体"/>
                <w:spacing w:val="9"/>
                <w:sz w:val="21"/>
                <w:szCs w:val="21"/>
              </w:rPr>
              <w:t>塔机</w:t>
            </w:r>
            <w:r>
              <w:rPr>
                <w:rFonts w:hint="eastAsia" w:cs="宋体"/>
                <w:spacing w:val="9"/>
                <w:sz w:val="21"/>
                <w:szCs w:val="21"/>
                <w:lang w:eastAsia="zh-CN"/>
              </w:rPr>
              <w:t>拆除</w:t>
            </w:r>
            <w:r>
              <w:rPr>
                <w:rFonts w:hint="eastAsia" w:ascii="宋体" w:hAnsi="宋体" w:eastAsia="宋体" w:cs="宋体"/>
                <w:spacing w:val="9"/>
                <w:sz w:val="21"/>
                <w:szCs w:val="21"/>
              </w:rPr>
              <w:t>时</w:t>
            </w:r>
          </w:p>
        </w:tc>
      </w:tr>
      <w:tr w14:paraId="2A1781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5" w:type="dxa"/>
          <w:trHeight w:val="1030" w:hRule="atLeast"/>
          <w:jc w:val="center"/>
        </w:trPr>
        <w:tc>
          <w:tcPr>
            <w:tcW w:w="469" w:type="dxa"/>
            <w:tcBorders>
              <w:tl2br w:val="nil"/>
              <w:tr2bl w:val="nil"/>
            </w:tcBorders>
            <w:shd w:val="clear" w:color="auto" w:fill="auto"/>
            <w:vAlign w:val="center"/>
          </w:tcPr>
          <w:p w14:paraId="23B70787">
            <w:pPr>
              <w:pStyle w:val="49"/>
              <w:kinsoku/>
              <w:overflowPunct/>
              <w:topLinePunct w:val="0"/>
              <w:bidi w:val="0"/>
              <w:adjustRightInd w:val="0"/>
              <w:snapToGrid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1512" w:type="dxa"/>
            <w:gridSpan w:val="2"/>
            <w:tcBorders>
              <w:tl2br w:val="nil"/>
              <w:tr2bl w:val="nil"/>
            </w:tcBorders>
            <w:shd w:val="clear" w:color="auto" w:fill="auto"/>
            <w:vAlign w:val="center"/>
          </w:tcPr>
          <w:p w14:paraId="6E07F14B">
            <w:pPr>
              <w:pStyle w:val="49"/>
              <w:kinsoku/>
              <w:overflowPunct/>
              <w:topLinePunct w:val="0"/>
              <w:bidi w:val="0"/>
              <w:adjustRightInd w:val="0"/>
              <w:snapToGrid w:val="0"/>
              <w:spacing w:line="360" w:lineRule="atLeast"/>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pacing w:val="7"/>
                <w:sz w:val="21"/>
                <w:szCs w:val="21"/>
              </w:rPr>
              <w:t>标</w:t>
            </w:r>
            <w:r>
              <w:rPr>
                <w:rFonts w:hint="eastAsia" w:ascii="宋体" w:hAnsi="宋体" w:eastAsia="宋体" w:cs="宋体"/>
                <w:spacing w:val="6"/>
                <w:sz w:val="21"/>
                <w:szCs w:val="21"/>
              </w:rPr>
              <w:t>准节</w:t>
            </w:r>
          </w:p>
        </w:tc>
        <w:tc>
          <w:tcPr>
            <w:tcW w:w="2346" w:type="dxa"/>
            <w:gridSpan w:val="2"/>
            <w:tcBorders>
              <w:tl2br w:val="nil"/>
              <w:tr2bl w:val="nil"/>
            </w:tcBorders>
            <w:shd w:val="clear" w:color="auto" w:fill="auto"/>
            <w:vAlign w:val="center"/>
          </w:tcPr>
          <w:p w14:paraId="5FF45E5F">
            <w:pPr>
              <w:pStyle w:val="49"/>
              <w:kinsoku/>
              <w:overflowPunct/>
              <w:topLinePunct w:val="0"/>
              <w:bidi w:val="0"/>
              <w:adjustRightInd w:val="0"/>
              <w:snapToGrid w:val="0"/>
              <w:spacing w:line="360" w:lineRule="atLeast"/>
              <w:rPr>
                <w:rFonts w:hint="eastAsia" w:ascii="宋体" w:hAnsi="宋体" w:eastAsia="宋体" w:cs="宋体"/>
                <w:color w:val="000000" w:themeColor="text1"/>
                <w:spacing w:val="9"/>
                <w:sz w:val="21"/>
                <w:szCs w:val="21"/>
                <w:lang w:eastAsia="zh-CN"/>
                <w14:textFill>
                  <w14:solidFill>
                    <w14:schemeClr w14:val="tx1"/>
                  </w14:solidFill>
                </w14:textFill>
              </w:rPr>
            </w:pPr>
            <w:r>
              <w:rPr>
                <w:rFonts w:hint="eastAsia" w:ascii="宋体" w:hAnsi="宋体" w:eastAsia="宋体" w:cs="宋体"/>
                <w:color w:val="000000" w:themeColor="text1"/>
                <w:spacing w:val="9"/>
                <w:sz w:val="21"/>
                <w:szCs w:val="21"/>
                <w14:textFill>
                  <w14:solidFill>
                    <w14:schemeClr w14:val="tx1"/>
                  </w14:solidFill>
                </w14:textFill>
              </w:rPr>
              <w:t>标准节主枝，斜撑杆无裂纹，螺栓连接牢靠</w:t>
            </w:r>
            <w:r>
              <w:rPr>
                <w:rFonts w:hint="eastAsia" w:ascii="宋体" w:hAnsi="宋体" w:eastAsia="宋体" w:cs="宋体"/>
                <w:color w:val="000000" w:themeColor="text1"/>
                <w:spacing w:val="9"/>
                <w:sz w:val="21"/>
                <w:szCs w:val="21"/>
                <w:lang w:eastAsia="zh-CN"/>
                <w14:textFill>
                  <w14:solidFill>
                    <w14:schemeClr w14:val="tx1"/>
                  </w14:solidFill>
                </w14:textFill>
              </w:rPr>
              <w:t>。</w:t>
            </w:r>
          </w:p>
        </w:tc>
        <w:tc>
          <w:tcPr>
            <w:tcW w:w="3293" w:type="dxa"/>
            <w:gridSpan w:val="3"/>
            <w:tcBorders>
              <w:tl2br w:val="nil"/>
              <w:tr2bl w:val="nil"/>
            </w:tcBorders>
            <w:shd w:val="clear" w:color="auto" w:fill="auto"/>
            <w:vAlign w:val="center"/>
          </w:tcPr>
          <w:p w14:paraId="037C2283">
            <w:pPr>
              <w:pStyle w:val="49"/>
              <w:kinsoku/>
              <w:overflowPunct/>
              <w:topLinePunct w:val="0"/>
              <w:bidi w:val="0"/>
              <w:adjustRightInd w:val="0"/>
              <w:snapToGrid w:val="0"/>
              <w:spacing w:line="360" w:lineRule="atLeast"/>
              <w:rPr>
                <w:rFonts w:hint="eastAsia" w:ascii="宋体" w:hAnsi="宋体" w:eastAsia="宋体" w:cs="宋体"/>
                <w:color w:val="000000" w:themeColor="text1"/>
                <w:spacing w:val="9"/>
                <w:sz w:val="21"/>
                <w:szCs w:val="21"/>
                <w:lang w:eastAsia="zh-CN"/>
                <w14:textFill>
                  <w14:solidFill>
                    <w14:schemeClr w14:val="tx1"/>
                  </w14:solidFill>
                </w14:textFill>
              </w:rPr>
            </w:pPr>
            <w:r>
              <w:rPr>
                <w:rFonts w:hint="eastAsia" w:ascii="宋体" w:hAnsi="宋体" w:eastAsia="宋体" w:cs="宋体"/>
                <w:color w:val="000000" w:themeColor="text1"/>
                <w:spacing w:val="9"/>
                <w:sz w:val="21"/>
                <w:szCs w:val="21"/>
                <w14:textFill>
                  <w14:solidFill>
                    <w14:schemeClr w14:val="tx1"/>
                  </w14:solidFill>
                </w14:textFill>
              </w:rPr>
              <w:t>肉眼观察</w:t>
            </w:r>
            <w:r>
              <w:rPr>
                <w:rFonts w:hint="eastAsia" w:ascii="宋体" w:hAnsi="宋体" w:eastAsia="宋体" w:cs="宋体"/>
                <w:color w:val="000000" w:themeColor="text1"/>
                <w:spacing w:val="9"/>
                <w:sz w:val="21"/>
                <w:szCs w:val="21"/>
                <w:lang w:eastAsia="zh-CN"/>
                <w14:textFill>
                  <w14:solidFill>
                    <w14:schemeClr w14:val="tx1"/>
                  </w14:solidFill>
                </w14:textFill>
              </w:rPr>
              <w:t>。</w:t>
            </w:r>
          </w:p>
        </w:tc>
        <w:tc>
          <w:tcPr>
            <w:tcW w:w="1933" w:type="dxa"/>
            <w:gridSpan w:val="2"/>
            <w:tcBorders>
              <w:tl2br w:val="nil"/>
              <w:tr2bl w:val="nil"/>
            </w:tcBorders>
            <w:shd w:val="clear" w:color="auto" w:fill="auto"/>
            <w:vAlign w:val="center"/>
          </w:tcPr>
          <w:p w14:paraId="2B38E34B">
            <w:pPr>
              <w:pStyle w:val="49"/>
              <w:kinsoku/>
              <w:overflowPunct/>
              <w:topLinePunct w:val="0"/>
              <w:bidi w:val="0"/>
              <w:adjustRightInd w:val="0"/>
              <w:snapToGrid w:val="0"/>
              <w:spacing w:line="360" w:lineRule="atLeast"/>
              <w:rPr>
                <w:rFonts w:hint="eastAsia" w:ascii="宋体" w:hAnsi="宋体" w:eastAsia="宋体" w:cs="宋体"/>
                <w:spacing w:val="9"/>
                <w:sz w:val="21"/>
                <w:szCs w:val="21"/>
              </w:rPr>
            </w:pPr>
            <w:r>
              <w:rPr>
                <w:rFonts w:hint="eastAsia" w:ascii="宋体" w:hAnsi="宋体" w:eastAsia="宋体" w:cs="宋体"/>
                <w:spacing w:val="9"/>
                <w:sz w:val="21"/>
                <w:szCs w:val="21"/>
              </w:rPr>
              <w:t>每天</w:t>
            </w:r>
          </w:p>
        </w:tc>
      </w:tr>
      <w:tr w14:paraId="0ED3D5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5" w:type="dxa"/>
          <w:trHeight w:val="576" w:hRule="atLeast"/>
          <w:jc w:val="center"/>
        </w:trPr>
        <w:tc>
          <w:tcPr>
            <w:tcW w:w="469" w:type="dxa"/>
            <w:tcBorders>
              <w:tl2br w:val="nil"/>
              <w:tr2bl w:val="nil"/>
            </w:tcBorders>
            <w:shd w:val="clear" w:color="auto" w:fill="auto"/>
            <w:vAlign w:val="center"/>
          </w:tcPr>
          <w:p w14:paraId="293AB3E4">
            <w:pPr>
              <w:pStyle w:val="49"/>
              <w:kinsoku/>
              <w:overflowPunct/>
              <w:topLinePunct w:val="0"/>
              <w:bidi w:val="0"/>
              <w:adjustRightInd w:val="0"/>
              <w:snapToGrid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1512" w:type="dxa"/>
            <w:gridSpan w:val="2"/>
            <w:tcBorders>
              <w:tl2br w:val="nil"/>
              <w:tr2bl w:val="nil"/>
            </w:tcBorders>
            <w:shd w:val="clear" w:color="auto" w:fill="auto"/>
            <w:vAlign w:val="center"/>
          </w:tcPr>
          <w:p w14:paraId="70B39AAD">
            <w:pPr>
              <w:pStyle w:val="49"/>
              <w:kinsoku/>
              <w:overflowPunct/>
              <w:topLinePunct w:val="0"/>
              <w:bidi w:val="0"/>
              <w:adjustRightInd w:val="0"/>
              <w:snapToGrid w:val="0"/>
              <w:spacing w:line="360" w:lineRule="atLeast"/>
              <w:ind w:firstLine="0" w:firstLine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塔</w:t>
            </w:r>
            <w:r>
              <w:rPr>
                <w:rFonts w:hint="eastAsia" w:ascii="宋体" w:hAnsi="宋体" w:eastAsia="宋体" w:cs="宋体"/>
                <w:spacing w:val="7"/>
                <w:sz w:val="21"/>
                <w:szCs w:val="21"/>
              </w:rPr>
              <w:t>吊基础</w:t>
            </w:r>
          </w:p>
        </w:tc>
        <w:tc>
          <w:tcPr>
            <w:tcW w:w="2346" w:type="dxa"/>
            <w:gridSpan w:val="2"/>
            <w:tcBorders>
              <w:tl2br w:val="nil"/>
              <w:tr2bl w:val="nil"/>
            </w:tcBorders>
            <w:shd w:val="clear" w:color="auto" w:fill="auto"/>
            <w:vAlign w:val="center"/>
          </w:tcPr>
          <w:p w14:paraId="05EB5298">
            <w:pPr>
              <w:pStyle w:val="49"/>
              <w:kinsoku/>
              <w:overflowPunct/>
              <w:topLinePunct w:val="0"/>
              <w:bidi w:val="0"/>
              <w:adjustRightInd w:val="0"/>
              <w:snapToGrid w:val="0"/>
              <w:spacing w:line="360" w:lineRule="atLeast"/>
              <w:rPr>
                <w:rFonts w:hint="eastAsia" w:ascii="宋体" w:hAnsi="宋体" w:eastAsia="宋体" w:cs="宋体"/>
                <w:spacing w:val="9"/>
                <w:sz w:val="21"/>
                <w:szCs w:val="21"/>
                <w:lang w:eastAsia="zh-CN"/>
              </w:rPr>
            </w:pPr>
            <w:r>
              <w:rPr>
                <w:rFonts w:hint="eastAsia" w:ascii="宋体" w:hAnsi="宋体" w:eastAsia="宋体" w:cs="宋体"/>
                <w:spacing w:val="9"/>
                <w:sz w:val="21"/>
                <w:szCs w:val="21"/>
              </w:rPr>
              <w:t>基础无积水，下沉</w:t>
            </w:r>
            <w:r>
              <w:rPr>
                <w:rFonts w:hint="eastAsia" w:ascii="宋体" w:hAnsi="宋体" w:eastAsia="宋体" w:cs="宋体"/>
                <w:spacing w:val="9"/>
                <w:sz w:val="21"/>
                <w:szCs w:val="21"/>
                <w:lang w:eastAsia="zh-CN"/>
              </w:rPr>
              <w:t>。</w:t>
            </w:r>
          </w:p>
        </w:tc>
        <w:tc>
          <w:tcPr>
            <w:tcW w:w="3293" w:type="dxa"/>
            <w:gridSpan w:val="3"/>
            <w:tcBorders>
              <w:tl2br w:val="nil"/>
              <w:tr2bl w:val="nil"/>
            </w:tcBorders>
            <w:shd w:val="clear" w:color="auto" w:fill="auto"/>
            <w:vAlign w:val="center"/>
          </w:tcPr>
          <w:p w14:paraId="1FB1534B">
            <w:pPr>
              <w:pStyle w:val="49"/>
              <w:kinsoku/>
              <w:overflowPunct/>
              <w:topLinePunct w:val="0"/>
              <w:bidi w:val="0"/>
              <w:adjustRightInd w:val="0"/>
              <w:snapToGrid w:val="0"/>
              <w:spacing w:line="360" w:lineRule="atLeast"/>
              <w:rPr>
                <w:rFonts w:hint="eastAsia" w:ascii="宋体" w:hAnsi="宋体" w:eastAsia="宋体" w:cs="宋体"/>
                <w:spacing w:val="9"/>
                <w:sz w:val="21"/>
                <w:szCs w:val="21"/>
                <w:lang w:eastAsia="zh-CN"/>
              </w:rPr>
            </w:pPr>
            <w:r>
              <w:rPr>
                <w:rFonts w:hint="eastAsia" w:ascii="宋体" w:hAnsi="宋体" w:eastAsia="宋体" w:cs="宋体"/>
                <w:spacing w:val="9"/>
                <w:sz w:val="21"/>
                <w:szCs w:val="21"/>
              </w:rPr>
              <w:t>肉眼观察</w:t>
            </w:r>
            <w:r>
              <w:rPr>
                <w:rFonts w:hint="eastAsia" w:ascii="宋体" w:hAnsi="宋体" w:eastAsia="宋体" w:cs="宋体"/>
                <w:spacing w:val="9"/>
                <w:sz w:val="21"/>
                <w:szCs w:val="21"/>
                <w:lang w:eastAsia="zh-CN"/>
              </w:rPr>
              <w:t>。</w:t>
            </w:r>
          </w:p>
        </w:tc>
        <w:tc>
          <w:tcPr>
            <w:tcW w:w="1933" w:type="dxa"/>
            <w:gridSpan w:val="2"/>
            <w:tcBorders>
              <w:tl2br w:val="nil"/>
              <w:tr2bl w:val="nil"/>
            </w:tcBorders>
            <w:shd w:val="clear" w:color="auto" w:fill="auto"/>
            <w:vAlign w:val="center"/>
          </w:tcPr>
          <w:p w14:paraId="549230EA">
            <w:pPr>
              <w:pStyle w:val="49"/>
              <w:kinsoku/>
              <w:overflowPunct/>
              <w:topLinePunct w:val="0"/>
              <w:bidi w:val="0"/>
              <w:adjustRightInd w:val="0"/>
              <w:snapToGrid w:val="0"/>
              <w:spacing w:line="360" w:lineRule="atLeast"/>
              <w:rPr>
                <w:rFonts w:hint="eastAsia" w:ascii="宋体" w:hAnsi="宋体" w:eastAsia="宋体" w:cs="宋体"/>
                <w:spacing w:val="9"/>
                <w:sz w:val="21"/>
                <w:szCs w:val="21"/>
              </w:rPr>
            </w:pPr>
            <w:r>
              <w:rPr>
                <w:rFonts w:hint="eastAsia" w:ascii="宋体" w:hAnsi="宋体" w:eastAsia="宋体" w:cs="宋体"/>
                <w:spacing w:val="9"/>
                <w:sz w:val="21"/>
                <w:szCs w:val="21"/>
              </w:rPr>
              <w:t>每天</w:t>
            </w:r>
          </w:p>
        </w:tc>
      </w:tr>
    </w:tbl>
    <w:p w14:paraId="7018B768">
      <w:pPr>
        <w:pStyle w:val="4"/>
        <w:keepNext w:val="0"/>
        <w:widowControl w:val="0"/>
        <w:numPr>
          <w:ilvl w:val="2"/>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电气设备</w:t>
      </w:r>
    </w:p>
    <w:p w14:paraId="3DA3E34D">
      <w:pPr>
        <w:pStyle w:val="5"/>
        <w:bidi w:val="0"/>
        <w:rPr>
          <w:rFonts w:hint="eastAsia" w:ascii="宋体" w:hAnsi="宋体" w:eastAsia="宋体" w:cs="宋体"/>
        </w:rPr>
      </w:pPr>
      <w:r>
        <w:rPr>
          <w:rFonts w:hint="eastAsia" w:ascii="宋体" w:hAnsi="宋体" w:eastAsia="宋体" w:cs="宋体"/>
        </w:rPr>
        <w:t>电气部分</w:t>
      </w:r>
    </w:p>
    <w:p w14:paraId="73CA58B4">
      <w:pPr>
        <w:bidi w:val="0"/>
        <w:rPr>
          <w:rFonts w:hint="eastAsia"/>
        </w:rPr>
      </w:pPr>
      <w:r>
        <w:rPr>
          <w:rFonts w:hint="eastAsia"/>
        </w:rPr>
        <w:t>起重机电</w:t>
      </w:r>
      <w:r>
        <w:rPr>
          <w:rFonts w:hint="eastAsia"/>
          <w:color w:val="auto"/>
        </w:rPr>
        <w:t>气系统的设计符合GB3811-2008《起重机设计规范》</w:t>
      </w:r>
      <w:r>
        <w:rPr>
          <w:rFonts w:hint="eastAsia"/>
          <w:color w:val="auto"/>
          <w:lang w:eastAsia="zh-CN"/>
        </w:rPr>
        <w:t>、</w:t>
      </w:r>
      <w:r>
        <w:rPr>
          <w:rFonts w:hint="eastAsia"/>
          <w:color w:val="auto"/>
        </w:rPr>
        <w:t>GB6067-2010《起重机械安全规程》</w:t>
      </w:r>
      <w:r>
        <w:rPr>
          <w:rFonts w:hint="eastAsia"/>
          <w:color w:val="auto"/>
          <w:lang w:val="en-US" w:eastAsia="zh-CN"/>
        </w:rPr>
        <w:t>和</w:t>
      </w:r>
      <w:r>
        <w:rPr>
          <w:rFonts w:hint="eastAsia"/>
          <w:color w:val="auto"/>
        </w:rPr>
        <w:t>《起重机械安全技术规程》TSG51-2023的各项规定。起重机的电气设备能够保证机械的传动性能、电气的监控及保护性能安全、准确和可靠。在起重机发生紧急情况下，操作人员能够在司机室切断电源</w:t>
      </w:r>
      <w:r>
        <w:rPr>
          <w:rFonts w:hint="eastAsia"/>
          <w:color w:val="auto"/>
          <w:lang w:eastAsia="zh-CN"/>
        </w:rPr>
        <w:t>，</w:t>
      </w:r>
      <w:r>
        <w:rPr>
          <w:rFonts w:hint="eastAsia"/>
          <w:color w:val="auto"/>
        </w:rPr>
        <w:t>安全停车。</w:t>
      </w:r>
    </w:p>
    <w:p w14:paraId="2548CDA1">
      <w:pPr>
        <w:pStyle w:val="5"/>
        <w:bidi w:val="0"/>
        <w:rPr>
          <w:rFonts w:hint="eastAsia" w:ascii="宋体" w:hAnsi="宋体" w:eastAsia="宋体" w:cs="宋体"/>
        </w:rPr>
      </w:pPr>
      <w:r>
        <w:rPr>
          <w:rFonts w:hint="eastAsia" w:ascii="宋体" w:hAnsi="宋体" w:eastAsia="宋体" w:cs="宋体"/>
        </w:rPr>
        <w:t>供电</w:t>
      </w:r>
    </w:p>
    <w:p w14:paraId="598C6608">
      <w:pPr>
        <w:bidi w:val="0"/>
        <w:rPr>
          <w:rFonts w:hint="eastAsia"/>
        </w:rPr>
      </w:pPr>
      <w:r>
        <w:rPr>
          <w:rFonts w:hint="eastAsia"/>
        </w:rPr>
        <w:t>起重机供电电源为三相交流电源</w:t>
      </w:r>
      <w:r>
        <w:rPr>
          <w:rFonts w:hint="eastAsia"/>
          <w:lang w:eastAsia="zh-CN"/>
        </w:rPr>
        <w:t>，</w:t>
      </w:r>
      <w:r>
        <w:rPr>
          <w:rFonts w:hint="eastAsia"/>
        </w:rPr>
        <w:t>电压380V±10%</w:t>
      </w:r>
      <w:r>
        <w:rPr>
          <w:rFonts w:hint="eastAsia"/>
          <w:lang w:eastAsia="zh-CN"/>
        </w:rPr>
        <w:t>，</w:t>
      </w:r>
      <w:r>
        <w:rPr>
          <w:rFonts w:hint="eastAsia"/>
        </w:rPr>
        <w:t>频率50HZ。</w:t>
      </w:r>
    </w:p>
    <w:p w14:paraId="5ADC08B1">
      <w:pPr>
        <w:pStyle w:val="5"/>
        <w:bidi w:val="0"/>
        <w:rPr>
          <w:rFonts w:hint="eastAsia" w:ascii="宋体" w:hAnsi="宋体" w:eastAsia="宋体" w:cs="宋体"/>
        </w:rPr>
      </w:pPr>
      <w:r>
        <w:rPr>
          <w:rFonts w:hint="eastAsia" w:ascii="宋体" w:hAnsi="宋体" w:eastAsia="宋体" w:cs="宋体"/>
        </w:rPr>
        <w:t>电气保护</w:t>
      </w:r>
    </w:p>
    <w:p w14:paraId="7704BD4C">
      <w:pPr>
        <w:pStyle w:val="6"/>
        <w:bidi w:val="0"/>
        <w:rPr>
          <w:rFonts w:hint="eastAsia" w:ascii="宋体" w:hAnsi="宋体" w:eastAsia="宋体" w:cs="宋体"/>
        </w:rPr>
      </w:pPr>
      <w:r>
        <w:rPr>
          <w:rFonts w:hint="eastAsia" w:ascii="宋体" w:hAnsi="宋体" w:eastAsia="宋体" w:cs="宋体"/>
        </w:rPr>
        <w:t>短路及过载保护</w:t>
      </w:r>
    </w:p>
    <w:p w14:paraId="250B0A29">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起重机总受电屏、控制屏进出电源设置断路器、控制回路设置小容量断路器，使各机构在短路，过载等事故状态下，迅速与电源脱离</w:t>
      </w:r>
      <w:r>
        <w:rPr>
          <w:rFonts w:hint="eastAsia" w:ascii="宋体" w:hAnsi="宋体" w:eastAsia="宋体" w:cs="宋体"/>
          <w:sz w:val="24"/>
          <w:szCs w:val="24"/>
          <w:lang w:eastAsia="zh-CN"/>
        </w:rPr>
        <w:t>，</w:t>
      </w:r>
      <w:r>
        <w:rPr>
          <w:rFonts w:hint="eastAsia" w:ascii="宋体" w:hAnsi="宋体" w:eastAsia="宋体" w:cs="宋体"/>
          <w:sz w:val="24"/>
          <w:szCs w:val="24"/>
        </w:rPr>
        <w:t>以达到保护设备及人机安全的目的。</w:t>
      </w:r>
    </w:p>
    <w:p w14:paraId="13912287">
      <w:pPr>
        <w:pStyle w:val="6"/>
        <w:bidi w:val="0"/>
        <w:rPr>
          <w:rFonts w:hint="eastAsia" w:ascii="宋体" w:hAnsi="宋体" w:eastAsia="宋体" w:cs="宋体"/>
        </w:rPr>
      </w:pPr>
      <w:r>
        <w:rPr>
          <w:rFonts w:hint="eastAsia" w:ascii="宋体" w:hAnsi="宋体" w:eastAsia="宋体" w:cs="宋体"/>
        </w:rPr>
        <w:t>失压保护</w:t>
      </w:r>
    </w:p>
    <w:p w14:paraId="7E869389">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在总受电屏及机构控制屏中，用线路接触器作为失压保护装置，当供电电源中断时</w:t>
      </w:r>
      <w:r>
        <w:rPr>
          <w:rFonts w:hint="eastAsia" w:ascii="宋体" w:hAnsi="宋体" w:eastAsia="宋体" w:cs="宋体"/>
          <w:sz w:val="24"/>
          <w:szCs w:val="24"/>
          <w:lang w:eastAsia="zh-CN"/>
        </w:rPr>
        <w:t>，</w:t>
      </w:r>
      <w:r>
        <w:rPr>
          <w:rFonts w:hint="eastAsia" w:ascii="宋体" w:hAnsi="宋体" w:eastAsia="宋体" w:cs="宋体"/>
          <w:sz w:val="24"/>
          <w:szCs w:val="24"/>
        </w:rPr>
        <w:t>能够自动断开电源。</w:t>
      </w:r>
    </w:p>
    <w:p w14:paraId="4B5A01B3">
      <w:pPr>
        <w:pStyle w:val="6"/>
        <w:bidi w:val="0"/>
        <w:rPr>
          <w:rFonts w:hint="eastAsia" w:ascii="宋体" w:hAnsi="宋体" w:eastAsia="宋体" w:cs="宋体"/>
        </w:rPr>
      </w:pPr>
      <w:r>
        <w:rPr>
          <w:rFonts w:hint="eastAsia" w:ascii="宋体" w:hAnsi="宋体" w:eastAsia="宋体" w:cs="宋体"/>
        </w:rPr>
        <w:t>零位保护</w:t>
      </w:r>
    </w:p>
    <w:p w14:paraId="131AAAB6">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司机室的联动台凸轮控制器手柄上设有零位连锁，达到零位的目的。即当起重机开始运转前和失压恢复供电时，必须将控制器的手柄置于零位，各机构的电动机才能启动工作。</w:t>
      </w:r>
    </w:p>
    <w:p w14:paraId="3A4E8FB1">
      <w:pPr>
        <w:pStyle w:val="6"/>
        <w:bidi w:val="0"/>
        <w:rPr>
          <w:rFonts w:hint="eastAsia" w:ascii="宋体" w:hAnsi="宋体" w:eastAsia="宋体" w:cs="宋体"/>
        </w:rPr>
      </w:pPr>
      <w:r>
        <w:rPr>
          <w:rFonts w:hint="eastAsia" w:ascii="宋体" w:hAnsi="宋体" w:eastAsia="宋体" w:cs="宋体"/>
        </w:rPr>
        <w:t>紧急断电保护</w:t>
      </w:r>
    </w:p>
    <w:p w14:paraId="27E9D9B7">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司机室内设有紧急断电按钮，当起重机发生紧急情况时，随时方便地切断控制回路电源，从而使主回路断电，确保起重机的安全运行。</w:t>
      </w:r>
    </w:p>
    <w:p w14:paraId="22970461">
      <w:pPr>
        <w:pStyle w:val="6"/>
        <w:bidi w:val="0"/>
        <w:rPr>
          <w:rFonts w:hint="eastAsia" w:ascii="宋体" w:hAnsi="宋体" w:eastAsia="宋体" w:cs="宋体"/>
        </w:rPr>
      </w:pPr>
      <w:r>
        <w:rPr>
          <w:rFonts w:hint="eastAsia" w:ascii="宋体" w:hAnsi="宋体" w:eastAsia="宋体" w:cs="宋体"/>
        </w:rPr>
        <w:t>起升</w:t>
      </w:r>
      <w:r>
        <w:rPr>
          <w:rFonts w:hint="eastAsia" w:ascii="宋体" w:hAnsi="宋体" w:eastAsia="宋体" w:cs="宋体"/>
          <w:lang w:eastAsia="zh-CN"/>
        </w:rPr>
        <w:t>，</w:t>
      </w:r>
      <w:r>
        <w:rPr>
          <w:rFonts w:hint="eastAsia" w:ascii="宋体" w:hAnsi="宋体" w:eastAsia="宋体" w:cs="宋体"/>
        </w:rPr>
        <w:t>行程限位保护</w:t>
      </w:r>
    </w:p>
    <w:p w14:paraId="43A95AFA">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起升采用变频控制，起升机构设有限位开关，可保证吊钩上升到极限位置时切断电源，变幅、回转运行到极限位置时切断控制回路电源，使主回路断电，从而达到减速和停车的目的，确保起重机的安全运行。</w:t>
      </w:r>
    </w:p>
    <w:p w14:paraId="45FA1431">
      <w:pPr>
        <w:pStyle w:val="6"/>
        <w:bidi w:val="0"/>
        <w:rPr>
          <w:rFonts w:hint="eastAsia" w:ascii="宋体" w:hAnsi="宋体" w:eastAsia="宋体" w:cs="宋体"/>
        </w:rPr>
      </w:pPr>
      <w:r>
        <w:rPr>
          <w:rFonts w:hint="eastAsia" w:ascii="宋体" w:hAnsi="宋体" w:eastAsia="宋体" w:cs="宋体"/>
        </w:rPr>
        <w:t>超载保护</w:t>
      </w:r>
    </w:p>
    <w:p w14:paraId="4D22F139">
      <w:pPr>
        <w:bidi w:val="0"/>
        <w:rPr>
          <w:rFonts w:hint="eastAsia"/>
        </w:rPr>
      </w:pPr>
      <w:r>
        <w:rPr>
          <w:rFonts w:hint="eastAsia"/>
        </w:rPr>
        <w:t>起升机构配置超载限制器，具有报警功能，当载荷达到额定起重量的90％时，能发出提示性报警信号，当起重量超过额定起重量时，能自动切断起升动力源，并发出禁止性报警信号。</w:t>
      </w:r>
    </w:p>
    <w:p w14:paraId="39E921A6">
      <w:pPr>
        <w:pStyle w:val="6"/>
        <w:bidi w:val="0"/>
        <w:rPr>
          <w:rFonts w:hint="eastAsia"/>
        </w:rPr>
      </w:pPr>
      <w:r>
        <w:rPr>
          <w:rFonts w:hint="eastAsia"/>
        </w:rPr>
        <w:t>控制柜</w:t>
      </w:r>
      <w:r>
        <w:rPr>
          <w:rFonts w:hint="eastAsia"/>
          <w:lang w:eastAsia="zh-CN"/>
        </w:rPr>
        <w:t>，</w:t>
      </w:r>
      <w:r>
        <w:rPr>
          <w:rFonts w:hint="eastAsia"/>
        </w:rPr>
        <w:t>端子箱防护等级IP55，端子箱采用下部或侧部进线上部做防雨，槽盖加防脱落装置。</w:t>
      </w:r>
    </w:p>
    <w:p w14:paraId="6EF8E931">
      <w:pPr>
        <w:pStyle w:val="5"/>
        <w:bidi w:val="0"/>
        <w:rPr>
          <w:rFonts w:hint="eastAsia" w:ascii="宋体" w:hAnsi="宋体" w:eastAsia="宋体" w:cs="宋体"/>
        </w:rPr>
      </w:pPr>
      <w:r>
        <w:rPr>
          <w:rFonts w:hint="eastAsia" w:ascii="宋体" w:hAnsi="宋体" w:eastAsia="宋体" w:cs="宋体"/>
        </w:rPr>
        <w:t>起重机的接地</w:t>
      </w:r>
    </w:p>
    <w:p w14:paraId="643F3205">
      <w:pPr>
        <w:pStyle w:val="6"/>
        <w:bidi w:val="0"/>
        <w:rPr>
          <w:rFonts w:hint="eastAsia" w:ascii="宋体" w:hAnsi="宋体" w:eastAsia="宋体" w:cs="宋体"/>
        </w:rPr>
      </w:pPr>
      <w:r>
        <w:rPr>
          <w:rFonts w:hint="eastAsia" w:ascii="宋体" w:hAnsi="宋体" w:eastAsia="宋体" w:cs="宋体"/>
        </w:rPr>
        <w:t>起重机的金属结构及所有电气设备的金属外壳，电缆金属外皮和变压器的低压侧均有可靠的接地。</w:t>
      </w:r>
    </w:p>
    <w:p w14:paraId="63AEAA7F">
      <w:pPr>
        <w:pStyle w:val="6"/>
        <w:bidi w:val="0"/>
        <w:rPr>
          <w:rFonts w:hint="eastAsia" w:ascii="宋体" w:hAnsi="宋体" w:eastAsia="宋体" w:cs="宋体"/>
        </w:rPr>
      </w:pPr>
      <w:r>
        <w:rPr>
          <w:rFonts w:hint="eastAsia" w:ascii="宋体" w:hAnsi="宋体" w:eastAsia="宋体" w:cs="宋体"/>
        </w:rPr>
        <w:t>起重机上任何一点的接地电阻均不大于4Ω。</w:t>
      </w:r>
    </w:p>
    <w:p w14:paraId="6F210DEC">
      <w:pPr>
        <w:pStyle w:val="5"/>
        <w:bidi w:val="0"/>
        <w:rPr>
          <w:rFonts w:hint="eastAsia" w:ascii="宋体" w:hAnsi="宋体" w:eastAsia="宋体" w:cs="宋体"/>
        </w:rPr>
      </w:pPr>
      <w:r>
        <w:rPr>
          <w:rFonts w:hint="eastAsia" w:ascii="宋体" w:hAnsi="宋体" w:eastAsia="宋体" w:cs="宋体"/>
        </w:rPr>
        <w:t>操纵方式</w:t>
      </w:r>
    </w:p>
    <w:p w14:paraId="3FACBA3A">
      <w:pPr>
        <w:numPr>
          <w:ilvl w:val="0"/>
          <w:numId w:val="35"/>
        </w:numPr>
        <w:bidi w:val="0"/>
        <w:ind w:left="425" w:leftChars="0" w:hanging="425" w:firstLineChars="0"/>
        <w:rPr>
          <w:rFonts w:hint="eastAsia"/>
        </w:rPr>
      </w:pPr>
      <w:r>
        <w:rPr>
          <w:rFonts w:hint="eastAsia"/>
        </w:rPr>
        <w:t>司机室设有总电源和控制电源开关状态信号指示灯。</w:t>
      </w:r>
    </w:p>
    <w:p w14:paraId="78C38B60">
      <w:pPr>
        <w:numPr>
          <w:ilvl w:val="0"/>
          <w:numId w:val="35"/>
        </w:numPr>
        <w:bidi w:val="0"/>
        <w:ind w:left="425" w:leftChars="0" w:hanging="425" w:firstLineChars="0"/>
        <w:rPr>
          <w:rFonts w:hint="eastAsia"/>
        </w:rPr>
      </w:pPr>
      <w:r>
        <w:rPr>
          <w:rFonts w:hint="eastAsia"/>
        </w:rPr>
        <w:t>司机室设置交流220V电源插座及三相380V电源，备接其它电气设备。</w:t>
      </w:r>
    </w:p>
    <w:p w14:paraId="60C7B01E">
      <w:pPr>
        <w:numPr>
          <w:ilvl w:val="0"/>
          <w:numId w:val="35"/>
        </w:numPr>
        <w:bidi w:val="0"/>
        <w:ind w:left="425" w:leftChars="0" w:hanging="425" w:firstLineChars="0"/>
        <w:rPr>
          <w:rFonts w:hint="eastAsia"/>
        </w:rPr>
      </w:pPr>
      <w:r>
        <w:rPr>
          <w:rFonts w:hint="eastAsia"/>
        </w:rPr>
        <w:t>司机室设有36V插座，以便于检修作业。</w:t>
      </w:r>
    </w:p>
    <w:p w14:paraId="5CE06067">
      <w:pPr>
        <w:numPr>
          <w:ilvl w:val="0"/>
          <w:numId w:val="35"/>
        </w:numPr>
        <w:bidi w:val="0"/>
        <w:ind w:left="425" w:leftChars="0" w:hanging="425" w:firstLineChars="0"/>
        <w:rPr>
          <w:rFonts w:hint="eastAsia"/>
        </w:rPr>
      </w:pPr>
      <w:r>
        <w:rPr>
          <w:rFonts w:hint="eastAsia"/>
        </w:rPr>
        <w:t>司机室用交流220V/40W荧光灯具照明，以满足照度不低于200LX的要求。</w:t>
      </w:r>
    </w:p>
    <w:p w14:paraId="3AFFCC0D">
      <w:pPr>
        <w:pStyle w:val="5"/>
        <w:bidi w:val="0"/>
        <w:rPr>
          <w:rFonts w:hint="eastAsia" w:ascii="宋体" w:hAnsi="宋体" w:eastAsia="宋体" w:cs="宋体"/>
        </w:rPr>
      </w:pPr>
      <w:r>
        <w:rPr>
          <w:rFonts w:hint="eastAsia" w:ascii="宋体" w:hAnsi="宋体" w:eastAsia="宋体" w:cs="宋体"/>
        </w:rPr>
        <w:t>照明信号</w:t>
      </w:r>
    </w:p>
    <w:p w14:paraId="6D0E2EC6">
      <w:pPr>
        <w:pStyle w:val="6"/>
        <w:bidi w:val="0"/>
        <w:rPr>
          <w:rFonts w:hint="eastAsia"/>
        </w:rPr>
      </w:pPr>
      <w:r>
        <w:rPr>
          <w:rFonts w:hint="eastAsia"/>
        </w:rPr>
        <w:t>照明及信号部分设有专用的隔离变压器。原边进线电压为交流380V，副边出线电压为交流220V</w:t>
      </w:r>
      <w:r>
        <w:rPr>
          <w:rFonts w:hint="eastAsia"/>
          <w:lang w:eastAsia="zh-CN"/>
        </w:rPr>
        <w:t>、</w:t>
      </w:r>
      <w:r>
        <w:rPr>
          <w:rFonts w:hint="eastAsia"/>
        </w:rPr>
        <w:t>交流36V。交流220V为起重机照明电源；交流36V为起重机安全信号和检修电源。照明变压器从主接触器上端引线，以保证主接触器断电时，照明回路不断电。</w:t>
      </w:r>
    </w:p>
    <w:p w14:paraId="77852D14">
      <w:pPr>
        <w:pStyle w:val="6"/>
        <w:bidi w:val="0"/>
        <w:rPr>
          <w:rFonts w:hint="eastAsia"/>
        </w:rPr>
      </w:pPr>
      <w:r>
        <w:rPr>
          <w:rFonts w:hint="eastAsia"/>
        </w:rPr>
        <w:t>设有报警装置</w:t>
      </w:r>
      <w:r>
        <w:rPr>
          <w:rFonts w:hint="eastAsia"/>
          <w:lang w:eastAsia="zh-CN"/>
        </w:rPr>
        <w:t>，</w:t>
      </w:r>
      <w:r>
        <w:rPr>
          <w:rFonts w:hint="eastAsia"/>
        </w:rPr>
        <w:t>操作时起提示作用，在司机室通过按钮开关控制。</w:t>
      </w:r>
    </w:p>
    <w:p w14:paraId="106BC524">
      <w:pPr>
        <w:pStyle w:val="5"/>
        <w:bidi w:val="0"/>
        <w:rPr>
          <w:rFonts w:hint="eastAsia" w:ascii="宋体" w:hAnsi="宋体" w:eastAsia="宋体" w:cs="宋体"/>
        </w:rPr>
      </w:pPr>
      <w:r>
        <w:rPr>
          <w:rFonts w:hint="eastAsia" w:ascii="宋体" w:hAnsi="宋体" w:eastAsia="宋体" w:cs="宋体"/>
        </w:rPr>
        <w:t>其它</w:t>
      </w:r>
    </w:p>
    <w:p w14:paraId="0E758172">
      <w:pPr>
        <w:pStyle w:val="6"/>
        <w:bidi w:val="0"/>
        <w:rPr>
          <w:rFonts w:hint="eastAsia" w:ascii="宋体" w:hAnsi="宋体" w:eastAsia="宋体" w:cs="宋体"/>
        </w:rPr>
      </w:pPr>
      <w:r>
        <w:rPr>
          <w:rFonts w:hint="eastAsia" w:ascii="宋体" w:hAnsi="宋体" w:eastAsia="宋体" w:cs="宋体"/>
        </w:rPr>
        <w:t>起重机上布线采用截面积不小于2.5 mm²的铜导线。</w:t>
      </w:r>
    </w:p>
    <w:p w14:paraId="23562B3E">
      <w:pPr>
        <w:pStyle w:val="6"/>
        <w:bidi w:val="0"/>
        <w:rPr>
          <w:rFonts w:hint="eastAsia" w:ascii="宋体" w:hAnsi="宋体" w:eastAsia="宋体" w:cs="宋体"/>
        </w:rPr>
      </w:pPr>
      <w:r>
        <w:rPr>
          <w:rFonts w:hint="eastAsia" w:ascii="宋体" w:hAnsi="宋体" w:eastAsia="宋体" w:cs="宋体"/>
        </w:rPr>
        <w:t>总受电屏和各机构控制屏中的布线采用铜导线和铜排。</w:t>
      </w:r>
    </w:p>
    <w:p w14:paraId="07FFDD90">
      <w:pPr>
        <w:pStyle w:val="4"/>
        <w:keepNext w:val="0"/>
        <w:widowControl w:val="0"/>
        <w:numPr>
          <w:ilvl w:val="2"/>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塔吊防雷安全保证措施</w:t>
      </w:r>
    </w:p>
    <w:p w14:paraId="362AAA2E">
      <w:pPr>
        <w:keepNext w:val="0"/>
        <w:keepLines w:val="0"/>
        <w:pageBreakBefore w:val="0"/>
        <w:widowControl w:val="0"/>
        <w:numPr>
          <w:ilvl w:val="0"/>
          <w:numId w:val="36"/>
        </w:numPr>
        <w:kinsoku/>
        <w:wordWrap/>
        <w:overflowPunct/>
        <w:topLinePunct w:val="0"/>
        <w:autoSpaceDE/>
        <w:autoSpaceDN/>
        <w:bidi w:val="0"/>
        <w:adjustRightInd/>
        <w:snapToGrid/>
        <w:ind w:left="0" w:firstLine="0" w:firstLineChars="0"/>
        <w:textAlignment w:val="auto"/>
        <w:rPr>
          <w:rFonts w:hint="eastAsia"/>
        </w:rPr>
      </w:pPr>
      <w:r>
        <w:rPr>
          <w:rFonts w:hint="eastAsia"/>
        </w:rPr>
        <w:t>塔机装有防雷装置。防雷接地电阻实际检测一般不超过4Ω，特殊情况遵从安全设计值，允许与其他接地装置共用时，应满足其中最低的要求。</w:t>
      </w:r>
    </w:p>
    <w:p w14:paraId="6D12D4E3">
      <w:pPr>
        <w:keepNext w:val="0"/>
        <w:keepLines w:val="0"/>
        <w:pageBreakBefore w:val="0"/>
        <w:widowControl w:val="0"/>
        <w:numPr>
          <w:ilvl w:val="0"/>
          <w:numId w:val="36"/>
        </w:numPr>
        <w:kinsoku/>
        <w:wordWrap/>
        <w:overflowPunct/>
        <w:topLinePunct w:val="0"/>
        <w:autoSpaceDE/>
        <w:autoSpaceDN/>
        <w:bidi w:val="0"/>
        <w:adjustRightInd/>
        <w:snapToGrid/>
        <w:ind w:left="0" w:firstLine="0" w:firstLineChars="0"/>
        <w:textAlignment w:val="auto"/>
        <w:rPr>
          <w:rFonts w:hint="eastAsia"/>
        </w:rPr>
      </w:pPr>
      <w:r>
        <w:rPr>
          <w:rFonts w:hint="eastAsia"/>
        </w:rPr>
        <w:t>避雷针（带）与引下线的接地装置连接应采用焊接。整体防雷装置应保证完好的电气通路和连接的可靠性（包括跨接线和过度伸缩缝的处理等）。</w:t>
      </w:r>
    </w:p>
    <w:p w14:paraId="77940A68">
      <w:pPr>
        <w:keepNext w:val="0"/>
        <w:keepLines w:val="0"/>
        <w:pageBreakBefore w:val="0"/>
        <w:widowControl w:val="0"/>
        <w:numPr>
          <w:ilvl w:val="0"/>
          <w:numId w:val="36"/>
        </w:numPr>
        <w:kinsoku/>
        <w:wordWrap/>
        <w:overflowPunct/>
        <w:topLinePunct w:val="0"/>
        <w:autoSpaceDE/>
        <w:autoSpaceDN/>
        <w:bidi w:val="0"/>
        <w:adjustRightInd/>
        <w:snapToGrid/>
        <w:ind w:left="0" w:firstLine="0" w:firstLineChars="0"/>
        <w:textAlignment w:val="auto"/>
        <w:rPr>
          <w:rFonts w:hint="eastAsia"/>
        </w:rPr>
      </w:pPr>
      <w:r>
        <w:rPr>
          <w:rFonts w:hint="eastAsia"/>
        </w:rPr>
        <w:t>对防雷装置应当作为电力设备一样进行预防性试验与检查、检测，保持其良好的保护性能。</w:t>
      </w:r>
    </w:p>
    <w:p w14:paraId="753ED0F5">
      <w:pPr>
        <w:keepNext w:val="0"/>
        <w:keepLines w:val="0"/>
        <w:pageBreakBefore w:val="0"/>
        <w:widowControl w:val="0"/>
        <w:numPr>
          <w:ilvl w:val="0"/>
          <w:numId w:val="36"/>
        </w:numPr>
        <w:kinsoku/>
        <w:wordWrap/>
        <w:overflowPunct/>
        <w:topLinePunct w:val="0"/>
        <w:autoSpaceDE/>
        <w:autoSpaceDN/>
        <w:bidi w:val="0"/>
        <w:adjustRightInd/>
        <w:snapToGrid/>
        <w:ind w:left="0" w:firstLine="0" w:firstLineChars="0"/>
        <w:textAlignment w:val="auto"/>
        <w:rPr>
          <w:rFonts w:hint="eastAsia"/>
        </w:rPr>
      </w:pPr>
      <w:r>
        <w:rPr>
          <w:rFonts w:hint="eastAsia"/>
        </w:rPr>
        <w:t>对各种防雷装置应按规范标准要求检查整体和器件情况，例如，连接点有无裂纹，引下线上有无闪络或烧损痕迹，腐蚀锈蚀以及与相邻异体的安全距离情况等。</w:t>
      </w:r>
    </w:p>
    <w:p w14:paraId="586CCA09">
      <w:pPr>
        <w:keepNext w:val="0"/>
        <w:keepLines w:val="0"/>
        <w:pageBreakBefore w:val="0"/>
        <w:widowControl w:val="0"/>
        <w:numPr>
          <w:ilvl w:val="0"/>
          <w:numId w:val="36"/>
        </w:numPr>
        <w:kinsoku/>
        <w:wordWrap/>
        <w:overflowPunct/>
        <w:topLinePunct w:val="0"/>
        <w:autoSpaceDE/>
        <w:autoSpaceDN/>
        <w:bidi w:val="0"/>
        <w:adjustRightInd/>
        <w:snapToGrid/>
        <w:ind w:left="0" w:firstLine="0" w:firstLineChars="0"/>
        <w:textAlignment w:val="auto"/>
        <w:rPr>
          <w:rFonts w:hint="eastAsia"/>
        </w:rPr>
      </w:pPr>
      <w:r>
        <w:rPr>
          <w:rFonts w:hint="eastAsia"/>
        </w:rPr>
        <w:t>防雷接地在</w:t>
      </w:r>
      <w:r>
        <w:rPr>
          <w:rFonts w:hint="eastAsia"/>
          <w:lang w:eastAsia="zh-CN"/>
        </w:rPr>
        <w:t>拆除</w:t>
      </w:r>
      <w:r>
        <w:rPr>
          <w:rFonts w:hint="eastAsia"/>
        </w:rPr>
        <w:t>完成后及时向报当地气象部门或专业机构检验并出具防雷接地检验报告。</w:t>
      </w:r>
    </w:p>
    <w:p w14:paraId="4AEE5DCE">
      <w:pPr>
        <w:pStyle w:val="4"/>
        <w:keepNext w:val="0"/>
        <w:widowControl w:val="0"/>
        <w:numPr>
          <w:ilvl w:val="2"/>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强制性条文和具体措施</w:t>
      </w:r>
    </w:p>
    <w:p w14:paraId="4983F378">
      <w:pPr>
        <w:pStyle w:val="5"/>
        <w:bidi w:val="0"/>
        <w:rPr>
          <w:rFonts w:hint="eastAsia" w:ascii="宋体" w:hAnsi="宋体" w:eastAsia="宋体" w:cs="宋体"/>
        </w:rPr>
      </w:pPr>
      <w:r>
        <w:rPr>
          <w:rFonts w:hint="eastAsia" w:ascii="宋体" w:hAnsi="宋体" w:eastAsia="宋体" w:cs="宋体"/>
        </w:rPr>
        <w:t>应执行的强制性条文</w:t>
      </w:r>
    </w:p>
    <w:p w14:paraId="4CD0B8D8">
      <w:pPr>
        <w:bidi w:val="0"/>
        <w:jc w:val="center"/>
        <w:rPr>
          <w:rFonts w:hint="eastAsia"/>
        </w:rPr>
      </w:pPr>
      <w:r>
        <w:rPr>
          <w:rFonts w:hint="eastAsia"/>
          <w:lang w:val="en-US" w:eastAsia="zh-CN"/>
        </w:rPr>
        <w:t>表6.2.12.1-1</w:t>
      </w:r>
      <w:r>
        <w:rPr>
          <w:rFonts w:hint="eastAsia"/>
        </w:rPr>
        <w:t>应执行的强制性条文</w:t>
      </w:r>
    </w:p>
    <w:tbl>
      <w:tblPr>
        <w:tblStyle w:val="41"/>
        <w:tblW w:w="514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131"/>
        <w:gridCol w:w="7107"/>
        <w:gridCol w:w="1104"/>
      </w:tblGrid>
      <w:tr w14:paraId="431FC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70" w:hRule="atLeast"/>
          <w:jc w:val="center"/>
        </w:trPr>
        <w:tc>
          <w:tcPr>
            <w:tcW w:w="390" w:type="pct"/>
            <w:tcBorders>
              <w:tl2br w:val="nil"/>
              <w:tr2bl w:val="nil"/>
            </w:tcBorders>
            <w:noWrap/>
            <w:vAlign w:val="center"/>
          </w:tcPr>
          <w:p w14:paraId="0048296B">
            <w:pPr>
              <w:spacing w:line="240" w:lineRule="auto"/>
              <w:ind w:firstLine="0" w:firstLineChars="0"/>
              <w:jc w:val="center"/>
              <w:rPr>
                <w:rFonts w:hint="default" w:ascii="宋体" w:hAnsi="宋体" w:eastAsia="宋体" w:cs="宋体"/>
                <w:b/>
                <w:bCs/>
                <w:color w:val="000000" w:themeColor="text1"/>
                <w:spacing w:val="9"/>
                <w:kern w:val="2"/>
                <w:sz w:val="21"/>
                <w:szCs w:val="21"/>
                <w:lang w:val="en-US" w:eastAsia="zh-CN" w:bidi="ar-SA"/>
                <w14:textFill>
                  <w14:solidFill>
                    <w14:schemeClr w14:val="tx1"/>
                  </w14:solidFill>
                </w14:textFill>
              </w:rPr>
            </w:pPr>
            <w:r>
              <w:rPr>
                <w:rFonts w:hint="eastAsia" w:cs="宋体"/>
                <w:b/>
                <w:bCs/>
                <w:color w:val="000000" w:themeColor="text1"/>
                <w:spacing w:val="9"/>
                <w:kern w:val="2"/>
                <w:sz w:val="21"/>
                <w:szCs w:val="21"/>
                <w:lang w:val="en-US" w:eastAsia="zh-CN" w:bidi="ar-SA"/>
                <w14:textFill>
                  <w14:solidFill>
                    <w14:schemeClr w14:val="tx1"/>
                  </w14:solidFill>
                </w14:textFill>
              </w:rPr>
              <w:t>序号</w:t>
            </w:r>
          </w:p>
        </w:tc>
        <w:tc>
          <w:tcPr>
            <w:tcW w:w="558" w:type="pct"/>
            <w:tcBorders>
              <w:tl2br w:val="nil"/>
              <w:tr2bl w:val="nil"/>
            </w:tcBorders>
            <w:noWrap/>
            <w:vAlign w:val="center"/>
          </w:tcPr>
          <w:p w14:paraId="614E9485">
            <w:pPr>
              <w:spacing w:line="240" w:lineRule="auto"/>
              <w:ind w:firstLine="0" w:firstLineChars="0"/>
              <w:jc w:val="center"/>
              <w:rPr>
                <w:rFonts w:hint="default" w:ascii="宋体" w:hAnsi="宋体" w:eastAsia="宋体" w:cs="宋体"/>
                <w:b/>
                <w:bCs/>
                <w:color w:val="000000" w:themeColor="text1"/>
                <w:spacing w:val="9"/>
                <w:kern w:val="2"/>
                <w:sz w:val="21"/>
                <w:szCs w:val="21"/>
                <w:lang w:val="en-US" w:eastAsia="zh-CN" w:bidi="ar-SA"/>
                <w14:textFill>
                  <w14:solidFill>
                    <w14:schemeClr w14:val="tx1"/>
                  </w14:solidFill>
                </w14:textFill>
              </w:rPr>
            </w:pPr>
            <w:r>
              <w:rPr>
                <w:rFonts w:hint="eastAsia" w:cs="宋体"/>
                <w:b/>
                <w:bCs/>
                <w:color w:val="000000" w:themeColor="text1"/>
                <w:spacing w:val="9"/>
                <w:kern w:val="2"/>
                <w:sz w:val="21"/>
                <w:szCs w:val="21"/>
                <w:lang w:val="en-US" w:eastAsia="zh-CN" w:bidi="ar-SA"/>
                <w14:textFill>
                  <w14:solidFill>
                    <w14:schemeClr w14:val="tx1"/>
                  </w14:solidFill>
                </w14:textFill>
              </w:rPr>
              <w:t>引用标准</w:t>
            </w:r>
          </w:p>
        </w:tc>
        <w:tc>
          <w:tcPr>
            <w:tcW w:w="3506" w:type="pct"/>
            <w:tcBorders>
              <w:tl2br w:val="nil"/>
              <w:tr2bl w:val="nil"/>
            </w:tcBorders>
            <w:noWrap/>
            <w:vAlign w:val="center"/>
          </w:tcPr>
          <w:p w14:paraId="0A1D8574">
            <w:pPr>
              <w:spacing w:line="240" w:lineRule="auto"/>
              <w:ind w:firstLine="0" w:firstLineChars="0"/>
              <w:jc w:val="center"/>
              <w:rPr>
                <w:rFonts w:hint="default" w:ascii="宋体" w:hAnsi="宋体" w:eastAsia="宋体" w:cs="宋体"/>
                <w:b/>
                <w:bCs/>
                <w:color w:val="000000" w:themeColor="text1"/>
                <w:spacing w:val="9"/>
                <w:kern w:val="2"/>
                <w:sz w:val="21"/>
                <w:szCs w:val="21"/>
                <w:lang w:val="en-US" w:eastAsia="zh-CN" w:bidi="ar-SA"/>
                <w14:textFill>
                  <w14:solidFill>
                    <w14:schemeClr w14:val="tx1"/>
                  </w14:solidFill>
                </w14:textFill>
              </w:rPr>
            </w:pPr>
            <w:r>
              <w:rPr>
                <w:rFonts w:hint="eastAsia" w:cs="宋体"/>
                <w:b/>
                <w:bCs/>
                <w:color w:val="000000" w:themeColor="text1"/>
                <w:spacing w:val="9"/>
                <w:kern w:val="2"/>
                <w:sz w:val="21"/>
                <w:szCs w:val="21"/>
                <w:lang w:val="en-US" w:eastAsia="zh-CN" w:bidi="ar-SA"/>
                <w14:textFill>
                  <w14:solidFill>
                    <w14:schemeClr w14:val="tx1"/>
                  </w14:solidFill>
                </w14:textFill>
              </w:rPr>
              <w:t>应执行的强制性条文号</w:t>
            </w:r>
          </w:p>
        </w:tc>
        <w:tc>
          <w:tcPr>
            <w:tcW w:w="544" w:type="pct"/>
            <w:tcBorders>
              <w:tl2br w:val="nil"/>
              <w:tr2bl w:val="nil"/>
            </w:tcBorders>
            <w:noWrap/>
            <w:vAlign w:val="center"/>
          </w:tcPr>
          <w:p w14:paraId="6287560B">
            <w:pPr>
              <w:spacing w:line="240" w:lineRule="auto"/>
              <w:ind w:firstLine="0" w:firstLineChars="0"/>
              <w:jc w:val="center"/>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持续 过程</w:t>
            </w:r>
          </w:p>
        </w:tc>
      </w:tr>
      <w:tr w14:paraId="57CF3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80" w:hRule="atLeast"/>
          <w:jc w:val="center"/>
        </w:trPr>
        <w:tc>
          <w:tcPr>
            <w:tcW w:w="390" w:type="pct"/>
            <w:tcBorders>
              <w:tl2br w:val="nil"/>
              <w:tr2bl w:val="nil"/>
            </w:tcBorders>
            <w:noWrap/>
            <w:vAlign w:val="center"/>
          </w:tcPr>
          <w:p w14:paraId="47155055">
            <w:pPr>
              <w:spacing w:line="240" w:lineRule="auto"/>
              <w:ind w:firstLine="0" w:firstLineChars="0"/>
              <w:jc w:val="center"/>
              <w:rPr>
                <w:rFonts w:hint="default"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cs="宋体"/>
                <w:color w:val="000000" w:themeColor="text1"/>
                <w:spacing w:val="9"/>
                <w:kern w:val="2"/>
                <w:sz w:val="21"/>
                <w:szCs w:val="21"/>
                <w:lang w:val="en-US" w:eastAsia="zh-CN" w:bidi="ar-SA"/>
                <w14:textFill>
                  <w14:solidFill>
                    <w14:schemeClr w14:val="tx1"/>
                  </w14:solidFill>
                </w14:textFill>
              </w:rPr>
              <w:t>1</w:t>
            </w:r>
          </w:p>
        </w:tc>
        <w:tc>
          <w:tcPr>
            <w:tcW w:w="558" w:type="pct"/>
            <w:tcBorders>
              <w:tl2br w:val="nil"/>
              <w:tr2bl w:val="nil"/>
            </w:tcBorders>
            <w:noWrap/>
            <w:vAlign w:val="top"/>
          </w:tcPr>
          <w:p w14:paraId="0AC72D20">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起重机械安全规程总则第一部分</w:t>
            </w:r>
          </w:p>
          <w:p w14:paraId="040E923B">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GB 6067.1-2010</w:t>
            </w:r>
          </w:p>
        </w:tc>
        <w:tc>
          <w:tcPr>
            <w:tcW w:w="3506" w:type="pct"/>
            <w:tcBorders>
              <w:tl2br w:val="nil"/>
              <w:tr2bl w:val="nil"/>
            </w:tcBorders>
            <w:noWrap/>
            <w:vAlign w:val="top"/>
          </w:tcPr>
          <w:p w14:paraId="105E9256">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16.1施工计划</w:t>
            </w:r>
          </w:p>
          <w:p w14:paraId="3235C05B">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起重机械的</w:t>
            </w:r>
            <w:r>
              <w:rPr>
                <w:rFonts w:hint="eastAsia" w:cs="宋体"/>
                <w:color w:val="000000" w:themeColor="text1"/>
                <w:spacing w:val="9"/>
                <w:kern w:val="2"/>
                <w:sz w:val="21"/>
                <w:szCs w:val="21"/>
                <w:lang w:val="en-US" w:eastAsia="zh-CN" w:bidi="ar-SA"/>
                <w14:textFill>
                  <w14:solidFill>
                    <w14:schemeClr w14:val="tx1"/>
                  </w14:solidFill>
                </w14:textFill>
              </w:rPr>
              <w:t>拆除</w:t>
            </w: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与拆卸应作出施工计划并应严格监督管理，施工计划的制定与起重机械操作的程序相同(见11.1、11.2)。</w:t>
            </w:r>
          </w:p>
          <w:p w14:paraId="76E29F81">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正确的</w:t>
            </w:r>
            <w:r>
              <w:rPr>
                <w:rFonts w:hint="eastAsia" w:cs="宋体"/>
                <w:color w:val="000000" w:themeColor="text1"/>
                <w:spacing w:val="9"/>
                <w:kern w:val="2"/>
                <w:sz w:val="21"/>
                <w:szCs w:val="21"/>
                <w:lang w:val="en-US" w:eastAsia="zh-CN" w:bidi="ar-SA"/>
                <w14:textFill>
                  <w14:solidFill>
                    <w14:schemeClr w14:val="tx1"/>
                  </w14:solidFill>
                </w14:textFill>
              </w:rPr>
              <w:t>拆除</w:t>
            </w: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与拆卸程序应保证：</w:t>
            </w:r>
          </w:p>
          <w:p w14:paraId="146281E7">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a)应有特殊类型起重机械的</w:t>
            </w:r>
            <w:r>
              <w:rPr>
                <w:rFonts w:hint="eastAsia" w:cs="宋体"/>
                <w:color w:val="000000" w:themeColor="text1"/>
                <w:spacing w:val="9"/>
                <w:kern w:val="2"/>
                <w:sz w:val="21"/>
                <w:szCs w:val="21"/>
                <w:lang w:val="en-US" w:eastAsia="zh-CN" w:bidi="ar-SA"/>
                <w14:textFill>
                  <w14:solidFill>
                    <w14:schemeClr w14:val="tx1"/>
                  </w14:solidFill>
                </w14:textFill>
              </w:rPr>
              <w:t>拆除</w:t>
            </w: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维护和使用说明书；</w:t>
            </w:r>
          </w:p>
          <w:p w14:paraId="79D78BD8">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b)</w:t>
            </w:r>
            <w:r>
              <w:rPr>
                <w:rFonts w:hint="eastAsia" w:cs="宋体"/>
                <w:color w:val="000000" w:themeColor="text1"/>
                <w:spacing w:val="9"/>
                <w:kern w:val="2"/>
                <w:sz w:val="21"/>
                <w:szCs w:val="21"/>
                <w:lang w:val="en-US" w:eastAsia="zh-CN" w:bidi="ar-SA"/>
                <w14:textFill>
                  <w14:solidFill>
                    <w14:schemeClr w14:val="tx1"/>
                  </w14:solidFill>
                </w14:textFill>
              </w:rPr>
              <w:t>拆除</w:t>
            </w: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人员未完全理解说明书及有关的操作规程之前，不能进行</w:t>
            </w:r>
            <w:r>
              <w:rPr>
                <w:rFonts w:hint="eastAsia" w:cs="宋体"/>
                <w:color w:val="000000" w:themeColor="text1"/>
                <w:spacing w:val="9"/>
                <w:kern w:val="2"/>
                <w:sz w:val="21"/>
                <w:szCs w:val="21"/>
                <w:lang w:val="en-US" w:eastAsia="zh-CN" w:bidi="ar-SA"/>
                <w14:textFill>
                  <w14:solidFill>
                    <w14:schemeClr w14:val="tx1"/>
                  </w14:solidFill>
                </w14:textFill>
              </w:rPr>
              <w:t>拆除</w:t>
            </w: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作业；</w:t>
            </w:r>
          </w:p>
          <w:p w14:paraId="45382C96">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c)整个</w:t>
            </w:r>
            <w:r>
              <w:rPr>
                <w:rFonts w:hint="eastAsia" w:cs="宋体"/>
                <w:color w:val="000000" w:themeColor="text1"/>
                <w:spacing w:val="9"/>
                <w:kern w:val="2"/>
                <w:sz w:val="21"/>
                <w:szCs w:val="21"/>
                <w:lang w:val="en-US" w:eastAsia="zh-CN" w:bidi="ar-SA"/>
                <w14:textFill>
                  <w14:solidFill>
                    <w14:schemeClr w14:val="tx1"/>
                  </w14:solidFill>
                </w14:textFill>
              </w:rPr>
              <w:t>拆除</w:t>
            </w: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和拆卸作业应按照说明书进行，并且由</w:t>
            </w:r>
            <w:r>
              <w:rPr>
                <w:rFonts w:hint="eastAsia" w:cs="宋体"/>
                <w:color w:val="000000" w:themeColor="text1"/>
                <w:spacing w:val="9"/>
                <w:kern w:val="2"/>
                <w:sz w:val="21"/>
                <w:szCs w:val="21"/>
                <w:lang w:val="en-US" w:eastAsia="zh-CN" w:bidi="ar-SA"/>
                <w14:textFill>
                  <w14:solidFill>
                    <w14:schemeClr w14:val="tx1"/>
                  </w14:solidFill>
                </w14:textFill>
              </w:rPr>
              <w:t>拆除</w:t>
            </w: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主管人员负责；</w:t>
            </w:r>
          </w:p>
          <w:p w14:paraId="22D53018">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d)参与工作的所有人员都具有扎实的操作知识；</w:t>
            </w:r>
          </w:p>
          <w:p w14:paraId="59AB2B1C">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e)更换的部件和构件应为合格品；</w:t>
            </w:r>
          </w:p>
          <w:p w14:paraId="18CB4EF1">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f)如果将起重机械从</w:t>
            </w:r>
            <w:r>
              <w:rPr>
                <w:rFonts w:hint="eastAsia" w:cs="宋体"/>
                <w:color w:val="000000" w:themeColor="text1"/>
                <w:spacing w:val="9"/>
                <w:kern w:val="2"/>
                <w:sz w:val="21"/>
                <w:szCs w:val="21"/>
                <w:lang w:val="en-US" w:eastAsia="zh-CN" w:bidi="ar-SA"/>
                <w14:textFill>
                  <w14:solidFill>
                    <w14:schemeClr w14:val="tx1"/>
                  </w14:solidFill>
                </w14:textFill>
              </w:rPr>
              <w:t>拆除</w:t>
            </w: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地点移至另外的工作地点，应采用制造商推荐的方法；</w:t>
            </w:r>
          </w:p>
          <w:p w14:paraId="73D30FCA">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g)起重机械的状态应符合制造商所规定的各种限制。</w:t>
            </w:r>
          </w:p>
          <w:p w14:paraId="21428571">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改变任何预定程序或技术参数应经起重机械设计者或工程师的同意。</w:t>
            </w:r>
          </w:p>
          <w:p w14:paraId="5DF7A977">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16.2安全防护装置</w:t>
            </w:r>
          </w:p>
          <w:p w14:paraId="4744DB04">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在</w:t>
            </w:r>
            <w:r>
              <w:rPr>
                <w:rFonts w:hint="eastAsia" w:cs="宋体"/>
                <w:color w:val="000000" w:themeColor="text1"/>
                <w:spacing w:val="9"/>
                <w:kern w:val="2"/>
                <w:sz w:val="21"/>
                <w:szCs w:val="21"/>
                <w:lang w:val="en-US" w:eastAsia="zh-CN" w:bidi="ar-SA"/>
                <w14:textFill>
                  <w14:solidFill>
                    <w14:schemeClr w14:val="tx1"/>
                  </w14:solidFill>
                </w14:textFill>
              </w:rPr>
              <w:t>拆除</w:t>
            </w: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和拆卸的过程中，有时需断开或短接起重力矩限制器、起重量限制器或运行限位器等安全防护装置的开关，使安全防护装置丧失功能，在起重机被交付使用之前，起重机施工的指派人员应保证所有安全防护装置功能正常。</w:t>
            </w:r>
          </w:p>
        </w:tc>
        <w:tc>
          <w:tcPr>
            <w:tcW w:w="544" w:type="pct"/>
            <w:tcBorders>
              <w:tl2br w:val="nil"/>
              <w:tr2bl w:val="nil"/>
            </w:tcBorders>
            <w:noWrap/>
            <w:vAlign w:val="top"/>
          </w:tcPr>
          <w:p w14:paraId="0704F1C7">
            <w:pPr>
              <w:spacing w:line="240" w:lineRule="auto"/>
              <w:ind w:firstLine="0" w:firstLineChars="0"/>
              <w:rPr>
                <w:rFonts w:ascii="Times New Roman" w:hAnsi="Times New Roman" w:eastAsia="宋体" w:cs="Times New Roman"/>
                <w:sz w:val="21"/>
                <w:szCs w:val="21"/>
              </w:rPr>
            </w:pPr>
          </w:p>
          <w:p w14:paraId="621C0754">
            <w:pPr>
              <w:spacing w:line="240" w:lineRule="auto"/>
              <w:ind w:firstLine="0" w:firstLineChars="0"/>
              <w:rPr>
                <w:rFonts w:ascii="Times New Roman" w:hAnsi="Times New Roman" w:eastAsia="宋体" w:cs="Times New Roman"/>
                <w:sz w:val="21"/>
                <w:szCs w:val="21"/>
              </w:rPr>
            </w:pPr>
            <w:r>
              <w:rPr>
                <w:rFonts w:hint="eastAsia" w:ascii="Times New Roman" w:hAnsi="Times New Roman" w:cs="Times New Roman"/>
                <w:sz w:val="21"/>
                <w:szCs w:val="21"/>
                <w:lang w:eastAsia="zh-CN"/>
              </w:rPr>
              <w:t>拆除</w:t>
            </w:r>
            <w:r>
              <w:rPr>
                <w:rFonts w:hint="eastAsia" w:ascii="Times New Roman" w:hAnsi="Times New Roman" w:eastAsia="宋体" w:cs="Times New Roman"/>
                <w:sz w:val="21"/>
                <w:szCs w:val="21"/>
              </w:rPr>
              <w:t>过程</w:t>
            </w:r>
          </w:p>
        </w:tc>
      </w:tr>
      <w:tr w14:paraId="1EBC6D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1" w:hRule="atLeast"/>
          <w:jc w:val="center"/>
        </w:trPr>
        <w:tc>
          <w:tcPr>
            <w:tcW w:w="390" w:type="pct"/>
            <w:tcBorders>
              <w:tl2br w:val="nil"/>
              <w:tr2bl w:val="nil"/>
            </w:tcBorders>
            <w:noWrap/>
            <w:vAlign w:val="center"/>
          </w:tcPr>
          <w:p w14:paraId="51A83D24">
            <w:pPr>
              <w:spacing w:line="240" w:lineRule="auto"/>
              <w:ind w:firstLine="0" w:firstLineChars="0"/>
              <w:jc w:val="center"/>
              <w:rPr>
                <w:rFonts w:hint="default"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cs="宋体"/>
                <w:color w:val="000000" w:themeColor="text1"/>
                <w:spacing w:val="9"/>
                <w:kern w:val="2"/>
                <w:sz w:val="21"/>
                <w:szCs w:val="21"/>
                <w:lang w:val="en-US" w:eastAsia="zh-CN" w:bidi="ar-SA"/>
                <w14:textFill>
                  <w14:solidFill>
                    <w14:schemeClr w14:val="tx1"/>
                  </w14:solidFill>
                </w14:textFill>
              </w:rPr>
              <w:t>2</w:t>
            </w:r>
          </w:p>
        </w:tc>
        <w:tc>
          <w:tcPr>
            <w:tcW w:w="558" w:type="pct"/>
            <w:tcBorders>
              <w:tl2br w:val="nil"/>
              <w:tr2bl w:val="nil"/>
            </w:tcBorders>
            <w:noWrap/>
            <w:vAlign w:val="top"/>
          </w:tcPr>
          <w:p w14:paraId="2D01DA08">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塔式起重机安全规程（GB5144-20</w:t>
            </w:r>
            <w:r>
              <w:rPr>
                <w:rFonts w:hint="eastAsia" w:cs="宋体"/>
                <w:color w:val="000000" w:themeColor="text1"/>
                <w:spacing w:val="9"/>
                <w:kern w:val="2"/>
                <w:sz w:val="21"/>
                <w:szCs w:val="21"/>
                <w:lang w:val="en-US" w:eastAsia="zh-CN" w:bidi="ar-SA"/>
                <w14:textFill>
                  <w14:solidFill>
                    <w14:schemeClr w14:val="tx1"/>
                  </w14:solidFill>
                </w14:textFill>
              </w:rPr>
              <w:t>19</w:t>
            </w: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w:t>
            </w:r>
          </w:p>
        </w:tc>
        <w:tc>
          <w:tcPr>
            <w:tcW w:w="3506" w:type="pct"/>
            <w:tcBorders>
              <w:tl2br w:val="nil"/>
              <w:tr2bl w:val="nil"/>
            </w:tcBorders>
            <w:noWrap/>
            <w:vAlign w:val="top"/>
          </w:tcPr>
          <w:p w14:paraId="3AC8ACF3">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10.1塔机</w:t>
            </w:r>
            <w:r>
              <w:rPr>
                <w:rFonts w:hint="eastAsia" w:cs="宋体"/>
                <w:color w:val="000000" w:themeColor="text1"/>
                <w:spacing w:val="9"/>
                <w:kern w:val="2"/>
                <w:sz w:val="21"/>
                <w:szCs w:val="21"/>
                <w:lang w:val="en-US" w:eastAsia="zh-CN" w:bidi="ar-SA"/>
                <w14:textFill>
                  <w14:solidFill>
                    <w14:schemeClr w14:val="tx1"/>
                  </w14:solidFill>
                </w14:textFill>
              </w:rPr>
              <w:t>拆除</w:t>
            </w: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、拆卸及塔身加节或降节作业时，应按使用说明书中有关规定及注意事项进行。</w:t>
            </w:r>
          </w:p>
          <w:p w14:paraId="0616AB86">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10.1.1架设前应对塔机自身的架设机构进行检查，保证机构处于正常状态。</w:t>
            </w:r>
          </w:p>
          <w:p w14:paraId="4844025F">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10.1.2塔机在</w:t>
            </w:r>
            <w:r>
              <w:rPr>
                <w:rFonts w:hint="eastAsia" w:cs="宋体"/>
                <w:color w:val="000000" w:themeColor="text1"/>
                <w:spacing w:val="9"/>
                <w:kern w:val="2"/>
                <w:sz w:val="21"/>
                <w:szCs w:val="21"/>
                <w:lang w:val="en-US" w:eastAsia="zh-CN" w:bidi="ar-SA"/>
                <w14:textFill>
                  <w14:solidFill>
                    <w14:schemeClr w14:val="tx1"/>
                  </w14:solidFill>
                </w14:textFill>
              </w:rPr>
              <w:t>拆除</w:t>
            </w: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、增加塔身标准节之前应对结构件和高强度螺栓进行检查，若发现下列问题应修复或更换后方可进行</w:t>
            </w:r>
            <w:r>
              <w:rPr>
                <w:rFonts w:hint="eastAsia" w:cs="宋体"/>
                <w:color w:val="000000" w:themeColor="text1"/>
                <w:spacing w:val="9"/>
                <w:kern w:val="2"/>
                <w:sz w:val="21"/>
                <w:szCs w:val="21"/>
                <w:lang w:val="en-US" w:eastAsia="zh-CN" w:bidi="ar-SA"/>
                <w14:textFill>
                  <w14:solidFill>
                    <w14:schemeClr w14:val="tx1"/>
                  </w14:solidFill>
                </w14:textFill>
              </w:rPr>
              <w:t>拆除</w:t>
            </w: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w:t>
            </w:r>
          </w:p>
          <w:p w14:paraId="6F33DFC4">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a)目视可见的结构件裂纹及焊缝裂纹;</w:t>
            </w:r>
          </w:p>
          <w:p w14:paraId="5B0B84F9">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b)连接件的轴、孔严重磨损;</w:t>
            </w:r>
          </w:p>
          <w:p w14:paraId="21896017">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c)结构件母材严重锈蚀;</w:t>
            </w:r>
          </w:p>
          <w:p w14:paraId="76420381">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d)结构件整体或局部塑性变形，销孔塑性变形。</w:t>
            </w:r>
          </w:p>
          <w:p w14:paraId="16FB5320">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10.2</w:t>
            </w:r>
            <w:r>
              <w:rPr>
                <w:rFonts w:hint="eastAsia" w:cs="宋体"/>
                <w:color w:val="000000" w:themeColor="text1"/>
                <w:spacing w:val="9"/>
                <w:kern w:val="2"/>
                <w:sz w:val="21"/>
                <w:szCs w:val="21"/>
                <w:lang w:val="en-US" w:eastAsia="zh-CN" w:bidi="ar-SA"/>
                <w14:textFill>
                  <w14:solidFill>
                    <w14:schemeClr w14:val="tx1"/>
                  </w14:solidFill>
                </w14:textFill>
              </w:rPr>
              <w:t>拆除</w:t>
            </w: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、拆卸、加节或降节作业时，塔机的最大</w:t>
            </w:r>
            <w:r>
              <w:rPr>
                <w:rFonts w:hint="eastAsia" w:cs="宋体"/>
                <w:color w:val="000000" w:themeColor="text1"/>
                <w:spacing w:val="9"/>
                <w:kern w:val="2"/>
                <w:sz w:val="21"/>
                <w:szCs w:val="21"/>
                <w:lang w:val="en-US" w:eastAsia="zh-CN" w:bidi="ar-SA"/>
                <w14:textFill>
                  <w14:solidFill>
                    <w14:schemeClr w14:val="tx1"/>
                  </w14:solidFill>
                </w14:textFill>
              </w:rPr>
              <w:t>拆除</w:t>
            </w: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高度处的风速不应大于13m/s，当有特殊要求时，按用户和制造厂的协议执行。</w:t>
            </w:r>
          </w:p>
          <w:p w14:paraId="659382F2">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10.3塔机的尾部与周围建筑物及其外围施工设施之间的安全距离不小于0.6m。</w:t>
            </w:r>
          </w:p>
        </w:tc>
        <w:tc>
          <w:tcPr>
            <w:tcW w:w="544" w:type="pct"/>
            <w:tcBorders>
              <w:tl2br w:val="nil"/>
              <w:tr2bl w:val="nil"/>
            </w:tcBorders>
            <w:noWrap/>
            <w:vAlign w:val="top"/>
          </w:tcPr>
          <w:p w14:paraId="73785E33">
            <w:pPr>
              <w:spacing w:line="240" w:lineRule="auto"/>
              <w:ind w:firstLine="0" w:firstLineChars="0"/>
              <w:rPr>
                <w:rFonts w:ascii="Times New Roman" w:hAnsi="Times New Roman" w:eastAsia="宋体" w:cs="Times New Roman"/>
                <w:sz w:val="21"/>
                <w:szCs w:val="21"/>
              </w:rPr>
            </w:pPr>
          </w:p>
          <w:p w14:paraId="060339FC">
            <w:pPr>
              <w:spacing w:line="240" w:lineRule="auto"/>
              <w:ind w:firstLine="0" w:firstLineChars="0"/>
              <w:rPr>
                <w:rFonts w:ascii="Times New Roman" w:hAnsi="Times New Roman" w:eastAsia="宋体" w:cs="Times New Roman"/>
                <w:sz w:val="21"/>
                <w:szCs w:val="21"/>
              </w:rPr>
            </w:pPr>
            <w:r>
              <w:rPr>
                <w:rFonts w:hint="eastAsia" w:ascii="Times New Roman" w:hAnsi="Times New Roman" w:cs="Times New Roman"/>
                <w:sz w:val="21"/>
                <w:szCs w:val="21"/>
                <w:lang w:eastAsia="zh-CN"/>
              </w:rPr>
              <w:t>拆除</w:t>
            </w:r>
            <w:r>
              <w:rPr>
                <w:rFonts w:hint="eastAsia" w:ascii="Times New Roman" w:hAnsi="Times New Roman" w:eastAsia="宋体" w:cs="Times New Roman"/>
                <w:sz w:val="21"/>
                <w:szCs w:val="21"/>
              </w:rPr>
              <w:t>过程</w:t>
            </w:r>
          </w:p>
        </w:tc>
      </w:tr>
      <w:tr w14:paraId="7FDCD2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1" w:hRule="atLeast"/>
          <w:jc w:val="center"/>
        </w:trPr>
        <w:tc>
          <w:tcPr>
            <w:tcW w:w="390" w:type="pct"/>
            <w:tcBorders>
              <w:tl2br w:val="nil"/>
              <w:tr2bl w:val="nil"/>
            </w:tcBorders>
            <w:noWrap/>
            <w:vAlign w:val="center"/>
          </w:tcPr>
          <w:p w14:paraId="0A01EDC3">
            <w:pPr>
              <w:spacing w:line="240" w:lineRule="auto"/>
              <w:ind w:firstLine="0" w:firstLineChars="0"/>
              <w:jc w:val="center"/>
              <w:rPr>
                <w:rFonts w:hint="default"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cs="宋体"/>
                <w:color w:val="000000" w:themeColor="text1"/>
                <w:spacing w:val="9"/>
                <w:kern w:val="2"/>
                <w:sz w:val="21"/>
                <w:szCs w:val="21"/>
                <w:lang w:val="en-US" w:eastAsia="zh-CN" w:bidi="ar-SA"/>
                <w14:textFill>
                  <w14:solidFill>
                    <w14:schemeClr w14:val="tx1"/>
                  </w14:solidFill>
                </w14:textFill>
              </w:rPr>
              <w:t>3</w:t>
            </w:r>
          </w:p>
        </w:tc>
        <w:tc>
          <w:tcPr>
            <w:tcW w:w="558" w:type="pct"/>
            <w:tcBorders>
              <w:tl2br w:val="nil"/>
              <w:tr2bl w:val="nil"/>
            </w:tcBorders>
            <w:noWrap/>
            <w:vAlign w:val="top"/>
          </w:tcPr>
          <w:p w14:paraId="6BD68337">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机械设备</w:t>
            </w:r>
            <w:r>
              <w:rPr>
                <w:rFonts w:hint="eastAsia" w:cs="宋体"/>
                <w:color w:val="000000" w:themeColor="text1"/>
                <w:spacing w:val="9"/>
                <w:kern w:val="2"/>
                <w:sz w:val="21"/>
                <w:szCs w:val="21"/>
                <w:lang w:val="en-US" w:eastAsia="zh-CN" w:bidi="ar-SA"/>
                <w14:textFill>
                  <w14:solidFill>
                    <w14:schemeClr w14:val="tx1"/>
                  </w14:solidFill>
                </w14:textFill>
              </w:rPr>
              <w:t>安装</w:t>
            </w: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工程施工及验收通用规范GB50231-2009</w:t>
            </w:r>
          </w:p>
        </w:tc>
        <w:tc>
          <w:tcPr>
            <w:tcW w:w="3506" w:type="pct"/>
            <w:tcBorders>
              <w:tl2br w:val="nil"/>
              <w:tr2bl w:val="nil"/>
            </w:tcBorders>
            <w:noWrap/>
            <w:vAlign w:val="top"/>
          </w:tcPr>
          <w:p w14:paraId="0FCABAF5">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1.0.6机械设备</w:t>
            </w:r>
            <w:r>
              <w:rPr>
                <w:rFonts w:hint="eastAsia" w:cs="宋体"/>
                <w:color w:val="000000" w:themeColor="text1"/>
                <w:spacing w:val="9"/>
                <w:kern w:val="2"/>
                <w:sz w:val="21"/>
                <w:szCs w:val="21"/>
                <w:lang w:val="en-US" w:eastAsia="zh-CN" w:bidi="ar-SA"/>
                <w14:textFill>
                  <w14:solidFill>
                    <w14:schemeClr w14:val="tx1"/>
                  </w14:solidFill>
                </w14:textFill>
              </w:rPr>
              <w:t>拆除</w:t>
            </w: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工程中采用的各种计量和检测器具、仪器、仪表和设备，必须符合国家现行有关标准的规定；其精度等级应满足被检测项目的精度要求。</w:t>
            </w:r>
          </w:p>
        </w:tc>
        <w:tc>
          <w:tcPr>
            <w:tcW w:w="544" w:type="pct"/>
            <w:tcBorders>
              <w:tl2br w:val="nil"/>
              <w:tr2bl w:val="nil"/>
            </w:tcBorders>
            <w:noWrap/>
            <w:vAlign w:val="top"/>
          </w:tcPr>
          <w:p w14:paraId="18B2289A">
            <w:pPr>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测量过程</w:t>
            </w:r>
          </w:p>
        </w:tc>
      </w:tr>
      <w:tr w14:paraId="0742DF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1" w:hRule="atLeast"/>
          <w:jc w:val="center"/>
        </w:trPr>
        <w:tc>
          <w:tcPr>
            <w:tcW w:w="390" w:type="pct"/>
            <w:tcBorders>
              <w:tl2br w:val="nil"/>
              <w:tr2bl w:val="nil"/>
            </w:tcBorders>
            <w:noWrap/>
            <w:vAlign w:val="center"/>
          </w:tcPr>
          <w:p w14:paraId="2E459E3A">
            <w:pPr>
              <w:spacing w:line="240" w:lineRule="auto"/>
              <w:ind w:firstLine="0" w:firstLineChars="0"/>
              <w:jc w:val="center"/>
              <w:rPr>
                <w:rFonts w:hint="default"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cs="宋体"/>
                <w:color w:val="000000" w:themeColor="text1"/>
                <w:spacing w:val="9"/>
                <w:kern w:val="2"/>
                <w:sz w:val="21"/>
                <w:szCs w:val="21"/>
                <w:lang w:val="en-US" w:eastAsia="zh-CN" w:bidi="ar-SA"/>
                <w14:textFill>
                  <w14:solidFill>
                    <w14:schemeClr w14:val="tx1"/>
                  </w14:solidFill>
                </w14:textFill>
              </w:rPr>
              <w:t>4</w:t>
            </w:r>
          </w:p>
        </w:tc>
        <w:tc>
          <w:tcPr>
            <w:tcW w:w="558" w:type="pct"/>
            <w:tcBorders>
              <w:tl2br w:val="nil"/>
              <w:tr2bl w:val="nil"/>
            </w:tcBorders>
            <w:noWrap/>
            <w:vAlign w:val="top"/>
          </w:tcPr>
          <w:p w14:paraId="358F09F0">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施工现场临时用电安全技术规范</w:t>
            </w:r>
          </w:p>
          <w:p w14:paraId="7B03E082">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JGJ46-2005</w:t>
            </w:r>
          </w:p>
        </w:tc>
        <w:tc>
          <w:tcPr>
            <w:tcW w:w="3506" w:type="pct"/>
            <w:tcBorders>
              <w:tl2br w:val="nil"/>
              <w:tr2bl w:val="nil"/>
            </w:tcBorders>
            <w:noWrap/>
            <w:vAlign w:val="top"/>
          </w:tcPr>
          <w:p w14:paraId="41991987">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8.1.3每台用电设备应有各自专用的开关箱，严禁用同一个开关箱直接控制2台及2台以上用电设备（含插座）。</w:t>
            </w:r>
          </w:p>
          <w:p w14:paraId="4A44D4B1">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8.2.10开关箱中漏电保护器的额定漏电动作电流不应大于30mA,额定漏电动作时间不应大于0.1s。使用潮湿或有腐蚀介质场所的漏电动作电流不应大于15mA，额定漏电动作时间不应大于0.1s。</w:t>
            </w:r>
          </w:p>
        </w:tc>
        <w:tc>
          <w:tcPr>
            <w:tcW w:w="544" w:type="pct"/>
            <w:tcBorders>
              <w:tl2br w:val="nil"/>
              <w:tr2bl w:val="nil"/>
            </w:tcBorders>
            <w:noWrap/>
            <w:vAlign w:val="top"/>
          </w:tcPr>
          <w:p w14:paraId="2968F4D5">
            <w:pPr>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用电过程</w:t>
            </w:r>
          </w:p>
        </w:tc>
      </w:tr>
      <w:tr w14:paraId="22A9DA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87" w:hRule="atLeast"/>
          <w:jc w:val="center"/>
        </w:trPr>
        <w:tc>
          <w:tcPr>
            <w:tcW w:w="390" w:type="pct"/>
            <w:tcBorders>
              <w:tl2br w:val="nil"/>
              <w:tr2bl w:val="nil"/>
            </w:tcBorders>
            <w:noWrap/>
            <w:vAlign w:val="center"/>
          </w:tcPr>
          <w:p w14:paraId="18920759">
            <w:pPr>
              <w:spacing w:line="240" w:lineRule="auto"/>
              <w:ind w:firstLine="0" w:firstLineChars="0"/>
              <w:jc w:val="center"/>
              <w:rPr>
                <w:rFonts w:hint="default"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cs="宋体"/>
                <w:color w:val="000000" w:themeColor="text1"/>
                <w:spacing w:val="9"/>
                <w:kern w:val="2"/>
                <w:sz w:val="21"/>
                <w:szCs w:val="21"/>
                <w:lang w:val="en-US" w:eastAsia="zh-CN" w:bidi="ar-SA"/>
                <w14:textFill>
                  <w14:solidFill>
                    <w14:schemeClr w14:val="tx1"/>
                  </w14:solidFill>
                </w14:textFill>
              </w:rPr>
              <w:t>5</w:t>
            </w:r>
          </w:p>
        </w:tc>
        <w:tc>
          <w:tcPr>
            <w:tcW w:w="558" w:type="pct"/>
            <w:tcBorders>
              <w:tl2br w:val="nil"/>
              <w:tr2bl w:val="nil"/>
            </w:tcBorders>
            <w:noWrap/>
            <w:vAlign w:val="top"/>
          </w:tcPr>
          <w:p w14:paraId="1546898B">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建筑施工高处作业安全技术规范</w:t>
            </w:r>
          </w:p>
          <w:p w14:paraId="30CAE5D0">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JGJ80-2016</w:t>
            </w:r>
          </w:p>
        </w:tc>
        <w:tc>
          <w:tcPr>
            <w:tcW w:w="3506" w:type="pct"/>
            <w:tcBorders>
              <w:tl2br w:val="nil"/>
              <w:tr2bl w:val="nil"/>
            </w:tcBorders>
            <w:noWrap/>
            <w:vAlign w:val="top"/>
          </w:tcPr>
          <w:p w14:paraId="34088298">
            <w:pPr>
              <w:spacing w:line="240" w:lineRule="auto"/>
              <w:ind w:firstLine="0" w:firstLineChars="0"/>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pPr>
            <w:r>
              <w:rPr>
                <w:rFonts w:hint="eastAsia" w:ascii="宋体" w:hAnsi="宋体" w:eastAsia="宋体" w:cs="宋体"/>
                <w:color w:val="000000" w:themeColor="text1"/>
                <w:spacing w:val="9"/>
                <w:kern w:val="2"/>
                <w:sz w:val="21"/>
                <w:szCs w:val="21"/>
                <w:lang w:val="en-US" w:eastAsia="zh-CN" w:bidi="ar-SA"/>
                <w14:textFill>
                  <w14:solidFill>
                    <w14:schemeClr w14:val="tx1"/>
                  </w14:solidFill>
                </w14:textFill>
              </w:rPr>
              <w:t>3.0.8在雨、霜、雾、雪等天气进行高处作业时，应采取防滑、防冻和防雷措施，并应及时清除作业面上的水、冰、雪、霜。当遇有6级以上强风、浓雾、沙尘暴等恶劣气候，不得进行露天攀登与悬空高处作业。雨雪天气后，应对高处作业安全设施进行检查，当发现有松动、变形、损坏和脱落等现象时，应立即修理完善，维修合格后方可使用。</w:t>
            </w:r>
          </w:p>
        </w:tc>
        <w:tc>
          <w:tcPr>
            <w:tcW w:w="544" w:type="pct"/>
            <w:tcBorders>
              <w:tl2br w:val="nil"/>
              <w:tr2bl w:val="nil"/>
            </w:tcBorders>
            <w:noWrap/>
            <w:vAlign w:val="top"/>
          </w:tcPr>
          <w:p w14:paraId="774F7FB6">
            <w:pPr>
              <w:spacing w:line="240" w:lineRule="auto"/>
              <w:ind w:firstLine="0" w:firstLineChars="0"/>
              <w:rPr>
                <w:rFonts w:ascii="Times New Roman" w:hAnsi="Times New Roman" w:eastAsia="宋体" w:cs="Times New Roman"/>
                <w:sz w:val="21"/>
                <w:szCs w:val="21"/>
              </w:rPr>
            </w:pPr>
            <w:r>
              <w:rPr>
                <w:rFonts w:hint="eastAsia" w:ascii="Times New Roman" w:hAnsi="Times New Roman" w:eastAsia="宋体" w:cs="Times New Roman"/>
                <w:sz w:val="21"/>
                <w:szCs w:val="21"/>
              </w:rPr>
              <w:t>高处作业过程</w:t>
            </w:r>
          </w:p>
        </w:tc>
      </w:tr>
    </w:tbl>
    <w:p w14:paraId="29C725E0">
      <w:pPr>
        <w:pStyle w:val="5"/>
        <w:bidi w:val="0"/>
        <w:rPr>
          <w:rFonts w:hint="eastAsia" w:ascii="宋体" w:hAnsi="宋体" w:eastAsia="宋体" w:cs="宋体"/>
        </w:rPr>
      </w:pPr>
      <w:r>
        <w:rPr>
          <w:rFonts w:hint="eastAsia" w:ascii="宋体" w:hAnsi="宋体" w:eastAsia="宋体" w:cs="宋体"/>
        </w:rPr>
        <w:t>具体措施</w:t>
      </w:r>
    </w:p>
    <w:p w14:paraId="1858F701">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电气系统的验收作为整机验收的一部分，调试不合格不得投入使用。</w:t>
      </w:r>
    </w:p>
    <w:p w14:paraId="6D84FD06">
      <w:pPr>
        <w:pStyle w:val="4"/>
        <w:keepNext w:val="0"/>
        <w:widowControl w:val="0"/>
        <w:numPr>
          <w:ilvl w:val="2"/>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塔吊作业安全技术保证措施</w:t>
      </w:r>
    </w:p>
    <w:p w14:paraId="13BD963F">
      <w:pPr>
        <w:numPr>
          <w:ilvl w:val="0"/>
          <w:numId w:val="37"/>
        </w:numPr>
        <w:bidi w:val="0"/>
        <w:ind w:left="425" w:leftChars="0" w:hanging="425" w:firstLineChars="0"/>
        <w:rPr>
          <w:rFonts w:hint="eastAsia"/>
        </w:rPr>
      </w:pPr>
      <w:r>
        <w:rPr>
          <w:rFonts w:hint="eastAsia"/>
        </w:rPr>
        <w:t>必须严格执行</w:t>
      </w:r>
      <w:r>
        <w:rPr>
          <w:rFonts w:hint="eastAsia"/>
          <w:lang w:eastAsia="zh-CN"/>
        </w:rPr>
        <w:t>JG/T100-1999</w:t>
      </w:r>
      <w:r>
        <w:rPr>
          <w:rFonts w:hint="eastAsia"/>
        </w:rPr>
        <w:t>《塔式起重机操作使用规程》的有关规定，司机与起重工必须是按</w:t>
      </w:r>
      <w:r>
        <w:rPr>
          <w:rFonts w:hint="eastAsia"/>
          <w:lang w:val="en-US" w:eastAsia="zh-CN"/>
        </w:rPr>
        <w:t>省、市级</w:t>
      </w:r>
      <w:r>
        <w:rPr>
          <w:rFonts w:hint="eastAsia"/>
        </w:rPr>
        <w:t>劳动人事部门</w:t>
      </w:r>
      <w:r>
        <w:rPr>
          <w:rFonts w:hint="eastAsia"/>
          <w:lang w:val="en-US" w:eastAsia="zh-CN"/>
        </w:rPr>
        <w:t>或其指定单位</w:t>
      </w:r>
      <w:r>
        <w:rPr>
          <w:rFonts w:hint="eastAsia"/>
        </w:rPr>
        <w:t>有关规定</w:t>
      </w:r>
      <w:r>
        <w:rPr>
          <w:rFonts w:hint="eastAsia"/>
          <w:lang w:val="en-US" w:eastAsia="zh-CN"/>
        </w:rPr>
        <w:t>培训并</w:t>
      </w:r>
      <w:r>
        <w:rPr>
          <w:rFonts w:hint="eastAsia"/>
        </w:rPr>
        <w:t>进行考核</w:t>
      </w:r>
      <w:r>
        <w:rPr>
          <w:rFonts w:hint="eastAsia"/>
          <w:lang w:eastAsia="zh-CN"/>
        </w:rPr>
        <w:t>，</w:t>
      </w:r>
      <w:r>
        <w:rPr>
          <w:rFonts w:hint="eastAsia"/>
        </w:rPr>
        <w:t>取得合格证者。</w:t>
      </w:r>
    </w:p>
    <w:p w14:paraId="5AFC0F3D">
      <w:pPr>
        <w:numPr>
          <w:ilvl w:val="0"/>
          <w:numId w:val="37"/>
        </w:numPr>
        <w:bidi w:val="0"/>
        <w:ind w:left="425" w:leftChars="0" w:hanging="425" w:firstLineChars="0"/>
        <w:rPr>
          <w:rFonts w:hint="eastAsia"/>
          <w:lang w:val="en-US" w:eastAsia="zh-CN"/>
        </w:rPr>
      </w:pPr>
      <w:r>
        <w:rPr>
          <w:rFonts w:hint="eastAsia"/>
          <w:lang w:val="en-US" w:eastAsia="zh-CN"/>
        </w:rPr>
        <w:t>司机必须了解所操作塔机的工作原理，熟悉该塔机的构造及安全装置的功能及其调整方法，掌握该起重机各项性能的操作方法以及该起重机的维修保养技术。</w:t>
      </w:r>
    </w:p>
    <w:p w14:paraId="24D7298F">
      <w:pPr>
        <w:numPr>
          <w:ilvl w:val="0"/>
          <w:numId w:val="37"/>
        </w:numPr>
        <w:bidi w:val="0"/>
        <w:ind w:left="425" w:leftChars="0" w:hanging="425" w:firstLineChars="0"/>
        <w:rPr>
          <w:rFonts w:hint="eastAsia"/>
          <w:lang w:val="en-US" w:eastAsia="zh-CN"/>
        </w:rPr>
      </w:pPr>
      <w:r>
        <w:rPr>
          <w:rFonts w:hint="eastAsia"/>
          <w:lang w:val="en-US" w:eastAsia="zh-CN"/>
        </w:rPr>
        <w:t>严格按本说明书提供的起重特性表操作，严禁超载运行。</w:t>
      </w:r>
    </w:p>
    <w:p w14:paraId="1D1DBB25">
      <w:pPr>
        <w:numPr>
          <w:ilvl w:val="0"/>
          <w:numId w:val="37"/>
        </w:numPr>
        <w:bidi w:val="0"/>
        <w:ind w:left="425" w:leftChars="0" w:hanging="425" w:firstLineChars="0"/>
        <w:rPr>
          <w:rFonts w:hint="eastAsia"/>
          <w:lang w:val="en-US" w:eastAsia="zh-CN"/>
        </w:rPr>
      </w:pPr>
      <w:r>
        <w:rPr>
          <w:rFonts w:hint="eastAsia"/>
          <w:lang w:val="en-US" w:eastAsia="zh-CN"/>
        </w:rPr>
        <w:t>起升机构、回转机构、牵引机构的操作动作要柔和，由低速到高速逐步转换，不得将操作手柄从静止(或低速)猛地向中速或高速位置推进。</w:t>
      </w:r>
    </w:p>
    <w:p w14:paraId="71A89F6F">
      <w:pPr>
        <w:numPr>
          <w:ilvl w:val="0"/>
          <w:numId w:val="37"/>
        </w:numPr>
        <w:bidi w:val="0"/>
        <w:ind w:left="425" w:leftChars="0" w:hanging="425" w:firstLineChars="0"/>
        <w:rPr>
          <w:rFonts w:hint="eastAsia"/>
          <w:lang w:val="en-US" w:eastAsia="zh-CN"/>
        </w:rPr>
      </w:pPr>
      <w:r>
        <w:rPr>
          <w:rFonts w:hint="eastAsia"/>
          <w:lang w:val="en-US" w:eastAsia="zh-CN"/>
        </w:rPr>
        <w:t>施工面要设专人指挥塔机作业，与司机联络，必须规定严格的信号，采用对讲机联络</w:t>
      </w:r>
    </w:p>
    <w:p w14:paraId="61EEAFF8">
      <w:pPr>
        <w:numPr>
          <w:ilvl w:val="0"/>
          <w:numId w:val="37"/>
        </w:numPr>
        <w:bidi w:val="0"/>
        <w:ind w:left="425" w:leftChars="0" w:hanging="425" w:firstLineChars="0"/>
        <w:rPr>
          <w:rFonts w:hint="eastAsia"/>
          <w:lang w:val="en-US" w:eastAsia="zh-CN"/>
        </w:rPr>
      </w:pPr>
      <w:r>
        <w:rPr>
          <w:rFonts w:hint="eastAsia"/>
          <w:lang w:val="en-US" w:eastAsia="zh-CN"/>
        </w:rPr>
        <w:t>操作司机发现塔机有异常现象时，应停机切断电源，待查清并排除故障后再使用。</w:t>
      </w:r>
    </w:p>
    <w:p w14:paraId="325A3899">
      <w:pPr>
        <w:numPr>
          <w:ilvl w:val="0"/>
          <w:numId w:val="37"/>
        </w:numPr>
        <w:bidi w:val="0"/>
        <w:ind w:left="425" w:leftChars="0" w:hanging="425" w:firstLineChars="0"/>
        <w:rPr>
          <w:rFonts w:hint="eastAsia"/>
          <w:lang w:val="en-US" w:eastAsia="zh-CN"/>
        </w:rPr>
      </w:pPr>
      <w:r>
        <w:rPr>
          <w:rFonts w:hint="eastAsia"/>
          <w:lang w:val="en-US" w:eastAsia="zh-CN"/>
        </w:rPr>
        <w:t>每班工作前，司机必须对塔吊各部件进行日常检查，对各部件进行按规日常保养加油，必须逐项检查各安全装置的可靠性，绝不允许在安全装置失灵的情况下勉强作业；</w:t>
      </w:r>
    </w:p>
    <w:p w14:paraId="2A733962">
      <w:pPr>
        <w:numPr>
          <w:ilvl w:val="0"/>
          <w:numId w:val="37"/>
        </w:numPr>
        <w:bidi w:val="0"/>
        <w:ind w:left="425" w:leftChars="0" w:hanging="425" w:firstLineChars="0"/>
        <w:rPr>
          <w:rFonts w:hint="eastAsia"/>
          <w:lang w:val="en-US" w:eastAsia="zh-CN"/>
        </w:rPr>
      </w:pPr>
      <w:r>
        <w:rPr>
          <w:rFonts w:hint="eastAsia"/>
          <w:lang w:val="en-US" w:eastAsia="zh-CN"/>
        </w:rPr>
        <w:t>不准斜拉斜吊物品，不准抽吊交错挤压物品，不准起吊埋在地上的物品。</w:t>
      </w:r>
    </w:p>
    <w:p w14:paraId="75F75FFD">
      <w:pPr>
        <w:numPr>
          <w:ilvl w:val="0"/>
          <w:numId w:val="37"/>
        </w:numPr>
        <w:bidi w:val="0"/>
        <w:ind w:left="425" w:leftChars="0" w:hanging="425" w:firstLineChars="0"/>
        <w:rPr>
          <w:rFonts w:hint="eastAsia"/>
          <w:lang w:val="en-US" w:eastAsia="zh-CN"/>
        </w:rPr>
      </w:pPr>
      <w:r>
        <w:rPr>
          <w:rFonts w:hint="eastAsia"/>
          <w:lang w:val="en-US" w:eastAsia="zh-CN"/>
        </w:rPr>
        <w:t>夜间作业，施工现场必须备有充分的照明设施。</w:t>
      </w:r>
    </w:p>
    <w:p w14:paraId="294FBE19">
      <w:pPr>
        <w:numPr>
          <w:ilvl w:val="0"/>
          <w:numId w:val="37"/>
        </w:numPr>
        <w:bidi w:val="0"/>
        <w:ind w:left="425" w:leftChars="0" w:hanging="425" w:firstLineChars="0"/>
        <w:rPr>
          <w:rFonts w:hint="eastAsia"/>
          <w:lang w:val="en-US" w:eastAsia="zh-CN"/>
        </w:rPr>
      </w:pPr>
      <w:r>
        <w:rPr>
          <w:rFonts w:hint="eastAsia"/>
          <w:lang w:val="en-US" w:eastAsia="zh-CN"/>
        </w:rPr>
        <w:t>有物品悬挂在空中时，司机与起重工不得离开工作岗位。</w:t>
      </w:r>
    </w:p>
    <w:p w14:paraId="427617C8">
      <w:pPr>
        <w:pStyle w:val="4"/>
        <w:bidi w:val="0"/>
        <w:rPr>
          <w:rFonts w:hint="eastAsia"/>
          <w:lang w:val="en-US" w:eastAsia="zh-CN"/>
        </w:rPr>
      </w:pPr>
      <w:r>
        <w:rPr>
          <w:rFonts w:hint="eastAsia"/>
          <w:lang w:val="en-US" w:eastAsia="zh-CN"/>
        </w:rPr>
        <w:t>指挥的信号、手势、旗号应</w:t>
      </w:r>
      <w:r>
        <w:rPr>
          <w:rFonts w:hint="eastAsia"/>
          <w:color w:val="auto"/>
          <w:u w:val="none"/>
          <w:lang w:val="en-US" w:eastAsia="zh-CN"/>
        </w:rPr>
        <w:t>符合《</w:t>
      </w:r>
      <w:r>
        <w:rPr>
          <w:rFonts w:hint="default"/>
          <w:color w:val="auto"/>
          <w:u w:val="none"/>
        </w:rPr>
        <w:fldChar w:fldCharType="begin"/>
      </w:r>
      <w:r>
        <w:rPr>
          <w:rFonts w:hint="default"/>
          <w:color w:val="auto"/>
          <w:u w:val="none"/>
        </w:rPr>
        <w:instrText xml:space="preserve"> HYPERLINK "http://www.baidu.com/link?url=7SiLb0lSl4MfkSI3_pmAo3GbOdP8LU5C8MHTOIFz4sWy2I_VUqMjJBKz8FRBuSPGj_Kx8xUx1NwMGMdB0HnIo8CGfMmgB5X6WSnTmPPbnzS" \t "https://www.baidu.com/_blank" </w:instrText>
      </w:r>
      <w:r>
        <w:rPr>
          <w:rFonts w:hint="default"/>
          <w:color w:val="auto"/>
          <w:u w:val="none"/>
        </w:rPr>
        <w:fldChar w:fldCharType="separate"/>
      </w:r>
      <w:r>
        <w:rPr>
          <w:rStyle w:val="47"/>
          <w:rFonts w:hint="default" w:ascii="Arial" w:hAnsi="Arial" w:cs="Arial"/>
          <w:caps w:val="0"/>
          <w:color w:val="auto"/>
          <w:spacing w:val="0"/>
          <w:szCs w:val="21"/>
          <w:u w:val="none"/>
          <w:shd w:val="clear" w:fill="FFFFFF"/>
        </w:rPr>
        <w:t>起重机手势信号</w:t>
      </w:r>
      <w:r>
        <w:rPr>
          <w:rFonts w:hint="default"/>
          <w:color w:val="auto"/>
          <w:u w:val="none"/>
        </w:rPr>
        <w:fldChar w:fldCharType="end"/>
      </w:r>
      <w:r>
        <w:rPr>
          <w:rFonts w:hint="eastAsia"/>
          <w:color w:val="auto"/>
          <w:u w:val="none"/>
          <w:lang w:eastAsia="zh-CN"/>
        </w:rPr>
        <w:t>》</w:t>
      </w:r>
      <w:r>
        <w:rPr>
          <w:rFonts w:hint="eastAsia"/>
          <w:u w:val="none"/>
          <w:lang w:val="en-US" w:eastAsia="zh-CN"/>
        </w:rPr>
        <w:t>GB5</w:t>
      </w:r>
      <w:r>
        <w:rPr>
          <w:rFonts w:hint="eastAsia"/>
          <w:lang w:val="en-US" w:eastAsia="zh-CN"/>
        </w:rPr>
        <w:t>082-2019规定。</w:t>
      </w:r>
    </w:p>
    <w:p w14:paraId="6A415F70">
      <w:pPr>
        <w:pStyle w:val="5"/>
        <w:bidi w:val="0"/>
        <w:rPr>
          <w:rFonts w:hint="eastAsia" w:ascii="宋体" w:hAnsi="宋体" w:eastAsia="宋体" w:cs="宋体"/>
          <w:lang w:val="en-US" w:eastAsia="zh-CN"/>
        </w:rPr>
      </w:pPr>
      <w:r>
        <w:rPr>
          <w:rFonts w:hint="eastAsia" w:ascii="宋体" w:hAnsi="宋体" w:eastAsia="宋体" w:cs="宋体"/>
          <w:lang w:val="en-US" w:eastAsia="zh-CN"/>
        </w:rPr>
        <w:t>司机必须认真做好起重机的使用、维修、保养和交接班的记录工作。</w:t>
      </w:r>
    </w:p>
    <w:p w14:paraId="6A5E3DC7">
      <w:pPr>
        <w:pStyle w:val="5"/>
        <w:bidi w:val="0"/>
        <w:rPr>
          <w:rFonts w:hint="eastAsia" w:ascii="宋体" w:hAnsi="宋体" w:eastAsia="宋体" w:cs="宋体"/>
          <w:lang w:val="en-US" w:eastAsia="zh-CN"/>
        </w:rPr>
      </w:pPr>
      <w:r>
        <w:rPr>
          <w:rFonts w:hint="eastAsia" w:ascii="宋体" w:hAnsi="宋体" w:eastAsia="宋体" w:cs="宋体"/>
          <w:lang w:val="en-US" w:eastAsia="zh-CN"/>
        </w:rPr>
        <w:t>塔机在非工作状态时应处于安全状态。即起重臂转到与风向一致，将吊钩提升至超过周围障碍物的高度，将所有手柄回到零位，左控制台的回转制动开关转到松开位置，并将总电源切断。</w:t>
      </w:r>
    </w:p>
    <w:p w14:paraId="116823DC">
      <w:pPr>
        <w:pStyle w:val="5"/>
        <w:bidi w:val="0"/>
        <w:rPr>
          <w:rFonts w:hint="eastAsia"/>
          <w:lang w:val="en-US" w:eastAsia="zh-CN"/>
        </w:rPr>
      </w:pPr>
      <w:r>
        <w:rPr>
          <w:rFonts w:hint="eastAsia"/>
          <w:lang w:val="en-US" w:eastAsia="zh-CN"/>
        </w:rPr>
        <w:t>严禁司机酒后上机操作</w:t>
      </w:r>
    </w:p>
    <w:p w14:paraId="56254438">
      <w:pPr>
        <w:pStyle w:val="5"/>
        <w:bidi w:val="0"/>
        <w:rPr>
          <w:rFonts w:hint="eastAsia" w:ascii="宋体" w:hAnsi="宋体" w:eastAsia="宋体" w:cs="宋体"/>
          <w:lang w:val="en-US" w:eastAsia="zh-CN"/>
        </w:rPr>
      </w:pPr>
      <w:r>
        <w:rPr>
          <w:rFonts w:hint="eastAsia" w:ascii="宋体" w:hAnsi="宋体" w:eastAsia="宋体" w:cs="宋体"/>
          <w:lang w:val="en-US" w:eastAsia="zh-CN"/>
        </w:rPr>
        <w:t>吊钩、吊环有下列情形之一的，应更换：</w:t>
      </w:r>
    </w:p>
    <w:p w14:paraId="2586CF84">
      <w:pPr>
        <w:numPr>
          <w:ilvl w:val="0"/>
          <w:numId w:val="38"/>
        </w:numPr>
        <w:bidi w:val="0"/>
        <w:ind w:left="425" w:leftChars="0" w:hanging="425" w:firstLineChars="0"/>
        <w:rPr>
          <w:rFonts w:hint="eastAsia"/>
          <w:lang w:val="en-US" w:eastAsia="zh-CN"/>
        </w:rPr>
      </w:pPr>
      <w:r>
        <w:rPr>
          <w:rFonts w:hint="eastAsia"/>
          <w:lang w:val="en-US" w:eastAsia="zh-CN"/>
        </w:rPr>
        <w:t>表面有裂纹、破口，严禁补焊，应更换。</w:t>
      </w:r>
    </w:p>
    <w:p w14:paraId="1868D739">
      <w:pPr>
        <w:numPr>
          <w:ilvl w:val="0"/>
          <w:numId w:val="38"/>
        </w:numPr>
        <w:bidi w:val="0"/>
        <w:ind w:left="425" w:leftChars="0" w:hanging="425" w:firstLineChars="0"/>
        <w:rPr>
          <w:rFonts w:hint="eastAsia"/>
          <w:lang w:val="en-US" w:eastAsia="zh-CN"/>
        </w:rPr>
      </w:pPr>
      <w:r>
        <w:rPr>
          <w:rFonts w:hint="eastAsia"/>
          <w:lang w:val="en-US" w:eastAsia="zh-CN"/>
        </w:rPr>
        <w:t>危险断面及钩颈有永久变形。</w:t>
      </w:r>
    </w:p>
    <w:p w14:paraId="45AE0C0B">
      <w:pPr>
        <w:numPr>
          <w:ilvl w:val="0"/>
          <w:numId w:val="38"/>
        </w:numPr>
        <w:bidi w:val="0"/>
        <w:ind w:left="425" w:leftChars="0" w:hanging="425" w:firstLineChars="0"/>
        <w:rPr>
          <w:rFonts w:hint="eastAsia"/>
          <w:lang w:val="en-US" w:eastAsia="zh-CN"/>
        </w:rPr>
      </w:pPr>
      <w:r>
        <w:rPr>
          <w:rFonts w:hint="eastAsia"/>
          <w:lang w:val="en-US" w:eastAsia="zh-CN"/>
        </w:rPr>
        <w:t>挂绳面磨损超过10%。</w:t>
      </w:r>
    </w:p>
    <w:p w14:paraId="10CC9A0C">
      <w:pPr>
        <w:numPr>
          <w:ilvl w:val="0"/>
          <w:numId w:val="38"/>
        </w:numPr>
        <w:bidi w:val="0"/>
        <w:ind w:left="425" w:leftChars="0" w:hanging="425" w:firstLineChars="0"/>
        <w:rPr>
          <w:rFonts w:hint="eastAsia"/>
          <w:lang w:val="en-US" w:eastAsia="zh-CN"/>
        </w:rPr>
      </w:pPr>
      <w:r>
        <w:rPr>
          <w:rFonts w:hint="eastAsia"/>
          <w:lang w:val="en-US" w:eastAsia="zh-CN"/>
        </w:rPr>
        <w:t>心轴（销子）磨损超过其直径的3~5%。</w:t>
      </w:r>
    </w:p>
    <w:p w14:paraId="2AF17719">
      <w:pPr>
        <w:pStyle w:val="5"/>
        <w:bidi w:val="0"/>
        <w:rPr>
          <w:rFonts w:hint="eastAsia" w:ascii="宋体" w:hAnsi="宋体" w:eastAsia="宋体" w:cs="宋体"/>
          <w:lang w:val="en-US" w:eastAsia="zh-CN"/>
        </w:rPr>
      </w:pPr>
      <w:r>
        <w:rPr>
          <w:rFonts w:hint="eastAsia" w:ascii="宋体" w:hAnsi="宋体" w:eastAsia="宋体" w:cs="宋体"/>
          <w:lang w:val="en-US" w:eastAsia="zh-CN"/>
        </w:rPr>
        <w:t>起重“十不吊”内容：</w:t>
      </w:r>
    </w:p>
    <w:p w14:paraId="085C9FFE">
      <w:pPr>
        <w:keepNext w:val="0"/>
        <w:keepLines w:val="0"/>
        <w:pageBreakBefore w:val="0"/>
        <w:widowControl w:val="0"/>
        <w:numPr>
          <w:ilvl w:val="0"/>
          <w:numId w:val="39"/>
        </w:numPr>
        <w:kinsoku/>
        <w:wordWrap/>
        <w:overflowPunct/>
        <w:topLinePunct w:val="0"/>
        <w:autoSpaceDE/>
        <w:autoSpaceDN/>
        <w:bidi w:val="0"/>
        <w:adjustRightInd/>
        <w:snapToGrid/>
        <w:ind w:left="0" w:firstLine="0" w:firstLineChars="0"/>
        <w:textAlignment w:val="auto"/>
        <w:rPr>
          <w:rFonts w:hint="eastAsia"/>
        </w:rPr>
      </w:pPr>
      <w:r>
        <w:rPr>
          <w:rFonts w:hint="eastAsia"/>
        </w:rPr>
        <w:t>指挥信号不明或违章指挥不吊；</w:t>
      </w:r>
    </w:p>
    <w:p w14:paraId="1208AA95">
      <w:pPr>
        <w:keepNext w:val="0"/>
        <w:keepLines w:val="0"/>
        <w:pageBreakBefore w:val="0"/>
        <w:widowControl w:val="0"/>
        <w:numPr>
          <w:ilvl w:val="0"/>
          <w:numId w:val="39"/>
        </w:numPr>
        <w:kinsoku/>
        <w:wordWrap/>
        <w:overflowPunct/>
        <w:topLinePunct w:val="0"/>
        <w:autoSpaceDE/>
        <w:autoSpaceDN/>
        <w:bidi w:val="0"/>
        <w:adjustRightInd/>
        <w:snapToGrid/>
        <w:ind w:left="0" w:firstLine="0" w:firstLineChars="0"/>
        <w:textAlignment w:val="auto"/>
        <w:rPr>
          <w:rFonts w:hint="eastAsia"/>
        </w:rPr>
      </w:pPr>
      <w:r>
        <w:rPr>
          <w:rFonts w:hint="eastAsia"/>
        </w:rPr>
        <w:t>载荷不明不吊；</w:t>
      </w:r>
    </w:p>
    <w:p w14:paraId="085DDE70">
      <w:pPr>
        <w:keepNext w:val="0"/>
        <w:keepLines w:val="0"/>
        <w:pageBreakBefore w:val="0"/>
        <w:widowControl w:val="0"/>
        <w:numPr>
          <w:ilvl w:val="0"/>
          <w:numId w:val="39"/>
        </w:numPr>
        <w:kinsoku/>
        <w:wordWrap/>
        <w:overflowPunct/>
        <w:topLinePunct w:val="0"/>
        <w:autoSpaceDE/>
        <w:autoSpaceDN/>
        <w:bidi w:val="0"/>
        <w:adjustRightInd/>
        <w:snapToGrid/>
        <w:ind w:left="0" w:firstLine="0" w:firstLineChars="0"/>
        <w:textAlignment w:val="auto"/>
        <w:rPr>
          <w:rFonts w:hint="eastAsia"/>
        </w:rPr>
      </w:pPr>
      <w:r>
        <w:rPr>
          <w:rFonts w:hint="eastAsia"/>
        </w:rPr>
        <w:t>工件捆绑不良不吊；</w:t>
      </w:r>
    </w:p>
    <w:p w14:paraId="1C2E23B6">
      <w:pPr>
        <w:keepNext w:val="0"/>
        <w:keepLines w:val="0"/>
        <w:pageBreakBefore w:val="0"/>
        <w:widowControl w:val="0"/>
        <w:numPr>
          <w:ilvl w:val="0"/>
          <w:numId w:val="39"/>
        </w:numPr>
        <w:kinsoku/>
        <w:wordWrap/>
        <w:overflowPunct/>
        <w:topLinePunct w:val="0"/>
        <w:autoSpaceDE/>
        <w:autoSpaceDN/>
        <w:bidi w:val="0"/>
        <w:adjustRightInd/>
        <w:snapToGrid/>
        <w:ind w:left="0" w:firstLine="0" w:firstLineChars="0"/>
        <w:textAlignment w:val="auto"/>
        <w:rPr>
          <w:rFonts w:hint="eastAsia"/>
        </w:rPr>
      </w:pPr>
      <w:r>
        <w:rPr>
          <w:rFonts w:hint="eastAsia"/>
        </w:rPr>
        <w:t>吊物上面有人不吊；</w:t>
      </w:r>
    </w:p>
    <w:p w14:paraId="791CE602">
      <w:pPr>
        <w:keepNext w:val="0"/>
        <w:keepLines w:val="0"/>
        <w:pageBreakBefore w:val="0"/>
        <w:widowControl w:val="0"/>
        <w:numPr>
          <w:ilvl w:val="0"/>
          <w:numId w:val="39"/>
        </w:numPr>
        <w:kinsoku/>
        <w:wordWrap/>
        <w:overflowPunct/>
        <w:topLinePunct w:val="0"/>
        <w:autoSpaceDE/>
        <w:autoSpaceDN/>
        <w:bidi w:val="0"/>
        <w:adjustRightInd/>
        <w:snapToGrid/>
        <w:ind w:left="0" w:firstLine="0" w:firstLineChars="0"/>
        <w:textAlignment w:val="auto"/>
        <w:rPr>
          <w:rFonts w:hint="eastAsia"/>
        </w:rPr>
      </w:pPr>
      <w:r>
        <w:rPr>
          <w:rFonts w:hint="eastAsia"/>
        </w:rPr>
        <w:t>安全装置不灵不吊；</w:t>
      </w:r>
    </w:p>
    <w:p w14:paraId="6C94E915">
      <w:pPr>
        <w:keepNext w:val="0"/>
        <w:keepLines w:val="0"/>
        <w:pageBreakBefore w:val="0"/>
        <w:widowControl w:val="0"/>
        <w:numPr>
          <w:ilvl w:val="0"/>
          <w:numId w:val="39"/>
        </w:numPr>
        <w:kinsoku/>
        <w:wordWrap/>
        <w:overflowPunct/>
        <w:topLinePunct w:val="0"/>
        <w:autoSpaceDE/>
        <w:autoSpaceDN/>
        <w:bidi w:val="0"/>
        <w:adjustRightInd/>
        <w:snapToGrid/>
        <w:ind w:left="0" w:firstLine="0" w:firstLineChars="0"/>
        <w:textAlignment w:val="auto"/>
        <w:rPr>
          <w:rFonts w:hint="eastAsia"/>
        </w:rPr>
      </w:pPr>
      <w:r>
        <w:rPr>
          <w:rFonts w:hint="eastAsia"/>
        </w:rPr>
        <w:t>光线阴暗视线不清不吊；</w:t>
      </w:r>
    </w:p>
    <w:p w14:paraId="03B3A6D0">
      <w:pPr>
        <w:keepNext w:val="0"/>
        <w:keepLines w:val="0"/>
        <w:pageBreakBefore w:val="0"/>
        <w:widowControl w:val="0"/>
        <w:numPr>
          <w:ilvl w:val="0"/>
          <w:numId w:val="39"/>
        </w:numPr>
        <w:kinsoku/>
        <w:wordWrap/>
        <w:overflowPunct/>
        <w:topLinePunct w:val="0"/>
        <w:autoSpaceDE/>
        <w:autoSpaceDN/>
        <w:bidi w:val="0"/>
        <w:adjustRightInd/>
        <w:snapToGrid/>
        <w:ind w:left="0" w:firstLine="0" w:firstLineChars="0"/>
        <w:textAlignment w:val="auto"/>
        <w:rPr>
          <w:rFonts w:hint="eastAsia"/>
        </w:rPr>
      </w:pPr>
      <w:r>
        <w:rPr>
          <w:rFonts w:hint="eastAsia"/>
        </w:rPr>
        <w:t>工件埋在地下不吊；</w:t>
      </w:r>
    </w:p>
    <w:p w14:paraId="1E6E9FD0">
      <w:pPr>
        <w:keepNext w:val="0"/>
        <w:keepLines w:val="0"/>
        <w:pageBreakBefore w:val="0"/>
        <w:widowControl w:val="0"/>
        <w:numPr>
          <w:ilvl w:val="0"/>
          <w:numId w:val="39"/>
        </w:numPr>
        <w:kinsoku/>
        <w:wordWrap/>
        <w:overflowPunct/>
        <w:topLinePunct w:val="0"/>
        <w:autoSpaceDE/>
        <w:autoSpaceDN/>
        <w:bidi w:val="0"/>
        <w:adjustRightInd/>
        <w:snapToGrid/>
        <w:ind w:left="0" w:firstLine="0" w:firstLineChars="0"/>
        <w:textAlignment w:val="auto"/>
        <w:rPr>
          <w:rFonts w:hint="eastAsia"/>
        </w:rPr>
      </w:pPr>
      <w:r>
        <w:rPr>
          <w:rFonts w:hint="eastAsia"/>
        </w:rPr>
        <w:t>棱角物件无防护措施不吊；</w:t>
      </w:r>
    </w:p>
    <w:p w14:paraId="059DD548">
      <w:pPr>
        <w:keepNext w:val="0"/>
        <w:keepLines w:val="0"/>
        <w:pageBreakBefore w:val="0"/>
        <w:widowControl w:val="0"/>
        <w:numPr>
          <w:ilvl w:val="0"/>
          <w:numId w:val="39"/>
        </w:numPr>
        <w:kinsoku/>
        <w:wordWrap/>
        <w:overflowPunct/>
        <w:topLinePunct w:val="0"/>
        <w:autoSpaceDE/>
        <w:autoSpaceDN/>
        <w:bidi w:val="0"/>
        <w:adjustRightInd/>
        <w:snapToGrid/>
        <w:ind w:left="0" w:firstLine="0" w:firstLineChars="0"/>
        <w:textAlignment w:val="auto"/>
        <w:rPr>
          <w:rFonts w:hint="eastAsia"/>
        </w:rPr>
      </w:pPr>
      <w:r>
        <w:rPr>
          <w:rFonts w:hint="eastAsia"/>
        </w:rPr>
        <w:t>斜拉工件不吊；</w:t>
      </w:r>
    </w:p>
    <w:p w14:paraId="2A682EDC">
      <w:pPr>
        <w:keepNext w:val="0"/>
        <w:keepLines w:val="0"/>
        <w:pageBreakBefore w:val="0"/>
        <w:widowControl w:val="0"/>
        <w:numPr>
          <w:ilvl w:val="0"/>
          <w:numId w:val="39"/>
        </w:numPr>
        <w:kinsoku/>
        <w:wordWrap/>
        <w:overflowPunct/>
        <w:topLinePunct w:val="0"/>
        <w:autoSpaceDE/>
        <w:autoSpaceDN/>
        <w:bidi w:val="0"/>
        <w:adjustRightInd/>
        <w:snapToGrid/>
        <w:ind w:left="0" w:firstLine="0" w:firstLineChars="0"/>
        <w:textAlignment w:val="auto"/>
        <w:rPr>
          <w:rFonts w:hint="eastAsia"/>
        </w:rPr>
      </w:pPr>
      <w:r>
        <w:rPr>
          <w:rFonts w:hint="eastAsia"/>
        </w:rPr>
        <w:t>六级以上强风不吊。</w:t>
      </w:r>
    </w:p>
    <w:p w14:paraId="22069D47">
      <w:pPr>
        <w:pStyle w:val="2"/>
        <w:keepNext w:val="0"/>
        <w:widowControl w:val="0"/>
        <w:numPr>
          <w:ilvl w:val="0"/>
          <w:numId w:val="1"/>
        </w:numPr>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73" w:name="_Toc27021"/>
      <w:r>
        <w:rPr>
          <w:rFonts w:hint="eastAsia" w:ascii="宋体" w:hAnsi="宋体" w:eastAsia="宋体" w:cs="宋体"/>
          <w:sz w:val="24"/>
          <w:szCs w:val="24"/>
        </w:rPr>
        <w:t>施工管理及作业人员配备和分工</w:t>
      </w:r>
      <w:bookmarkEnd w:id="73"/>
    </w:p>
    <w:p w14:paraId="678592B1">
      <w:pPr>
        <w:pStyle w:val="129"/>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为确保承台施工安全、优质、高效、如期地完成，成立以项目经理为首的管理团队进行项目的统筹管理。现场施工主要管理人员由具有丰富施工经验的人员组成，选择专业的施工劳务队伍进行施工。</w:t>
      </w:r>
    </w:p>
    <w:p w14:paraId="488AF47C">
      <w:pPr>
        <w:pStyle w:val="3"/>
        <w:keepNext w:val="0"/>
        <w:widowControl w:val="0"/>
        <w:numPr>
          <w:ilvl w:val="1"/>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bookmarkStart w:id="74" w:name="_Toc7272"/>
      <w:bookmarkStart w:id="75" w:name="_Toc122514842"/>
      <w:bookmarkStart w:id="76" w:name="_Toc51089991"/>
      <w:bookmarkStart w:id="77" w:name="_Toc19672"/>
      <w:r>
        <w:rPr>
          <w:rFonts w:hint="eastAsia" w:ascii="宋体" w:hAnsi="宋体" w:eastAsia="宋体" w:cs="宋体"/>
          <w:sz w:val="24"/>
          <w:szCs w:val="24"/>
        </w:rPr>
        <w:t>施工管理人员配备和分工</w:t>
      </w:r>
      <w:bookmarkEnd w:id="74"/>
      <w:bookmarkEnd w:id="75"/>
      <w:bookmarkEnd w:id="76"/>
      <w:bookmarkEnd w:id="77"/>
    </w:p>
    <w:p w14:paraId="4EFB205F">
      <w:pPr>
        <w:pStyle w:val="129"/>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b w:val="0"/>
          <w:bCs w:val="0"/>
          <w:sz w:val="24"/>
          <w:szCs w:val="24"/>
        </w:rPr>
      </w:pPr>
      <w:r>
        <w:rPr>
          <w:rFonts w:hint="eastAsia" w:ascii="宋体" w:hAnsi="宋体" w:eastAsia="宋体" w:cs="宋体"/>
          <w:sz w:val="24"/>
          <w:szCs w:val="24"/>
        </w:rPr>
        <w:t>根据施工安排，施工管理人员配备和分工见</w:t>
      </w:r>
      <w:r>
        <w:rPr>
          <w:rFonts w:hint="eastAsia" w:ascii="宋体" w:hAnsi="宋体" w:eastAsia="宋体" w:cs="宋体"/>
          <w:b w:val="0"/>
          <w:bCs w:val="0"/>
          <w:sz w:val="24"/>
          <w:szCs w:val="24"/>
        </w:rPr>
        <w:t>表7.1-1。</w:t>
      </w:r>
    </w:p>
    <w:p w14:paraId="310CBAA0">
      <w:pPr>
        <w:pStyle w:val="382"/>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表</w:t>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STYLEREF 2\s</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7.1</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SEQ表\*ARABIC\s 2</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t>施工管理人员配备和分工表</w:t>
      </w:r>
    </w:p>
    <w:tbl>
      <w:tblPr>
        <w:tblStyle w:val="41"/>
        <w:tblW w:w="498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2591"/>
        <w:gridCol w:w="1271"/>
        <w:gridCol w:w="4750"/>
      </w:tblGrid>
      <w:tr w14:paraId="517172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14:paraId="79FF78BF">
            <w:pPr>
              <w:kinsoku/>
              <w:overflowPunct/>
              <w:topLinePunct w:val="0"/>
              <w:bidi w:val="0"/>
              <w:spacing w:line="360" w:lineRule="atLeast"/>
              <w:ind w:left="0" w:lef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316" w:type="pct"/>
            <w:tcBorders>
              <w:tl2br w:val="nil"/>
              <w:tr2bl w:val="nil"/>
            </w:tcBorders>
            <w:shd w:val="clear" w:color="auto" w:fill="auto"/>
            <w:vAlign w:val="center"/>
          </w:tcPr>
          <w:p w14:paraId="40889099">
            <w:pPr>
              <w:kinsoku/>
              <w:overflowPunct/>
              <w:topLinePunct w:val="0"/>
              <w:bidi w:val="0"/>
              <w:spacing w:line="360" w:lineRule="atLeast"/>
              <w:ind w:left="0" w:lef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岗位</w:t>
            </w:r>
          </w:p>
        </w:tc>
        <w:tc>
          <w:tcPr>
            <w:tcW w:w="646" w:type="pct"/>
            <w:tcBorders>
              <w:tl2br w:val="nil"/>
              <w:tr2bl w:val="nil"/>
            </w:tcBorders>
            <w:shd w:val="clear" w:color="auto" w:fill="auto"/>
            <w:vAlign w:val="center"/>
          </w:tcPr>
          <w:p w14:paraId="677A83F4">
            <w:pPr>
              <w:kinsoku/>
              <w:overflowPunct/>
              <w:topLinePunct w:val="0"/>
              <w:bidi w:val="0"/>
              <w:spacing w:line="360" w:lineRule="atLeast"/>
              <w:ind w:left="0" w:lef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人数</w:t>
            </w:r>
          </w:p>
        </w:tc>
        <w:tc>
          <w:tcPr>
            <w:tcW w:w="2415" w:type="pct"/>
            <w:tcBorders>
              <w:tl2br w:val="nil"/>
              <w:tr2bl w:val="nil"/>
            </w:tcBorders>
            <w:shd w:val="clear" w:color="auto" w:fill="auto"/>
            <w:vAlign w:val="center"/>
          </w:tcPr>
          <w:p w14:paraId="26FFA4A7">
            <w:pPr>
              <w:kinsoku/>
              <w:overflowPunct/>
              <w:topLinePunct w:val="0"/>
              <w:bidi w:val="0"/>
              <w:spacing w:line="360" w:lineRule="atLeast"/>
              <w:ind w:left="0" w:lef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备注</w:t>
            </w:r>
          </w:p>
        </w:tc>
      </w:tr>
      <w:tr w14:paraId="0E25B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14:paraId="11E060E1">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1316" w:type="pct"/>
            <w:tcBorders>
              <w:tl2br w:val="nil"/>
              <w:tr2bl w:val="nil"/>
            </w:tcBorders>
            <w:shd w:val="clear" w:color="auto" w:fill="auto"/>
            <w:vAlign w:val="center"/>
          </w:tcPr>
          <w:p w14:paraId="1481F75D">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项目经理</w:t>
            </w:r>
          </w:p>
        </w:tc>
        <w:tc>
          <w:tcPr>
            <w:tcW w:w="646" w:type="pct"/>
            <w:tcBorders>
              <w:tl2br w:val="nil"/>
              <w:tr2bl w:val="nil"/>
            </w:tcBorders>
            <w:shd w:val="clear" w:color="auto" w:fill="auto"/>
            <w:vAlign w:val="center"/>
          </w:tcPr>
          <w:p w14:paraId="6E370AB1">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2415" w:type="pct"/>
            <w:tcBorders>
              <w:tl2br w:val="nil"/>
              <w:tr2bl w:val="nil"/>
            </w:tcBorders>
            <w:shd w:val="clear" w:color="auto" w:fill="auto"/>
            <w:vAlign w:val="center"/>
          </w:tcPr>
          <w:p w14:paraId="3A1FB0EA">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项目总负责</w:t>
            </w:r>
          </w:p>
        </w:tc>
      </w:tr>
      <w:tr w14:paraId="1A88FF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14:paraId="170DB879">
            <w:pPr>
              <w:kinsoku/>
              <w:overflowPunct/>
              <w:topLinePunct w:val="0"/>
              <w:bidi w:val="0"/>
              <w:spacing w:line="360" w:lineRule="atLeast"/>
              <w:ind w:left="0" w:lef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316" w:type="pct"/>
            <w:tcBorders>
              <w:tl2br w:val="nil"/>
              <w:tr2bl w:val="nil"/>
            </w:tcBorders>
            <w:shd w:val="clear" w:color="auto" w:fill="auto"/>
            <w:vAlign w:val="center"/>
          </w:tcPr>
          <w:p w14:paraId="04E1F088">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项目总工</w:t>
            </w:r>
          </w:p>
        </w:tc>
        <w:tc>
          <w:tcPr>
            <w:tcW w:w="646" w:type="pct"/>
            <w:tcBorders>
              <w:tl2br w:val="nil"/>
              <w:tr2bl w:val="nil"/>
            </w:tcBorders>
            <w:shd w:val="clear" w:color="auto" w:fill="auto"/>
            <w:vAlign w:val="center"/>
          </w:tcPr>
          <w:p w14:paraId="12A79EBB">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2415" w:type="pct"/>
            <w:tcBorders>
              <w:tl2br w:val="nil"/>
              <w:tr2bl w:val="nil"/>
            </w:tcBorders>
            <w:shd w:val="clear" w:color="auto" w:fill="auto"/>
            <w:vAlign w:val="center"/>
          </w:tcPr>
          <w:p w14:paraId="2C8697FA">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全面负责项目技术管理工作</w:t>
            </w:r>
          </w:p>
        </w:tc>
      </w:tr>
      <w:tr w14:paraId="7B8F2F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14:paraId="7FA96C0F">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1316" w:type="pct"/>
            <w:tcBorders>
              <w:tl2br w:val="nil"/>
              <w:tr2bl w:val="nil"/>
            </w:tcBorders>
            <w:shd w:val="clear" w:color="auto" w:fill="auto"/>
            <w:vAlign w:val="center"/>
          </w:tcPr>
          <w:p w14:paraId="30B223B2">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生产副经理</w:t>
            </w:r>
          </w:p>
        </w:tc>
        <w:tc>
          <w:tcPr>
            <w:tcW w:w="646" w:type="pct"/>
            <w:tcBorders>
              <w:tl2br w:val="nil"/>
              <w:tr2bl w:val="nil"/>
            </w:tcBorders>
            <w:shd w:val="clear" w:color="auto" w:fill="auto"/>
            <w:vAlign w:val="center"/>
          </w:tcPr>
          <w:p w14:paraId="4029A7AC">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2415" w:type="pct"/>
            <w:tcBorders>
              <w:tl2br w:val="nil"/>
              <w:tr2bl w:val="nil"/>
            </w:tcBorders>
            <w:shd w:val="clear" w:color="auto" w:fill="auto"/>
            <w:vAlign w:val="center"/>
          </w:tcPr>
          <w:p w14:paraId="62A9CAE3">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组织、协调现场生产</w:t>
            </w:r>
          </w:p>
        </w:tc>
      </w:tr>
      <w:tr w14:paraId="350670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14:paraId="67561ADA">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1316" w:type="pct"/>
            <w:tcBorders>
              <w:tl2br w:val="nil"/>
              <w:tr2bl w:val="nil"/>
            </w:tcBorders>
            <w:shd w:val="clear" w:color="auto" w:fill="auto"/>
            <w:vAlign w:val="center"/>
          </w:tcPr>
          <w:p w14:paraId="5CA876D2">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技术员</w:t>
            </w:r>
          </w:p>
        </w:tc>
        <w:tc>
          <w:tcPr>
            <w:tcW w:w="646" w:type="pct"/>
            <w:tcBorders>
              <w:tl2br w:val="nil"/>
              <w:tr2bl w:val="nil"/>
            </w:tcBorders>
            <w:shd w:val="clear" w:color="auto" w:fill="auto"/>
            <w:vAlign w:val="center"/>
          </w:tcPr>
          <w:p w14:paraId="1E1E3813">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5</w:t>
            </w:r>
          </w:p>
        </w:tc>
        <w:tc>
          <w:tcPr>
            <w:tcW w:w="2415" w:type="pct"/>
            <w:tcBorders>
              <w:tl2br w:val="nil"/>
              <w:tr2bl w:val="nil"/>
            </w:tcBorders>
            <w:shd w:val="clear" w:color="auto" w:fill="auto"/>
            <w:vAlign w:val="center"/>
          </w:tcPr>
          <w:p w14:paraId="291BC92F">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现场技术管理及技术资料收集</w:t>
            </w:r>
          </w:p>
        </w:tc>
      </w:tr>
      <w:tr w14:paraId="66BFD1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14:paraId="4552AD5D">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5</w:t>
            </w:r>
          </w:p>
        </w:tc>
        <w:tc>
          <w:tcPr>
            <w:tcW w:w="1316" w:type="pct"/>
            <w:tcBorders>
              <w:tl2br w:val="nil"/>
              <w:tr2bl w:val="nil"/>
            </w:tcBorders>
            <w:shd w:val="clear" w:color="auto" w:fill="auto"/>
            <w:vAlign w:val="center"/>
          </w:tcPr>
          <w:p w14:paraId="4560AE02">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质检员</w:t>
            </w:r>
          </w:p>
        </w:tc>
        <w:tc>
          <w:tcPr>
            <w:tcW w:w="646" w:type="pct"/>
            <w:tcBorders>
              <w:tl2br w:val="nil"/>
              <w:tr2bl w:val="nil"/>
            </w:tcBorders>
            <w:shd w:val="clear" w:color="auto" w:fill="auto"/>
            <w:vAlign w:val="center"/>
          </w:tcPr>
          <w:p w14:paraId="449D7792">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415" w:type="pct"/>
            <w:tcBorders>
              <w:tl2br w:val="nil"/>
              <w:tr2bl w:val="nil"/>
            </w:tcBorders>
            <w:shd w:val="clear" w:color="auto" w:fill="auto"/>
            <w:vAlign w:val="center"/>
          </w:tcPr>
          <w:p w14:paraId="483EA319">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质量监督、检查</w:t>
            </w:r>
          </w:p>
        </w:tc>
      </w:tr>
      <w:tr w14:paraId="68D56B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14:paraId="16AD12D9">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1316" w:type="pct"/>
            <w:tcBorders>
              <w:tl2br w:val="nil"/>
              <w:tr2bl w:val="nil"/>
            </w:tcBorders>
            <w:shd w:val="clear" w:color="auto" w:fill="auto"/>
            <w:vAlign w:val="center"/>
          </w:tcPr>
          <w:p w14:paraId="6D62AD81">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测量员</w:t>
            </w:r>
          </w:p>
        </w:tc>
        <w:tc>
          <w:tcPr>
            <w:tcW w:w="646" w:type="pct"/>
            <w:tcBorders>
              <w:tl2br w:val="nil"/>
              <w:tr2bl w:val="nil"/>
            </w:tcBorders>
            <w:shd w:val="clear" w:color="auto" w:fill="auto"/>
            <w:vAlign w:val="center"/>
          </w:tcPr>
          <w:p w14:paraId="6DFBB07F">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415" w:type="pct"/>
            <w:tcBorders>
              <w:tl2br w:val="nil"/>
              <w:tr2bl w:val="nil"/>
            </w:tcBorders>
            <w:shd w:val="clear" w:color="auto" w:fill="auto"/>
            <w:vAlign w:val="center"/>
          </w:tcPr>
          <w:p w14:paraId="15A340DD">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测量、放线</w:t>
            </w:r>
          </w:p>
        </w:tc>
      </w:tr>
      <w:tr w14:paraId="1454BC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14:paraId="247375A2">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1316" w:type="pct"/>
            <w:tcBorders>
              <w:tl2br w:val="nil"/>
              <w:tr2bl w:val="nil"/>
            </w:tcBorders>
            <w:shd w:val="clear" w:color="auto" w:fill="auto"/>
            <w:vAlign w:val="center"/>
          </w:tcPr>
          <w:p w14:paraId="677DD4C2">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试验员</w:t>
            </w:r>
          </w:p>
        </w:tc>
        <w:tc>
          <w:tcPr>
            <w:tcW w:w="646" w:type="pct"/>
            <w:tcBorders>
              <w:tl2br w:val="nil"/>
              <w:tr2bl w:val="nil"/>
            </w:tcBorders>
            <w:shd w:val="clear" w:color="auto" w:fill="auto"/>
            <w:vAlign w:val="center"/>
          </w:tcPr>
          <w:p w14:paraId="1EB17379">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415" w:type="pct"/>
            <w:tcBorders>
              <w:tl2br w:val="nil"/>
              <w:tr2bl w:val="nil"/>
            </w:tcBorders>
            <w:shd w:val="clear" w:color="auto" w:fill="auto"/>
            <w:vAlign w:val="center"/>
          </w:tcPr>
          <w:p w14:paraId="3820F991">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试验、检验</w:t>
            </w:r>
          </w:p>
        </w:tc>
      </w:tr>
      <w:tr w14:paraId="707969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14:paraId="5FD3ECAB">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8</w:t>
            </w:r>
          </w:p>
        </w:tc>
        <w:tc>
          <w:tcPr>
            <w:tcW w:w="1316" w:type="pct"/>
            <w:tcBorders>
              <w:tl2br w:val="nil"/>
              <w:tr2bl w:val="nil"/>
            </w:tcBorders>
            <w:shd w:val="clear" w:color="auto" w:fill="auto"/>
            <w:vAlign w:val="center"/>
          </w:tcPr>
          <w:p w14:paraId="5AEE8CE7">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材料员</w:t>
            </w:r>
          </w:p>
        </w:tc>
        <w:tc>
          <w:tcPr>
            <w:tcW w:w="646" w:type="pct"/>
            <w:tcBorders>
              <w:tl2br w:val="nil"/>
              <w:tr2bl w:val="nil"/>
            </w:tcBorders>
            <w:shd w:val="clear" w:color="auto" w:fill="auto"/>
            <w:vAlign w:val="center"/>
          </w:tcPr>
          <w:p w14:paraId="18E11315">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415" w:type="pct"/>
            <w:tcBorders>
              <w:tl2br w:val="nil"/>
              <w:tr2bl w:val="nil"/>
            </w:tcBorders>
            <w:shd w:val="clear" w:color="auto" w:fill="auto"/>
            <w:vAlign w:val="center"/>
          </w:tcPr>
          <w:p w14:paraId="3D9E61DE">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材料管理</w:t>
            </w:r>
          </w:p>
        </w:tc>
      </w:tr>
      <w:tr w14:paraId="7D5856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14:paraId="780234A5">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9</w:t>
            </w:r>
          </w:p>
        </w:tc>
        <w:tc>
          <w:tcPr>
            <w:tcW w:w="1316" w:type="pct"/>
            <w:tcBorders>
              <w:tl2br w:val="nil"/>
              <w:tr2bl w:val="nil"/>
            </w:tcBorders>
            <w:shd w:val="clear" w:color="auto" w:fill="auto"/>
            <w:vAlign w:val="center"/>
          </w:tcPr>
          <w:p w14:paraId="76CCC6E6">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设备员</w:t>
            </w:r>
          </w:p>
        </w:tc>
        <w:tc>
          <w:tcPr>
            <w:tcW w:w="646" w:type="pct"/>
            <w:tcBorders>
              <w:tl2br w:val="nil"/>
              <w:tr2bl w:val="nil"/>
            </w:tcBorders>
            <w:shd w:val="clear" w:color="auto" w:fill="auto"/>
            <w:vAlign w:val="center"/>
          </w:tcPr>
          <w:p w14:paraId="5A3F4A98">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2415" w:type="pct"/>
            <w:tcBorders>
              <w:tl2br w:val="nil"/>
              <w:tr2bl w:val="nil"/>
            </w:tcBorders>
            <w:shd w:val="clear" w:color="auto" w:fill="auto"/>
            <w:vAlign w:val="center"/>
          </w:tcPr>
          <w:p w14:paraId="359F340F">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机械设备管理</w:t>
            </w:r>
          </w:p>
        </w:tc>
      </w:tr>
      <w:tr w14:paraId="32A659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14:paraId="175DED8D">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10</w:t>
            </w:r>
          </w:p>
        </w:tc>
        <w:tc>
          <w:tcPr>
            <w:tcW w:w="1316" w:type="pct"/>
            <w:tcBorders>
              <w:tl2br w:val="nil"/>
              <w:tr2bl w:val="nil"/>
            </w:tcBorders>
            <w:shd w:val="clear" w:color="auto" w:fill="auto"/>
            <w:vAlign w:val="center"/>
          </w:tcPr>
          <w:p w14:paraId="4830BC0B">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工长</w:t>
            </w:r>
          </w:p>
        </w:tc>
        <w:tc>
          <w:tcPr>
            <w:tcW w:w="646" w:type="pct"/>
            <w:tcBorders>
              <w:tl2br w:val="nil"/>
              <w:tr2bl w:val="nil"/>
            </w:tcBorders>
            <w:shd w:val="clear" w:color="auto" w:fill="auto"/>
            <w:vAlign w:val="center"/>
          </w:tcPr>
          <w:p w14:paraId="222B8A31">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2415" w:type="pct"/>
            <w:tcBorders>
              <w:tl2br w:val="nil"/>
              <w:tr2bl w:val="nil"/>
            </w:tcBorders>
            <w:shd w:val="clear" w:color="auto" w:fill="auto"/>
            <w:vAlign w:val="center"/>
          </w:tcPr>
          <w:p w14:paraId="62C4CB47">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施工安排及现场调度</w:t>
            </w:r>
          </w:p>
        </w:tc>
      </w:tr>
      <w:tr w14:paraId="3A1F92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14:paraId="3FB7D295">
            <w:pPr>
              <w:kinsoku/>
              <w:overflowPunct/>
              <w:topLinePunct w:val="0"/>
              <w:bidi w:val="0"/>
              <w:spacing w:line="360" w:lineRule="atLeas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11</w:t>
            </w:r>
          </w:p>
        </w:tc>
        <w:tc>
          <w:tcPr>
            <w:tcW w:w="1316" w:type="pct"/>
            <w:tcBorders>
              <w:tl2br w:val="nil"/>
              <w:tr2bl w:val="nil"/>
            </w:tcBorders>
            <w:shd w:val="clear" w:color="auto" w:fill="auto"/>
            <w:vAlign w:val="center"/>
          </w:tcPr>
          <w:p w14:paraId="1F058DD3">
            <w:pPr>
              <w:kinsoku/>
              <w:overflowPunct/>
              <w:topLinePunct w:val="0"/>
              <w:bidi w:val="0"/>
              <w:spacing w:line="360" w:lineRule="atLeas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起重指挥</w:t>
            </w:r>
          </w:p>
        </w:tc>
        <w:tc>
          <w:tcPr>
            <w:tcW w:w="646" w:type="pct"/>
            <w:tcBorders>
              <w:tl2br w:val="nil"/>
              <w:tr2bl w:val="nil"/>
            </w:tcBorders>
            <w:shd w:val="clear" w:color="auto" w:fill="auto"/>
            <w:vAlign w:val="center"/>
          </w:tcPr>
          <w:p w14:paraId="5FA4E318">
            <w:pPr>
              <w:kinsoku/>
              <w:overflowPunct/>
              <w:topLinePunct w:val="0"/>
              <w:bidi w:val="0"/>
              <w:spacing w:line="360" w:lineRule="atLeas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2415" w:type="pct"/>
            <w:tcBorders>
              <w:tl2br w:val="nil"/>
              <w:tr2bl w:val="nil"/>
            </w:tcBorders>
            <w:shd w:val="clear" w:color="auto" w:fill="auto"/>
            <w:vAlign w:val="center"/>
          </w:tcPr>
          <w:p w14:paraId="2B25C413">
            <w:pPr>
              <w:kinsoku/>
              <w:overflowPunct/>
              <w:topLinePunct w:val="0"/>
              <w:bidi w:val="0"/>
              <w:spacing w:line="360" w:lineRule="atLeas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塔机</w:t>
            </w:r>
            <w:r>
              <w:rPr>
                <w:rFonts w:hint="eastAsia" w:cs="宋体"/>
                <w:color w:val="auto"/>
                <w:sz w:val="21"/>
                <w:szCs w:val="21"/>
                <w:lang w:val="en-US" w:eastAsia="zh-CN"/>
              </w:rPr>
              <w:t>拆除</w:t>
            </w:r>
            <w:r>
              <w:rPr>
                <w:rFonts w:hint="eastAsia" w:ascii="宋体" w:hAnsi="宋体" w:eastAsia="宋体" w:cs="宋体"/>
                <w:color w:val="auto"/>
                <w:sz w:val="21"/>
                <w:szCs w:val="21"/>
                <w:lang w:val="en-US" w:eastAsia="zh-CN"/>
              </w:rPr>
              <w:t>现场总指挥</w:t>
            </w:r>
          </w:p>
        </w:tc>
      </w:tr>
      <w:tr w14:paraId="1E4E5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14:paraId="4AF6F2DB">
            <w:pPr>
              <w:kinsoku/>
              <w:overflowPunct/>
              <w:topLinePunct w:val="0"/>
              <w:bidi w:val="0"/>
              <w:spacing w:line="360" w:lineRule="atLeas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12</w:t>
            </w:r>
          </w:p>
        </w:tc>
        <w:tc>
          <w:tcPr>
            <w:tcW w:w="1316" w:type="pct"/>
            <w:tcBorders>
              <w:tl2br w:val="nil"/>
              <w:tr2bl w:val="nil"/>
            </w:tcBorders>
            <w:shd w:val="clear" w:color="auto" w:fill="auto"/>
            <w:vAlign w:val="center"/>
          </w:tcPr>
          <w:p w14:paraId="4B1DFE33">
            <w:pPr>
              <w:kinsoku/>
              <w:overflowPunct/>
              <w:topLinePunct w:val="0"/>
              <w:bidi w:val="0"/>
              <w:spacing w:line="360" w:lineRule="atLeas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塔机起重机司机</w:t>
            </w:r>
          </w:p>
        </w:tc>
        <w:tc>
          <w:tcPr>
            <w:tcW w:w="646" w:type="pct"/>
            <w:tcBorders>
              <w:tl2br w:val="nil"/>
              <w:tr2bl w:val="nil"/>
            </w:tcBorders>
            <w:shd w:val="clear" w:color="auto" w:fill="auto"/>
            <w:vAlign w:val="center"/>
          </w:tcPr>
          <w:p w14:paraId="51351380">
            <w:pPr>
              <w:kinsoku/>
              <w:overflowPunct/>
              <w:topLinePunct w:val="0"/>
              <w:bidi w:val="0"/>
              <w:spacing w:line="360" w:lineRule="atLeas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2415" w:type="pct"/>
            <w:tcBorders>
              <w:tl2br w:val="nil"/>
              <w:tr2bl w:val="nil"/>
            </w:tcBorders>
            <w:shd w:val="clear" w:color="auto" w:fill="auto"/>
            <w:vAlign w:val="center"/>
          </w:tcPr>
          <w:p w14:paraId="3171026D">
            <w:pPr>
              <w:kinsoku/>
              <w:overflowPunct/>
              <w:topLinePunct w:val="0"/>
              <w:bidi w:val="0"/>
              <w:spacing w:line="360" w:lineRule="atLeas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塔机</w:t>
            </w:r>
            <w:r>
              <w:rPr>
                <w:rFonts w:hint="eastAsia" w:cs="宋体"/>
                <w:color w:val="auto"/>
                <w:sz w:val="21"/>
                <w:szCs w:val="21"/>
                <w:lang w:val="en-US" w:eastAsia="zh-CN"/>
              </w:rPr>
              <w:t>拆除</w:t>
            </w:r>
            <w:r>
              <w:rPr>
                <w:rFonts w:hint="eastAsia" w:ascii="宋体" w:hAnsi="宋体" w:eastAsia="宋体" w:cs="宋体"/>
                <w:color w:val="auto"/>
                <w:sz w:val="21"/>
                <w:szCs w:val="21"/>
                <w:lang w:val="en-US" w:eastAsia="zh-CN"/>
              </w:rPr>
              <w:t>过程中操作塔机</w:t>
            </w:r>
          </w:p>
        </w:tc>
      </w:tr>
      <w:tr w14:paraId="58A08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21" w:type="pct"/>
            <w:tcBorders>
              <w:tl2br w:val="nil"/>
              <w:tr2bl w:val="nil"/>
            </w:tcBorders>
            <w:shd w:val="clear" w:color="auto" w:fill="auto"/>
            <w:vAlign w:val="center"/>
          </w:tcPr>
          <w:p w14:paraId="035EAD78">
            <w:pPr>
              <w:kinsoku/>
              <w:overflowPunct/>
              <w:topLinePunct w:val="0"/>
              <w:bidi w:val="0"/>
              <w:spacing w:line="360" w:lineRule="atLeas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13</w:t>
            </w:r>
          </w:p>
        </w:tc>
        <w:tc>
          <w:tcPr>
            <w:tcW w:w="1316" w:type="pct"/>
            <w:tcBorders>
              <w:tl2br w:val="nil"/>
              <w:tr2bl w:val="nil"/>
            </w:tcBorders>
            <w:shd w:val="clear" w:color="auto" w:fill="auto"/>
            <w:vAlign w:val="center"/>
          </w:tcPr>
          <w:p w14:paraId="715EC747">
            <w:pPr>
              <w:kinsoku/>
              <w:overflowPunct/>
              <w:topLinePunct w:val="0"/>
              <w:bidi w:val="0"/>
              <w:spacing w:line="360" w:lineRule="atLeas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辅助机械司机</w:t>
            </w:r>
          </w:p>
        </w:tc>
        <w:tc>
          <w:tcPr>
            <w:tcW w:w="646" w:type="pct"/>
            <w:tcBorders>
              <w:tl2br w:val="nil"/>
              <w:tr2bl w:val="nil"/>
            </w:tcBorders>
            <w:shd w:val="clear" w:color="auto" w:fill="auto"/>
            <w:vAlign w:val="center"/>
          </w:tcPr>
          <w:p w14:paraId="10432EAF">
            <w:pPr>
              <w:kinsoku/>
              <w:overflowPunct/>
              <w:topLinePunct w:val="0"/>
              <w:bidi w:val="0"/>
              <w:spacing w:line="360" w:lineRule="atLeas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w:t>
            </w:r>
          </w:p>
        </w:tc>
        <w:tc>
          <w:tcPr>
            <w:tcW w:w="2415" w:type="pct"/>
            <w:tcBorders>
              <w:tl2br w:val="nil"/>
              <w:tr2bl w:val="nil"/>
            </w:tcBorders>
            <w:shd w:val="clear" w:color="auto" w:fill="auto"/>
            <w:vAlign w:val="center"/>
          </w:tcPr>
          <w:p w14:paraId="24B84659">
            <w:pPr>
              <w:kinsoku/>
              <w:overflowPunct/>
              <w:topLinePunct w:val="0"/>
              <w:bidi w:val="0"/>
              <w:spacing w:line="360" w:lineRule="atLeast"/>
              <w:ind w:left="0" w:leftChars="0" w:firstLine="0" w:firstLineChars="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塔机</w:t>
            </w:r>
            <w:r>
              <w:rPr>
                <w:rFonts w:hint="eastAsia" w:cs="宋体"/>
                <w:color w:val="auto"/>
                <w:sz w:val="21"/>
                <w:szCs w:val="21"/>
                <w:lang w:val="en-US" w:eastAsia="zh-CN"/>
              </w:rPr>
              <w:t>拆除</w:t>
            </w:r>
            <w:r>
              <w:rPr>
                <w:rFonts w:hint="eastAsia" w:ascii="宋体" w:hAnsi="宋体" w:eastAsia="宋体" w:cs="宋体"/>
                <w:color w:val="auto"/>
                <w:sz w:val="21"/>
                <w:szCs w:val="21"/>
                <w:lang w:val="en-US" w:eastAsia="zh-CN"/>
              </w:rPr>
              <w:t>过程中上操作</w:t>
            </w:r>
            <w:r>
              <w:rPr>
                <w:rFonts w:hint="eastAsia" w:cs="宋体"/>
                <w:color w:val="auto"/>
                <w:sz w:val="21"/>
                <w:szCs w:val="21"/>
                <w:lang w:val="en-US" w:eastAsia="zh-CN"/>
              </w:rPr>
              <w:t>汽车吊</w:t>
            </w:r>
          </w:p>
        </w:tc>
      </w:tr>
      <w:tr w14:paraId="0EE6DB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938" w:type="pct"/>
            <w:gridSpan w:val="2"/>
            <w:tcBorders>
              <w:tl2br w:val="nil"/>
              <w:tr2bl w:val="nil"/>
            </w:tcBorders>
            <w:shd w:val="clear" w:color="auto" w:fill="auto"/>
            <w:vAlign w:val="center"/>
          </w:tcPr>
          <w:p w14:paraId="77A2A69C">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合计</w:t>
            </w:r>
          </w:p>
        </w:tc>
        <w:tc>
          <w:tcPr>
            <w:tcW w:w="646" w:type="pct"/>
            <w:tcBorders>
              <w:tl2br w:val="nil"/>
              <w:tr2bl w:val="nil"/>
            </w:tcBorders>
            <w:shd w:val="clear" w:color="auto" w:fill="auto"/>
            <w:vAlign w:val="center"/>
          </w:tcPr>
          <w:p w14:paraId="64EC3A29">
            <w:pPr>
              <w:kinsoku/>
              <w:overflowPunct/>
              <w:topLinePunct w:val="0"/>
              <w:bidi w:val="0"/>
              <w:spacing w:line="360" w:lineRule="atLeast"/>
              <w:ind w:left="0" w:lef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2</w:t>
            </w:r>
            <w:r>
              <w:rPr>
                <w:rFonts w:hint="eastAsia" w:ascii="宋体" w:hAnsi="宋体" w:eastAsia="宋体" w:cs="宋体"/>
                <w:sz w:val="21"/>
                <w:szCs w:val="21"/>
                <w:lang w:val="en-US" w:eastAsia="zh-CN"/>
              </w:rPr>
              <w:t>4</w:t>
            </w:r>
          </w:p>
        </w:tc>
        <w:tc>
          <w:tcPr>
            <w:tcW w:w="2415" w:type="pct"/>
            <w:tcBorders>
              <w:tl2br w:val="nil"/>
              <w:tr2bl w:val="nil"/>
            </w:tcBorders>
            <w:shd w:val="clear" w:color="auto" w:fill="auto"/>
            <w:vAlign w:val="center"/>
          </w:tcPr>
          <w:p w14:paraId="749321C9">
            <w:pPr>
              <w:kinsoku/>
              <w:overflowPunct/>
              <w:topLinePunct w:val="0"/>
              <w:bidi w:val="0"/>
              <w:spacing w:line="360" w:lineRule="atLeast"/>
              <w:ind w:firstLine="420"/>
              <w:jc w:val="center"/>
              <w:rPr>
                <w:rFonts w:hint="eastAsia" w:ascii="宋体" w:hAnsi="宋体" w:eastAsia="宋体" w:cs="宋体"/>
                <w:sz w:val="21"/>
                <w:szCs w:val="21"/>
              </w:rPr>
            </w:pPr>
          </w:p>
        </w:tc>
      </w:tr>
    </w:tbl>
    <w:p w14:paraId="6659E2F4">
      <w:pPr>
        <w:pStyle w:val="3"/>
        <w:keepNext w:val="0"/>
        <w:pageBreakBefore w:val="0"/>
        <w:widowControl w:val="0"/>
        <w:numPr>
          <w:ilvl w:val="1"/>
          <w:numId w:val="1"/>
        </w:numPr>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78" w:name="_Toc51089992"/>
      <w:bookmarkStart w:id="79" w:name="_Toc32318"/>
      <w:bookmarkStart w:id="80" w:name="_Toc122514843"/>
      <w:bookmarkStart w:id="81" w:name="_Toc28464"/>
      <w:r>
        <w:rPr>
          <w:rFonts w:hint="eastAsia" w:ascii="宋体" w:hAnsi="宋体" w:eastAsia="宋体" w:cs="宋体"/>
          <w:sz w:val="24"/>
          <w:szCs w:val="24"/>
        </w:rPr>
        <w:t>专职安全生产管理人员配备和分工</w:t>
      </w:r>
      <w:bookmarkEnd w:id="78"/>
      <w:bookmarkEnd w:id="79"/>
      <w:bookmarkEnd w:id="80"/>
      <w:bookmarkEnd w:id="81"/>
    </w:p>
    <w:p w14:paraId="26E4ED19">
      <w:pPr>
        <w:bidi w:val="0"/>
        <w:rPr>
          <w:rFonts w:hint="eastAsia"/>
        </w:rPr>
      </w:pPr>
      <w:r>
        <w:rPr>
          <w:rFonts w:hint="eastAsia"/>
        </w:rPr>
        <w:t>施工专职安全生产管理人员配备和分工见表7.2-1。</w:t>
      </w:r>
    </w:p>
    <w:p w14:paraId="16EFDE04">
      <w:pPr>
        <w:pStyle w:val="382"/>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表</w:t>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STYLEREF 2\s</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7.2</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fldChar w:fldCharType="begin"/>
      </w:r>
      <w:r>
        <w:rPr>
          <w:rFonts w:hint="eastAsia" w:ascii="宋体" w:hAnsi="宋体" w:eastAsia="宋体" w:cs="宋体"/>
          <w:b w:val="0"/>
          <w:bCs w:val="0"/>
          <w:sz w:val="24"/>
          <w:szCs w:val="24"/>
        </w:rPr>
        <w:instrText xml:space="preserve">SEQ表\*ARABIC\s 2</w:instrText>
      </w:r>
      <w:r>
        <w:rPr>
          <w:rFonts w:hint="eastAsia" w:ascii="宋体" w:hAnsi="宋体" w:eastAsia="宋体" w:cs="宋体"/>
          <w:b w:val="0"/>
          <w:bCs w:val="0"/>
          <w:sz w:val="24"/>
          <w:szCs w:val="24"/>
        </w:rPr>
        <w:fldChar w:fldCharType="separate"/>
      </w:r>
      <w:r>
        <w:rPr>
          <w:rFonts w:hint="eastAsia" w:ascii="宋体" w:hAnsi="宋体" w:eastAsia="宋体" w:cs="宋体"/>
          <w:b w:val="0"/>
          <w:bCs w:val="0"/>
          <w:sz w:val="24"/>
          <w:szCs w:val="24"/>
        </w:rPr>
        <w:t>1</w:t>
      </w:r>
      <w:r>
        <w:rPr>
          <w:rFonts w:hint="eastAsia" w:ascii="宋体" w:hAnsi="宋体" w:eastAsia="宋体" w:cs="宋体"/>
          <w:b w:val="0"/>
          <w:bCs w:val="0"/>
          <w:sz w:val="24"/>
          <w:szCs w:val="24"/>
        </w:rPr>
        <w:fldChar w:fldCharType="end"/>
      </w:r>
      <w:r>
        <w:rPr>
          <w:rFonts w:hint="eastAsia" w:ascii="宋体" w:hAnsi="宋体" w:eastAsia="宋体" w:cs="宋体"/>
          <w:b w:val="0"/>
          <w:bCs w:val="0"/>
          <w:sz w:val="24"/>
          <w:szCs w:val="24"/>
        </w:rPr>
        <w:t>专职安全生产管理人员配备和分工表</w:t>
      </w:r>
    </w:p>
    <w:tbl>
      <w:tblPr>
        <w:tblStyle w:val="41"/>
        <w:tblW w:w="9834"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Layout w:type="fixed"/>
        <w:tblCellMar>
          <w:top w:w="0" w:type="dxa"/>
          <w:left w:w="108" w:type="dxa"/>
          <w:bottom w:w="0" w:type="dxa"/>
          <w:right w:w="108" w:type="dxa"/>
        </w:tblCellMar>
      </w:tblPr>
      <w:tblGrid>
        <w:gridCol w:w="1348"/>
        <w:gridCol w:w="2295"/>
        <w:gridCol w:w="1185"/>
        <w:gridCol w:w="5006"/>
      </w:tblGrid>
      <w:tr w14:paraId="57B328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exact"/>
        </w:trPr>
        <w:tc>
          <w:tcPr>
            <w:tcW w:w="1348" w:type="dxa"/>
            <w:tcBorders>
              <w:tl2br w:val="nil"/>
              <w:tr2bl w:val="nil"/>
            </w:tcBorders>
            <w:shd w:val="clear" w:color="auto" w:fill="FFFFFF"/>
            <w:vAlign w:val="center"/>
          </w:tcPr>
          <w:p w14:paraId="08AC05E8">
            <w:pPr>
              <w:kinsoku/>
              <w:overflowPunct/>
              <w:topLinePunct w:val="0"/>
              <w:bidi w:val="0"/>
              <w:spacing w:line="360" w:lineRule="atLeast"/>
              <w:ind w:left="0" w:lef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2295" w:type="dxa"/>
            <w:tcBorders>
              <w:tl2br w:val="nil"/>
              <w:tr2bl w:val="nil"/>
            </w:tcBorders>
            <w:shd w:val="clear" w:color="auto" w:fill="FFFFFF"/>
            <w:vAlign w:val="center"/>
          </w:tcPr>
          <w:p w14:paraId="2CAE1332">
            <w:pPr>
              <w:kinsoku/>
              <w:overflowPunct/>
              <w:topLinePunct w:val="0"/>
              <w:bidi w:val="0"/>
              <w:spacing w:line="360" w:lineRule="atLeast"/>
              <w:ind w:left="0" w:lef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岗位</w:t>
            </w:r>
          </w:p>
        </w:tc>
        <w:tc>
          <w:tcPr>
            <w:tcW w:w="1185" w:type="dxa"/>
            <w:tcBorders>
              <w:tl2br w:val="nil"/>
              <w:tr2bl w:val="nil"/>
            </w:tcBorders>
            <w:shd w:val="clear" w:color="auto" w:fill="FFFFFF"/>
            <w:vAlign w:val="center"/>
          </w:tcPr>
          <w:p w14:paraId="58822A47">
            <w:pPr>
              <w:kinsoku/>
              <w:overflowPunct/>
              <w:topLinePunct w:val="0"/>
              <w:bidi w:val="0"/>
              <w:spacing w:line="360" w:lineRule="atLeast"/>
              <w:ind w:left="0" w:lef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人数</w:t>
            </w:r>
          </w:p>
        </w:tc>
        <w:tc>
          <w:tcPr>
            <w:tcW w:w="5006" w:type="dxa"/>
            <w:tcBorders>
              <w:tl2br w:val="nil"/>
              <w:tr2bl w:val="nil"/>
            </w:tcBorders>
            <w:shd w:val="clear" w:color="auto" w:fill="FFFFFF"/>
            <w:vAlign w:val="center"/>
          </w:tcPr>
          <w:p w14:paraId="574B2798">
            <w:pPr>
              <w:kinsoku/>
              <w:overflowPunct/>
              <w:topLinePunct w:val="0"/>
              <w:bidi w:val="0"/>
              <w:spacing w:line="360" w:lineRule="atLeast"/>
              <w:ind w:left="0" w:leftChars="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责任分工</w:t>
            </w:r>
          </w:p>
        </w:tc>
      </w:tr>
      <w:tr w14:paraId="2B784C1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exact"/>
        </w:trPr>
        <w:tc>
          <w:tcPr>
            <w:tcW w:w="1348" w:type="dxa"/>
            <w:tcBorders>
              <w:tl2br w:val="nil"/>
              <w:tr2bl w:val="nil"/>
            </w:tcBorders>
            <w:shd w:val="clear" w:color="auto" w:fill="FFFFFF"/>
            <w:vAlign w:val="center"/>
          </w:tcPr>
          <w:p w14:paraId="3077A761">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2295" w:type="dxa"/>
            <w:tcBorders>
              <w:tl2br w:val="nil"/>
              <w:tr2bl w:val="nil"/>
            </w:tcBorders>
            <w:shd w:val="clear" w:color="auto" w:fill="FFFFFF"/>
            <w:vAlign w:val="center"/>
          </w:tcPr>
          <w:p w14:paraId="7DA30FD2">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安全总监</w:t>
            </w:r>
          </w:p>
        </w:tc>
        <w:tc>
          <w:tcPr>
            <w:tcW w:w="1185" w:type="dxa"/>
            <w:tcBorders>
              <w:tl2br w:val="nil"/>
              <w:tr2bl w:val="nil"/>
            </w:tcBorders>
            <w:shd w:val="clear" w:color="auto" w:fill="FFFFFF"/>
            <w:vAlign w:val="center"/>
          </w:tcPr>
          <w:p w14:paraId="575AEF73">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5006" w:type="dxa"/>
            <w:tcBorders>
              <w:tl2br w:val="nil"/>
              <w:tr2bl w:val="nil"/>
            </w:tcBorders>
            <w:shd w:val="clear" w:color="auto" w:fill="FFFFFF"/>
            <w:vAlign w:val="center"/>
          </w:tcPr>
          <w:p w14:paraId="6F5399F9">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全面负责安全生产工作</w:t>
            </w:r>
          </w:p>
        </w:tc>
      </w:tr>
      <w:tr w14:paraId="352DA2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exact"/>
        </w:trPr>
        <w:tc>
          <w:tcPr>
            <w:tcW w:w="1348" w:type="dxa"/>
            <w:tcBorders>
              <w:tl2br w:val="nil"/>
              <w:tr2bl w:val="nil"/>
            </w:tcBorders>
            <w:shd w:val="clear" w:color="auto" w:fill="FFFFFF"/>
            <w:vAlign w:val="center"/>
          </w:tcPr>
          <w:p w14:paraId="2F384B24">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295" w:type="dxa"/>
            <w:tcBorders>
              <w:tl2br w:val="nil"/>
              <w:tr2bl w:val="nil"/>
            </w:tcBorders>
            <w:shd w:val="clear" w:color="auto" w:fill="FFFFFF"/>
            <w:vAlign w:val="center"/>
          </w:tcPr>
          <w:p w14:paraId="2DB28BA5">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专职安全员</w:t>
            </w:r>
          </w:p>
        </w:tc>
        <w:tc>
          <w:tcPr>
            <w:tcW w:w="1185" w:type="dxa"/>
            <w:tcBorders>
              <w:tl2br w:val="nil"/>
              <w:tr2bl w:val="nil"/>
            </w:tcBorders>
            <w:shd w:val="clear" w:color="auto" w:fill="FFFFFF"/>
            <w:vAlign w:val="center"/>
          </w:tcPr>
          <w:p w14:paraId="08825AE4">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5006" w:type="dxa"/>
            <w:tcBorders>
              <w:tl2br w:val="nil"/>
              <w:tr2bl w:val="nil"/>
            </w:tcBorders>
            <w:shd w:val="clear" w:color="auto" w:fill="FFFFFF"/>
            <w:vAlign w:val="center"/>
          </w:tcPr>
          <w:p w14:paraId="39C1B6F0">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现场安全、文明施工监督</w:t>
            </w:r>
          </w:p>
        </w:tc>
      </w:tr>
      <w:tr w14:paraId="20EE7F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108" w:type="dxa"/>
            <w:bottom w:w="0" w:type="dxa"/>
            <w:right w:w="108" w:type="dxa"/>
          </w:tblCellMar>
        </w:tblPrEx>
        <w:trPr>
          <w:trHeight w:val="454" w:hRule="exact"/>
        </w:trPr>
        <w:tc>
          <w:tcPr>
            <w:tcW w:w="3643" w:type="dxa"/>
            <w:gridSpan w:val="2"/>
            <w:tcBorders>
              <w:tl2br w:val="nil"/>
              <w:tr2bl w:val="nil"/>
            </w:tcBorders>
            <w:shd w:val="clear" w:color="auto" w:fill="FFFFFF"/>
            <w:vAlign w:val="center"/>
          </w:tcPr>
          <w:p w14:paraId="1F63D5A6">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合计</w:t>
            </w:r>
          </w:p>
        </w:tc>
        <w:tc>
          <w:tcPr>
            <w:tcW w:w="1185" w:type="dxa"/>
            <w:tcBorders>
              <w:tl2br w:val="nil"/>
              <w:tr2bl w:val="nil"/>
            </w:tcBorders>
            <w:shd w:val="clear" w:color="auto" w:fill="FFFFFF"/>
            <w:vAlign w:val="center"/>
          </w:tcPr>
          <w:p w14:paraId="78E94E51">
            <w:pPr>
              <w:kinsoku/>
              <w:overflowPunct/>
              <w:topLinePunct w:val="0"/>
              <w:bidi w:val="0"/>
              <w:spacing w:line="360" w:lineRule="atLeas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5006" w:type="dxa"/>
            <w:tcBorders>
              <w:tl2br w:val="nil"/>
              <w:tr2bl w:val="nil"/>
            </w:tcBorders>
            <w:shd w:val="clear" w:color="auto" w:fill="FFFFFF"/>
            <w:vAlign w:val="center"/>
          </w:tcPr>
          <w:p w14:paraId="026C6B0C">
            <w:pPr>
              <w:kinsoku/>
              <w:overflowPunct/>
              <w:topLinePunct w:val="0"/>
              <w:bidi w:val="0"/>
              <w:spacing w:line="360" w:lineRule="atLeast"/>
              <w:ind w:left="0" w:leftChars="0" w:firstLine="0" w:firstLineChars="0"/>
              <w:jc w:val="center"/>
              <w:rPr>
                <w:rFonts w:hint="eastAsia" w:ascii="宋体" w:hAnsi="宋体" w:eastAsia="宋体" w:cs="宋体"/>
                <w:sz w:val="21"/>
                <w:szCs w:val="21"/>
              </w:rPr>
            </w:pPr>
          </w:p>
        </w:tc>
      </w:tr>
    </w:tbl>
    <w:p w14:paraId="003F8FAF">
      <w:pPr>
        <w:pStyle w:val="13"/>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sz w:val="24"/>
          <w:szCs w:val="24"/>
        </w:rPr>
        <w:t>表7.2-2</w:t>
      </w:r>
      <w:r>
        <w:rPr>
          <w:rFonts w:hint="eastAsia" w:ascii="宋体" w:hAnsi="宋体" w:cs="宋体"/>
          <w:bCs/>
          <w:color w:val="000000" w:themeColor="text1"/>
          <w:sz w:val="24"/>
          <w:szCs w:val="24"/>
          <w:lang w:eastAsia="zh-CN"/>
          <w14:textFill>
            <w14:solidFill>
              <w14:schemeClr w14:val="tx1"/>
            </w14:solidFill>
          </w14:textFill>
        </w:rPr>
        <w:t>拆除</w:t>
      </w:r>
      <w:r>
        <w:rPr>
          <w:rFonts w:hint="eastAsia" w:ascii="宋体" w:hAnsi="宋体" w:eastAsia="宋体" w:cs="宋体"/>
          <w:bCs/>
          <w:color w:val="000000" w:themeColor="text1"/>
          <w:sz w:val="24"/>
          <w:szCs w:val="24"/>
          <w14:textFill>
            <w14:solidFill>
              <w14:schemeClr w14:val="tx1"/>
            </w14:solidFill>
          </w14:textFill>
        </w:rPr>
        <w:t>专业分包单位管理人员及</w:t>
      </w:r>
      <w:r>
        <w:rPr>
          <w:rFonts w:hint="eastAsia" w:ascii="宋体" w:hAnsi="宋体" w:cs="宋体"/>
          <w:bCs/>
          <w:color w:val="000000" w:themeColor="text1"/>
          <w:sz w:val="24"/>
          <w:szCs w:val="24"/>
          <w:lang w:eastAsia="zh-CN"/>
          <w14:textFill>
            <w14:solidFill>
              <w14:schemeClr w14:val="tx1"/>
            </w14:solidFill>
          </w14:textFill>
        </w:rPr>
        <w:t>拆除</w:t>
      </w:r>
      <w:r>
        <w:rPr>
          <w:rFonts w:hint="eastAsia" w:ascii="宋体" w:hAnsi="宋体" w:eastAsia="宋体" w:cs="宋体"/>
          <w:bCs/>
          <w:color w:val="000000" w:themeColor="text1"/>
          <w:sz w:val="24"/>
          <w:szCs w:val="24"/>
          <w14:textFill>
            <w14:solidFill>
              <w14:schemeClr w14:val="tx1"/>
            </w14:solidFill>
          </w14:textFill>
        </w:rPr>
        <w:t>人员名单汇总表</w:t>
      </w:r>
    </w:p>
    <w:tbl>
      <w:tblPr>
        <w:tblStyle w:val="154"/>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809"/>
        <w:gridCol w:w="900"/>
        <w:gridCol w:w="1691"/>
        <w:gridCol w:w="2112"/>
        <w:gridCol w:w="2292"/>
        <w:gridCol w:w="2051"/>
      </w:tblGrid>
      <w:tr w14:paraId="1CAFDD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9855" w:type="dxa"/>
            <w:gridSpan w:val="6"/>
            <w:tcBorders>
              <w:tl2br w:val="nil"/>
              <w:tr2bl w:val="nil"/>
            </w:tcBorders>
            <w:shd w:val="clear" w:color="auto" w:fill="auto"/>
            <w:vAlign w:val="center"/>
          </w:tcPr>
          <w:p w14:paraId="656F9585">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rPr>
            </w:pPr>
            <w:r>
              <w:rPr>
                <w:rStyle w:val="215"/>
                <w:rFonts w:hint="eastAsia" w:ascii="宋体" w:hAnsi="宋体" w:eastAsia="宋体" w:cs="宋体"/>
                <w:b/>
                <w:i w:val="0"/>
                <w:sz w:val="21"/>
                <w:szCs w:val="21"/>
              </w:rPr>
              <w:t>拟投入安全管理人员及技术人员名单</w:t>
            </w:r>
          </w:p>
        </w:tc>
      </w:tr>
      <w:tr w14:paraId="6FCD2A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9" w:type="dxa"/>
            <w:tcBorders>
              <w:tl2br w:val="nil"/>
              <w:tr2bl w:val="nil"/>
            </w:tcBorders>
            <w:shd w:val="clear" w:color="auto" w:fill="auto"/>
            <w:vAlign w:val="center"/>
          </w:tcPr>
          <w:p w14:paraId="032C4B7E">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lang w:val="en-US" w:eastAsia="zh-CN"/>
              </w:rPr>
            </w:pPr>
            <w:r>
              <w:rPr>
                <w:rStyle w:val="215"/>
                <w:rFonts w:hint="eastAsia" w:ascii="宋体" w:hAnsi="宋体" w:eastAsia="宋体" w:cs="宋体"/>
                <w:b w:val="0"/>
                <w:i w:val="0"/>
                <w:sz w:val="21"/>
                <w:szCs w:val="21"/>
                <w:lang w:val="en-US" w:eastAsia="zh-CN"/>
              </w:rPr>
              <w:t>序号</w:t>
            </w:r>
          </w:p>
        </w:tc>
        <w:tc>
          <w:tcPr>
            <w:tcW w:w="900" w:type="dxa"/>
            <w:tcBorders>
              <w:tl2br w:val="nil"/>
              <w:tr2bl w:val="nil"/>
            </w:tcBorders>
            <w:shd w:val="clear" w:color="auto" w:fill="auto"/>
            <w:vAlign w:val="center"/>
          </w:tcPr>
          <w:p w14:paraId="30ABBECC">
            <w:pPr>
              <w:kinsoku/>
              <w:overflowPunct/>
              <w:topLinePunct w:val="0"/>
              <w:bidi w:val="0"/>
              <w:spacing w:line="360" w:lineRule="atLeast"/>
              <w:ind w:firstLine="0" w:firstLineChars="0"/>
              <w:jc w:val="center"/>
              <w:rPr>
                <w:rStyle w:val="215"/>
                <w:rFonts w:hint="eastAsia" w:ascii="宋体" w:hAnsi="宋体" w:eastAsia="宋体" w:cs="宋体"/>
                <w:sz w:val="21"/>
                <w:szCs w:val="21"/>
              </w:rPr>
            </w:pPr>
            <w:r>
              <w:rPr>
                <w:rStyle w:val="215"/>
                <w:rFonts w:hint="eastAsia" w:ascii="宋体" w:hAnsi="宋体" w:eastAsia="宋体" w:cs="宋体"/>
                <w:b w:val="0"/>
                <w:i w:val="0"/>
                <w:sz w:val="21"/>
                <w:szCs w:val="21"/>
              </w:rPr>
              <w:t>姓名</w:t>
            </w:r>
          </w:p>
        </w:tc>
        <w:tc>
          <w:tcPr>
            <w:tcW w:w="1691" w:type="dxa"/>
            <w:tcBorders>
              <w:tl2br w:val="nil"/>
              <w:tr2bl w:val="nil"/>
            </w:tcBorders>
            <w:shd w:val="clear" w:color="auto" w:fill="auto"/>
            <w:vAlign w:val="center"/>
          </w:tcPr>
          <w:p w14:paraId="4A422FF3">
            <w:pPr>
              <w:kinsoku/>
              <w:overflowPunct/>
              <w:topLinePunct w:val="0"/>
              <w:bidi w:val="0"/>
              <w:spacing w:line="360" w:lineRule="atLeast"/>
              <w:ind w:firstLine="0" w:firstLineChars="0"/>
              <w:jc w:val="center"/>
              <w:rPr>
                <w:rStyle w:val="215"/>
                <w:rFonts w:hint="eastAsia" w:ascii="宋体" w:hAnsi="宋体" w:eastAsia="宋体" w:cs="宋体"/>
                <w:sz w:val="21"/>
                <w:szCs w:val="21"/>
              </w:rPr>
            </w:pPr>
            <w:r>
              <w:rPr>
                <w:rStyle w:val="215"/>
                <w:rFonts w:hint="eastAsia" w:ascii="宋体" w:hAnsi="宋体" w:eastAsia="宋体" w:cs="宋体"/>
                <w:sz w:val="21"/>
                <w:szCs w:val="21"/>
              </w:rPr>
              <w:t>职务/工种</w:t>
            </w:r>
          </w:p>
        </w:tc>
        <w:tc>
          <w:tcPr>
            <w:tcW w:w="2112" w:type="dxa"/>
            <w:tcBorders>
              <w:tl2br w:val="nil"/>
              <w:tr2bl w:val="nil"/>
            </w:tcBorders>
            <w:shd w:val="clear" w:color="auto" w:fill="auto"/>
            <w:vAlign w:val="center"/>
          </w:tcPr>
          <w:p w14:paraId="577C4630">
            <w:pPr>
              <w:kinsoku/>
              <w:overflowPunct/>
              <w:topLinePunct w:val="0"/>
              <w:bidi w:val="0"/>
              <w:spacing w:line="360" w:lineRule="atLeast"/>
              <w:ind w:firstLine="0" w:firstLineChars="0"/>
              <w:jc w:val="center"/>
              <w:rPr>
                <w:rStyle w:val="215"/>
                <w:rFonts w:hint="eastAsia" w:ascii="宋体" w:hAnsi="宋体" w:eastAsia="宋体" w:cs="宋体"/>
                <w:sz w:val="21"/>
                <w:szCs w:val="21"/>
              </w:rPr>
            </w:pPr>
            <w:r>
              <w:rPr>
                <w:rStyle w:val="215"/>
                <w:rFonts w:hint="eastAsia" w:ascii="宋体" w:hAnsi="宋体" w:eastAsia="宋体" w:cs="宋体"/>
                <w:sz w:val="21"/>
                <w:szCs w:val="21"/>
              </w:rPr>
              <w:t>身份证号码</w:t>
            </w:r>
          </w:p>
        </w:tc>
        <w:tc>
          <w:tcPr>
            <w:tcW w:w="2292" w:type="dxa"/>
            <w:tcBorders>
              <w:tl2br w:val="nil"/>
              <w:tr2bl w:val="nil"/>
            </w:tcBorders>
            <w:shd w:val="clear" w:color="auto" w:fill="auto"/>
            <w:vAlign w:val="center"/>
          </w:tcPr>
          <w:p w14:paraId="688A5631">
            <w:pPr>
              <w:kinsoku/>
              <w:overflowPunct/>
              <w:topLinePunct w:val="0"/>
              <w:bidi w:val="0"/>
              <w:spacing w:line="360" w:lineRule="atLeast"/>
              <w:ind w:firstLine="0" w:firstLineChars="0"/>
              <w:jc w:val="center"/>
              <w:rPr>
                <w:rStyle w:val="215"/>
                <w:rFonts w:hint="eastAsia" w:ascii="宋体" w:hAnsi="宋体" w:eastAsia="宋体" w:cs="宋体"/>
                <w:sz w:val="21"/>
                <w:szCs w:val="21"/>
              </w:rPr>
            </w:pPr>
            <w:r>
              <w:rPr>
                <w:rStyle w:val="215"/>
                <w:rFonts w:hint="eastAsia" w:ascii="宋体" w:hAnsi="宋体" w:eastAsia="宋体" w:cs="宋体"/>
                <w:sz w:val="21"/>
                <w:szCs w:val="21"/>
              </w:rPr>
              <w:t>作业证号</w:t>
            </w:r>
          </w:p>
        </w:tc>
        <w:tc>
          <w:tcPr>
            <w:tcW w:w="2051" w:type="dxa"/>
            <w:tcBorders>
              <w:tl2br w:val="nil"/>
              <w:tr2bl w:val="nil"/>
            </w:tcBorders>
            <w:shd w:val="clear" w:color="auto" w:fill="auto"/>
            <w:vAlign w:val="center"/>
          </w:tcPr>
          <w:p w14:paraId="3CDBFC33">
            <w:pPr>
              <w:kinsoku/>
              <w:overflowPunct/>
              <w:topLinePunct w:val="0"/>
              <w:bidi w:val="0"/>
              <w:spacing w:line="360" w:lineRule="atLeast"/>
              <w:ind w:firstLine="0" w:firstLineChars="0"/>
              <w:jc w:val="center"/>
              <w:rPr>
                <w:rStyle w:val="215"/>
                <w:rFonts w:hint="eastAsia" w:ascii="宋体" w:hAnsi="宋体" w:eastAsia="宋体" w:cs="宋体"/>
                <w:sz w:val="21"/>
                <w:szCs w:val="21"/>
              </w:rPr>
            </w:pPr>
            <w:r>
              <w:rPr>
                <w:rStyle w:val="215"/>
                <w:rFonts w:hint="eastAsia" w:ascii="宋体" w:hAnsi="宋体" w:eastAsia="宋体" w:cs="宋体"/>
                <w:sz w:val="21"/>
                <w:szCs w:val="21"/>
              </w:rPr>
              <w:t>工作内容</w:t>
            </w:r>
          </w:p>
        </w:tc>
      </w:tr>
      <w:tr w14:paraId="13A91B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9" w:type="dxa"/>
            <w:tcBorders>
              <w:tl2br w:val="nil"/>
              <w:tr2bl w:val="nil"/>
            </w:tcBorders>
            <w:shd w:val="clear" w:color="auto" w:fill="auto"/>
            <w:vAlign w:val="center"/>
          </w:tcPr>
          <w:p w14:paraId="40C5B7AC">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lang w:val="en-US" w:eastAsia="zh-CN"/>
              </w:rPr>
            </w:pPr>
            <w:r>
              <w:rPr>
                <w:rStyle w:val="215"/>
                <w:rFonts w:hint="eastAsia" w:ascii="宋体" w:hAnsi="宋体" w:eastAsia="宋体" w:cs="宋体"/>
                <w:b w:val="0"/>
                <w:i w:val="0"/>
                <w:sz w:val="21"/>
                <w:szCs w:val="21"/>
                <w:lang w:val="en-US" w:eastAsia="zh-CN"/>
              </w:rPr>
              <w:t>1</w:t>
            </w:r>
          </w:p>
        </w:tc>
        <w:tc>
          <w:tcPr>
            <w:tcW w:w="900" w:type="dxa"/>
            <w:tcBorders>
              <w:tl2br w:val="nil"/>
              <w:tr2bl w:val="nil"/>
            </w:tcBorders>
            <w:shd w:val="clear" w:color="auto" w:fill="auto"/>
            <w:vAlign w:val="center"/>
          </w:tcPr>
          <w:p w14:paraId="0BB81300">
            <w:pPr>
              <w:spacing w:line="240" w:lineRule="auto"/>
              <w:ind w:firstLine="0" w:firstLineChars="0"/>
              <w:jc w:val="center"/>
              <w:rPr>
                <w:rStyle w:val="215"/>
                <w:rFonts w:hint="eastAsia" w:ascii="宋体" w:hAnsi="宋体" w:eastAsia="宋体" w:cs="宋体"/>
                <w:sz w:val="21"/>
                <w:szCs w:val="21"/>
                <w:lang w:val="en-US" w:eastAsia="zh-CN"/>
              </w:rPr>
            </w:pPr>
            <w:r>
              <w:rPr>
                <w:rFonts w:hint="eastAsia" w:cs="宋体"/>
                <w:b w:val="0"/>
                <w:i w:val="0"/>
                <w:color w:val="auto"/>
                <w:sz w:val="21"/>
                <w:szCs w:val="21"/>
                <w:lang w:eastAsia="zh-CN"/>
              </w:rPr>
              <w:t>温涛</w:t>
            </w:r>
          </w:p>
        </w:tc>
        <w:tc>
          <w:tcPr>
            <w:tcW w:w="1691" w:type="dxa"/>
            <w:tcBorders>
              <w:tl2br w:val="nil"/>
              <w:tr2bl w:val="nil"/>
            </w:tcBorders>
            <w:shd w:val="clear" w:color="auto" w:fill="auto"/>
            <w:vAlign w:val="center"/>
          </w:tcPr>
          <w:p w14:paraId="0F6EED37">
            <w:pPr>
              <w:spacing w:line="240" w:lineRule="auto"/>
              <w:ind w:firstLine="0" w:firstLineChars="0"/>
              <w:jc w:val="center"/>
              <w:rPr>
                <w:rStyle w:val="215"/>
                <w:rFonts w:hint="eastAsia" w:ascii="宋体" w:hAnsi="宋体" w:eastAsia="宋体" w:cs="宋体"/>
                <w:sz w:val="21"/>
                <w:szCs w:val="21"/>
                <w:lang w:val="en-US" w:eastAsia="zh-CN"/>
              </w:rPr>
            </w:pPr>
            <w:r>
              <w:rPr>
                <w:rFonts w:hint="eastAsia" w:ascii="宋体" w:hAnsi="宋体" w:eastAsia="宋体" w:cs="宋体"/>
                <w:color w:val="auto"/>
                <w:sz w:val="21"/>
                <w:szCs w:val="21"/>
                <w:lang w:val="en-US" w:eastAsia="zh-CN"/>
              </w:rPr>
              <w:t>技术指导</w:t>
            </w:r>
          </w:p>
        </w:tc>
        <w:tc>
          <w:tcPr>
            <w:tcW w:w="2112" w:type="dxa"/>
            <w:tcBorders>
              <w:tl2br w:val="nil"/>
              <w:tr2bl w:val="nil"/>
            </w:tcBorders>
            <w:shd w:val="clear" w:color="auto" w:fill="auto"/>
            <w:vAlign w:val="center"/>
          </w:tcPr>
          <w:p w14:paraId="0BC0EBCC">
            <w:pPr>
              <w:spacing w:line="240" w:lineRule="auto"/>
              <w:ind w:firstLine="0" w:firstLineChars="0"/>
              <w:jc w:val="center"/>
              <w:rPr>
                <w:rStyle w:val="215"/>
                <w:rFonts w:hint="default" w:ascii="宋体" w:hAnsi="宋体" w:eastAsia="宋体" w:cs="宋体"/>
                <w:sz w:val="21"/>
                <w:szCs w:val="21"/>
                <w:lang w:val="en-US"/>
              </w:rPr>
            </w:pPr>
            <w:r>
              <w:rPr>
                <w:rFonts w:hint="eastAsia" w:cs="宋体"/>
                <w:color w:val="auto"/>
                <w:sz w:val="21"/>
                <w:szCs w:val="21"/>
                <w:lang w:val="en-US" w:eastAsia="zh-CN"/>
              </w:rPr>
              <w:t>412801198705060316</w:t>
            </w:r>
          </w:p>
        </w:tc>
        <w:tc>
          <w:tcPr>
            <w:tcW w:w="2292" w:type="dxa"/>
            <w:tcBorders>
              <w:tl2br w:val="nil"/>
              <w:tr2bl w:val="nil"/>
            </w:tcBorders>
            <w:shd w:val="clear" w:color="auto" w:fill="auto"/>
            <w:vAlign w:val="center"/>
          </w:tcPr>
          <w:p w14:paraId="23C97855">
            <w:pPr>
              <w:spacing w:line="240" w:lineRule="auto"/>
              <w:ind w:firstLine="0" w:firstLineChars="0"/>
              <w:jc w:val="center"/>
              <w:rPr>
                <w:rStyle w:val="215"/>
                <w:rFonts w:hint="default" w:ascii="宋体" w:hAnsi="宋体" w:eastAsia="宋体" w:cs="宋体"/>
                <w:sz w:val="21"/>
                <w:szCs w:val="21"/>
                <w:lang w:val="en-US" w:eastAsia="zh-CN"/>
              </w:rPr>
            </w:pPr>
            <w:r>
              <w:rPr>
                <w:rStyle w:val="215"/>
                <w:rFonts w:hint="eastAsia" w:cs="宋体"/>
                <w:sz w:val="21"/>
                <w:szCs w:val="21"/>
                <w:lang w:val="en-US" w:eastAsia="zh-CN"/>
              </w:rPr>
              <w:t>鲁200100033201097</w:t>
            </w:r>
          </w:p>
        </w:tc>
        <w:tc>
          <w:tcPr>
            <w:tcW w:w="2051" w:type="dxa"/>
            <w:tcBorders>
              <w:tl2br w:val="nil"/>
              <w:tr2bl w:val="nil"/>
            </w:tcBorders>
            <w:shd w:val="clear" w:color="auto" w:fill="auto"/>
            <w:vAlign w:val="center"/>
          </w:tcPr>
          <w:p w14:paraId="57620A17">
            <w:pPr>
              <w:spacing w:line="240" w:lineRule="auto"/>
              <w:ind w:firstLine="0" w:firstLineChars="0"/>
              <w:jc w:val="center"/>
              <w:rPr>
                <w:rStyle w:val="215"/>
                <w:rFonts w:hint="eastAsia" w:ascii="宋体" w:hAnsi="宋体" w:eastAsia="宋体" w:cs="宋体"/>
                <w:sz w:val="21"/>
                <w:szCs w:val="21"/>
                <w:lang w:val="en-US" w:eastAsia="zh-CN"/>
              </w:rPr>
            </w:pPr>
            <w:r>
              <w:rPr>
                <w:rStyle w:val="48"/>
                <w:rFonts w:hint="eastAsia" w:ascii="宋体" w:hAnsi="宋体" w:eastAsia="宋体" w:cs="宋体"/>
                <w:sz w:val="21"/>
                <w:szCs w:val="21"/>
                <w:lang w:val="en-US" w:eastAsia="zh-CN"/>
              </w:rPr>
              <w:t>塔机安拆技术指导</w:t>
            </w:r>
          </w:p>
        </w:tc>
      </w:tr>
      <w:tr w14:paraId="3135C6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809" w:type="dxa"/>
            <w:tcBorders>
              <w:tl2br w:val="nil"/>
              <w:tr2bl w:val="nil"/>
            </w:tcBorders>
            <w:shd w:val="clear" w:color="auto" w:fill="auto"/>
            <w:vAlign w:val="center"/>
          </w:tcPr>
          <w:p w14:paraId="4910C7EC">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lang w:val="en-US" w:eastAsia="zh-CN"/>
              </w:rPr>
            </w:pPr>
            <w:r>
              <w:rPr>
                <w:rStyle w:val="215"/>
                <w:rFonts w:hint="eastAsia" w:ascii="宋体" w:hAnsi="宋体" w:eastAsia="宋体" w:cs="宋体"/>
                <w:b w:val="0"/>
                <w:i w:val="0"/>
                <w:sz w:val="21"/>
                <w:szCs w:val="21"/>
                <w:lang w:val="en-US" w:eastAsia="zh-CN"/>
              </w:rPr>
              <w:t>2</w:t>
            </w:r>
          </w:p>
        </w:tc>
        <w:tc>
          <w:tcPr>
            <w:tcW w:w="900" w:type="dxa"/>
            <w:tcBorders>
              <w:tl2br w:val="nil"/>
              <w:tr2bl w:val="nil"/>
            </w:tcBorders>
            <w:shd w:val="clear" w:color="auto" w:fill="auto"/>
            <w:vAlign w:val="center"/>
          </w:tcPr>
          <w:p w14:paraId="330A71C2">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b w:val="0"/>
                <w:i w:val="0"/>
                <w:color w:val="auto"/>
                <w:sz w:val="21"/>
                <w:szCs w:val="21"/>
              </w:rPr>
              <w:t>吕仕昌</w:t>
            </w:r>
          </w:p>
        </w:tc>
        <w:tc>
          <w:tcPr>
            <w:tcW w:w="1691" w:type="dxa"/>
            <w:tcBorders>
              <w:tl2br w:val="nil"/>
              <w:tr2bl w:val="nil"/>
            </w:tcBorders>
            <w:shd w:val="clear" w:color="auto" w:fill="auto"/>
            <w:vAlign w:val="center"/>
          </w:tcPr>
          <w:p w14:paraId="03DA1E26">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lang w:eastAsia="zh-CN"/>
              </w:rPr>
              <w:t>现场负责人</w:t>
            </w:r>
          </w:p>
        </w:tc>
        <w:tc>
          <w:tcPr>
            <w:tcW w:w="2112" w:type="dxa"/>
            <w:tcBorders>
              <w:tl2br w:val="nil"/>
              <w:tr2bl w:val="nil"/>
            </w:tcBorders>
            <w:shd w:val="clear" w:color="auto" w:fill="auto"/>
            <w:vAlign w:val="center"/>
          </w:tcPr>
          <w:p w14:paraId="2B43B677">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500381198606081511</w:t>
            </w:r>
          </w:p>
        </w:tc>
        <w:tc>
          <w:tcPr>
            <w:tcW w:w="2292" w:type="dxa"/>
            <w:tcBorders>
              <w:tl2br w:val="nil"/>
              <w:tr2bl w:val="nil"/>
            </w:tcBorders>
            <w:shd w:val="clear" w:color="auto" w:fill="auto"/>
            <w:vAlign w:val="center"/>
          </w:tcPr>
          <w:p w14:paraId="372230C2">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500381198606081511</w:t>
            </w:r>
          </w:p>
        </w:tc>
        <w:tc>
          <w:tcPr>
            <w:tcW w:w="2051" w:type="dxa"/>
            <w:tcBorders>
              <w:tl2br w:val="nil"/>
              <w:tr2bl w:val="nil"/>
            </w:tcBorders>
            <w:shd w:val="clear" w:color="auto" w:fill="auto"/>
            <w:vAlign w:val="center"/>
          </w:tcPr>
          <w:p w14:paraId="5B3C9C52">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负责现场</w:t>
            </w:r>
            <w:r>
              <w:rPr>
                <w:rFonts w:hint="eastAsia" w:cs="宋体"/>
                <w:color w:val="auto"/>
                <w:sz w:val="21"/>
                <w:szCs w:val="21"/>
                <w:lang w:eastAsia="zh-CN"/>
              </w:rPr>
              <w:t>拆除</w:t>
            </w:r>
            <w:r>
              <w:rPr>
                <w:rFonts w:hint="eastAsia" w:ascii="宋体" w:hAnsi="宋体" w:eastAsia="宋体" w:cs="宋体"/>
                <w:color w:val="auto"/>
                <w:sz w:val="21"/>
                <w:szCs w:val="21"/>
              </w:rPr>
              <w:t>管理</w:t>
            </w:r>
            <w:r>
              <w:rPr>
                <w:rFonts w:hint="eastAsia" w:ascii="宋体" w:hAnsi="宋体" w:eastAsia="宋体" w:cs="宋体"/>
                <w:color w:val="auto"/>
                <w:sz w:val="21"/>
                <w:szCs w:val="21"/>
                <w:lang w:eastAsia="zh-CN"/>
              </w:rPr>
              <w:t>总负责</w:t>
            </w:r>
          </w:p>
        </w:tc>
      </w:tr>
      <w:tr w14:paraId="0CD9E6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9" w:type="dxa"/>
            <w:tcBorders>
              <w:tl2br w:val="nil"/>
              <w:tr2bl w:val="nil"/>
            </w:tcBorders>
            <w:shd w:val="clear" w:color="auto" w:fill="auto"/>
            <w:vAlign w:val="center"/>
          </w:tcPr>
          <w:p w14:paraId="09D94F09">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lang w:val="en-US" w:eastAsia="zh-CN"/>
              </w:rPr>
            </w:pPr>
            <w:r>
              <w:rPr>
                <w:rStyle w:val="215"/>
                <w:rFonts w:hint="eastAsia" w:ascii="宋体" w:hAnsi="宋体" w:eastAsia="宋体" w:cs="宋体"/>
                <w:b w:val="0"/>
                <w:i w:val="0"/>
                <w:sz w:val="21"/>
                <w:szCs w:val="21"/>
                <w:lang w:val="en-US" w:eastAsia="zh-CN"/>
              </w:rPr>
              <w:t>3</w:t>
            </w:r>
          </w:p>
        </w:tc>
        <w:tc>
          <w:tcPr>
            <w:tcW w:w="900" w:type="dxa"/>
            <w:tcBorders>
              <w:tl2br w:val="nil"/>
              <w:tr2bl w:val="nil"/>
            </w:tcBorders>
            <w:shd w:val="clear" w:color="auto" w:fill="auto"/>
            <w:vAlign w:val="center"/>
          </w:tcPr>
          <w:p w14:paraId="61177A4D">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b w:val="0"/>
                <w:i w:val="0"/>
                <w:color w:val="auto"/>
                <w:sz w:val="21"/>
                <w:szCs w:val="21"/>
                <w:lang w:eastAsia="zh-CN"/>
              </w:rPr>
              <w:t>罗乾龙</w:t>
            </w:r>
          </w:p>
        </w:tc>
        <w:tc>
          <w:tcPr>
            <w:tcW w:w="1691" w:type="dxa"/>
            <w:tcBorders>
              <w:tl2br w:val="nil"/>
              <w:tr2bl w:val="nil"/>
            </w:tcBorders>
            <w:shd w:val="clear" w:color="auto" w:fill="auto"/>
            <w:vAlign w:val="center"/>
          </w:tcPr>
          <w:p w14:paraId="0A887C89">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专职安全管理人员</w:t>
            </w:r>
          </w:p>
        </w:tc>
        <w:tc>
          <w:tcPr>
            <w:tcW w:w="2112" w:type="dxa"/>
            <w:tcBorders>
              <w:tl2br w:val="nil"/>
              <w:tr2bl w:val="nil"/>
            </w:tcBorders>
            <w:shd w:val="clear" w:color="auto" w:fill="auto"/>
            <w:vAlign w:val="center"/>
          </w:tcPr>
          <w:p w14:paraId="6351916F">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lang w:val="en-US" w:eastAsia="zh-CN"/>
              </w:rPr>
              <w:t>500240198909025231</w:t>
            </w:r>
          </w:p>
        </w:tc>
        <w:tc>
          <w:tcPr>
            <w:tcW w:w="2292" w:type="dxa"/>
            <w:tcBorders>
              <w:tl2br w:val="nil"/>
              <w:tr2bl w:val="nil"/>
            </w:tcBorders>
            <w:shd w:val="clear" w:color="auto" w:fill="auto"/>
            <w:vAlign w:val="center"/>
          </w:tcPr>
          <w:p w14:paraId="5747A8FB">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500240198909025231</w:t>
            </w:r>
          </w:p>
        </w:tc>
        <w:tc>
          <w:tcPr>
            <w:tcW w:w="2051" w:type="dxa"/>
            <w:tcBorders>
              <w:tl2br w:val="nil"/>
              <w:tr2bl w:val="nil"/>
            </w:tcBorders>
            <w:shd w:val="clear" w:color="auto" w:fill="auto"/>
            <w:vAlign w:val="center"/>
          </w:tcPr>
          <w:p w14:paraId="1F38D1E1">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负责现场安拆指导及安全管理</w:t>
            </w:r>
          </w:p>
        </w:tc>
      </w:tr>
      <w:tr w14:paraId="229056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855" w:type="dxa"/>
            <w:gridSpan w:val="6"/>
            <w:tcBorders>
              <w:tl2br w:val="nil"/>
              <w:tr2bl w:val="nil"/>
            </w:tcBorders>
            <w:shd w:val="clear" w:color="auto" w:fill="auto"/>
            <w:vAlign w:val="center"/>
          </w:tcPr>
          <w:p w14:paraId="72AB96E4">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rPr>
            </w:pPr>
            <w:r>
              <w:rPr>
                <w:rStyle w:val="215"/>
                <w:rFonts w:hint="eastAsia" w:cs="宋体"/>
                <w:b/>
                <w:bCs/>
                <w:i w:val="0"/>
                <w:sz w:val="21"/>
                <w:szCs w:val="21"/>
                <w:lang w:eastAsia="zh-CN"/>
              </w:rPr>
              <w:t>拆除</w:t>
            </w:r>
            <w:r>
              <w:rPr>
                <w:rStyle w:val="215"/>
                <w:rFonts w:hint="eastAsia" w:ascii="宋体" w:hAnsi="宋体" w:eastAsia="宋体" w:cs="宋体"/>
                <w:b/>
                <w:bCs/>
                <w:i w:val="0"/>
                <w:sz w:val="21"/>
                <w:szCs w:val="21"/>
              </w:rPr>
              <w:t>施工特种设备作业人员</w:t>
            </w:r>
          </w:p>
        </w:tc>
      </w:tr>
      <w:tr w14:paraId="4E2800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9" w:type="dxa"/>
            <w:tcBorders>
              <w:tl2br w:val="nil"/>
              <w:tr2bl w:val="nil"/>
            </w:tcBorders>
            <w:shd w:val="clear" w:color="auto" w:fill="auto"/>
            <w:vAlign w:val="center"/>
          </w:tcPr>
          <w:p w14:paraId="4B01897D">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lang w:val="en-US" w:eastAsia="zh-CN"/>
              </w:rPr>
            </w:pPr>
            <w:r>
              <w:rPr>
                <w:rStyle w:val="215"/>
                <w:rFonts w:hint="eastAsia" w:ascii="宋体" w:hAnsi="宋体" w:eastAsia="宋体" w:cs="宋体"/>
                <w:b w:val="0"/>
                <w:i w:val="0"/>
                <w:sz w:val="21"/>
                <w:szCs w:val="21"/>
                <w:lang w:val="en-US" w:eastAsia="zh-CN"/>
              </w:rPr>
              <w:t>4</w:t>
            </w:r>
          </w:p>
        </w:tc>
        <w:tc>
          <w:tcPr>
            <w:tcW w:w="900" w:type="dxa"/>
            <w:tcBorders>
              <w:tl2br w:val="nil"/>
              <w:tr2bl w:val="nil"/>
            </w:tcBorders>
            <w:shd w:val="clear" w:color="auto" w:fill="auto"/>
            <w:vAlign w:val="center"/>
          </w:tcPr>
          <w:p w14:paraId="5E99D23D">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b w:val="0"/>
                <w:i w:val="0"/>
                <w:color w:val="auto"/>
                <w:sz w:val="21"/>
                <w:szCs w:val="21"/>
                <w:lang w:eastAsia="zh-CN"/>
              </w:rPr>
              <w:t>张川</w:t>
            </w:r>
          </w:p>
        </w:tc>
        <w:tc>
          <w:tcPr>
            <w:tcW w:w="1691" w:type="dxa"/>
            <w:tcBorders>
              <w:tl2br w:val="nil"/>
              <w:tr2bl w:val="nil"/>
            </w:tcBorders>
            <w:shd w:val="clear" w:color="auto" w:fill="auto"/>
            <w:vAlign w:val="center"/>
          </w:tcPr>
          <w:p w14:paraId="3340BA42">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建筑起重机械</w:t>
            </w:r>
            <w:r>
              <w:rPr>
                <w:rFonts w:hint="eastAsia" w:cs="宋体"/>
                <w:color w:val="auto"/>
                <w:sz w:val="21"/>
                <w:szCs w:val="21"/>
                <w:lang w:eastAsia="zh-CN"/>
              </w:rPr>
              <w:t>拆除</w:t>
            </w:r>
            <w:r>
              <w:rPr>
                <w:rFonts w:hint="eastAsia" w:ascii="宋体" w:hAnsi="宋体" w:eastAsia="宋体" w:cs="宋体"/>
                <w:color w:val="auto"/>
                <w:sz w:val="21"/>
                <w:szCs w:val="21"/>
              </w:rPr>
              <w:t>拆卸工（塔式起重机）</w:t>
            </w:r>
          </w:p>
        </w:tc>
        <w:tc>
          <w:tcPr>
            <w:tcW w:w="2112" w:type="dxa"/>
            <w:tcBorders>
              <w:tl2br w:val="nil"/>
              <w:tr2bl w:val="nil"/>
            </w:tcBorders>
            <w:shd w:val="clear" w:color="auto" w:fill="auto"/>
            <w:vAlign w:val="center"/>
          </w:tcPr>
          <w:p w14:paraId="599D0416">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lang w:val="en-US" w:eastAsia="zh-CN"/>
              </w:rPr>
              <w:t>511324199211252718</w:t>
            </w:r>
          </w:p>
        </w:tc>
        <w:tc>
          <w:tcPr>
            <w:tcW w:w="2292" w:type="dxa"/>
            <w:tcBorders>
              <w:tl2br w:val="nil"/>
              <w:tr2bl w:val="nil"/>
            </w:tcBorders>
            <w:shd w:val="clear" w:color="auto" w:fill="auto"/>
            <w:vAlign w:val="center"/>
          </w:tcPr>
          <w:p w14:paraId="1760DAA0">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lang w:eastAsia="zh-CN"/>
              </w:rPr>
              <w:t>川</w:t>
            </w:r>
            <w:r>
              <w:rPr>
                <w:rFonts w:hint="eastAsia" w:ascii="宋体" w:hAnsi="宋体" w:eastAsia="宋体" w:cs="宋体"/>
                <w:color w:val="auto"/>
                <w:sz w:val="21"/>
                <w:szCs w:val="21"/>
                <w:lang w:val="en-US" w:eastAsia="zh-CN"/>
              </w:rPr>
              <w:t>Y082020508699</w:t>
            </w:r>
          </w:p>
        </w:tc>
        <w:tc>
          <w:tcPr>
            <w:tcW w:w="2051" w:type="dxa"/>
            <w:tcBorders>
              <w:tl2br w:val="nil"/>
              <w:tr2bl w:val="nil"/>
            </w:tcBorders>
            <w:shd w:val="clear" w:color="auto" w:fill="auto"/>
            <w:vAlign w:val="center"/>
          </w:tcPr>
          <w:p w14:paraId="31CDA121">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负责设备安拆调试及维保</w:t>
            </w:r>
          </w:p>
        </w:tc>
      </w:tr>
      <w:tr w14:paraId="7D774F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9" w:type="dxa"/>
            <w:tcBorders>
              <w:tl2br w:val="nil"/>
              <w:tr2bl w:val="nil"/>
            </w:tcBorders>
            <w:shd w:val="clear" w:color="auto" w:fill="auto"/>
            <w:vAlign w:val="center"/>
          </w:tcPr>
          <w:p w14:paraId="66B90F13">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lang w:val="en-US" w:eastAsia="zh-CN"/>
              </w:rPr>
            </w:pPr>
            <w:r>
              <w:rPr>
                <w:rStyle w:val="215"/>
                <w:rFonts w:hint="eastAsia" w:ascii="宋体" w:hAnsi="宋体" w:eastAsia="宋体" w:cs="宋体"/>
                <w:b w:val="0"/>
                <w:i w:val="0"/>
                <w:sz w:val="21"/>
                <w:szCs w:val="21"/>
                <w:lang w:val="en-US" w:eastAsia="zh-CN"/>
              </w:rPr>
              <w:t>5</w:t>
            </w:r>
          </w:p>
        </w:tc>
        <w:tc>
          <w:tcPr>
            <w:tcW w:w="900" w:type="dxa"/>
            <w:tcBorders>
              <w:tl2br w:val="nil"/>
              <w:tr2bl w:val="nil"/>
            </w:tcBorders>
            <w:shd w:val="clear" w:color="auto" w:fill="auto"/>
            <w:vAlign w:val="center"/>
          </w:tcPr>
          <w:p w14:paraId="7C0F77D5">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b w:val="0"/>
                <w:i w:val="0"/>
                <w:color w:val="auto"/>
                <w:sz w:val="21"/>
                <w:szCs w:val="21"/>
              </w:rPr>
              <w:t>孔令波</w:t>
            </w:r>
          </w:p>
        </w:tc>
        <w:tc>
          <w:tcPr>
            <w:tcW w:w="1691" w:type="dxa"/>
            <w:tcBorders>
              <w:tl2br w:val="nil"/>
              <w:tr2bl w:val="nil"/>
            </w:tcBorders>
            <w:shd w:val="clear" w:color="auto" w:fill="auto"/>
            <w:vAlign w:val="center"/>
          </w:tcPr>
          <w:p w14:paraId="2C8E1446">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建筑起重机械</w:t>
            </w:r>
            <w:r>
              <w:rPr>
                <w:rFonts w:hint="eastAsia" w:cs="宋体"/>
                <w:color w:val="auto"/>
                <w:sz w:val="21"/>
                <w:szCs w:val="21"/>
                <w:lang w:eastAsia="zh-CN"/>
              </w:rPr>
              <w:t>拆除</w:t>
            </w:r>
            <w:r>
              <w:rPr>
                <w:rFonts w:hint="eastAsia" w:ascii="宋体" w:hAnsi="宋体" w:eastAsia="宋体" w:cs="宋体"/>
                <w:color w:val="auto"/>
                <w:sz w:val="21"/>
                <w:szCs w:val="21"/>
              </w:rPr>
              <w:t>拆卸工（塔式起重机）</w:t>
            </w:r>
          </w:p>
        </w:tc>
        <w:tc>
          <w:tcPr>
            <w:tcW w:w="2112" w:type="dxa"/>
            <w:tcBorders>
              <w:tl2br w:val="nil"/>
              <w:tr2bl w:val="nil"/>
            </w:tcBorders>
            <w:shd w:val="clear" w:color="auto" w:fill="auto"/>
            <w:vAlign w:val="center"/>
          </w:tcPr>
          <w:p w14:paraId="389D2109">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500383198410214135</w:t>
            </w:r>
          </w:p>
        </w:tc>
        <w:tc>
          <w:tcPr>
            <w:tcW w:w="2292" w:type="dxa"/>
            <w:tcBorders>
              <w:tl2br w:val="nil"/>
              <w:tr2bl w:val="nil"/>
            </w:tcBorders>
            <w:shd w:val="clear" w:color="auto" w:fill="auto"/>
            <w:vAlign w:val="center"/>
          </w:tcPr>
          <w:p w14:paraId="7F9F8002">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黔N0</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20220</w:t>
            </w:r>
            <w:r>
              <w:rPr>
                <w:rFonts w:hint="eastAsia" w:ascii="宋体" w:hAnsi="宋体" w:eastAsia="宋体" w:cs="宋体"/>
                <w:color w:val="auto"/>
                <w:sz w:val="21"/>
                <w:szCs w:val="21"/>
                <w:lang w:val="en-US" w:eastAsia="zh-CN"/>
              </w:rPr>
              <w:t>13109</w:t>
            </w:r>
          </w:p>
        </w:tc>
        <w:tc>
          <w:tcPr>
            <w:tcW w:w="2051" w:type="dxa"/>
            <w:tcBorders>
              <w:tl2br w:val="nil"/>
              <w:tr2bl w:val="nil"/>
            </w:tcBorders>
            <w:shd w:val="clear" w:color="auto" w:fill="auto"/>
            <w:vAlign w:val="center"/>
          </w:tcPr>
          <w:p w14:paraId="22A30D0B">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负责设备安拆调试及维保</w:t>
            </w:r>
          </w:p>
        </w:tc>
      </w:tr>
      <w:tr w14:paraId="558CA3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9" w:type="dxa"/>
            <w:tcBorders>
              <w:tl2br w:val="nil"/>
              <w:tr2bl w:val="nil"/>
            </w:tcBorders>
            <w:shd w:val="clear" w:color="auto" w:fill="auto"/>
            <w:vAlign w:val="center"/>
          </w:tcPr>
          <w:p w14:paraId="55B21A8E">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lang w:val="en-US" w:eastAsia="zh-CN"/>
              </w:rPr>
            </w:pPr>
            <w:r>
              <w:rPr>
                <w:rStyle w:val="215"/>
                <w:rFonts w:hint="eastAsia" w:ascii="宋体" w:hAnsi="宋体" w:eastAsia="宋体" w:cs="宋体"/>
                <w:b w:val="0"/>
                <w:i w:val="0"/>
                <w:sz w:val="21"/>
                <w:szCs w:val="21"/>
                <w:lang w:val="en-US" w:eastAsia="zh-CN"/>
              </w:rPr>
              <w:t>6</w:t>
            </w:r>
          </w:p>
        </w:tc>
        <w:tc>
          <w:tcPr>
            <w:tcW w:w="900" w:type="dxa"/>
            <w:tcBorders>
              <w:tl2br w:val="nil"/>
              <w:tr2bl w:val="nil"/>
            </w:tcBorders>
            <w:shd w:val="clear" w:color="auto" w:fill="auto"/>
            <w:vAlign w:val="center"/>
          </w:tcPr>
          <w:p w14:paraId="0A84B716">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b w:val="0"/>
                <w:i w:val="0"/>
                <w:color w:val="auto"/>
                <w:sz w:val="21"/>
                <w:szCs w:val="21"/>
              </w:rPr>
              <w:t>孔令德</w:t>
            </w:r>
          </w:p>
        </w:tc>
        <w:tc>
          <w:tcPr>
            <w:tcW w:w="1691" w:type="dxa"/>
            <w:tcBorders>
              <w:tl2br w:val="nil"/>
              <w:tr2bl w:val="nil"/>
            </w:tcBorders>
            <w:shd w:val="clear" w:color="auto" w:fill="auto"/>
            <w:vAlign w:val="center"/>
          </w:tcPr>
          <w:p w14:paraId="1E2A0123">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建筑起重机械</w:t>
            </w:r>
            <w:r>
              <w:rPr>
                <w:rFonts w:hint="eastAsia" w:cs="宋体"/>
                <w:color w:val="auto"/>
                <w:sz w:val="21"/>
                <w:szCs w:val="21"/>
                <w:lang w:eastAsia="zh-CN"/>
              </w:rPr>
              <w:t>拆除</w:t>
            </w:r>
            <w:r>
              <w:rPr>
                <w:rFonts w:hint="eastAsia" w:ascii="宋体" w:hAnsi="宋体" w:eastAsia="宋体" w:cs="宋体"/>
                <w:color w:val="auto"/>
                <w:sz w:val="21"/>
                <w:szCs w:val="21"/>
              </w:rPr>
              <w:t>拆卸工（塔式起重机）</w:t>
            </w:r>
          </w:p>
        </w:tc>
        <w:tc>
          <w:tcPr>
            <w:tcW w:w="2112" w:type="dxa"/>
            <w:tcBorders>
              <w:tl2br w:val="nil"/>
              <w:tr2bl w:val="nil"/>
            </w:tcBorders>
            <w:shd w:val="clear" w:color="auto" w:fill="auto"/>
            <w:vAlign w:val="center"/>
          </w:tcPr>
          <w:p w14:paraId="0D408FE9">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500383198609204137</w:t>
            </w:r>
          </w:p>
        </w:tc>
        <w:tc>
          <w:tcPr>
            <w:tcW w:w="2292" w:type="dxa"/>
            <w:tcBorders>
              <w:tl2br w:val="nil"/>
              <w:tr2bl w:val="nil"/>
            </w:tcBorders>
            <w:shd w:val="clear" w:color="auto" w:fill="auto"/>
            <w:vAlign w:val="center"/>
          </w:tcPr>
          <w:p w14:paraId="14B28DBA">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黔N0</w:t>
            </w: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20220</w:t>
            </w:r>
            <w:r>
              <w:rPr>
                <w:rFonts w:hint="eastAsia" w:ascii="宋体" w:hAnsi="宋体" w:eastAsia="宋体" w:cs="宋体"/>
                <w:color w:val="auto"/>
                <w:sz w:val="21"/>
                <w:szCs w:val="21"/>
                <w:lang w:val="en-US" w:eastAsia="zh-CN"/>
              </w:rPr>
              <w:t>13190</w:t>
            </w:r>
          </w:p>
        </w:tc>
        <w:tc>
          <w:tcPr>
            <w:tcW w:w="2051" w:type="dxa"/>
            <w:tcBorders>
              <w:tl2br w:val="nil"/>
              <w:tr2bl w:val="nil"/>
            </w:tcBorders>
            <w:shd w:val="clear" w:color="auto" w:fill="auto"/>
            <w:vAlign w:val="center"/>
          </w:tcPr>
          <w:p w14:paraId="33C5AF46">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负责设备安拆调试及维保</w:t>
            </w:r>
          </w:p>
        </w:tc>
      </w:tr>
      <w:tr w14:paraId="40D6B5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9" w:type="dxa"/>
            <w:tcBorders>
              <w:tl2br w:val="nil"/>
              <w:tr2bl w:val="nil"/>
            </w:tcBorders>
            <w:shd w:val="clear" w:color="auto" w:fill="auto"/>
            <w:vAlign w:val="center"/>
          </w:tcPr>
          <w:p w14:paraId="2EC7D918">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lang w:val="en-US" w:eastAsia="zh-CN"/>
              </w:rPr>
            </w:pPr>
            <w:r>
              <w:rPr>
                <w:rStyle w:val="215"/>
                <w:rFonts w:hint="eastAsia" w:ascii="宋体" w:hAnsi="宋体" w:eastAsia="宋体" w:cs="宋体"/>
                <w:b w:val="0"/>
                <w:i w:val="0"/>
                <w:sz w:val="21"/>
                <w:szCs w:val="21"/>
                <w:lang w:val="en-US" w:eastAsia="zh-CN"/>
              </w:rPr>
              <w:t>7</w:t>
            </w:r>
          </w:p>
        </w:tc>
        <w:tc>
          <w:tcPr>
            <w:tcW w:w="900" w:type="dxa"/>
            <w:tcBorders>
              <w:tl2br w:val="nil"/>
              <w:tr2bl w:val="nil"/>
            </w:tcBorders>
            <w:shd w:val="clear" w:color="auto" w:fill="auto"/>
            <w:vAlign w:val="center"/>
          </w:tcPr>
          <w:p w14:paraId="20FE6647">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b w:val="0"/>
                <w:i w:val="0"/>
                <w:color w:val="auto"/>
                <w:sz w:val="21"/>
                <w:szCs w:val="21"/>
                <w:lang w:eastAsia="zh-CN"/>
              </w:rPr>
              <w:t>何小兵</w:t>
            </w:r>
          </w:p>
        </w:tc>
        <w:tc>
          <w:tcPr>
            <w:tcW w:w="1691" w:type="dxa"/>
            <w:tcBorders>
              <w:tl2br w:val="nil"/>
              <w:tr2bl w:val="nil"/>
            </w:tcBorders>
            <w:shd w:val="clear" w:color="auto" w:fill="auto"/>
            <w:vAlign w:val="center"/>
          </w:tcPr>
          <w:p w14:paraId="2C4CDB93">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建筑起重机械</w:t>
            </w:r>
            <w:r>
              <w:rPr>
                <w:rFonts w:hint="eastAsia" w:cs="宋体"/>
                <w:color w:val="auto"/>
                <w:sz w:val="21"/>
                <w:szCs w:val="21"/>
                <w:lang w:eastAsia="zh-CN"/>
              </w:rPr>
              <w:t>拆除</w:t>
            </w:r>
            <w:r>
              <w:rPr>
                <w:rFonts w:hint="eastAsia" w:ascii="宋体" w:hAnsi="宋体" w:eastAsia="宋体" w:cs="宋体"/>
                <w:color w:val="auto"/>
                <w:sz w:val="21"/>
                <w:szCs w:val="21"/>
              </w:rPr>
              <w:t>拆卸工（塔式起重机）</w:t>
            </w:r>
          </w:p>
        </w:tc>
        <w:tc>
          <w:tcPr>
            <w:tcW w:w="2112" w:type="dxa"/>
            <w:tcBorders>
              <w:tl2br w:val="nil"/>
              <w:tr2bl w:val="nil"/>
            </w:tcBorders>
            <w:shd w:val="clear" w:color="auto" w:fill="auto"/>
            <w:vAlign w:val="center"/>
          </w:tcPr>
          <w:p w14:paraId="363816BE">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lang w:val="en-US" w:eastAsia="zh-CN"/>
              </w:rPr>
              <w:t>513723198610154237</w:t>
            </w:r>
          </w:p>
        </w:tc>
        <w:tc>
          <w:tcPr>
            <w:tcW w:w="2292" w:type="dxa"/>
            <w:tcBorders>
              <w:tl2br w:val="nil"/>
              <w:tr2bl w:val="nil"/>
            </w:tcBorders>
            <w:shd w:val="clear" w:color="auto" w:fill="auto"/>
            <w:vAlign w:val="center"/>
          </w:tcPr>
          <w:p w14:paraId="5B77F917">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lang w:eastAsia="zh-CN"/>
              </w:rPr>
              <w:t>川</w:t>
            </w:r>
            <w:r>
              <w:rPr>
                <w:rFonts w:hint="eastAsia" w:ascii="宋体" w:hAnsi="宋体" w:eastAsia="宋体" w:cs="宋体"/>
                <w:color w:val="auto"/>
                <w:sz w:val="21"/>
                <w:szCs w:val="21"/>
                <w:lang w:val="en-US" w:eastAsia="zh-CN"/>
              </w:rPr>
              <w:t>Y082020501730</w:t>
            </w:r>
          </w:p>
        </w:tc>
        <w:tc>
          <w:tcPr>
            <w:tcW w:w="2051" w:type="dxa"/>
            <w:tcBorders>
              <w:tl2br w:val="nil"/>
              <w:tr2bl w:val="nil"/>
            </w:tcBorders>
            <w:shd w:val="clear" w:color="auto" w:fill="auto"/>
            <w:vAlign w:val="center"/>
          </w:tcPr>
          <w:p w14:paraId="29425448">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rPr>
              <w:t>负责设备安拆调试及维保</w:t>
            </w:r>
          </w:p>
        </w:tc>
      </w:tr>
      <w:tr w14:paraId="1CC93A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809" w:type="dxa"/>
            <w:tcBorders>
              <w:tl2br w:val="nil"/>
              <w:tr2bl w:val="nil"/>
            </w:tcBorders>
            <w:shd w:val="clear" w:color="auto" w:fill="auto"/>
            <w:vAlign w:val="center"/>
          </w:tcPr>
          <w:p w14:paraId="03EC111E">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lang w:val="en-US" w:eastAsia="zh-CN"/>
              </w:rPr>
            </w:pPr>
            <w:r>
              <w:rPr>
                <w:rStyle w:val="215"/>
                <w:rFonts w:hint="eastAsia" w:ascii="宋体" w:hAnsi="宋体" w:eastAsia="宋体" w:cs="宋体"/>
                <w:b w:val="0"/>
                <w:i w:val="0"/>
                <w:sz w:val="21"/>
                <w:szCs w:val="21"/>
                <w:lang w:val="en-US" w:eastAsia="zh-CN"/>
              </w:rPr>
              <w:t>8</w:t>
            </w:r>
          </w:p>
        </w:tc>
        <w:tc>
          <w:tcPr>
            <w:tcW w:w="900" w:type="dxa"/>
            <w:tcBorders>
              <w:tl2br w:val="nil"/>
              <w:tr2bl w:val="nil"/>
            </w:tcBorders>
            <w:shd w:val="clear" w:color="auto" w:fill="auto"/>
            <w:vAlign w:val="center"/>
          </w:tcPr>
          <w:p w14:paraId="6D23F96C">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b w:val="0"/>
                <w:i w:val="0"/>
                <w:color w:val="auto"/>
                <w:sz w:val="21"/>
                <w:szCs w:val="21"/>
                <w:lang w:eastAsia="zh-CN"/>
              </w:rPr>
              <w:t>匡彬</w:t>
            </w:r>
          </w:p>
        </w:tc>
        <w:tc>
          <w:tcPr>
            <w:tcW w:w="1691" w:type="dxa"/>
            <w:tcBorders>
              <w:tl2br w:val="nil"/>
              <w:tr2bl w:val="nil"/>
            </w:tcBorders>
            <w:shd w:val="clear" w:color="auto" w:fill="auto"/>
            <w:vAlign w:val="center"/>
          </w:tcPr>
          <w:p w14:paraId="20799299">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lang w:eastAsia="zh-CN"/>
              </w:rPr>
              <w:t>起重机司机</w:t>
            </w:r>
            <w:r>
              <w:rPr>
                <w:rFonts w:hint="eastAsia" w:ascii="宋体" w:hAnsi="宋体" w:eastAsia="宋体" w:cs="宋体"/>
                <w:color w:val="auto"/>
                <w:sz w:val="21"/>
                <w:szCs w:val="21"/>
              </w:rPr>
              <w:t>（塔式起重机）</w:t>
            </w:r>
          </w:p>
        </w:tc>
        <w:tc>
          <w:tcPr>
            <w:tcW w:w="2112" w:type="dxa"/>
            <w:tcBorders>
              <w:tl2br w:val="nil"/>
              <w:tr2bl w:val="nil"/>
            </w:tcBorders>
            <w:shd w:val="clear" w:color="auto" w:fill="auto"/>
            <w:vAlign w:val="center"/>
          </w:tcPr>
          <w:p w14:paraId="048DD661">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lang w:val="en-US" w:eastAsia="zh-CN"/>
              </w:rPr>
              <w:t>522131197411106674</w:t>
            </w:r>
          </w:p>
        </w:tc>
        <w:tc>
          <w:tcPr>
            <w:tcW w:w="2292" w:type="dxa"/>
            <w:tcBorders>
              <w:tl2br w:val="nil"/>
              <w:tr2bl w:val="nil"/>
            </w:tcBorders>
            <w:shd w:val="clear" w:color="auto" w:fill="auto"/>
            <w:vAlign w:val="center"/>
          </w:tcPr>
          <w:p w14:paraId="197C4AFD">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lang w:val="en-US" w:eastAsia="zh-CN"/>
              </w:rPr>
              <w:t>522131197411106674</w:t>
            </w:r>
          </w:p>
        </w:tc>
        <w:tc>
          <w:tcPr>
            <w:tcW w:w="2051" w:type="dxa"/>
            <w:tcBorders>
              <w:tl2br w:val="nil"/>
              <w:tr2bl w:val="nil"/>
            </w:tcBorders>
            <w:shd w:val="clear" w:color="auto" w:fill="auto"/>
            <w:vAlign w:val="center"/>
          </w:tcPr>
          <w:p w14:paraId="3987950D">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sz w:val="21"/>
                <w:szCs w:val="21"/>
              </w:rPr>
              <w:t>负责设备</w:t>
            </w:r>
            <w:r>
              <w:rPr>
                <w:rFonts w:hint="eastAsia" w:cs="宋体"/>
                <w:sz w:val="21"/>
                <w:szCs w:val="21"/>
                <w:lang w:eastAsia="zh-CN"/>
              </w:rPr>
              <w:t>拆除</w:t>
            </w:r>
            <w:r>
              <w:rPr>
                <w:rFonts w:hint="eastAsia" w:ascii="宋体" w:hAnsi="宋体" w:eastAsia="宋体" w:cs="宋体"/>
                <w:sz w:val="21"/>
                <w:szCs w:val="21"/>
              </w:rPr>
              <w:t>作业过程中的起重操作</w:t>
            </w:r>
          </w:p>
        </w:tc>
      </w:tr>
      <w:tr w14:paraId="286FBD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9" w:type="dxa"/>
            <w:tcBorders>
              <w:tl2br w:val="nil"/>
              <w:tr2bl w:val="nil"/>
            </w:tcBorders>
            <w:shd w:val="clear" w:color="auto" w:fill="auto"/>
            <w:vAlign w:val="center"/>
          </w:tcPr>
          <w:p w14:paraId="1AFA0994">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lang w:val="en-US" w:eastAsia="zh-CN"/>
              </w:rPr>
            </w:pPr>
            <w:r>
              <w:rPr>
                <w:rStyle w:val="215"/>
                <w:rFonts w:hint="eastAsia" w:ascii="宋体" w:hAnsi="宋体" w:eastAsia="宋体" w:cs="宋体"/>
                <w:b w:val="0"/>
                <w:i w:val="0"/>
                <w:sz w:val="21"/>
                <w:szCs w:val="21"/>
                <w:lang w:val="en-US" w:eastAsia="zh-CN"/>
              </w:rPr>
              <w:t>9</w:t>
            </w:r>
          </w:p>
        </w:tc>
        <w:tc>
          <w:tcPr>
            <w:tcW w:w="900" w:type="dxa"/>
            <w:tcBorders>
              <w:tl2br w:val="nil"/>
              <w:tr2bl w:val="nil"/>
            </w:tcBorders>
            <w:shd w:val="clear" w:color="auto" w:fill="auto"/>
            <w:vAlign w:val="center"/>
          </w:tcPr>
          <w:p w14:paraId="264A234A">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b w:val="0"/>
                <w:i w:val="0"/>
                <w:color w:val="auto"/>
                <w:sz w:val="21"/>
                <w:szCs w:val="21"/>
                <w:lang w:eastAsia="zh-CN"/>
              </w:rPr>
              <w:t>杨龙群</w:t>
            </w:r>
          </w:p>
        </w:tc>
        <w:tc>
          <w:tcPr>
            <w:tcW w:w="1691" w:type="dxa"/>
            <w:tcBorders>
              <w:tl2br w:val="nil"/>
              <w:tr2bl w:val="nil"/>
            </w:tcBorders>
            <w:shd w:val="clear" w:color="auto" w:fill="auto"/>
            <w:vAlign w:val="center"/>
          </w:tcPr>
          <w:p w14:paraId="5A74CB9A">
            <w:pPr>
              <w:spacing w:line="240" w:lineRule="auto"/>
              <w:ind w:firstLine="0" w:firstLineChars="0"/>
              <w:rPr>
                <w:rStyle w:val="215"/>
                <w:rFonts w:hint="eastAsia" w:ascii="宋体" w:hAnsi="宋体" w:eastAsia="宋体" w:cs="宋体"/>
                <w:sz w:val="21"/>
                <w:szCs w:val="21"/>
              </w:rPr>
            </w:pPr>
            <w:r>
              <w:rPr>
                <w:rFonts w:hint="eastAsia" w:ascii="宋体" w:hAnsi="宋体" w:eastAsia="宋体" w:cs="宋体"/>
                <w:color w:val="auto"/>
                <w:sz w:val="21"/>
                <w:szCs w:val="21"/>
                <w:lang w:eastAsia="zh-CN"/>
              </w:rPr>
              <w:t>起重机指挥</w:t>
            </w:r>
          </w:p>
        </w:tc>
        <w:tc>
          <w:tcPr>
            <w:tcW w:w="2112" w:type="dxa"/>
            <w:tcBorders>
              <w:tl2br w:val="nil"/>
              <w:tr2bl w:val="nil"/>
            </w:tcBorders>
            <w:shd w:val="clear" w:color="auto" w:fill="auto"/>
            <w:vAlign w:val="center"/>
          </w:tcPr>
          <w:p w14:paraId="388FA52B">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lang w:val="en-US" w:eastAsia="zh-CN"/>
              </w:rPr>
              <w:t>500232199311075802</w:t>
            </w:r>
          </w:p>
        </w:tc>
        <w:tc>
          <w:tcPr>
            <w:tcW w:w="2292" w:type="dxa"/>
            <w:tcBorders>
              <w:tl2br w:val="nil"/>
              <w:tr2bl w:val="nil"/>
            </w:tcBorders>
            <w:shd w:val="clear" w:color="auto" w:fill="auto"/>
            <w:vAlign w:val="center"/>
          </w:tcPr>
          <w:p w14:paraId="5D142687">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color w:val="auto"/>
                <w:sz w:val="21"/>
                <w:szCs w:val="21"/>
                <w:lang w:val="en-US" w:eastAsia="zh-CN"/>
              </w:rPr>
              <w:t>500232199311075802</w:t>
            </w:r>
          </w:p>
        </w:tc>
        <w:tc>
          <w:tcPr>
            <w:tcW w:w="2051" w:type="dxa"/>
            <w:tcBorders>
              <w:tl2br w:val="nil"/>
              <w:tr2bl w:val="nil"/>
            </w:tcBorders>
            <w:shd w:val="clear" w:color="auto" w:fill="auto"/>
            <w:vAlign w:val="center"/>
          </w:tcPr>
          <w:p w14:paraId="47C21FBD">
            <w:pPr>
              <w:spacing w:line="240" w:lineRule="auto"/>
              <w:ind w:firstLine="0" w:firstLineChars="0"/>
              <w:jc w:val="center"/>
              <w:rPr>
                <w:rStyle w:val="215"/>
                <w:rFonts w:hint="eastAsia" w:ascii="宋体" w:hAnsi="宋体" w:eastAsia="宋体" w:cs="宋体"/>
                <w:sz w:val="21"/>
                <w:szCs w:val="21"/>
              </w:rPr>
            </w:pPr>
            <w:r>
              <w:rPr>
                <w:rFonts w:hint="eastAsia" w:ascii="宋体" w:hAnsi="宋体" w:eastAsia="宋体" w:cs="宋体"/>
                <w:sz w:val="21"/>
                <w:szCs w:val="21"/>
              </w:rPr>
              <w:t>负责现场起重作业的指挥与协调</w:t>
            </w:r>
          </w:p>
        </w:tc>
      </w:tr>
      <w:tr w14:paraId="4D58BB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9" w:type="dxa"/>
            <w:tcBorders>
              <w:tl2br w:val="nil"/>
              <w:tr2bl w:val="nil"/>
            </w:tcBorders>
            <w:shd w:val="clear" w:color="auto" w:fill="auto"/>
            <w:vAlign w:val="center"/>
          </w:tcPr>
          <w:p w14:paraId="23781070">
            <w:pPr>
              <w:kinsoku/>
              <w:overflowPunct/>
              <w:topLinePunct w:val="0"/>
              <w:bidi w:val="0"/>
              <w:spacing w:line="360" w:lineRule="atLeast"/>
              <w:ind w:firstLine="0" w:firstLineChars="0"/>
              <w:jc w:val="center"/>
              <w:rPr>
                <w:rStyle w:val="215"/>
                <w:rFonts w:hint="eastAsia" w:ascii="宋体" w:hAnsi="宋体" w:eastAsia="宋体" w:cs="宋体"/>
                <w:b w:val="0"/>
                <w:i w:val="0"/>
                <w:sz w:val="21"/>
                <w:szCs w:val="21"/>
                <w:lang w:val="en-US" w:eastAsia="zh-CN"/>
              </w:rPr>
            </w:pPr>
            <w:r>
              <w:rPr>
                <w:rStyle w:val="215"/>
                <w:rFonts w:hint="eastAsia" w:ascii="宋体" w:hAnsi="宋体" w:eastAsia="宋体" w:cs="宋体"/>
                <w:b w:val="0"/>
                <w:i w:val="0"/>
                <w:sz w:val="21"/>
                <w:szCs w:val="21"/>
                <w:lang w:val="en-US" w:eastAsia="zh-CN"/>
              </w:rPr>
              <w:t>10</w:t>
            </w:r>
          </w:p>
        </w:tc>
        <w:tc>
          <w:tcPr>
            <w:tcW w:w="900" w:type="dxa"/>
            <w:tcBorders>
              <w:tl2br w:val="nil"/>
              <w:tr2bl w:val="nil"/>
            </w:tcBorders>
            <w:shd w:val="clear" w:color="auto" w:fill="auto"/>
            <w:vAlign w:val="center"/>
          </w:tcPr>
          <w:p w14:paraId="2C5F50F5">
            <w:pPr>
              <w:kinsoku/>
              <w:overflowPunct/>
              <w:topLinePunct w:val="0"/>
              <w:bidi w:val="0"/>
              <w:spacing w:line="360" w:lineRule="atLeast"/>
              <w:ind w:firstLine="0" w:firstLineChars="0"/>
              <w:jc w:val="center"/>
              <w:rPr>
                <w:rStyle w:val="215"/>
                <w:rFonts w:hint="eastAsia" w:ascii="宋体" w:hAnsi="宋体" w:eastAsia="宋体" w:cs="宋体"/>
                <w:sz w:val="21"/>
                <w:szCs w:val="21"/>
              </w:rPr>
            </w:pPr>
            <w:r>
              <w:rPr>
                <w:rStyle w:val="215"/>
                <w:rFonts w:hint="eastAsia" w:ascii="宋体" w:hAnsi="宋体" w:eastAsia="宋体" w:cs="宋体"/>
                <w:b w:val="0"/>
                <w:i w:val="0"/>
                <w:sz w:val="21"/>
                <w:szCs w:val="21"/>
              </w:rPr>
              <w:t>张腾万</w:t>
            </w:r>
          </w:p>
        </w:tc>
        <w:tc>
          <w:tcPr>
            <w:tcW w:w="1691" w:type="dxa"/>
            <w:tcBorders>
              <w:tl2br w:val="nil"/>
              <w:tr2bl w:val="nil"/>
            </w:tcBorders>
            <w:shd w:val="clear" w:color="auto" w:fill="auto"/>
            <w:vAlign w:val="center"/>
          </w:tcPr>
          <w:p w14:paraId="4CD2A8EE">
            <w:pPr>
              <w:kinsoku/>
              <w:overflowPunct/>
              <w:topLinePunct w:val="0"/>
              <w:bidi w:val="0"/>
              <w:spacing w:line="360" w:lineRule="atLeast"/>
              <w:ind w:firstLine="0" w:firstLineChars="0"/>
              <w:jc w:val="center"/>
              <w:rPr>
                <w:rStyle w:val="215"/>
                <w:rFonts w:hint="eastAsia" w:ascii="宋体" w:hAnsi="宋体" w:eastAsia="宋体" w:cs="宋体"/>
                <w:sz w:val="21"/>
                <w:szCs w:val="21"/>
              </w:rPr>
            </w:pPr>
            <w:r>
              <w:rPr>
                <w:rStyle w:val="215"/>
                <w:rFonts w:hint="eastAsia" w:ascii="宋体" w:hAnsi="宋体" w:eastAsia="宋体" w:cs="宋体"/>
                <w:sz w:val="21"/>
                <w:szCs w:val="21"/>
              </w:rPr>
              <w:t>建筑电工（维保人员）</w:t>
            </w:r>
          </w:p>
        </w:tc>
        <w:tc>
          <w:tcPr>
            <w:tcW w:w="2112" w:type="dxa"/>
            <w:tcBorders>
              <w:tl2br w:val="nil"/>
              <w:tr2bl w:val="nil"/>
            </w:tcBorders>
            <w:shd w:val="clear" w:color="auto" w:fill="auto"/>
            <w:vAlign w:val="center"/>
          </w:tcPr>
          <w:p w14:paraId="26517547">
            <w:pPr>
              <w:kinsoku/>
              <w:overflowPunct/>
              <w:topLinePunct w:val="0"/>
              <w:bidi w:val="0"/>
              <w:spacing w:line="360" w:lineRule="atLeast"/>
              <w:ind w:firstLine="0" w:firstLineChars="0"/>
              <w:jc w:val="center"/>
              <w:rPr>
                <w:rStyle w:val="215"/>
                <w:rFonts w:hint="eastAsia" w:ascii="宋体" w:hAnsi="宋体" w:eastAsia="宋体" w:cs="宋体"/>
                <w:sz w:val="21"/>
                <w:szCs w:val="21"/>
              </w:rPr>
            </w:pPr>
            <w:r>
              <w:rPr>
                <w:rStyle w:val="215"/>
                <w:rFonts w:hint="eastAsia" w:ascii="宋体" w:hAnsi="宋体" w:eastAsia="宋体" w:cs="宋体"/>
                <w:sz w:val="21"/>
                <w:szCs w:val="21"/>
              </w:rPr>
              <w:t>511324199311134276</w:t>
            </w:r>
          </w:p>
        </w:tc>
        <w:tc>
          <w:tcPr>
            <w:tcW w:w="2292" w:type="dxa"/>
            <w:tcBorders>
              <w:tl2br w:val="nil"/>
              <w:tr2bl w:val="nil"/>
            </w:tcBorders>
            <w:shd w:val="clear" w:color="auto" w:fill="auto"/>
            <w:vAlign w:val="center"/>
          </w:tcPr>
          <w:p w14:paraId="46379E04">
            <w:pPr>
              <w:kinsoku/>
              <w:overflowPunct/>
              <w:topLinePunct w:val="0"/>
              <w:bidi w:val="0"/>
              <w:spacing w:line="360" w:lineRule="atLeast"/>
              <w:ind w:firstLine="0" w:firstLineChars="0"/>
              <w:jc w:val="center"/>
              <w:rPr>
                <w:rStyle w:val="215"/>
                <w:rFonts w:hint="eastAsia" w:ascii="宋体" w:hAnsi="宋体" w:eastAsia="宋体" w:cs="宋体"/>
                <w:sz w:val="21"/>
                <w:szCs w:val="21"/>
              </w:rPr>
            </w:pPr>
            <w:r>
              <w:rPr>
                <w:rStyle w:val="215"/>
                <w:rFonts w:hint="eastAsia" w:ascii="宋体" w:hAnsi="宋体" w:eastAsia="宋体" w:cs="宋体"/>
                <w:sz w:val="21"/>
                <w:szCs w:val="21"/>
              </w:rPr>
              <w:t>川R012016000132</w:t>
            </w:r>
          </w:p>
        </w:tc>
        <w:tc>
          <w:tcPr>
            <w:tcW w:w="2051" w:type="dxa"/>
            <w:tcBorders>
              <w:tl2br w:val="nil"/>
              <w:tr2bl w:val="nil"/>
            </w:tcBorders>
            <w:shd w:val="clear" w:color="auto" w:fill="auto"/>
            <w:vAlign w:val="center"/>
          </w:tcPr>
          <w:p w14:paraId="4B224642">
            <w:pPr>
              <w:kinsoku/>
              <w:overflowPunct/>
              <w:topLinePunct w:val="0"/>
              <w:bidi w:val="0"/>
              <w:spacing w:line="360" w:lineRule="atLeast"/>
              <w:ind w:firstLine="0" w:firstLineChars="0"/>
              <w:jc w:val="center"/>
              <w:rPr>
                <w:rStyle w:val="215"/>
                <w:rFonts w:hint="eastAsia" w:ascii="宋体" w:hAnsi="宋体" w:eastAsia="宋体" w:cs="宋体"/>
                <w:sz w:val="21"/>
                <w:szCs w:val="21"/>
              </w:rPr>
            </w:pPr>
            <w:r>
              <w:rPr>
                <w:rStyle w:val="215"/>
                <w:rFonts w:hint="eastAsia" w:ascii="宋体" w:hAnsi="宋体" w:eastAsia="宋体" w:cs="宋体"/>
                <w:sz w:val="21"/>
                <w:szCs w:val="21"/>
              </w:rPr>
              <w:t>负责设备</w:t>
            </w:r>
            <w:r>
              <w:rPr>
                <w:rStyle w:val="215"/>
                <w:rFonts w:hint="eastAsia" w:cs="宋体"/>
                <w:sz w:val="21"/>
                <w:szCs w:val="21"/>
                <w:lang w:eastAsia="zh-CN"/>
              </w:rPr>
              <w:t>拆除</w:t>
            </w:r>
            <w:r>
              <w:rPr>
                <w:rStyle w:val="215"/>
                <w:rFonts w:hint="eastAsia" w:ascii="宋体" w:hAnsi="宋体" w:eastAsia="宋体" w:cs="宋体"/>
                <w:sz w:val="21"/>
                <w:szCs w:val="21"/>
              </w:rPr>
              <w:t>电气调试及维保</w:t>
            </w:r>
          </w:p>
        </w:tc>
      </w:tr>
    </w:tbl>
    <w:p w14:paraId="4628307B">
      <w:pPr>
        <w:pStyle w:val="2"/>
        <w:keepNext w:val="0"/>
        <w:widowControl w:val="0"/>
        <w:numPr>
          <w:ilvl w:val="0"/>
          <w:numId w:val="1"/>
        </w:numPr>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82" w:name="_Toc240"/>
      <w:r>
        <w:rPr>
          <w:rFonts w:hint="eastAsia" w:ascii="宋体" w:hAnsi="宋体" w:eastAsia="宋体" w:cs="宋体"/>
          <w:sz w:val="24"/>
          <w:szCs w:val="24"/>
        </w:rPr>
        <w:t>验收要求</w:t>
      </w:r>
      <w:bookmarkEnd w:id="82"/>
    </w:p>
    <w:p w14:paraId="77C97A42">
      <w:pPr>
        <w:pStyle w:val="3"/>
        <w:keepNext w:val="0"/>
        <w:widowControl w:val="0"/>
        <w:numPr>
          <w:ilvl w:val="1"/>
          <w:numId w:val="1"/>
        </w:numPr>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83" w:name="_Toc2316"/>
      <w:r>
        <w:rPr>
          <w:rFonts w:hint="eastAsia" w:ascii="宋体" w:hAnsi="宋体" w:eastAsia="宋体" w:cs="宋体"/>
          <w:sz w:val="24"/>
          <w:szCs w:val="24"/>
        </w:rPr>
        <w:t>验收标准</w:t>
      </w:r>
      <w:bookmarkEnd w:id="83"/>
    </w:p>
    <w:p w14:paraId="5052C4BF">
      <w:pPr>
        <w:keepNext w:val="0"/>
        <w:keepLines w:val="0"/>
        <w:pageBreakBefore w:val="0"/>
        <w:widowControl w:val="0"/>
        <w:numPr>
          <w:ilvl w:val="0"/>
          <w:numId w:val="40"/>
        </w:numPr>
        <w:kinsoku/>
        <w:wordWrap/>
        <w:overflowPunct/>
        <w:topLinePunct w:val="0"/>
        <w:autoSpaceDE/>
        <w:autoSpaceDN/>
        <w:bidi w:val="0"/>
        <w:adjustRightInd/>
        <w:snapToGrid/>
        <w:ind w:left="0" w:firstLine="0" w:firstLineChars="0"/>
        <w:textAlignment w:val="auto"/>
        <w:rPr>
          <w:rFonts w:hint="eastAsia"/>
        </w:rPr>
      </w:pPr>
      <w:r>
        <w:rPr>
          <w:rFonts w:hint="eastAsia"/>
        </w:rPr>
        <w:t>《建筑施工塔式起重机</w:t>
      </w:r>
      <w:r>
        <w:rPr>
          <w:rFonts w:hint="eastAsia"/>
          <w:lang w:eastAsia="zh-CN"/>
        </w:rPr>
        <w:t>拆除</w:t>
      </w:r>
      <w:r>
        <w:rPr>
          <w:rFonts w:hint="eastAsia"/>
        </w:rPr>
        <w:t>、使用、拆卸安全技术规程》（JGJ 196-2010）</w:t>
      </w:r>
    </w:p>
    <w:p w14:paraId="06D6AC79">
      <w:pPr>
        <w:keepNext w:val="0"/>
        <w:keepLines w:val="0"/>
        <w:pageBreakBefore w:val="0"/>
        <w:widowControl w:val="0"/>
        <w:numPr>
          <w:ilvl w:val="0"/>
          <w:numId w:val="40"/>
        </w:numPr>
        <w:kinsoku/>
        <w:wordWrap/>
        <w:overflowPunct/>
        <w:topLinePunct w:val="0"/>
        <w:autoSpaceDE/>
        <w:autoSpaceDN/>
        <w:bidi w:val="0"/>
        <w:adjustRightInd/>
        <w:snapToGrid/>
        <w:ind w:left="0" w:firstLine="0" w:firstLineChars="0"/>
        <w:textAlignment w:val="auto"/>
        <w:rPr>
          <w:rFonts w:hint="eastAsia"/>
        </w:rPr>
      </w:pPr>
      <w:r>
        <w:rPr>
          <w:rFonts w:hint="eastAsia"/>
        </w:rPr>
        <w:t>《塔式起重机》（GB/T 5031-2019）</w:t>
      </w:r>
    </w:p>
    <w:p w14:paraId="64F52E78">
      <w:pPr>
        <w:keepNext w:val="0"/>
        <w:keepLines w:val="0"/>
        <w:pageBreakBefore w:val="0"/>
        <w:widowControl w:val="0"/>
        <w:numPr>
          <w:ilvl w:val="0"/>
          <w:numId w:val="40"/>
        </w:numPr>
        <w:kinsoku/>
        <w:wordWrap/>
        <w:overflowPunct/>
        <w:topLinePunct w:val="0"/>
        <w:autoSpaceDE/>
        <w:autoSpaceDN/>
        <w:bidi w:val="0"/>
        <w:adjustRightInd/>
        <w:snapToGrid/>
        <w:ind w:left="0" w:firstLine="0" w:firstLineChars="0"/>
        <w:textAlignment w:val="auto"/>
        <w:rPr>
          <w:rFonts w:hint="eastAsia"/>
        </w:rPr>
      </w:pPr>
      <w:r>
        <w:rPr>
          <w:rFonts w:hint="eastAsia"/>
        </w:rPr>
        <w:t>《塔式起重机混凝土基础工程技术规程》（JGJ/T187-2009）</w:t>
      </w:r>
    </w:p>
    <w:p w14:paraId="2CF30026">
      <w:pPr>
        <w:keepNext w:val="0"/>
        <w:keepLines w:val="0"/>
        <w:pageBreakBefore w:val="0"/>
        <w:widowControl w:val="0"/>
        <w:numPr>
          <w:ilvl w:val="0"/>
          <w:numId w:val="40"/>
        </w:numPr>
        <w:kinsoku/>
        <w:wordWrap/>
        <w:overflowPunct/>
        <w:topLinePunct w:val="0"/>
        <w:autoSpaceDE/>
        <w:autoSpaceDN/>
        <w:bidi w:val="0"/>
        <w:adjustRightInd/>
        <w:snapToGrid/>
        <w:ind w:left="0" w:firstLine="0" w:firstLineChars="0"/>
        <w:textAlignment w:val="auto"/>
        <w:rPr>
          <w:rFonts w:hint="eastAsia"/>
        </w:rPr>
      </w:pPr>
      <w:r>
        <w:rPr>
          <w:rFonts w:hint="eastAsia"/>
        </w:rPr>
        <w:t>《起重机钢丝绳保养、维护、检验和报废》（GB/T 5972-2016）</w:t>
      </w:r>
    </w:p>
    <w:p w14:paraId="500F6531">
      <w:pPr>
        <w:keepNext w:val="0"/>
        <w:keepLines w:val="0"/>
        <w:pageBreakBefore w:val="0"/>
        <w:widowControl w:val="0"/>
        <w:numPr>
          <w:ilvl w:val="0"/>
          <w:numId w:val="40"/>
        </w:numPr>
        <w:kinsoku/>
        <w:wordWrap/>
        <w:overflowPunct/>
        <w:topLinePunct w:val="0"/>
        <w:autoSpaceDE/>
        <w:autoSpaceDN/>
        <w:bidi w:val="0"/>
        <w:adjustRightInd/>
        <w:snapToGrid/>
        <w:ind w:left="0" w:firstLine="0" w:firstLineChars="0"/>
        <w:textAlignment w:val="auto"/>
        <w:rPr>
          <w:rFonts w:hint="eastAsia"/>
        </w:rPr>
      </w:pPr>
      <w:r>
        <w:rPr>
          <w:rFonts w:hint="eastAsia"/>
        </w:rPr>
        <w:t>《施工现场机械设备检查技术规程》（JGJ 160-2016）</w:t>
      </w:r>
    </w:p>
    <w:p w14:paraId="00C67CD3">
      <w:pPr>
        <w:keepNext w:val="0"/>
        <w:keepLines w:val="0"/>
        <w:pageBreakBefore w:val="0"/>
        <w:widowControl w:val="0"/>
        <w:numPr>
          <w:ilvl w:val="0"/>
          <w:numId w:val="40"/>
        </w:numPr>
        <w:kinsoku/>
        <w:wordWrap/>
        <w:overflowPunct/>
        <w:topLinePunct w:val="0"/>
        <w:autoSpaceDE/>
        <w:autoSpaceDN/>
        <w:bidi w:val="0"/>
        <w:adjustRightInd/>
        <w:snapToGrid/>
        <w:ind w:left="0" w:firstLine="0" w:firstLineChars="0"/>
        <w:textAlignment w:val="auto"/>
        <w:rPr>
          <w:rFonts w:hint="eastAsia"/>
        </w:rPr>
      </w:pPr>
      <w:r>
        <w:rPr>
          <w:rFonts w:hint="eastAsia"/>
        </w:rPr>
        <w:t>《起重机械超载保护装置》（GB/T 12602-2020）</w:t>
      </w:r>
    </w:p>
    <w:p w14:paraId="52611242">
      <w:pPr>
        <w:keepNext w:val="0"/>
        <w:keepLines w:val="0"/>
        <w:pageBreakBefore w:val="0"/>
        <w:widowControl w:val="0"/>
        <w:numPr>
          <w:ilvl w:val="0"/>
          <w:numId w:val="40"/>
        </w:numPr>
        <w:kinsoku/>
        <w:wordWrap/>
        <w:overflowPunct/>
        <w:topLinePunct w:val="0"/>
        <w:autoSpaceDE/>
        <w:autoSpaceDN/>
        <w:bidi w:val="0"/>
        <w:adjustRightInd/>
        <w:snapToGrid/>
        <w:ind w:left="0" w:firstLine="0" w:firstLineChars="0"/>
        <w:textAlignment w:val="auto"/>
        <w:rPr>
          <w:rFonts w:hint="eastAsia"/>
        </w:rPr>
      </w:pPr>
      <w:r>
        <w:rPr>
          <w:rFonts w:hint="eastAsia"/>
        </w:rPr>
        <w:t>《机械安全机械电气设备第1部分-通用技术条件》（GB 5226.1-2002）</w:t>
      </w:r>
    </w:p>
    <w:p w14:paraId="0D4C3FB3">
      <w:pPr>
        <w:keepNext w:val="0"/>
        <w:keepLines w:val="0"/>
        <w:pageBreakBefore w:val="0"/>
        <w:widowControl w:val="0"/>
        <w:numPr>
          <w:ilvl w:val="0"/>
          <w:numId w:val="40"/>
        </w:numPr>
        <w:kinsoku/>
        <w:wordWrap/>
        <w:overflowPunct/>
        <w:topLinePunct w:val="0"/>
        <w:autoSpaceDE/>
        <w:autoSpaceDN/>
        <w:bidi w:val="0"/>
        <w:adjustRightInd/>
        <w:snapToGrid/>
        <w:ind w:left="0" w:firstLine="0" w:firstLineChars="0"/>
        <w:textAlignment w:val="auto"/>
        <w:rPr>
          <w:rFonts w:hint="eastAsia"/>
        </w:rPr>
      </w:pPr>
      <w:r>
        <w:rPr>
          <w:rFonts w:hint="eastAsia"/>
        </w:rPr>
        <w:t>《塔式起重机安全规程》（GB 5144-2006）</w:t>
      </w:r>
    </w:p>
    <w:p w14:paraId="6B54991B">
      <w:pPr>
        <w:keepNext w:val="0"/>
        <w:keepLines w:val="0"/>
        <w:pageBreakBefore w:val="0"/>
        <w:widowControl w:val="0"/>
        <w:numPr>
          <w:ilvl w:val="0"/>
          <w:numId w:val="40"/>
        </w:numPr>
        <w:kinsoku/>
        <w:wordWrap/>
        <w:overflowPunct/>
        <w:topLinePunct w:val="0"/>
        <w:autoSpaceDE/>
        <w:autoSpaceDN/>
        <w:bidi w:val="0"/>
        <w:adjustRightInd/>
        <w:snapToGrid/>
        <w:ind w:left="0" w:firstLine="0" w:firstLineChars="0"/>
        <w:textAlignment w:val="auto"/>
        <w:rPr>
          <w:rFonts w:hint="eastAsia"/>
        </w:rPr>
      </w:pPr>
      <w:r>
        <w:rPr>
          <w:rFonts w:hint="eastAsia"/>
        </w:rPr>
        <w:t>《塔式起重机设计规范》（GB/T 13752-2017）</w:t>
      </w:r>
    </w:p>
    <w:p w14:paraId="3AB370B5">
      <w:pPr>
        <w:keepNext w:val="0"/>
        <w:keepLines w:val="0"/>
        <w:pageBreakBefore w:val="0"/>
        <w:widowControl w:val="0"/>
        <w:numPr>
          <w:ilvl w:val="0"/>
          <w:numId w:val="40"/>
        </w:numPr>
        <w:kinsoku/>
        <w:wordWrap/>
        <w:overflowPunct/>
        <w:topLinePunct w:val="0"/>
        <w:autoSpaceDE/>
        <w:autoSpaceDN/>
        <w:bidi w:val="0"/>
        <w:adjustRightInd/>
        <w:snapToGrid/>
        <w:ind w:left="0" w:firstLine="0" w:firstLineChars="0"/>
        <w:textAlignment w:val="auto"/>
        <w:rPr>
          <w:rFonts w:hint="eastAsia"/>
          <w:lang w:val="en-US" w:eastAsia="zh-CN"/>
        </w:rPr>
      </w:pPr>
      <w:r>
        <w:rPr>
          <w:rFonts w:hint="eastAsia"/>
          <w:lang w:val="en-US" w:eastAsia="zh-CN"/>
        </w:rPr>
        <w:t>《起重机械安全技术规程》TSG51-2023</w:t>
      </w:r>
    </w:p>
    <w:p w14:paraId="33A83918">
      <w:pPr>
        <w:keepNext w:val="0"/>
        <w:keepLines w:val="0"/>
        <w:pageBreakBefore w:val="0"/>
        <w:widowControl w:val="0"/>
        <w:numPr>
          <w:ilvl w:val="0"/>
          <w:numId w:val="40"/>
        </w:numPr>
        <w:kinsoku/>
        <w:wordWrap/>
        <w:overflowPunct/>
        <w:topLinePunct w:val="0"/>
        <w:autoSpaceDE/>
        <w:autoSpaceDN/>
        <w:bidi w:val="0"/>
        <w:adjustRightInd/>
        <w:snapToGrid/>
        <w:ind w:left="0" w:firstLine="0" w:firstLineChars="0"/>
        <w:textAlignment w:val="auto"/>
        <w:rPr>
          <w:rFonts w:hint="eastAsia"/>
          <w:lang w:val="en-US" w:eastAsia="zh-CN"/>
        </w:rPr>
      </w:pPr>
      <w:r>
        <w:rPr>
          <w:rFonts w:hint="eastAsia"/>
          <w:lang w:val="en-US" w:eastAsia="zh-CN"/>
        </w:rPr>
        <w:t>《起重机械拆除改造重大修理监督检验规则》（TSG Q7016-2016）</w:t>
      </w:r>
    </w:p>
    <w:p w14:paraId="4E5D3846">
      <w:pPr>
        <w:pStyle w:val="3"/>
        <w:keepNext w:val="0"/>
        <w:widowControl w:val="0"/>
        <w:numPr>
          <w:ilvl w:val="1"/>
          <w:numId w:val="1"/>
        </w:numPr>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84" w:name="_Toc399"/>
      <w:r>
        <w:rPr>
          <w:rFonts w:hint="eastAsia" w:ascii="宋体" w:hAnsi="宋体" w:eastAsia="宋体" w:cs="宋体"/>
          <w:sz w:val="24"/>
          <w:szCs w:val="24"/>
        </w:rPr>
        <w:t>验收程序和使用登记程序</w:t>
      </w:r>
      <w:bookmarkEnd w:id="84"/>
    </w:p>
    <w:p w14:paraId="6C031EC8">
      <w:pPr>
        <w:pStyle w:val="4"/>
        <w:keepNext w:val="0"/>
        <w:widowControl w:val="0"/>
        <w:numPr>
          <w:ilvl w:val="2"/>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塔吊的检验验收</w:t>
      </w:r>
    </w:p>
    <w:p w14:paraId="6387E45C">
      <w:pPr>
        <w:numPr>
          <w:ilvl w:val="0"/>
          <w:numId w:val="41"/>
        </w:numPr>
        <w:bidi w:val="0"/>
        <w:ind w:left="425" w:leftChars="0" w:hanging="425" w:firstLineChars="0"/>
        <w:rPr>
          <w:rFonts w:hint="eastAsia"/>
        </w:rPr>
      </w:pPr>
      <w:r>
        <w:rPr>
          <w:rFonts w:hint="eastAsia"/>
        </w:rPr>
        <w:t>检验验收前，用户应当按照设备操作规程要求，完成塔吊的</w:t>
      </w:r>
      <w:r>
        <w:rPr>
          <w:rFonts w:hint="eastAsia"/>
          <w:lang w:eastAsia="zh-CN"/>
        </w:rPr>
        <w:t>拆除</w:t>
      </w:r>
      <w:r>
        <w:rPr>
          <w:rFonts w:hint="eastAsia"/>
        </w:rPr>
        <w:t>、调试、考核，并根据技术要求</w:t>
      </w:r>
      <w:r>
        <w:rPr>
          <w:rFonts w:hint="eastAsia"/>
          <w:lang w:eastAsia="zh-CN"/>
        </w:rPr>
        <w:t>拆除</w:t>
      </w:r>
      <w:r>
        <w:rPr>
          <w:rFonts w:hint="eastAsia"/>
        </w:rPr>
        <w:t>完成塔吊检验标志。</w:t>
      </w:r>
    </w:p>
    <w:p w14:paraId="244E4338">
      <w:pPr>
        <w:numPr>
          <w:ilvl w:val="0"/>
          <w:numId w:val="41"/>
        </w:numPr>
        <w:bidi w:val="0"/>
        <w:ind w:left="425" w:leftChars="0" w:hanging="425" w:firstLineChars="0"/>
        <w:rPr>
          <w:rFonts w:hint="eastAsia"/>
        </w:rPr>
      </w:pPr>
      <w:r>
        <w:rPr>
          <w:rFonts w:hint="eastAsia"/>
        </w:rPr>
        <w:t>经技术人员验收塔吊</w:t>
      </w:r>
      <w:r>
        <w:rPr>
          <w:rFonts w:hint="eastAsia"/>
          <w:lang w:eastAsia="zh-CN"/>
        </w:rPr>
        <w:t>拆除</w:t>
      </w:r>
      <w:r>
        <w:rPr>
          <w:rFonts w:hint="eastAsia"/>
        </w:rPr>
        <w:t>质量，确认吊物、索具、限位器、安全钳、安全装置等</w:t>
      </w:r>
      <w:r>
        <w:rPr>
          <w:rFonts w:hint="eastAsia"/>
          <w:lang w:eastAsia="zh-CN"/>
        </w:rPr>
        <w:t>拆除</w:t>
      </w:r>
      <w:r>
        <w:rPr>
          <w:rFonts w:hint="eastAsia"/>
        </w:rPr>
        <w:t>质量符合要求后，可以进行检验验收。</w:t>
      </w:r>
    </w:p>
    <w:p w14:paraId="580EEF2B">
      <w:pPr>
        <w:numPr>
          <w:ilvl w:val="0"/>
          <w:numId w:val="41"/>
        </w:numPr>
        <w:bidi w:val="0"/>
        <w:ind w:left="425" w:leftChars="0" w:hanging="425" w:firstLineChars="0"/>
        <w:rPr>
          <w:rFonts w:hint="eastAsia"/>
        </w:rPr>
      </w:pPr>
      <w:r>
        <w:rPr>
          <w:rFonts w:hint="eastAsia"/>
        </w:rPr>
        <w:t>检验验收实施前，用户应当提供塔吊设备的技术参数、设备型号、出厂日期、出厂编号、</w:t>
      </w:r>
      <w:r>
        <w:rPr>
          <w:rFonts w:hint="eastAsia"/>
          <w:lang w:eastAsia="zh-CN"/>
        </w:rPr>
        <w:t>拆除</w:t>
      </w:r>
      <w:r>
        <w:rPr>
          <w:rFonts w:hint="eastAsia"/>
        </w:rPr>
        <w:t>地点等相关信息。</w:t>
      </w:r>
    </w:p>
    <w:p w14:paraId="03545E88">
      <w:pPr>
        <w:numPr>
          <w:ilvl w:val="0"/>
          <w:numId w:val="41"/>
        </w:numPr>
        <w:bidi w:val="0"/>
        <w:ind w:left="425" w:leftChars="0" w:hanging="425" w:firstLineChars="0"/>
        <w:rPr>
          <w:rFonts w:hint="eastAsia"/>
        </w:rPr>
      </w:pPr>
      <w:r>
        <w:rPr>
          <w:rFonts w:hint="eastAsia"/>
        </w:rPr>
        <w:t>检验验收实施时，用户应当提供技术人员必要的检验工具、检验标准件等。</w:t>
      </w:r>
    </w:p>
    <w:p w14:paraId="4720FDB7">
      <w:pPr>
        <w:numPr>
          <w:ilvl w:val="0"/>
          <w:numId w:val="41"/>
        </w:numPr>
        <w:bidi w:val="0"/>
        <w:ind w:left="425" w:leftChars="0" w:hanging="425" w:firstLineChars="0"/>
        <w:rPr>
          <w:rFonts w:hint="eastAsia"/>
        </w:rPr>
      </w:pPr>
      <w:r>
        <w:rPr>
          <w:rFonts w:hint="eastAsia"/>
        </w:rPr>
        <w:t>实施检验验收时，用户应当按照相关技术规范和标准要求，对塔吊进行实物检查、操作检查、抗震检查、力学性能检查、液压检查、电气检查、限位器检查、控制系统检查等，确认塔吊设备各项技术性能及结构、安全装置等符合要求后，可以进行检验验收。</w:t>
      </w:r>
    </w:p>
    <w:p w14:paraId="188BAB06">
      <w:pPr>
        <w:numPr>
          <w:ilvl w:val="0"/>
          <w:numId w:val="41"/>
        </w:numPr>
        <w:bidi w:val="0"/>
        <w:ind w:left="425" w:leftChars="0" w:hanging="425" w:firstLineChars="0"/>
        <w:rPr>
          <w:rFonts w:hint="eastAsia"/>
        </w:rPr>
      </w:pPr>
      <w:r>
        <w:rPr>
          <w:rFonts w:hint="eastAsia"/>
        </w:rPr>
        <w:t>检验验收完毕后，用户应当完成检验验收证书，交付给技术人员签字确认。</w:t>
      </w:r>
    </w:p>
    <w:p w14:paraId="085C5041">
      <w:pPr>
        <w:pStyle w:val="4"/>
        <w:keepNext w:val="0"/>
        <w:widowControl w:val="0"/>
        <w:numPr>
          <w:ilvl w:val="2"/>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使用登记程序</w:t>
      </w:r>
    </w:p>
    <w:p w14:paraId="42E7C31B">
      <w:pPr>
        <w:numPr>
          <w:ilvl w:val="0"/>
          <w:numId w:val="42"/>
        </w:numPr>
        <w:bidi w:val="0"/>
        <w:ind w:left="425" w:leftChars="0" w:hanging="425" w:firstLineChars="0"/>
        <w:rPr>
          <w:rFonts w:hint="eastAsia"/>
        </w:rPr>
      </w:pPr>
      <w:r>
        <w:rPr>
          <w:rFonts w:hint="eastAsia"/>
        </w:rPr>
        <w:t>用户应当按照有关规定，按照要求填写塔吊使用登记表，并填写</w:t>
      </w:r>
      <w:r>
        <w:rPr>
          <w:rFonts w:hint="eastAsia"/>
          <w:lang w:eastAsia="zh-CN"/>
        </w:rPr>
        <w:t>拆除</w:t>
      </w:r>
      <w:r>
        <w:rPr>
          <w:rFonts w:hint="eastAsia"/>
        </w:rPr>
        <w:t>地点、塔吊型号、出厂日期、出厂编号、经营单位等相关信息。</w:t>
      </w:r>
    </w:p>
    <w:p w14:paraId="02435E8A">
      <w:pPr>
        <w:numPr>
          <w:ilvl w:val="0"/>
          <w:numId w:val="42"/>
        </w:numPr>
        <w:bidi w:val="0"/>
        <w:ind w:left="425" w:leftChars="0" w:hanging="425" w:firstLineChars="0"/>
        <w:rPr>
          <w:rFonts w:hint="eastAsia"/>
        </w:rPr>
      </w:pPr>
      <w:r>
        <w:rPr>
          <w:rFonts w:hint="eastAsia"/>
        </w:rPr>
        <w:t>用户应当提供塔吊检验验收证书，经营单位安全生产许可证，塔吊安全操作规程、技术规程等文件。</w:t>
      </w:r>
    </w:p>
    <w:p w14:paraId="331365DD">
      <w:pPr>
        <w:numPr>
          <w:ilvl w:val="0"/>
          <w:numId w:val="42"/>
        </w:numPr>
        <w:bidi w:val="0"/>
        <w:ind w:left="425" w:leftChars="0" w:hanging="425" w:firstLineChars="0"/>
        <w:rPr>
          <w:rFonts w:hint="eastAsia"/>
        </w:rPr>
      </w:pPr>
      <w:r>
        <w:rPr>
          <w:rFonts w:hint="eastAsia"/>
        </w:rPr>
        <w:t>用户应当按照有关规定，定期对塔吊设备进行安全检查，并将检查结果记录在案。</w:t>
      </w:r>
    </w:p>
    <w:p w14:paraId="549EB80D">
      <w:pPr>
        <w:numPr>
          <w:ilvl w:val="0"/>
          <w:numId w:val="42"/>
        </w:numPr>
        <w:bidi w:val="0"/>
        <w:ind w:left="425" w:leftChars="0" w:hanging="425" w:firstLineChars="0"/>
        <w:rPr>
          <w:rFonts w:hint="eastAsia"/>
        </w:rPr>
      </w:pPr>
      <w:r>
        <w:rPr>
          <w:rFonts w:hint="eastAsia"/>
        </w:rPr>
        <w:t>将塔吊使用登记表及相关文件上报监督管理部门审核，完成使用登记</w:t>
      </w:r>
      <w:r>
        <w:rPr>
          <w:rFonts w:hint="eastAsia"/>
          <w:lang w:eastAsia="zh-CN"/>
        </w:rPr>
        <w:t>，</w:t>
      </w:r>
      <w:r>
        <w:rPr>
          <w:rFonts w:hint="eastAsia"/>
          <w:lang w:val="en-US" w:eastAsia="zh-CN"/>
        </w:rPr>
        <w:t>并领取</w:t>
      </w:r>
      <w:r>
        <w:rPr>
          <w:rFonts w:hint="eastAsia"/>
        </w:rPr>
        <w:t>《特种设备使用登记证》。</w:t>
      </w:r>
    </w:p>
    <w:p w14:paraId="224E6D2A">
      <w:pPr>
        <w:pStyle w:val="3"/>
        <w:keepNext w:val="0"/>
        <w:widowControl w:val="0"/>
        <w:numPr>
          <w:ilvl w:val="1"/>
          <w:numId w:val="1"/>
        </w:numPr>
        <w:kinsoku/>
        <w:wordWrap/>
        <w:overflowPunct/>
        <w:topLinePunct w:val="0"/>
        <w:autoSpaceDE/>
        <w:autoSpaceDN/>
        <w:bidi w:val="0"/>
        <w:adjustRightInd/>
        <w:snapToGrid/>
        <w:spacing w:line="480" w:lineRule="atLeast"/>
        <w:textAlignment w:val="auto"/>
        <w:rPr>
          <w:rFonts w:hint="eastAsia" w:ascii="宋体" w:hAnsi="宋体" w:eastAsia="宋体" w:cs="宋体"/>
          <w:color w:val="auto"/>
          <w:sz w:val="24"/>
          <w:szCs w:val="24"/>
        </w:rPr>
      </w:pPr>
      <w:bookmarkStart w:id="85" w:name="_Toc19121"/>
      <w:r>
        <w:rPr>
          <w:rFonts w:hint="eastAsia" w:ascii="宋体" w:hAnsi="宋体" w:eastAsia="宋体" w:cs="宋体"/>
          <w:color w:val="auto"/>
          <w:sz w:val="24"/>
          <w:szCs w:val="24"/>
        </w:rPr>
        <w:t>验收内容</w:t>
      </w:r>
      <w:bookmarkEnd w:id="85"/>
    </w:p>
    <w:p w14:paraId="247FF940">
      <w:pPr>
        <w:pStyle w:val="4"/>
        <w:keepNext w:val="0"/>
        <w:widowControl w:val="0"/>
        <w:numPr>
          <w:ilvl w:val="2"/>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cs="宋体"/>
          <w:sz w:val="24"/>
          <w:szCs w:val="24"/>
          <w:lang w:eastAsia="zh-CN"/>
        </w:rPr>
        <w:t>拆除</w:t>
      </w:r>
      <w:r>
        <w:rPr>
          <w:rFonts w:hint="eastAsia" w:ascii="宋体" w:hAnsi="宋体" w:eastAsia="宋体" w:cs="宋体"/>
          <w:sz w:val="24"/>
          <w:szCs w:val="24"/>
        </w:rPr>
        <w:t>单位自检验收</w:t>
      </w:r>
    </w:p>
    <w:p w14:paraId="739E39C2">
      <w:pPr>
        <w:pStyle w:val="13"/>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8.3.1</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塔吊</w:t>
      </w:r>
      <w:r>
        <w:rPr>
          <w:rFonts w:hint="eastAsia" w:ascii="宋体" w:hAnsi="宋体" w:cs="宋体"/>
          <w:sz w:val="24"/>
          <w:szCs w:val="24"/>
          <w:lang w:eastAsia="zh-CN"/>
        </w:rPr>
        <w:t>拆除</w:t>
      </w:r>
      <w:r>
        <w:rPr>
          <w:rFonts w:hint="eastAsia" w:ascii="宋体" w:hAnsi="宋体" w:eastAsia="宋体" w:cs="宋体"/>
          <w:sz w:val="24"/>
          <w:szCs w:val="24"/>
        </w:rPr>
        <w:t>自检表</w:t>
      </w:r>
    </w:p>
    <w:tbl>
      <w:tblPr>
        <w:tblStyle w:val="41"/>
        <w:tblW w:w="952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499"/>
        <w:gridCol w:w="3056"/>
        <w:gridCol w:w="1041"/>
        <w:gridCol w:w="254"/>
        <w:gridCol w:w="1349"/>
        <w:gridCol w:w="1116"/>
      </w:tblGrid>
      <w:tr w14:paraId="067E90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1206" w:type="dxa"/>
            <w:tcBorders>
              <w:tl2br w:val="nil"/>
              <w:tr2bl w:val="nil"/>
            </w:tcBorders>
            <w:vAlign w:val="center"/>
          </w:tcPr>
          <w:p w14:paraId="56C5C201">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工程名称</w:t>
            </w:r>
          </w:p>
        </w:tc>
        <w:tc>
          <w:tcPr>
            <w:tcW w:w="5850" w:type="dxa"/>
            <w:gridSpan w:val="4"/>
            <w:tcBorders>
              <w:tl2br w:val="nil"/>
              <w:tr2bl w:val="nil"/>
            </w:tcBorders>
            <w:vAlign w:val="center"/>
          </w:tcPr>
          <w:p w14:paraId="1EE51F91">
            <w:pPr>
              <w:pStyle w:val="49"/>
              <w:kinsoku/>
              <w:overflowPunct/>
              <w:topLinePunct w:val="0"/>
              <w:bidi w:val="0"/>
              <w:spacing w:line="360" w:lineRule="atLeast"/>
              <w:rPr>
                <w:rFonts w:hint="eastAsia" w:ascii="宋体" w:hAnsi="宋体" w:eastAsia="宋体" w:cs="宋体"/>
                <w:b/>
                <w:bCs/>
                <w:sz w:val="21"/>
                <w:szCs w:val="21"/>
              </w:rPr>
            </w:pPr>
            <w:r>
              <w:rPr>
                <w:rFonts w:hint="eastAsia" w:cs="宋体"/>
                <w:b/>
                <w:bCs w:val="0"/>
                <w:i w:val="0"/>
                <w:sz w:val="21"/>
                <w:szCs w:val="21"/>
                <w:lang w:val="en-US" w:eastAsia="zh-CN"/>
              </w:rPr>
              <w:t>G9221杭甬高速宁波段三期工程威海路至柴桥段SG02 标跨港区及甬江特大桥</w:t>
            </w:r>
            <w:r>
              <w:rPr>
                <w:rFonts w:hint="eastAsia" w:ascii="宋体" w:hAnsi="宋体" w:eastAsia="宋体" w:cs="宋体"/>
                <w:b/>
                <w:bCs w:val="0"/>
                <w:i w:val="0"/>
                <w:sz w:val="21"/>
                <w:szCs w:val="21"/>
                <w:lang w:val="en-US" w:eastAsia="zh-CN"/>
              </w:rPr>
              <w:t>项目</w:t>
            </w:r>
          </w:p>
        </w:tc>
        <w:tc>
          <w:tcPr>
            <w:tcW w:w="1349" w:type="dxa"/>
            <w:tcBorders>
              <w:tl2br w:val="nil"/>
              <w:tr2bl w:val="nil"/>
            </w:tcBorders>
            <w:vAlign w:val="center"/>
          </w:tcPr>
          <w:p w14:paraId="748927DE">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施工地址</w:t>
            </w:r>
          </w:p>
        </w:tc>
        <w:tc>
          <w:tcPr>
            <w:tcW w:w="1116" w:type="dxa"/>
            <w:tcBorders>
              <w:tl2br w:val="nil"/>
              <w:tr2bl w:val="nil"/>
            </w:tcBorders>
            <w:vAlign w:val="center"/>
          </w:tcPr>
          <w:p w14:paraId="74B78306">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项目工地</w:t>
            </w:r>
          </w:p>
        </w:tc>
      </w:tr>
      <w:tr w14:paraId="09CA28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1206" w:type="dxa"/>
            <w:tcBorders>
              <w:tl2br w:val="nil"/>
              <w:tr2bl w:val="nil"/>
            </w:tcBorders>
            <w:vAlign w:val="center"/>
          </w:tcPr>
          <w:p w14:paraId="3250580B">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出租单位</w:t>
            </w:r>
          </w:p>
        </w:tc>
        <w:tc>
          <w:tcPr>
            <w:tcW w:w="8315" w:type="dxa"/>
            <w:gridSpan w:val="6"/>
            <w:tcBorders>
              <w:tl2br w:val="nil"/>
              <w:tr2bl w:val="nil"/>
            </w:tcBorders>
            <w:vAlign w:val="center"/>
          </w:tcPr>
          <w:p w14:paraId="39E8779D">
            <w:pPr>
              <w:pStyle w:val="49"/>
              <w:kinsoku/>
              <w:overflowPunct/>
              <w:topLinePunct w:val="0"/>
              <w:bidi w:val="0"/>
              <w:spacing w:line="360" w:lineRule="atLeast"/>
              <w:rPr>
                <w:rFonts w:hint="eastAsia" w:ascii="宋体" w:hAnsi="宋体" w:eastAsia="宋体" w:cs="宋体"/>
                <w:b/>
                <w:bCs/>
                <w:sz w:val="21"/>
                <w:szCs w:val="21"/>
              </w:rPr>
            </w:pPr>
            <w:r>
              <w:rPr>
                <w:rFonts w:hint="eastAsia" w:cs="宋体"/>
                <w:b/>
                <w:bCs/>
                <w:sz w:val="21"/>
                <w:szCs w:val="21"/>
                <w:lang w:val="en-US" w:eastAsia="zh-CN"/>
              </w:rPr>
              <w:t>重庆桥渝工程机械租赁有限公司</w:t>
            </w:r>
          </w:p>
        </w:tc>
      </w:tr>
      <w:tr w14:paraId="060ADD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1206" w:type="dxa"/>
            <w:tcBorders>
              <w:tl2br w:val="nil"/>
              <w:tr2bl w:val="nil"/>
            </w:tcBorders>
            <w:vAlign w:val="center"/>
          </w:tcPr>
          <w:p w14:paraId="4DA4A780">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型号</w:t>
            </w:r>
          </w:p>
        </w:tc>
        <w:tc>
          <w:tcPr>
            <w:tcW w:w="1499" w:type="dxa"/>
            <w:tcBorders>
              <w:tl2br w:val="nil"/>
              <w:tr2bl w:val="nil"/>
            </w:tcBorders>
            <w:vAlign w:val="center"/>
          </w:tcPr>
          <w:p w14:paraId="3CFA6B92">
            <w:pPr>
              <w:pStyle w:val="49"/>
              <w:kinsoku/>
              <w:overflowPunct/>
              <w:topLinePunct w:val="0"/>
              <w:bidi w:val="0"/>
              <w:spacing w:line="360" w:lineRule="atLeast"/>
              <w:rPr>
                <w:rFonts w:hint="eastAsia" w:ascii="宋体" w:hAnsi="宋体" w:eastAsia="宋体" w:cs="宋体"/>
                <w:b/>
                <w:bCs/>
                <w:sz w:val="21"/>
                <w:szCs w:val="21"/>
              </w:rPr>
            </w:pPr>
          </w:p>
        </w:tc>
        <w:tc>
          <w:tcPr>
            <w:tcW w:w="3056" w:type="dxa"/>
            <w:tcBorders>
              <w:tl2br w:val="nil"/>
              <w:tr2bl w:val="nil"/>
            </w:tcBorders>
            <w:vAlign w:val="center"/>
          </w:tcPr>
          <w:p w14:paraId="1A1D28E9">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设备编号</w:t>
            </w:r>
          </w:p>
        </w:tc>
        <w:tc>
          <w:tcPr>
            <w:tcW w:w="1041" w:type="dxa"/>
            <w:tcBorders>
              <w:tl2br w:val="nil"/>
              <w:tr2bl w:val="nil"/>
            </w:tcBorders>
            <w:vAlign w:val="center"/>
          </w:tcPr>
          <w:p w14:paraId="11C9DAFB">
            <w:pPr>
              <w:pStyle w:val="49"/>
              <w:kinsoku/>
              <w:overflowPunct/>
              <w:topLinePunct w:val="0"/>
              <w:bidi w:val="0"/>
              <w:spacing w:line="360" w:lineRule="atLeast"/>
              <w:rPr>
                <w:rFonts w:hint="eastAsia" w:ascii="宋体" w:hAnsi="宋体" w:eastAsia="宋体" w:cs="宋体"/>
                <w:b/>
                <w:bCs/>
                <w:sz w:val="21"/>
                <w:szCs w:val="21"/>
              </w:rPr>
            </w:pPr>
          </w:p>
        </w:tc>
        <w:tc>
          <w:tcPr>
            <w:tcW w:w="1603" w:type="dxa"/>
            <w:gridSpan w:val="2"/>
            <w:tcBorders>
              <w:tl2br w:val="nil"/>
              <w:tr2bl w:val="nil"/>
            </w:tcBorders>
            <w:vAlign w:val="center"/>
          </w:tcPr>
          <w:p w14:paraId="0306FF29">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施工高度</w:t>
            </w:r>
          </w:p>
        </w:tc>
        <w:tc>
          <w:tcPr>
            <w:tcW w:w="1116" w:type="dxa"/>
            <w:tcBorders>
              <w:tl2br w:val="nil"/>
              <w:tr2bl w:val="nil"/>
            </w:tcBorders>
            <w:vAlign w:val="center"/>
          </w:tcPr>
          <w:p w14:paraId="6280A96F">
            <w:pPr>
              <w:pStyle w:val="49"/>
              <w:kinsoku/>
              <w:overflowPunct/>
              <w:topLinePunct w:val="0"/>
              <w:bidi w:val="0"/>
              <w:spacing w:line="360" w:lineRule="atLeast"/>
              <w:rPr>
                <w:rFonts w:hint="eastAsia" w:ascii="宋体" w:hAnsi="宋体" w:eastAsia="宋体" w:cs="宋体"/>
                <w:b/>
                <w:bCs/>
                <w:sz w:val="21"/>
                <w:szCs w:val="21"/>
              </w:rPr>
            </w:pPr>
          </w:p>
        </w:tc>
      </w:tr>
      <w:tr w14:paraId="1D159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1206" w:type="dxa"/>
            <w:tcBorders>
              <w:tl2br w:val="nil"/>
              <w:tr2bl w:val="nil"/>
            </w:tcBorders>
            <w:vAlign w:val="center"/>
          </w:tcPr>
          <w:p w14:paraId="18053435">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附墙个数</w:t>
            </w:r>
          </w:p>
        </w:tc>
        <w:tc>
          <w:tcPr>
            <w:tcW w:w="1499" w:type="dxa"/>
            <w:tcBorders>
              <w:tl2br w:val="nil"/>
              <w:tr2bl w:val="nil"/>
            </w:tcBorders>
            <w:vAlign w:val="center"/>
          </w:tcPr>
          <w:p w14:paraId="6C53892B">
            <w:pPr>
              <w:pStyle w:val="49"/>
              <w:kinsoku/>
              <w:overflowPunct/>
              <w:topLinePunct w:val="0"/>
              <w:bidi w:val="0"/>
              <w:spacing w:line="360" w:lineRule="atLeast"/>
              <w:rPr>
                <w:rFonts w:hint="eastAsia" w:ascii="宋体" w:hAnsi="宋体" w:eastAsia="宋体" w:cs="宋体"/>
                <w:b/>
                <w:bCs/>
                <w:sz w:val="21"/>
                <w:szCs w:val="21"/>
              </w:rPr>
            </w:pPr>
          </w:p>
        </w:tc>
        <w:tc>
          <w:tcPr>
            <w:tcW w:w="3056" w:type="dxa"/>
            <w:tcBorders>
              <w:tl2br w:val="nil"/>
              <w:tr2bl w:val="nil"/>
            </w:tcBorders>
            <w:vAlign w:val="center"/>
          </w:tcPr>
          <w:p w14:paraId="72FEBA01">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最大载重量</w:t>
            </w:r>
          </w:p>
        </w:tc>
        <w:tc>
          <w:tcPr>
            <w:tcW w:w="1041" w:type="dxa"/>
            <w:tcBorders>
              <w:tl2br w:val="nil"/>
              <w:tr2bl w:val="nil"/>
            </w:tcBorders>
            <w:vAlign w:val="center"/>
          </w:tcPr>
          <w:p w14:paraId="55EA72AD">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吨</w:t>
            </w:r>
          </w:p>
        </w:tc>
        <w:tc>
          <w:tcPr>
            <w:tcW w:w="1603" w:type="dxa"/>
            <w:gridSpan w:val="2"/>
            <w:tcBorders>
              <w:tl2br w:val="nil"/>
              <w:tr2bl w:val="nil"/>
            </w:tcBorders>
            <w:vAlign w:val="center"/>
          </w:tcPr>
          <w:p w14:paraId="36CC3E7B">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检查日期</w:t>
            </w:r>
          </w:p>
        </w:tc>
        <w:tc>
          <w:tcPr>
            <w:tcW w:w="1116" w:type="dxa"/>
            <w:tcBorders>
              <w:tl2br w:val="nil"/>
              <w:tr2bl w:val="nil"/>
            </w:tcBorders>
            <w:vAlign w:val="center"/>
          </w:tcPr>
          <w:p w14:paraId="24DFB1D1">
            <w:pPr>
              <w:pStyle w:val="49"/>
              <w:kinsoku/>
              <w:overflowPunct/>
              <w:topLinePunct w:val="0"/>
              <w:bidi w:val="0"/>
              <w:spacing w:line="360" w:lineRule="atLeast"/>
              <w:rPr>
                <w:rFonts w:hint="eastAsia" w:ascii="宋体" w:hAnsi="宋体" w:eastAsia="宋体" w:cs="宋体"/>
                <w:b/>
                <w:bCs/>
                <w:sz w:val="21"/>
                <w:szCs w:val="21"/>
              </w:rPr>
            </w:pPr>
          </w:p>
        </w:tc>
      </w:tr>
      <w:tr w14:paraId="499071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056" w:type="dxa"/>
            <w:gridSpan w:val="5"/>
            <w:tcBorders>
              <w:tl2br w:val="nil"/>
              <w:tr2bl w:val="nil"/>
            </w:tcBorders>
            <w:vAlign w:val="center"/>
          </w:tcPr>
          <w:p w14:paraId="66955ABC">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检查内容</w:t>
            </w:r>
          </w:p>
        </w:tc>
        <w:tc>
          <w:tcPr>
            <w:tcW w:w="1349" w:type="dxa"/>
            <w:tcBorders>
              <w:tl2br w:val="nil"/>
              <w:tr2bl w:val="nil"/>
            </w:tcBorders>
            <w:vAlign w:val="center"/>
          </w:tcPr>
          <w:p w14:paraId="190104A4">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参照标准</w:t>
            </w:r>
          </w:p>
        </w:tc>
        <w:tc>
          <w:tcPr>
            <w:tcW w:w="1116" w:type="dxa"/>
            <w:tcBorders>
              <w:tl2br w:val="nil"/>
              <w:tr2bl w:val="nil"/>
            </w:tcBorders>
            <w:vAlign w:val="center"/>
          </w:tcPr>
          <w:p w14:paraId="515C254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检查结果</w:t>
            </w:r>
          </w:p>
        </w:tc>
      </w:tr>
      <w:tr w14:paraId="63B85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1206" w:type="dxa"/>
            <w:vMerge w:val="restart"/>
            <w:tcBorders>
              <w:tl2br w:val="nil"/>
              <w:tr2bl w:val="nil"/>
            </w:tcBorders>
            <w:vAlign w:val="center"/>
          </w:tcPr>
          <w:p w14:paraId="58DD3925">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（一）基</w:t>
            </w:r>
          </w:p>
          <w:p w14:paraId="55E49466">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础</w:t>
            </w:r>
          </w:p>
        </w:tc>
        <w:tc>
          <w:tcPr>
            <w:tcW w:w="5850" w:type="dxa"/>
            <w:gridSpan w:val="4"/>
            <w:tcBorders>
              <w:tl2br w:val="nil"/>
              <w:tr2bl w:val="nil"/>
            </w:tcBorders>
            <w:vAlign w:val="center"/>
          </w:tcPr>
          <w:p w14:paraId="57D80B72">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1.稳定性；</w:t>
            </w:r>
          </w:p>
        </w:tc>
        <w:tc>
          <w:tcPr>
            <w:tcW w:w="1349" w:type="dxa"/>
            <w:vMerge w:val="restart"/>
            <w:tcBorders>
              <w:tl2br w:val="nil"/>
              <w:tr2bl w:val="nil"/>
            </w:tcBorders>
            <w:vAlign w:val="center"/>
          </w:tcPr>
          <w:p w14:paraId="2810193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JBJ/T187-2009</w:t>
            </w:r>
          </w:p>
        </w:tc>
        <w:tc>
          <w:tcPr>
            <w:tcW w:w="1116" w:type="dxa"/>
            <w:tcBorders>
              <w:tl2br w:val="nil"/>
              <w:tr2bl w:val="nil"/>
            </w:tcBorders>
            <w:vAlign w:val="center"/>
          </w:tcPr>
          <w:p w14:paraId="3E91FCF0">
            <w:pPr>
              <w:pStyle w:val="49"/>
              <w:kinsoku/>
              <w:overflowPunct/>
              <w:topLinePunct w:val="0"/>
              <w:bidi w:val="0"/>
              <w:spacing w:line="360" w:lineRule="atLeast"/>
              <w:rPr>
                <w:rFonts w:hint="eastAsia" w:ascii="宋体" w:hAnsi="宋体" w:eastAsia="宋体" w:cs="宋体"/>
                <w:sz w:val="21"/>
                <w:szCs w:val="21"/>
              </w:rPr>
            </w:pPr>
          </w:p>
        </w:tc>
      </w:tr>
      <w:tr w14:paraId="02AE7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206" w:type="dxa"/>
            <w:vMerge w:val="continue"/>
            <w:tcBorders>
              <w:tl2br w:val="nil"/>
              <w:tr2bl w:val="nil"/>
            </w:tcBorders>
            <w:vAlign w:val="center"/>
          </w:tcPr>
          <w:p w14:paraId="740A1A46">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6B2BC06C">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2.排水措施；</w:t>
            </w:r>
          </w:p>
        </w:tc>
        <w:tc>
          <w:tcPr>
            <w:tcW w:w="1349" w:type="dxa"/>
            <w:vMerge w:val="continue"/>
            <w:tcBorders>
              <w:tl2br w:val="nil"/>
              <w:tr2bl w:val="nil"/>
            </w:tcBorders>
            <w:vAlign w:val="center"/>
          </w:tcPr>
          <w:p w14:paraId="791867DE">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2F72E083">
            <w:pPr>
              <w:pStyle w:val="49"/>
              <w:kinsoku/>
              <w:overflowPunct/>
              <w:topLinePunct w:val="0"/>
              <w:bidi w:val="0"/>
              <w:spacing w:line="360" w:lineRule="atLeast"/>
              <w:rPr>
                <w:rFonts w:hint="eastAsia" w:ascii="宋体" w:hAnsi="宋体" w:eastAsia="宋体" w:cs="宋体"/>
                <w:sz w:val="21"/>
                <w:szCs w:val="21"/>
              </w:rPr>
            </w:pPr>
          </w:p>
        </w:tc>
      </w:tr>
      <w:tr w14:paraId="3CB7BB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1206" w:type="dxa"/>
            <w:vMerge w:val="continue"/>
            <w:tcBorders>
              <w:tl2br w:val="nil"/>
              <w:tr2bl w:val="nil"/>
            </w:tcBorders>
            <w:vAlign w:val="center"/>
          </w:tcPr>
          <w:p w14:paraId="5FE98B2D">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0AEE660D">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3.沉降量不大于50mm。</w:t>
            </w:r>
          </w:p>
        </w:tc>
        <w:tc>
          <w:tcPr>
            <w:tcW w:w="1349" w:type="dxa"/>
            <w:vMerge w:val="continue"/>
            <w:tcBorders>
              <w:tl2br w:val="nil"/>
              <w:tr2bl w:val="nil"/>
            </w:tcBorders>
            <w:vAlign w:val="center"/>
          </w:tcPr>
          <w:p w14:paraId="28EDD381">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6D82B4F9">
            <w:pPr>
              <w:pStyle w:val="49"/>
              <w:kinsoku/>
              <w:overflowPunct/>
              <w:topLinePunct w:val="0"/>
              <w:bidi w:val="0"/>
              <w:spacing w:line="360" w:lineRule="atLeast"/>
              <w:rPr>
                <w:rFonts w:hint="eastAsia" w:ascii="宋体" w:hAnsi="宋体" w:eastAsia="宋体" w:cs="宋体"/>
                <w:sz w:val="21"/>
                <w:szCs w:val="21"/>
              </w:rPr>
            </w:pPr>
          </w:p>
        </w:tc>
      </w:tr>
      <w:tr w14:paraId="595BD1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0" w:hRule="atLeast"/>
        </w:trPr>
        <w:tc>
          <w:tcPr>
            <w:tcW w:w="1206" w:type="dxa"/>
            <w:vMerge w:val="restart"/>
            <w:tcBorders>
              <w:tl2br w:val="nil"/>
              <w:tr2bl w:val="nil"/>
            </w:tcBorders>
            <w:vAlign w:val="center"/>
          </w:tcPr>
          <w:p w14:paraId="101F58A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（二）塔</w:t>
            </w:r>
          </w:p>
          <w:p w14:paraId="10E0309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身结构</w:t>
            </w:r>
          </w:p>
        </w:tc>
        <w:tc>
          <w:tcPr>
            <w:tcW w:w="5850" w:type="dxa"/>
            <w:gridSpan w:val="4"/>
            <w:tcBorders>
              <w:tl2br w:val="nil"/>
              <w:tr2bl w:val="nil"/>
            </w:tcBorders>
            <w:vAlign w:val="center"/>
          </w:tcPr>
          <w:p w14:paraId="7F24F115">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1.结构无变形、开焊、裂纹；</w:t>
            </w:r>
          </w:p>
        </w:tc>
        <w:tc>
          <w:tcPr>
            <w:tcW w:w="1349" w:type="dxa"/>
            <w:vMerge w:val="restart"/>
            <w:tcBorders>
              <w:tl2br w:val="nil"/>
              <w:tr2bl w:val="nil"/>
            </w:tcBorders>
            <w:vAlign w:val="center"/>
          </w:tcPr>
          <w:p w14:paraId="24901784">
            <w:pPr>
              <w:pStyle w:val="49"/>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eastAsia="zh-CN"/>
              </w:rPr>
              <w:t>GBT5031-2019</w:t>
            </w:r>
          </w:p>
          <w:p w14:paraId="1AE62AC4">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JGJ160-2008</w:t>
            </w:r>
          </w:p>
        </w:tc>
        <w:tc>
          <w:tcPr>
            <w:tcW w:w="1116" w:type="dxa"/>
            <w:tcBorders>
              <w:tl2br w:val="nil"/>
              <w:tr2bl w:val="nil"/>
            </w:tcBorders>
            <w:vAlign w:val="center"/>
          </w:tcPr>
          <w:p w14:paraId="419F23BB">
            <w:pPr>
              <w:pStyle w:val="49"/>
              <w:kinsoku/>
              <w:overflowPunct/>
              <w:topLinePunct w:val="0"/>
              <w:bidi w:val="0"/>
              <w:spacing w:line="360" w:lineRule="atLeast"/>
              <w:rPr>
                <w:rFonts w:hint="eastAsia" w:ascii="宋体" w:hAnsi="宋体" w:eastAsia="宋体" w:cs="宋体"/>
                <w:sz w:val="21"/>
                <w:szCs w:val="21"/>
              </w:rPr>
            </w:pPr>
          </w:p>
        </w:tc>
      </w:tr>
      <w:tr w14:paraId="19CBE4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1206" w:type="dxa"/>
            <w:vMerge w:val="continue"/>
            <w:tcBorders>
              <w:tl2br w:val="nil"/>
              <w:tr2bl w:val="nil"/>
            </w:tcBorders>
            <w:vAlign w:val="center"/>
          </w:tcPr>
          <w:p w14:paraId="2993EDDC">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581450FE">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2.过渡节、销轴、高强度螺栓等零部件配置齐全、无松动、缺损、无严重锈蚀；</w:t>
            </w:r>
          </w:p>
        </w:tc>
        <w:tc>
          <w:tcPr>
            <w:tcW w:w="1349" w:type="dxa"/>
            <w:vMerge w:val="continue"/>
            <w:tcBorders>
              <w:tl2br w:val="nil"/>
              <w:tr2bl w:val="nil"/>
            </w:tcBorders>
            <w:vAlign w:val="center"/>
          </w:tcPr>
          <w:p w14:paraId="685F78ED">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378041FE">
            <w:pPr>
              <w:pStyle w:val="49"/>
              <w:kinsoku/>
              <w:overflowPunct/>
              <w:topLinePunct w:val="0"/>
              <w:bidi w:val="0"/>
              <w:spacing w:line="360" w:lineRule="atLeast"/>
              <w:rPr>
                <w:rFonts w:hint="eastAsia" w:ascii="宋体" w:hAnsi="宋体" w:eastAsia="宋体" w:cs="宋体"/>
                <w:sz w:val="21"/>
                <w:szCs w:val="21"/>
              </w:rPr>
            </w:pPr>
          </w:p>
        </w:tc>
      </w:tr>
      <w:tr w14:paraId="4A5CC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206" w:type="dxa"/>
            <w:vMerge w:val="continue"/>
            <w:tcBorders>
              <w:tl2br w:val="nil"/>
              <w:tr2bl w:val="nil"/>
            </w:tcBorders>
            <w:vAlign w:val="center"/>
          </w:tcPr>
          <w:p w14:paraId="327FB934">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1E0D30A5">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3.垂直</w:t>
            </w:r>
            <w:r>
              <w:rPr>
                <w:rFonts w:hint="eastAsia" w:ascii="宋体" w:hAnsi="宋体" w:eastAsia="宋体" w:cs="宋体"/>
                <w:color w:val="auto"/>
                <w:sz w:val="21"/>
                <w:szCs w:val="21"/>
              </w:rPr>
              <w:t>度≤</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w:t>
            </w:r>
          </w:p>
        </w:tc>
        <w:tc>
          <w:tcPr>
            <w:tcW w:w="1349" w:type="dxa"/>
            <w:vMerge w:val="continue"/>
            <w:tcBorders>
              <w:tl2br w:val="nil"/>
              <w:tr2bl w:val="nil"/>
            </w:tcBorders>
            <w:vAlign w:val="center"/>
          </w:tcPr>
          <w:p w14:paraId="0DB7E2E0">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71A6F59B">
            <w:pPr>
              <w:pStyle w:val="49"/>
              <w:kinsoku/>
              <w:overflowPunct/>
              <w:topLinePunct w:val="0"/>
              <w:bidi w:val="0"/>
              <w:spacing w:line="360" w:lineRule="atLeast"/>
              <w:rPr>
                <w:rFonts w:hint="eastAsia" w:ascii="宋体" w:hAnsi="宋体" w:eastAsia="宋体" w:cs="宋体"/>
                <w:sz w:val="21"/>
                <w:szCs w:val="21"/>
              </w:rPr>
            </w:pPr>
          </w:p>
        </w:tc>
      </w:tr>
      <w:tr w14:paraId="2D94DC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1206" w:type="dxa"/>
            <w:vMerge w:val="continue"/>
            <w:tcBorders>
              <w:tl2br w:val="nil"/>
              <w:tr2bl w:val="nil"/>
            </w:tcBorders>
            <w:vAlign w:val="center"/>
          </w:tcPr>
          <w:p w14:paraId="2DEBDED8">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48A06F8E">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4.爬梯设置防护圈应符合国家标准；</w:t>
            </w:r>
          </w:p>
        </w:tc>
        <w:tc>
          <w:tcPr>
            <w:tcW w:w="1349" w:type="dxa"/>
            <w:vMerge w:val="continue"/>
            <w:tcBorders>
              <w:tl2br w:val="nil"/>
              <w:tr2bl w:val="nil"/>
            </w:tcBorders>
            <w:vAlign w:val="center"/>
          </w:tcPr>
          <w:p w14:paraId="7CF325CC">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25C4D44E">
            <w:pPr>
              <w:pStyle w:val="49"/>
              <w:kinsoku/>
              <w:overflowPunct/>
              <w:topLinePunct w:val="0"/>
              <w:bidi w:val="0"/>
              <w:spacing w:line="360" w:lineRule="atLeast"/>
              <w:rPr>
                <w:rFonts w:hint="eastAsia" w:ascii="宋体" w:hAnsi="宋体" w:eastAsia="宋体" w:cs="宋体"/>
                <w:sz w:val="21"/>
                <w:szCs w:val="21"/>
              </w:rPr>
            </w:pPr>
          </w:p>
        </w:tc>
      </w:tr>
      <w:tr w14:paraId="3B5E0B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1206" w:type="dxa"/>
            <w:vMerge w:val="continue"/>
            <w:tcBorders>
              <w:tl2br w:val="nil"/>
              <w:tr2bl w:val="nil"/>
            </w:tcBorders>
            <w:vAlign w:val="center"/>
          </w:tcPr>
          <w:p w14:paraId="54911950">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7D028233">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5.开口销不得用金属丝等代替。</w:t>
            </w:r>
          </w:p>
        </w:tc>
        <w:tc>
          <w:tcPr>
            <w:tcW w:w="1349" w:type="dxa"/>
            <w:vMerge w:val="continue"/>
            <w:tcBorders>
              <w:tl2br w:val="nil"/>
              <w:tr2bl w:val="nil"/>
            </w:tcBorders>
            <w:vAlign w:val="center"/>
          </w:tcPr>
          <w:p w14:paraId="356D67A5">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05CC7129">
            <w:pPr>
              <w:pStyle w:val="49"/>
              <w:kinsoku/>
              <w:overflowPunct/>
              <w:topLinePunct w:val="0"/>
              <w:bidi w:val="0"/>
              <w:spacing w:line="360" w:lineRule="atLeast"/>
              <w:rPr>
                <w:rFonts w:hint="eastAsia" w:ascii="宋体" w:hAnsi="宋体" w:eastAsia="宋体" w:cs="宋体"/>
                <w:sz w:val="21"/>
                <w:szCs w:val="21"/>
              </w:rPr>
            </w:pPr>
          </w:p>
        </w:tc>
      </w:tr>
      <w:tr w14:paraId="7FDB1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40" w:hRule="atLeast"/>
        </w:trPr>
        <w:tc>
          <w:tcPr>
            <w:tcW w:w="1206" w:type="dxa"/>
            <w:vMerge w:val="restart"/>
            <w:tcBorders>
              <w:tl2br w:val="nil"/>
              <w:tr2bl w:val="nil"/>
            </w:tcBorders>
            <w:vAlign w:val="center"/>
          </w:tcPr>
          <w:p w14:paraId="30FA5FA9">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（三）钢</w:t>
            </w:r>
          </w:p>
          <w:p w14:paraId="5CF55D36">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丝绳</w:t>
            </w:r>
          </w:p>
        </w:tc>
        <w:tc>
          <w:tcPr>
            <w:tcW w:w="5850" w:type="dxa"/>
            <w:gridSpan w:val="4"/>
            <w:tcBorders>
              <w:tl2br w:val="nil"/>
              <w:tr2bl w:val="nil"/>
            </w:tcBorders>
            <w:vAlign w:val="center"/>
          </w:tcPr>
          <w:p w14:paraId="7896FC4E">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1.完好、无断股；</w:t>
            </w:r>
          </w:p>
        </w:tc>
        <w:tc>
          <w:tcPr>
            <w:tcW w:w="1349" w:type="dxa"/>
            <w:vMerge w:val="restart"/>
            <w:tcBorders>
              <w:tl2br w:val="nil"/>
              <w:tr2bl w:val="nil"/>
            </w:tcBorders>
            <w:vAlign w:val="center"/>
          </w:tcPr>
          <w:p w14:paraId="671D972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GBT5972-2016</w:t>
            </w:r>
          </w:p>
          <w:p w14:paraId="41F23CDC">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JGJ160-2008</w:t>
            </w:r>
          </w:p>
        </w:tc>
        <w:tc>
          <w:tcPr>
            <w:tcW w:w="1116" w:type="dxa"/>
            <w:tcBorders>
              <w:tl2br w:val="nil"/>
              <w:tr2bl w:val="nil"/>
            </w:tcBorders>
            <w:vAlign w:val="center"/>
          </w:tcPr>
          <w:p w14:paraId="4A27B601">
            <w:pPr>
              <w:pStyle w:val="49"/>
              <w:kinsoku/>
              <w:overflowPunct/>
              <w:topLinePunct w:val="0"/>
              <w:bidi w:val="0"/>
              <w:spacing w:line="360" w:lineRule="atLeast"/>
              <w:rPr>
                <w:rFonts w:hint="eastAsia" w:ascii="宋体" w:hAnsi="宋体" w:eastAsia="宋体" w:cs="宋体"/>
                <w:sz w:val="21"/>
                <w:szCs w:val="21"/>
              </w:rPr>
            </w:pPr>
          </w:p>
        </w:tc>
      </w:tr>
      <w:tr w14:paraId="781B27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1206" w:type="dxa"/>
            <w:vMerge w:val="continue"/>
            <w:tcBorders>
              <w:tl2br w:val="nil"/>
              <w:tr2bl w:val="nil"/>
            </w:tcBorders>
            <w:vAlign w:val="center"/>
          </w:tcPr>
          <w:p w14:paraId="072061A8">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79FF12FE">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2.断丝不超过10％；</w:t>
            </w:r>
          </w:p>
        </w:tc>
        <w:tc>
          <w:tcPr>
            <w:tcW w:w="1349" w:type="dxa"/>
            <w:vMerge w:val="continue"/>
            <w:tcBorders>
              <w:tl2br w:val="nil"/>
              <w:tr2bl w:val="nil"/>
            </w:tcBorders>
            <w:vAlign w:val="center"/>
          </w:tcPr>
          <w:p w14:paraId="258B70BD">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6C73F1B4">
            <w:pPr>
              <w:pStyle w:val="49"/>
              <w:kinsoku/>
              <w:overflowPunct/>
              <w:topLinePunct w:val="0"/>
              <w:bidi w:val="0"/>
              <w:spacing w:line="360" w:lineRule="atLeast"/>
              <w:rPr>
                <w:rFonts w:hint="eastAsia" w:ascii="宋体" w:hAnsi="宋体" w:eastAsia="宋体" w:cs="宋体"/>
                <w:sz w:val="21"/>
                <w:szCs w:val="21"/>
              </w:rPr>
            </w:pPr>
          </w:p>
        </w:tc>
      </w:tr>
      <w:tr w14:paraId="4F7DD4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206" w:type="dxa"/>
            <w:vMerge w:val="continue"/>
            <w:tcBorders>
              <w:tl2br w:val="nil"/>
              <w:tr2bl w:val="nil"/>
            </w:tcBorders>
            <w:vAlign w:val="center"/>
          </w:tcPr>
          <w:p w14:paraId="0D77D89A">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547375BA">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3.型号、规格、长度符合本机说明书规定；</w:t>
            </w:r>
          </w:p>
        </w:tc>
        <w:tc>
          <w:tcPr>
            <w:tcW w:w="1349" w:type="dxa"/>
            <w:vMerge w:val="continue"/>
            <w:tcBorders>
              <w:tl2br w:val="nil"/>
              <w:tr2bl w:val="nil"/>
            </w:tcBorders>
            <w:vAlign w:val="center"/>
          </w:tcPr>
          <w:p w14:paraId="7E4C902D">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2967DA1B">
            <w:pPr>
              <w:pStyle w:val="49"/>
              <w:kinsoku/>
              <w:overflowPunct/>
              <w:topLinePunct w:val="0"/>
              <w:bidi w:val="0"/>
              <w:spacing w:line="360" w:lineRule="atLeast"/>
              <w:rPr>
                <w:rFonts w:hint="eastAsia" w:ascii="宋体" w:hAnsi="宋体" w:eastAsia="宋体" w:cs="宋体"/>
                <w:sz w:val="21"/>
                <w:szCs w:val="21"/>
              </w:rPr>
            </w:pPr>
          </w:p>
        </w:tc>
      </w:tr>
      <w:tr w14:paraId="12DFDC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1206" w:type="dxa"/>
            <w:vMerge w:val="continue"/>
            <w:tcBorders>
              <w:tl2br w:val="nil"/>
              <w:tr2bl w:val="nil"/>
            </w:tcBorders>
            <w:vAlign w:val="center"/>
          </w:tcPr>
          <w:p w14:paraId="52FF28FD">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1211E2A6">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4.固定绳卡数量与绳径匹配，卡间距为6-7倍绳径；</w:t>
            </w:r>
          </w:p>
        </w:tc>
        <w:tc>
          <w:tcPr>
            <w:tcW w:w="1349" w:type="dxa"/>
            <w:vMerge w:val="continue"/>
            <w:tcBorders>
              <w:tl2br w:val="nil"/>
              <w:tr2bl w:val="nil"/>
            </w:tcBorders>
            <w:vAlign w:val="center"/>
          </w:tcPr>
          <w:p w14:paraId="5809939C">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64F2152A">
            <w:pPr>
              <w:pStyle w:val="49"/>
              <w:kinsoku/>
              <w:overflowPunct/>
              <w:topLinePunct w:val="0"/>
              <w:bidi w:val="0"/>
              <w:spacing w:line="360" w:lineRule="atLeast"/>
              <w:rPr>
                <w:rFonts w:hint="eastAsia" w:ascii="宋体" w:hAnsi="宋体" w:eastAsia="宋体" w:cs="宋体"/>
                <w:sz w:val="21"/>
                <w:szCs w:val="21"/>
              </w:rPr>
            </w:pPr>
          </w:p>
        </w:tc>
      </w:tr>
      <w:tr w14:paraId="786233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1206" w:type="dxa"/>
            <w:vMerge w:val="continue"/>
            <w:tcBorders>
              <w:tl2br w:val="nil"/>
              <w:tr2bl w:val="nil"/>
            </w:tcBorders>
            <w:vAlign w:val="center"/>
          </w:tcPr>
          <w:p w14:paraId="21CC0CFA">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24E879A3">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5.钢绳磨损量不超过钢丝绳的10%；</w:t>
            </w:r>
          </w:p>
        </w:tc>
        <w:tc>
          <w:tcPr>
            <w:tcW w:w="1349" w:type="dxa"/>
            <w:vMerge w:val="continue"/>
            <w:tcBorders>
              <w:tl2br w:val="nil"/>
              <w:tr2bl w:val="nil"/>
            </w:tcBorders>
            <w:vAlign w:val="center"/>
          </w:tcPr>
          <w:p w14:paraId="160F865D">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7BE76C26">
            <w:pPr>
              <w:pStyle w:val="49"/>
              <w:kinsoku/>
              <w:overflowPunct/>
              <w:topLinePunct w:val="0"/>
              <w:bidi w:val="0"/>
              <w:spacing w:line="360" w:lineRule="atLeast"/>
              <w:rPr>
                <w:rFonts w:hint="eastAsia" w:ascii="宋体" w:hAnsi="宋体" w:eastAsia="宋体" w:cs="宋体"/>
                <w:sz w:val="21"/>
                <w:szCs w:val="21"/>
              </w:rPr>
            </w:pPr>
          </w:p>
        </w:tc>
      </w:tr>
      <w:tr w14:paraId="1AC76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1206" w:type="dxa"/>
            <w:vMerge w:val="continue"/>
            <w:tcBorders>
              <w:tl2br w:val="nil"/>
              <w:tr2bl w:val="nil"/>
            </w:tcBorders>
            <w:vAlign w:val="center"/>
          </w:tcPr>
          <w:p w14:paraId="4965E075">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131B6E60">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6.捆绑起重索具符合要求。</w:t>
            </w:r>
          </w:p>
        </w:tc>
        <w:tc>
          <w:tcPr>
            <w:tcW w:w="1349" w:type="dxa"/>
            <w:vMerge w:val="continue"/>
            <w:tcBorders>
              <w:tl2br w:val="nil"/>
              <w:tr2bl w:val="nil"/>
            </w:tcBorders>
            <w:vAlign w:val="center"/>
          </w:tcPr>
          <w:p w14:paraId="5CC61778">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57587C89">
            <w:pPr>
              <w:pStyle w:val="49"/>
              <w:kinsoku/>
              <w:overflowPunct/>
              <w:topLinePunct w:val="0"/>
              <w:bidi w:val="0"/>
              <w:spacing w:line="360" w:lineRule="atLeast"/>
              <w:rPr>
                <w:rFonts w:hint="eastAsia" w:ascii="宋体" w:hAnsi="宋体" w:eastAsia="宋体" w:cs="宋体"/>
                <w:sz w:val="21"/>
                <w:szCs w:val="21"/>
              </w:rPr>
            </w:pPr>
          </w:p>
        </w:tc>
      </w:tr>
      <w:tr w14:paraId="042EB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5" w:hRule="atLeast"/>
        </w:trPr>
        <w:tc>
          <w:tcPr>
            <w:tcW w:w="1206" w:type="dxa"/>
            <w:vMerge w:val="restart"/>
            <w:tcBorders>
              <w:tl2br w:val="nil"/>
              <w:tr2bl w:val="nil"/>
            </w:tcBorders>
            <w:vAlign w:val="center"/>
          </w:tcPr>
          <w:p w14:paraId="7D21FCC0">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（四）吊</w:t>
            </w:r>
          </w:p>
          <w:p w14:paraId="10DF766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钩</w:t>
            </w:r>
          </w:p>
        </w:tc>
        <w:tc>
          <w:tcPr>
            <w:tcW w:w="5850" w:type="dxa"/>
            <w:gridSpan w:val="4"/>
            <w:tcBorders>
              <w:tl2br w:val="nil"/>
              <w:tr2bl w:val="nil"/>
            </w:tcBorders>
            <w:vAlign w:val="center"/>
          </w:tcPr>
          <w:p w14:paraId="75D2BFCD">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1.无裂纹、变形、严重磨损；</w:t>
            </w:r>
          </w:p>
        </w:tc>
        <w:tc>
          <w:tcPr>
            <w:tcW w:w="1349" w:type="dxa"/>
            <w:vMerge w:val="restart"/>
            <w:tcBorders>
              <w:tl2br w:val="nil"/>
              <w:tr2bl w:val="nil"/>
            </w:tcBorders>
            <w:vAlign w:val="center"/>
          </w:tcPr>
          <w:p w14:paraId="5A51038D">
            <w:pPr>
              <w:pStyle w:val="49"/>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eastAsia="zh-CN"/>
              </w:rPr>
              <w:t>GBT5031-2019</w:t>
            </w:r>
          </w:p>
          <w:p w14:paraId="6B7E2E20">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JGJ160-2008</w:t>
            </w:r>
          </w:p>
        </w:tc>
        <w:tc>
          <w:tcPr>
            <w:tcW w:w="1116" w:type="dxa"/>
            <w:tcBorders>
              <w:tl2br w:val="nil"/>
              <w:tr2bl w:val="nil"/>
            </w:tcBorders>
            <w:vAlign w:val="center"/>
          </w:tcPr>
          <w:p w14:paraId="126888B0">
            <w:pPr>
              <w:pStyle w:val="49"/>
              <w:kinsoku/>
              <w:overflowPunct/>
              <w:topLinePunct w:val="0"/>
              <w:bidi w:val="0"/>
              <w:spacing w:line="360" w:lineRule="atLeast"/>
              <w:rPr>
                <w:rFonts w:hint="eastAsia" w:ascii="宋体" w:hAnsi="宋体" w:eastAsia="宋体" w:cs="宋体"/>
                <w:sz w:val="21"/>
                <w:szCs w:val="21"/>
              </w:rPr>
            </w:pPr>
          </w:p>
        </w:tc>
      </w:tr>
      <w:tr w14:paraId="5120A1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25" w:hRule="atLeast"/>
        </w:trPr>
        <w:tc>
          <w:tcPr>
            <w:tcW w:w="1206" w:type="dxa"/>
            <w:vMerge w:val="continue"/>
            <w:tcBorders>
              <w:tl2br w:val="nil"/>
              <w:tr2bl w:val="nil"/>
            </w:tcBorders>
            <w:vAlign w:val="center"/>
          </w:tcPr>
          <w:p w14:paraId="78CA64C7">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7C775750">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2.钩身无补焊、钻孔现象；</w:t>
            </w:r>
          </w:p>
        </w:tc>
        <w:tc>
          <w:tcPr>
            <w:tcW w:w="1349" w:type="dxa"/>
            <w:vMerge w:val="continue"/>
            <w:tcBorders>
              <w:tl2br w:val="nil"/>
              <w:tr2bl w:val="nil"/>
            </w:tcBorders>
            <w:vAlign w:val="center"/>
          </w:tcPr>
          <w:p w14:paraId="73CD9F2C">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0E9ABF10">
            <w:pPr>
              <w:pStyle w:val="49"/>
              <w:kinsoku/>
              <w:overflowPunct/>
              <w:topLinePunct w:val="0"/>
              <w:bidi w:val="0"/>
              <w:spacing w:line="360" w:lineRule="atLeast"/>
              <w:rPr>
                <w:rFonts w:hint="eastAsia" w:ascii="宋体" w:hAnsi="宋体" w:eastAsia="宋体" w:cs="宋体"/>
                <w:sz w:val="21"/>
                <w:szCs w:val="21"/>
              </w:rPr>
            </w:pPr>
          </w:p>
        </w:tc>
      </w:tr>
      <w:tr w14:paraId="53DA1F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1206" w:type="dxa"/>
            <w:vMerge w:val="continue"/>
            <w:tcBorders>
              <w:tl2br w:val="nil"/>
              <w:tr2bl w:val="nil"/>
            </w:tcBorders>
            <w:vAlign w:val="center"/>
          </w:tcPr>
          <w:p w14:paraId="389FD462">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1AFA5B04">
            <w:pPr>
              <w:pStyle w:val="49"/>
              <w:kinsoku/>
              <w:overflowPunct/>
              <w:topLinePunct w:val="0"/>
              <w:bidi w:val="0"/>
              <w:spacing w:line="360" w:lineRule="atLeast"/>
              <w:jc w:val="both"/>
              <w:rPr>
                <w:rFonts w:hint="eastAsia" w:ascii="宋体" w:hAnsi="宋体" w:eastAsia="宋体" w:cs="宋体"/>
                <w:sz w:val="21"/>
                <w:szCs w:val="21"/>
                <w:lang w:eastAsia="zh-CN"/>
              </w:rPr>
            </w:pPr>
            <w:r>
              <w:rPr>
                <w:rFonts w:hint="eastAsia" w:ascii="宋体" w:hAnsi="宋体" w:eastAsia="宋体" w:cs="宋体"/>
                <w:sz w:val="21"/>
                <w:szCs w:val="21"/>
              </w:rPr>
              <w:t>3.具有防脱装置</w:t>
            </w:r>
            <w:r>
              <w:rPr>
                <w:rFonts w:hint="eastAsia" w:ascii="宋体" w:hAnsi="宋体" w:eastAsia="宋体" w:cs="宋体"/>
                <w:sz w:val="21"/>
                <w:szCs w:val="21"/>
                <w:lang w:eastAsia="zh-CN"/>
              </w:rPr>
              <w:t>；</w:t>
            </w:r>
          </w:p>
        </w:tc>
        <w:tc>
          <w:tcPr>
            <w:tcW w:w="1349" w:type="dxa"/>
            <w:vMerge w:val="continue"/>
            <w:tcBorders>
              <w:tl2br w:val="nil"/>
              <w:tr2bl w:val="nil"/>
            </w:tcBorders>
            <w:vAlign w:val="center"/>
          </w:tcPr>
          <w:p w14:paraId="5466CB49">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0DAC7083">
            <w:pPr>
              <w:pStyle w:val="49"/>
              <w:kinsoku/>
              <w:overflowPunct/>
              <w:topLinePunct w:val="0"/>
              <w:bidi w:val="0"/>
              <w:spacing w:line="360" w:lineRule="atLeast"/>
              <w:rPr>
                <w:rFonts w:hint="eastAsia" w:ascii="宋体" w:hAnsi="宋体" w:eastAsia="宋体" w:cs="宋体"/>
                <w:sz w:val="21"/>
                <w:szCs w:val="21"/>
              </w:rPr>
            </w:pPr>
          </w:p>
        </w:tc>
      </w:tr>
      <w:tr w14:paraId="649057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1206" w:type="dxa"/>
            <w:vMerge w:val="continue"/>
            <w:tcBorders>
              <w:tl2br w:val="nil"/>
              <w:tr2bl w:val="nil"/>
            </w:tcBorders>
            <w:vAlign w:val="center"/>
          </w:tcPr>
          <w:p w14:paraId="2ADFDFA6">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7C07BFDA">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4.挂绳处截面磨损量不超过原高度的10%；</w:t>
            </w:r>
          </w:p>
        </w:tc>
        <w:tc>
          <w:tcPr>
            <w:tcW w:w="1349" w:type="dxa"/>
            <w:vMerge w:val="continue"/>
            <w:tcBorders>
              <w:tl2br w:val="nil"/>
              <w:tr2bl w:val="nil"/>
            </w:tcBorders>
            <w:vAlign w:val="center"/>
          </w:tcPr>
          <w:p w14:paraId="5F5E2041">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2F4210F7">
            <w:pPr>
              <w:pStyle w:val="49"/>
              <w:kinsoku/>
              <w:overflowPunct/>
              <w:topLinePunct w:val="0"/>
              <w:bidi w:val="0"/>
              <w:spacing w:line="360" w:lineRule="atLeast"/>
              <w:rPr>
                <w:rFonts w:hint="eastAsia" w:ascii="宋体" w:hAnsi="宋体" w:eastAsia="宋体" w:cs="宋体"/>
                <w:sz w:val="21"/>
                <w:szCs w:val="21"/>
              </w:rPr>
            </w:pPr>
          </w:p>
        </w:tc>
      </w:tr>
      <w:tr w14:paraId="675A2D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15" w:hRule="atLeast"/>
        </w:trPr>
        <w:tc>
          <w:tcPr>
            <w:tcW w:w="1206" w:type="dxa"/>
            <w:vMerge w:val="restart"/>
            <w:tcBorders>
              <w:tl2br w:val="nil"/>
              <w:tr2bl w:val="nil"/>
            </w:tcBorders>
            <w:vAlign w:val="center"/>
          </w:tcPr>
          <w:p w14:paraId="04E7491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（五）高度限位</w:t>
            </w:r>
          </w:p>
        </w:tc>
        <w:tc>
          <w:tcPr>
            <w:tcW w:w="5850" w:type="dxa"/>
            <w:gridSpan w:val="4"/>
            <w:tcBorders>
              <w:tl2br w:val="nil"/>
              <w:tr2bl w:val="nil"/>
            </w:tcBorders>
            <w:vAlign w:val="center"/>
          </w:tcPr>
          <w:p w14:paraId="0950BD35">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1.吊钩顶部距起重臂下端800mm，能立即停止起升，但有向下、向内变幅运动；</w:t>
            </w:r>
          </w:p>
        </w:tc>
        <w:tc>
          <w:tcPr>
            <w:tcW w:w="1349" w:type="dxa"/>
            <w:vMerge w:val="restart"/>
            <w:tcBorders>
              <w:tl2br w:val="nil"/>
              <w:tr2bl w:val="nil"/>
            </w:tcBorders>
            <w:vAlign w:val="center"/>
          </w:tcPr>
          <w:p w14:paraId="280E7A18">
            <w:pPr>
              <w:pStyle w:val="49"/>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eastAsia="zh-CN"/>
              </w:rPr>
              <w:t>GBT5031-2019</w:t>
            </w:r>
          </w:p>
        </w:tc>
        <w:tc>
          <w:tcPr>
            <w:tcW w:w="1116" w:type="dxa"/>
            <w:tcBorders>
              <w:tl2br w:val="nil"/>
              <w:tr2bl w:val="nil"/>
            </w:tcBorders>
            <w:vAlign w:val="center"/>
          </w:tcPr>
          <w:p w14:paraId="3A6A3794">
            <w:pPr>
              <w:pStyle w:val="49"/>
              <w:kinsoku/>
              <w:overflowPunct/>
              <w:topLinePunct w:val="0"/>
              <w:bidi w:val="0"/>
              <w:spacing w:line="360" w:lineRule="atLeast"/>
              <w:rPr>
                <w:rFonts w:hint="eastAsia" w:ascii="宋体" w:hAnsi="宋体" w:eastAsia="宋体" w:cs="宋体"/>
                <w:sz w:val="21"/>
                <w:szCs w:val="21"/>
              </w:rPr>
            </w:pPr>
          </w:p>
        </w:tc>
      </w:tr>
      <w:tr w14:paraId="372844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9" w:hRule="atLeast"/>
        </w:trPr>
        <w:tc>
          <w:tcPr>
            <w:tcW w:w="1206" w:type="dxa"/>
            <w:vMerge w:val="continue"/>
            <w:tcBorders>
              <w:tl2br w:val="nil"/>
              <w:tr2bl w:val="nil"/>
            </w:tcBorders>
            <w:vAlign w:val="center"/>
          </w:tcPr>
          <w:p w14:paraId="6D023B01">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7B52B736">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2.吊钩不能再下降或卷筒上钢丝绳只剩3圈时，应能立即停止下降运动；</w:t>
            </w:r>
          </w:p>
        </w:tc>
        <w:tc>
          <w:tcPr>
            <w:tcW w:w="1349" w:type="dxa"/>
            <w:vMerge w:val="continue"/>
            <w:tcBorders>
              <w:tl2br w:val="nil"/>
              <w:tr2bl w:val="nil"/>
            </w:tcBorders>
            <w:vAlign w:val="center"/>
          </w:tcPr>
          <w:p w14:paraId="6A12C2EA">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7EA1D409">
            <w:pPr>
              <w:pStyle w:val="49"/>
              <w:kinsoku/>
              <w:overflowPunct/>
              <w:topLinePunct w:val="0"/>
              <w:bidi w:val="0"/>
              <w:spacing w:line="360" w:lineRule="atLeast"/>
              <w:rPr>
                <w:rFonts w:hint="eastAsia" w:ascii="宋体" w:hAnsi="宋体" w:eastAsia="宋体" w:cs="宋体"/>
                <w:sz w:val="21"/>
                <w:szCs w:val="21"/>
              </w:rPr>
            </w:pPr>
          </w:p>
        </w:tc>
      </w:tr>
      <w:tr w14:paraId="7F3863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3" w:hRule="atLeast"/>
        </w:trPr>
        <w:tc>
          <w:tcPr>
            <w:tcW w:w="1206" w:type="dxa"/>
            <w:vMerge w:val="continue"/>
            <w:tcBorders>
              <w:tl2br w:val="nil"/>
              <w:tr2bl w:val="nil"/>
            </w:tcBorders>
            <w:vAlign w:val="center"/>
          </w:tcPr>
          <w:p w14:paraId="4A4DEE50">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6B2E8743">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3.钢丝绳松弛可能造成卷筒上钢丝绳乱绳或反卷，设置下限位。</w:t>
            </w:r>
          </w:p>
        </w:tc>
        <w:tc>
          <w:tcPr>
            <w:tcW w:w="1349" w:type="dxa"/>
            <w:vMerge w:val="continue"/>
            <w:tcBorders>
              <w:tl2br w:val="nil"/>
              <w:tr2bl w:val="nil"/>
            </w:tcBorders>
            <w:vAlign w:val="center"/>
          </w:tcPr>
          <w:p w14:paraId="06479BB0">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54D3117F">
            <w:pPr>
              <w:pStyle w:val="49"/>
              <w:kinsoku/>
              <w:overflowPunct/>
              <w:topLinePunct w:val="0"/>
              <w:bidi w:val="0"/>
              <w:spacing w:line="360" w:lineRule="atLeast"/>
              <w:rPr>
                <w:rFonts w:hint="eastAsia" w:ascii="宋体" w:hAnsi="宋体" w:eastAsia="宋体" w:cs="宋体"/>
                <w:sz w:val="21"/>
                <w:szCs w:val="21"/>
              </w:rPr>
            </w:pPr>
          </w:p>
        </w:tc>
      </w:tr>
      <w:tr w14:paraId="30EBA9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2" w:hRule="atLeast"/>
        </w:trPr>
        <w:tc>
          <w:tcPr>
            <w:tcW w:w="1206" w:type="dxa"/>
            <w:vMerge w:val="restart"/>
            <w:tcBorders>
              <w:tl2br w:val="nil"/>
              <w:tr2bl w:val="nil"/>
            </w:tcBorders>
            <w:vAlign w:val="center"/>
          </w:tcPr>
          <w:p w14:paraId="5FDF9A7A">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（六）幅度限位装置</w:t>
            </w:r>
          </w:p>
        </w:tc>
        <w:tc>
          <w:tcPr>
            <w:tcW w:w="5850" w:type="dxa"/>
            <w:gridSpan w:val="4"/>
            <w:tcBorders>
              <w:tl2br w:val="nil"/>
              <w:tr2bl w:val="nil"/>
            </w:tcBorders>
            <w:vAlign w:val="center"/>
          </w:tcPr>
          <w:p w14:paraId="3CE9E3C5">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1.小车前后两端应设置限位开关和缓冲装置；</w:t>
            </w:r>
          </w:p>
        </w:tc>
        <w:tc>
          <w:tcPr>
            <w:tcW w:w="1349" w:type="dxa"/>
            <w:vMerge w:val="restart"/>
            <w:tcBorders>
              <w:tl2br w:val="nil"/>
              <w:tr2bl w:val="nil"/>
            </w:tcBorders>
            <w:vAlign w:val="center"/>
          </w:tcPr>
          <w:p w14:paraId="7F9AE827">
            <w:pPr>
              <w:pStyle w:val="49"/>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eastAsia="zh-CN"/>
              </w:rPr>
              <w:t>GBT5031-2019</w:t>
            </w:r>
          </w:p>
        </w:tc>
        <w:tc>
          <w:tcPr>
            <w:tcW w:w="1116" w:type="dxa"/>
            <w:tcBorders>
              <w:tl2br w:val="nil"/>
              <w:tr2bl w:val="nil"/>
            </w:tcBorders>
            <w:vAlign w:val="center"/>
          </w:tcPr>
          <w:p w14:paraId="662C5DAF">
            <w:pPr>
              <w:pStyle w:val="49"/>
              <w:kinsoku/>
              <w:overflowPunct/>
              <w:topLinePunct w:val="0"/>
              <w:bidi w:val="0"/>
              <w:spacing w:line="360" w:lineRule="atLeast"/>
              <w:rPr>
                <w:rFonts w:hint="eastAsia" w:ascii="宋体" w:hAnsi="宋体" w:eastAsia="宋体" w:cs="宋体"/>
                <w:sz w:val="21"/>
                <w:szCs w:val="21"/>
              </w:rPr>
            </w:pPr>
          </w:p>
        </w:tc>
      </w:tr>
      <w:tr w14:paraId="5A308D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46" w:hRule="atLeast"/>
        </w:trPr>
        <w:tc>
          <w:tcPr>
            <w:tcW w:w="1206" w:type="dxa"/>
            <w:vMerge w:val="continue"/>
            <w:tcBorders>
              <w:tl2br w:val="nil"/>
              <w:tr2bl w:val="nil"/>
            </w:tcBorders>
            <w:vAlign w:val="center"/>
          </w:tcPr>
          <w:p w14:paraId="453C79FB">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13F88C3A">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2.限位开关距小车停车时其端部缓冲装置最小距离200mm。</w:t>
            </w:r>
          </w:p>
        </w:tc>
        <w:tc>
          <w:tcPr>
            <w:tcW w:w="1349" w:type="dxa"/>
            <w:vMerge w:val="continue"/>
            <w:tcBorders>
              <w:tl2br w:val="nil"/>
              <w:tr2bl w:val="nil"/>
            </w:tcBorders>
            <w:vAlign w:val="center"/>
          </w:tcPr>
          <w:p w14:paraId="607A0610">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0898D76B">
            <w:pPr>
              <w:pStyle w:val="49"/>
              <w:kinsoku/>
              <w:overflowPunct/>
              <w:topLinePunct w:val="0"/>
              <w:bidi w:val="0"/>
              <w:spacing w:line="360" w:lineRule="atLeast"/>
              <w:rPr>
                <w:rFonts w:hint="eastAsia" w:ascii="宋体" w:hAnsi="宋体" w:eastAsia="宋体" w:cs="宋体"/>
                <w:sz w:val="21"/>
                <w:szCs w:val="21"/>
              </w:rPr>
            </w:pPr>
          </w:p>
        </w:tc>
      </w:tr>
      <w:tr w14:paraId="506EA5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1206" w:type="dxa"/>
            <w:vMerge w:val="restart"/>
            <w:tcBorders>
              <w:tl2br w:val="nil"/>
              <w:tr2bl w:val="nil"/>
            </w:tcBorders>
            <w:vAlign w:val="center"/>
          </w:tcPr>
          <w:p w14:paraId="3D1E7CC5">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（七）力矩限制器</w:t>
            </w:r>
          </w:p>
        </w:tc>
        <w:tc>
          <w:tcPr>
            <w:tcW w:w="5850" w:type="dxa"/>
            <w:gridSpan w:val="4"/>
            <w:tcBorders>
              <w:tl2br w:val="nil"/>
              <w:tr2bl w:val="nil"/>
            </w:tcBorders>
            <w:vAlign w:val="center"/>
          </w:tcPr>
          <w:p w14:paraId="545B855B">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1.应设置力矩限制器；</w:t>
            </w:r>
          </w:p>
        </w:tc>
        <w:tc>
          <w:tcPr>
            <w:tcW w:w="1349" w:type="dxa"/>
            <w:vMerge w:val="restart"/>
            <w:tcBorders>
              <w:tl2br w:val="nil"/>
              <w:tr2bl w:val="nil"/>
            </w:tcBorders>
            <w:vAlign w:val="center"/>
          </w:tcPr>
          <w:p w14:paraId="2BED306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GB12602-2020</w:t>
            </w:r>
          </w:p>
        </w:tc>
        <w:tc>
          <w:tcPr>
            <w:tcW w:w="1116" w:type="dxa"/>
            <w:tcBorders>
              <w:tl2br w:val="nil"/>
              <w:tr2bl w:val="nil"/>
            </w:tcBorders>
            <w:vAlign w:val="center"/>
          </w:tcPr>
          <w:p w14:paraId="50BC2A34">
            <w:pPr>
              <w:pStyle w:val="49"/>
              <w:kinsoku/>
              <w:overflowPunct/>
              <w:topLinePunct w:val="0"/>
              <w:bidi w:val="0"/>
              <w:spacing w:line="360" w:lineRule="atLeast"/>
              <w:rPr>
                <w:rFonts w:hint="eastAsia" w:ascii="宋体" w:hAnsi="宋体" w:eastAsia="宋体" w:cs="宋体"/>
                <w:sz w:val="21"/>
                <w:szCs w:val="21"/>
              </w:rPr>
            </w:pPr>
          </w:p>
        </w:tc>
      </w:tr>
      <w:tr w14:paraId="71E06D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206" w:type="dxa"/>
            <w:vMerge w:val="continue"/>
            <w:tcBorders>
              <w:tl2br w:val="nil"/>
              <w:tr2bl w:val="nil"/>
            </w:tcBorders>
            <w:vAlign w:val="center"/>
          </w:tcPr>
          <w:p w14:paraId="213A0E46">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105CC328">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2.起重量达到90%-95%时，能发出报警信号；</w:t>
            </w:r>
          </w:p>
        </w:tc>
        <w:tc>
          <w:tcPr>
            <w:tcW w:w="1349" w:type="dxa"/>
            <w:vMerge w:val="continue"/>
            <w:tcBorders>
              <w:tl2br w:val="nil"/>
              <w:tr2bl w:val="nil"/>
            </w:tcBorders>
            <w:vAlign w:val="center"/>
          </w:tcPr>
          <w:p w14:paraId="6621EC29">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50012E1A">
            <w:pPr>
              <w:pStyle w:val="49"/>
              <w:kinsoku/>
              <w:overflowPunct/>
              <w:topLinePunct w:val="0"/>
              <w:bidi w:val="0"/>
              <w:spacing w:line="360" w:lineRule="atLeast"/>
              <w:rPr>
                <w:rFonts w:hint="eastAsia" w:ascii="宋体" w:hAnsi="宋体" w:eastAsia="宋体" w:cs="宋体"/>
                <w:sz w:val="21"/>
                <w:szCs w:val="21"/>
              </w:rPr>
            </w:pPr>
          </w:p>
        </w:tc>
      </w:tr>
      <w:tr w14:paraId="0183A5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206" w:type="dxa"/>
            <w:vMerge w:val="continue"/>
            <w:tcBorders>
              <w:tl2br w:val="nil"/>
              <w:tr2bl w:val="nil"/>
            </w:tcBorders>
            <w:vAlign w:val="center"/>
          </w:tcPr>
          <w:p w14:paraId="01CC6DD2">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4C6FB53D">
            <w:pPr>
              <w:pStyle w:val="49"/>
              <w:kinsoku/>
              <w:overflowPunct/>
              <w:topLinePunct w:val="0"/>
              <w:bidi w:val="0"/>
              <w:spacing w:line="360" w:lineRule="atLeast"/>
              <w:jc w:val="both"/>
              <w:rPr>
                <w:rFonts w:hint="eastAsia" w:ascii="宋体" w:hAnsi="宋体" w:eastAsia="宋体" w:cs="宋体"/>
                <w:sz w:val="21"/>
                <w:szCs w:val="21"/>
                <w:lang w:eastAsia="zh-CN"/>
              </w:rPr>
            </w:pPr>
            <w:r>
              <w:rPr>
                <w:rFonts w:hint="eastAsia" w:ascii="宋体" w:hAnsi="宋体" w:eastAsia="宋体" w:cs="宋体"/>
                <w:sz w:val="21"/>
                <w:szCs w:val="21"/>
              </w:rPr>
              <w:t>3.起重量达到105%-110%时，能停止向不安全方向继续动作</w:t>
            </w:r>
            <w:r>
              <w:rPr>
                <w:rFonts w:hint="eastAsia" w:ascii="宋体" w:hAnsi="宋体" w:eastAsia="宋体" w:cs="宋体"/>
                <w:sz w:val="21"/>
                <w:szCs w:val="21"/>
                <w:lang w:eastAsia="zh-CN"/>
              </w:rPr>
              <w:t>；</w:t>
            </w:r>
          </w:p>
        </w:tc>
        <w:tc>
          <w:tcPr>
            <w:tcW w:w="1349" w:type="dxa"/>
            <w:vMerge w:val="continue"/>
            <w:tcBorders>
              <w:tl2br w:val="nil"/>
              <w:tr2bl w:val="nil"/>
            </w:tcBorders>
            <w:vAlign w:val="center"/>
          </w:tcPr>
          <w:p w14:paraId="6A38AB89">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12F18450">
            <w:pPr>
              <w:pStyle w:val="49"/>
              <w:kinsoku/>
              <w:overflowPunct/>
              <w:topLinePunct w:val="0"/>
              <w:bidi w:val="0"/>
              <w:spacing w:line="360" w:lineRule="atLeast"/>
              <w:rPr>
                <w:rFonts w:hint="eastAsia" w:ascii="宋体" w:hAnsi="宋体" w:eastAsia="宋体" w:cs="宋体"/>
                <w:sz w:val="21"/>
                <w:szCs w:val="21"/>
              </w:rPr>
            </w:pPr>
          </w:p>
        </w:tc>
      </w:tr>
      <w:tr w14:paraId="26B335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5" w:hRule="atLeast"/>
        </w:trPr>
        <w:tc>
          <w:tcPr>
            <w:tcW w:w="1206" w:type="dxa"/>
            <w:vMerge w:val="continue"/>
            <w:tcBorders>
              <w:tl2br w:val="nil"/>
              <w:tr2bl w:val="nil"/>
            </w:tcBorders>
            <w:vAlign w:val="center"/>
          </w:tcPr>
          <w:p w14:paraId="5B1A3F4E">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5CA300F2">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4.力矩限制器综合误差不超过±8%。</w:t>
            </w:r>
          </w:p>
        </w:tc>
        <w:tc>
          <w:tcPr>
            <w:tcW w:w="1349" w:type="dxa"/>
            <w:vMerge w:val="continue"/>
            <w:tcBorders>
              <w:tl2br w:val="nil"/>
              <w:tr2bl w:val="nil"/>
            </w:tcBorders>
            <w:vAlign w:val="center"/>
          </w:tcPr>
          <w:p w14:paraId="1CAA711B">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3E38178E">
            <w:pPr>
              <w:pStyle w:val="49"/>
              <w:kinsoku/>
              <w:overflowPunct/>
              <w:topLinePunct w:val="0"/>
              <w:bidi w:val="0"/>
              <w:spacing w:line="360" w:lineRule="atLeast"/>
              <w:rPr>
                <w:rFonts w:hint="eastAsia" w:ascii="宋体" w:hAnsi="宋体" w:eastAsia="宋体" w:cs="宋体"/>
                <w:sz w:val="21"/>
                <w:szCs w:val="21"/>
              </w:rPr>
            </w:pPr>
          </w:p>
        </w:tc>
      </w:tr>
      <w:tr w14:paraId="67A217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1206" w:type="dxa"/>
            <w:vMerge w:val="restart"/>
            <w:tcBorders>
              <w:tl2br w:val="nil"/>
              <w:tr2bl w:val="nil"/>
            </w:tcBorders>
            <w:vAlign w:val="center"/>
          </w:tcPr>
          <w:p w14:paraId="62E86A16">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（八）附</w:t>
            </w:r>
          </w:p>
          <w:p w14:paraId="0BEA55E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着架</w:t>
            </w:r>
          </w:p>
        </w:tc>
        <w:tc>
          <w:tcPr>
            <w:tcW w:w="5850" w:type="dxa"/>
            <w:gridSpan w:val="4"/>
            <w:tcBorders>
              <w:tl2br w:val="nil"/>
              <w:tr2bl w:val="nil"/>
            </w:tcBorders>
            <w:vAlign w:val="center"/>
          </w:tcPr>
          <w:p w14:paraId="2E577F8B">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1.框架、附着杆</w:t>
            </w:r>
            <w:r>
              <w:rPr>
                <w:rFonts w:hint="eastAsia" w:cs="宋体"/>
                <w:sz w:val="21"/>
                <w:szCs w:val="21"/>
                <w:lang w:eastAsia="zh-CN"/>
              </w:rPr>
              <w:t>拆除</w:t>
            </w:r>
            <w:r>
              <w:rPr>
                <w:rFonts w:hint="eastAsia" w:ascii="宋体" w:hAnsi="宋体" w:eastAsia="宋体" w:cs="宋体"/>
                <w:sz w:val="21"/>
                <w:szCs w:val="21"/>
              </w:rPr>
              <w:t>正确、牢固；无开焊、变形、裂纹；</w:t>
            </w:r>
          </w:p>
        </w:tc>
        <w:tc>
          <w:tcPr>
            <w:tcW w:w="1349" w:type="dxa"/>
            <w:vMerge w:val="restart"/>
            <w:tcBorders>
              <w:tl2br w:val="nil"/>
              <w:tr2bl w:val="nil"/>
            </w:tcBorders>
            <w:vAlign w:val="center"/>
          </w:tcPr>
          <w:p w14:paraId="3B587C8E">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JGJ196-2010</w:t>
            </w:r>
          </w:p>
        </w:tc>
        <w:tc>
          <w:tcPr>
            <w:tcW w:w="1116" w:type="dxa"/>
            <w:tcBorders>
              <w:tl2br w:val="nil"/>
              <w:tr2bl w:val="nil"/>
            </w:tcBorders>
            <w:vAlign w:val="center"/>
          </w:tcPr>
          <w:p w14:paraId="6BD52A10">
            <w:pPr>
              <w:pStyle w:val="49"/>
              <w:kinsoku/>
              <w:overflowPunct/>
              <w:topLinePunct w:val="0"/>
              <w:bidi w:val="0"/>
              <w:spacing w:line="360" w:lineRule="atLeast"/>
              <w:rPr>
                <w:rFonts w:hint="eastAsia" w:ascii="宋体" w:hAnsi="宋体" w:eastAsia="宋体" w:cs="宋体"/>
                <w:sz w:val="21"/>
                <w:szCs w:val="21"/>
              </w:rPr>
            </w:pPr>
          </w:p>
        </w:tc>
      </w:tr>
      <w:tr w14:paraId="2481F4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206" w:type="dxa"/>
            <w:vMerge w:val="continue"/>
            <w:tcBorders>
              <w:tl2br w:val="nil"/>
              <w:tr2bl w:val="nil"/>
            </w:tcBorders>
            <w:vAlign w:val="center"/>
          </w:tcPr>
          <w:p w14:paraId="4C6833FC">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5727040F">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2.各处螺栓、轴销齐全牢固；</w:t>
            </w:r>
          </w:p>
        </w:tc>
        <w:tc>
          <w:tcPr>
            <w:tcW w:w="1349" w:type="dxa"/>
            <w:vMerge w:val="continue"/>
            <w:tcBorders>
              <w:tl2br w:val="nil"/>
              <w:tr2bl w:val="nil"/>
            </w:tcBorders>
            <w:vAlign w:val="center"/>
          </w:tcPr>
          <w:p w14:paraId="48AA6741">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7D25E11F">
            <w:pPr>
              <w:pStyle w:val="49"/>
              <w:kinsoku/>
              <w:overflowPunct/>
              <w:topLinePunct w:val="0"/>
              <w:bidi w:val="0"/>
              <w:spacing w:line="360" w:lineRule="atLeast"/>
              <w:rPr>
                <w:rFonts w:hint="eastAsia" w:ascii="宋体" w:hAnsi="宋体" w:eastAsia="宋体" w:cs="宋体"/>
                <w:sz w:val="21"/>
                <w:szCs w:val="21"/>
              </w:rPr>
            </w:pPr>
          </w:p>
        </w:tc>
      </w:tr>
      <w:tr w14:paraId="4A3BF0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206" w:type="dxa"/>
            <w:vMerge w:val="continue"/>
            <w:tcBorders>
              <w:tl2br w:val="nil"/>
              <w:tr2bl w:val="nil"/>
            </w:tcBorders>
            <w:vAlign w:val="center"/>
          </w:tcPr>
          <w:p w14:paraId="75A59B85">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2876C645">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3.间距、数量、</w:t>
            </w:r>
            <w:r>
              <w:rPr>
                <w:rFonts w:hint="eastAsia" w:cs="宋体"/>
                <w:sz w:val="21"/>
                <w:szCs w:val="21"/>
                <w:lang w:eastAsia="zh-CN"/>
              </w:rPr>
              <w:t>拆除</w:t>
            </w:r>
            <w:r>
              <w:rPr>
                <w:rFonts w:hint="eastAsia" w:ascii="宋体" w:hAnsi="宋体" w:eastAsia="宋体" w:cs="宋体"/>
                <w:sz w:val="21"/>
                <w:szCs w:val="21"/>
              </w:rPr>
              <w:t>固定符合说明书要求；</w:t>
            </w:r>
          </w:p>
        </w:tc>
        <w:tc>
          <w:tcPr>
            <w:tcW w:w="1349" w:type="dxa"/>
            <w:vMerge w:val="continue"/>
            <w:tcBorders>
              <w:tl2br w:val="nil"/>
              <w:tr2bl w:val="nil"/>
            </w:tcBorders>
            <w:vAlign w:val="center"/>
          </w:tcPr>
          <w:p w14:paraId="7C261FBB">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23FBED21">
            <w:pPr>
              <w:pStyle w:val="49"/>
              <w:kinsoku/>
              <w:overflowPunct/>
              <w:topLinePunct w:val="0"/>
              <w:bidi w:val="0"/>
              <w:spacing w:line="360" w:lineRule="atLeast"/>
              <w:rPr>
                <w:rFonts w:hint="eastAsia" w:ascii="宋体" w:hAnsi="宋体" w:eastAsia="宋体" w:cs="宋体"/>
                <w:sz w:val="21"/>
                <w:szCs w:val="21"/>
              </w:rPr>
            </w:pPr>
          </w:p>
        </w:tc>
      </w:tr>
      <w:tr w14:paraId="488AD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1206" w:type="dxa"/>
            <w:vMerge w:val="continue"/>
            <w:tcBorders>
              <w:tl2br w:val="nil"/>
              <w:tr2bl w:val="nil"/>
            </w:tcBorders>
            <w:vAlign w:val="center"/>
          </w:tcPr>
          <w:p w14:paraId="7E115A0B">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360362F5">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4.架体不得擅自改动。</w:t>
            </w:r>
          </w:p>
        </w:tc>
        <w:tc>
          <w:tcPr>
            <w:tcW w:w="1349" w:type="dxa"/>
            <w:vMerge w:val="continue"/>
            <w:tcBorders>
              <w:tl2br w:val="nil"/>
              <w:tr2bl w:val="nil"/>
            </w:tcBorders>
            <w:vAlign w:val="center"/>
          </w:tcPr>
          <w:p w14:paraId="1598D3E6">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00AB5E34">
            <w:pPr>
              <w:pStyle w:val="49"/>
              <w:kinsoku/>
              <w:overflowPunct/>
              <w:topLinePunct w:val="0"/>
              <w:bidi w:val="0"/>
              <w:spacing w:line="360" w:lineRule="atLeast"/>
              <w:rPr>
                <w:rFonts w:hint="eastAsia" w:ascii="宋体" w:hAnsi="宋体" w:eastAsia="宋体" w:cs="宋体"/>
                <w:sz w:val="21"/>
                <w:szCs w:val="21"/>
              </w:rPr>
            </w:pPr>
          </w:p>
        </w:tc>
      </w:tr>
      <w:tr w14:paraId="0FCD0A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206" w:type="dxa"/>
            <w:vMerge w:val="restart"/>
            <w:tcBorders>
              <w:tl2br w:val="nil"/>
              <w:tr2bl w:val="nil"/>
            </w:tcBorders>
            <w:vAlign w:val="center"/>
          </w:tcPr>
          <w:p w14:paraId="3D945870">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（九）电</w:t>
            </w:r>
          </w:p>
          <w:p w14:paraId="027C261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气</w:t>
            </w:r>
          </w:p>
        </w:tc>
        <w:tc>
          <w:tcPr>
            <w:tcW w:w="5850" w:type="dxa"/>
            <w:gridSpan w:val="4"/>
            <w:tcBorders>
              <w:tl2br w:val="nil"/>
              <w:tr2bl w:val="nil"/>
            </w:tcBorders>
            <w:vAlign w:val="center"/>
          </w:tcPr>
          <w:p w14:paraId="6F237237">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1.电缆无破损，无老化；</w:t>
            </w:r>
          </w:p>
        </w:tc>
        <w:tc>
          <w:tcPr>
            <w:tcW w:w="1349" w:type="dxa"/>
            <w:vMerge w:val="restart"/>
            <w:tcBorders>
              <w:tl2br w:val="nil"/>
              <w:tr2bl w:val="nil"/>
            </w:tcBorders>
            <w:vAlign w:val="center"/>
          </w:tcPr>
          <w:p w14:paraId="58E98A44">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GB5226.1-2002</w:t>
            </w:r>
          </w:p>
          <w:p w14:paraId="76C0EC5A">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JGJ160-2008</w:t>
            </w:r>
          </w:p>
          <w:p w14:paraId="112B65AA">
            <w:pPr>
              <w:pStyle w:val="49"/>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eastAsia="zh-CN"/>
              </w:rPr>
              <w:t>GBT5031-2019</w:t>
            </w:r>
          </w:p>
        </w:tc>
        <w:tc>
          <w:tcPr>
            <w:tcW w:w="1116" w:type="dxa"/>
            <w:tcBorders>
              <w:tl2br w:val="nil"/>
              <w:tr2bl w:val="nil"/>
            </w:tcBorders>
            <w:vAlign w:val="center"/>
          </w:tcPr>
          <w:p w14:paraId="57451FC3">
            <w:pPr>
              <w:pStyle w:val="49"/>
              <w:kinsoku/>
              <w:overflowPunct/>
              <w:topLinePunct w:val="0"/>
              <w:bidi w:val="0"/>
              <w:spacing w:line="360" w:lineRule="atLeast"/>
              <w:rPr>
                <w:rFonts w:hint="eastAsia" w:ascii="宋体" w:hAnsi="宋体" w:eastAsia="宋体" w:cs="宋体"/>
                <w:sz w:val="21"/>
                <w:szCs w:val="21"/>
              </w:rPr>
            </w:pPr>
          </w:p>
        </w:tc>
      </w:tr>
      <w:tr w14:paraId="564804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1206" w:type="dxa"/>
            <w:vMerge w:val="continue"/>
            <w:tcBorders>
              <w:tl2br w:val="nil"/>
              <w:tr2bl w:val="nil"/>
            </w:tcBorders>
            <w:vAlign w:val="center"/>
          </w:tcPr>
          <w:p w14:paraId="02A8A10A">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09D2ABD8">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2.各接地、接零保护装置符合要求；</w:t>
            </w:r>
          </w:p>
        </w:tc>
        <w:tc>
          <w:tcPr>
            <w:tcW w:w="1349" w:type="dxa"/>
            <w:vMerge w:val="continue"/>
            <w:tcBorders>
              <w:tl2br w:val="nil"/>
              <w:tr2bl w:val="nil"/>
            </w:tcBorders>
            <w:vAlign w:val="center"/>
          </w:tcPr>
          <w:p w14:paraId="5D024E0A">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75EC3CC5">
            <w:pPr>
              <w:pStyle w:val="49"/>
              <w:kinsoku/>
              <w:overflowPunct/>
              <w:topLinePunct w:val="0"/>
              <w:bidi w:val="0"/>
              <w:spacing w:line="360" w:lineRule="atLeast"/>
              <w:rPr>
                <w:rFonts w:hint="eastAsia" w:ascii="宋体" w:hAnsi="宋体" w:eastAsia="宋体" w:cs="宋体"/>
                <w:sz w:val="21"/>
                <w:szCs w:val="21"/>
              </w:rPr>
            </w:pPr>
          </w:p>
        </w:tc>
      </w:tr>
      <w:tr w14:paraId="1132E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1206" w:type="dxa"/>
            <w:vMerge w:val="continue"/>
            <w:tcBorders>
              <w:tl2br w:val="nil"/>
              <w:tr2bl w:val="nil"/>
            </w:tcBorders>
            <w:vAlign w:val="center"/>
          </w:tcPr>
          <w:p w14:paraId="0679DF85">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3B4A4F77">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3.开关等配电装置齐全有效；</w:t>
            </w:r>
          </w:p>
        </w:tc>
        <w:tc>
          <w:tcPr>
            <w:tcW w:w="1349" w:type="dxa"/>
            <w:vMerge w:val="continue"/>
            <w:tcBorders>
              <w:tl2br w:val="nil"/>
              <w:tr2bl w:val="nil"/>
            </w:tcBorders>
            <w:vAlign w:val="center"/>
          </w:tcPr>
          <w:p w14:paraId="7838D756">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5C15DAFE">
            <w:pPr>
              <w:pStyle w:val="49"/>
              <w:kinsoku/>
              <w:overflowPunct/>
              <w:topLinePunct w:val="0"/>
              <w:bidi w:val="0"/>
              <w:spacing w:line="360" w:lineRule="atLeast"/>
              <w:rPr>
                <w:rFonts w:hint="eastAsia" w:ascii="宋体" w:hAnsi="宋体" w:eastAsia="宋体" w:cs="宋体"/>
                <w:sz w:val="21"/>
                <w:szCs w:val="21"/>
              </w:rPr>
            </w:pPr>
          </w:p>
        </w:tc>
      </w:tr>
      <w:tr w14:paraId="2B4279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206" w:type="dxa"/>
            <w:vMerge w:val="continue"/>
            <w:tcBorders>
              <w:tl2br w:val="nil"/>
              <w:tr2bl w:val="nil"/>
            </w:tcBorders>
            <w:vAlign w:val="center"/>
          </w:tcPr>
          <w:p w14:paraId="408B77BB">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5316DEAD">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4.绝缘良好；</w:t>
            </w:r>
          </w:p>
        </w:tc>
        <w:tc>
          <w:tcPr>
            <w:tcW w:w="1349" w:type="dxa"/>
            <w:vMerge w:val="continue"/>
            <w:tcBorders>
              <w:tl2br w:val="nil"/>
              <w:tr2bl w:val="nil"/>
            </w:tcBorders>
            <w:vAlign w:val="center"/>
          </w:tcPr>
          <w:p w14:paraId="7F531AC2">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1FCE5835">
            <w:pPr>
              <w:pStyle w:val="49"/>
              <w:kinsoku/>
              <w:overflowPunct/>
              <w:topLinePunct w:val="0"/>
              <w:bidi w:val="0"/>
              <w:spacing w:line="360" w:lineRule="atLeast"/>
              <w:rPr>
                <w:rFonts w:hint="eastAsia" w:ascii="宋体" w:hAnsi="宋体" w:eastAsia="宋体" w:cs="宋体"/>
                <w:sz w:val="21"/>
                <w:szCs w:val="21"/>
              </w:rPr>
            </w:pPr>
          </w:p>
        </w:tc>
      </w:tr>
      <w:tr w14:paraId="25E6BB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206" w:type="dxa"/>
            <w:vMerge w:val="continue"/>
            <w:tcBorders>
              <w:tl2br w:val="nil"/>
              <w:tr2bl w:val="nil"/>
            </w:tcBorders>
            <w:vAlign w:val="center"/>
          </w:tcPr>
          <w:p w14:paraId="07F4453A">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2BD9BB84">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5.接闪器、避雷等接地装置良好</w:t>
            </w:r>
            <w:r>
              <w:rPr>
                <w:rFonts w:hint="eastAsia" w:ascii="宋体" w:hAnsi="宋体" w:eastAsia="宋体" w:cs="宋体"/>
                <w:sz w:val="21"/>
                <w:szCs w:val="21"/>
                <w:lang w:eastAsia="zh-CN"/>
              </w:rPr>
              <w:t>，</w:t>
            </w:r>
            <w:r>
              <w:rPr>
                <w:rFonts w:hint="eastAsia" w:ascii="宋体" w:hAnsi="宋体" w:eastAsia="宋体" w:cs="宋体"/>
                <w:sz w:val="21"/>
                <w:szCs w:val="21"/>
              </w:rPr>
              <w:t>；</w:t>
            </w:r>
          </w:p>
        </w:tc>
        <w:tc>
          <w:tcPr>
            <w:tcW w:w="1349" w:type="dxa"/>
            <w:vMerge w:val="continue"/>
            <w:tcBorders>
              <w:tl2br w:val="nil"/>
              <w:tr2bl w:val="nil"/>
            </w:tcBorders>
            <w:vAlign w:val="center"/>
          </w:tcPr>
          <w:p w14:paraId="0F108F26">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1AF0944F">
            <w:pPr>
              <w:pStyle w:val="49"/>
              <w:kinsoku/>
              <w:overflowPunct/>
              <w:topLinePunct w:val="0"/>
              <w:bidi w:val="0"/>
              <w:spacing w:line="360" w:lineRule="atLeast"/>
              <w:rPr>
                <w:rFonts w:hint="eastAsia" w:ascii="宋体" w:hAnsi="宋体" w:eastAsia="宋体" w:cs="宋体"/>
                <w:sz w:val="21"/>
                <w:szCs w:val="21"/>
              </w:rPr>
            </w:pPr>
          </w:p>
        </w:tc>
      </w:tr>
      <w:tr w14:paraId="229F91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1206" w:type="dxa"/>
            <w:vMerge w:val="continue"/>
            <w:tcBorders>
              <w:tl2br w:val="nil"/>
              <w:tr2bl w:val="nil"/>
            </w:tcBorders>
            <w:vAlign w:val="center"/>
          </w:tcPr>
          <w:p w14:paraId="69178128">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0CB145F9">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6.动力电路和控制电路对地绝缘值不超过0.5兆欧；</w:t>
            </w:r>
          </w:p>
        </w:tc>
        <w:tc>
          <w:tcPr>
            <w:tcW w:w="1349" w:type="dxa"/>
            <w:vMerge w:val="continue"/>
            <w:tcBorders>
              <w:tl2br w:val="nil"/>
              <w:tr2bl w:val="nil"/>
            </w:tcBorders>
            <w:vAlign w:val="center"/>
          </w:tcPr>
          <w:p w14:paraId="03316D21">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4FC9DB35">
            <w:pPr>
              <w:pStyle w:val="49"/>
              <w:kinsoku/>
              <w:overflowPunct/>
              <w:topLinePunct w:val="0"/>
              <w:bidi w:val="0"/>
              <w:spacing w:line="360" w:lineRule="atLeast"/>
              <w:rPr>
                <w:rFonts w:hint="eastAsia" w:ascii="宋体" w:hAnsi="宋体" w:eastAsia="宋体" w:cs="宋体"/>
                <w:sz w:val="21"/>
                <w:szCs w:val="21"/>
              </w:rPr>
            </w:pPr>
          </w:p>
        </w:tc>
      </w:tr>
      <w:tr w14:paraId="164C4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3" w:hRule="atLeast"/>
        </w:trPr>
        <w:tc>
          <w:tcPr>
            <w:tcW w:w="1206" w:type="dxa"/>
            <w:vMerge w:val="restart"/>
            <w:tcBorders>
              <w:tl2br w:val="nil"/>
              <w:tr2bl w:val="nil"/>
            </w:tcBorders>
            <w:vAlign w:val="center"/>
          </w:tcPr>
          <w:p w14:paraId="725FD9A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（十）机构油类</w:t>
            </w:r>
          </w:p>
        </w:tc>
        <w:tc>
          <w:tcPr>
            <w:tcW w:w="5850" w:type="dxa"/>
            <w:gridSpan w:val="4"/>
            <w:tcBorders>
              <w:tl2br w:val="nil"/>
              <w:tr2bl w:val="nil"/>
            </w:tcBorders>
            <w:vAlign w:val="center"/>
          </w:tcPr>
          <w:p w14:paraId="7D77BF5B">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1.减速机、卷扬机、回转机构、液压顶升系统部件齐全、工作正常；</w:t>
            </w:r>
          </w:p>
        </w:tc>
        <w:tc>
          <w:tcPr>
            <w:tcW w:w="1349" w:type="dxa"/>
            <w:vMerge w:val="restart"/>
            <w:tcBorders>
              <w:tl2br w:val="nil"/>
              <w:tr2bl w:val="nil"/>
            </w:tcBorders>
            <w:vAlign w:val="center"/>
          </w:tcPr>
          <w:p w14:paraId="17C1315A">
            <w:pPr>
              <w:pStyle w:val="49"/>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eastAsia="zh-CN"/>
              </w:rPr>
              <w:t>GBT5031-2019</w:t>
            </w:r>
          </w:p>
          <w:p w14:paraId="0E60A25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JGJ160-2008</w:t>
            </w:r>
          </w:p>
        </w:tc>
        <w:tc>
          <w:tcPr>
            <w:tcW w:w="1116" w:type="dxa"/>
            <w:tcBorders>
              <w:tl2br w:val="nil"/>
              <w:tr2bl w:val="nil"/>
            </w:tcBorders>
            <w:vAlign w:val="center"/>
          </w:tcPr>
          <w:p w14:paraId="1F00663B">
            <w:pPr>
              <w:pStyle w:val="49"/>
              <w:kinsoku/>
              <w:overflowPunct/>
              <w:topLinePunct w:val="0"/>
              <w:bidi w:val="0"/>
              <w:spacing w:line="360" w:lineRule="atLeast"/>
              <w:rPr>
                <w:rFonts w:hint="eastAsia" w:ascii="宋体" w:hAnsi="宋体" w:eastAsia="宋体" w:cs="宋体"/>
                <w:sz w:val="21"/>
                <w:szCs w:val="21"/>
              </w:rPr>
            </w:pPr>
          </w:p>
        </w:tc>
      </w:tr>
      <w:tr w14:paraId="397162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1206" w:type="dxa"/>
            <w:vMerge w:val="continue"/>
            <w:tcBorders>
              <w:tl2br w:val="nil"/>
              <w:tr2bl w:val="nil"/>
            </w:tcBorders>
            <w:vAlign w:val="center"/>
          </w:tcPr>
          <w:p w14:paraId="41B6A614">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4DC097D0">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2.传动部位有防护罩；</w:t>
            </w:r>
          </w:p>
        </w:tc>
        <w:tc>
          <w:tcPr>
            <w:tcW w:w="1349" w:type="dxa"/>
            <w:vMerge w:val="continue"/>
            <w:tcBorders>
              <w:tl2br w:val="nil"/>
              <w:tr2bl w:val="nil"/>
            </w:tcBorders>
            <w:vAlign w:val="center"/>
          </w:tcPr>
          <w:p w14:paraId="58CCA259">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2EA3472F">
            <w:pPr>
              <w:pStyle w:val="49"/>
              <w:kinsoku/>
              <w:overflowPunct/>
              <w:topLinePunct w:val="0"/>
              <w:bidi w:val="0"/>
              <w:spacing w:line="360" w:lineRule="atLeast"/>
              <w:rPr>
                <w:rFonts w:hint="eastAsia" w:ascii="宋体" w:hAnsi="宋体" w:eastAsia="宋体" w:cs="宋体"/>
                <w:sz w:val="21"/>
                <w:szCs w:val="21"/>
              </w:rPr>
            </w:pPr>
          </w:p>
        </w:tc>
      </w:tr>
      <w:tr w14:paraId="07C09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1206" w:type="dxa"/>
            <w:vMerge w:val="continue"/>
            <w:tcBorders>
              <w:tl2br w:val="nil"/>
              <w:tr2bl w:val="nil"/>
            </w:tcBorders>
            <w:vAlign w:val="center"/>
          </w:tcPr>
          <w:p w14:paraId="01ED9299">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5286B9FA">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3.油箱有足够容量；</w:t>
            </w:r>
          </w:p>
        </w:tc>
        <w:tc>
          <w:tcPr>
            <w:tcW w:w="1349" w:type="dxa"/>
            <w:vMerge w:val="continue"/>
            <w:tcBorders>
              <w:tl2br w:val="nil"/>
              <w:tr2bl w:val="nil"/>
            </w:tcBorders>
            <w:vAlign w:val="center"/>
          </w:tcPr>
          <w:p w14:paraId="0A32CB9A">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3BA05682">
            <w:pPr>
              <w:pStyle w:val="49"/>
              <w:kinsoku/>
              <w:overflowPunct/>
              <w:topLinePunct w:val="0"/>
              <w:bidi w:val="0"/>
              <w:spacing w:line="360" w:lineRule="atLeast"/>
              <w:rPr>
                <w:rFonts w:hint="eastAsia" w:ascii="宋体" w:hAnsi="宋体" w:eastAsia="宋体" w:cs="宋体"/>
                <w:sz w:val="21"/>
                <w:szCs w:val="21"/>
              </w:rPr>
            </w:pPr>
          </w:p>
        </w:tc>
      </w:tr>
      <w:tr w14:paraId="54C86A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206" w:type="dxa"/>
            <w:vMerge w:val="continue"/>
            <w:tcBorders>
              <w:tl2br w:val="nil"/>
              <w:tr2bl w:val="nil"/>
            </w:tcBorders>
            <w:vAlign w:val="center"/>
          </w:tcPr>
          <w:p w14:paraId="5445C6D7">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59A3F7D5">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4.油路无泄露、堵塞现象。</w:t>
            </w:r>
          </w:p>
        </w:tc>
        <w:tc>
          <w:tcPr>
            <w:tcW w:w="1349" w:type="dxa"/>
            <w:vMerge w:val="continue"/>
            <w:tcBorders>
              <w:tl2br w:val="nil"/>
              <w:tr2bl w:val="nil"/>
            </w:tcBorders>
            <w:vAlign w:val="center"/>
          </w:tcPr>
          <w:p w14:paraId="16125CBB">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4B3380E7">
            <w:pPr>
              <w:pStyle w:val="49"/>
              <w:kinsoku/>
              <w:overflowPunct/>
              <w:topLinePunct w:val="0"/>
              <w:bidi w:val="0"/>
              <w:spacing w:line="360" w:lineRule="atLeast"/>
              <w:rPr>
                <w:rFonts w:hint="eastAsia" w:ascii="宋体" w:hAnsi="宋体" w:eastAsia="宋体" w:cs="宋体"/>
                <w:sz w:val="21"/>
                <w:szCs w:val="21"/>
              </w:rPr>
            </w:pPr>
          </w:p>
        </w:tc>
      </w:tr>
      <w:tr w14:paraId="347986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0" w:hRule="atLeast"/>
        </w:trPr>
        <w:tc>
          <w:tcPr>
            <w:tcW w:w="1206" w:type="dxa"/>
            <w:vMerge w:val="restart"/>
            <w:tcBorders>
              <w:tl2br w:val="nil"/>
              <w:tr2bl w:val="nil"/>
            </w:tcBorders>
            <w:vAlign w:val="center"/>
          </w:tcPr>
          <w:p w14:paraId="4ADD57AE">
            <w:pPr>
              <w:pStyle w:val="49"/>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十一</w:t>
            </w:r>
            <w:r>
              <w:rPr>
                <w:rFonts w:hint="eastAsia" w:ascii="宋体" w:hAnsi="宋体" w:eastAsia="宋体" w:cs="宋体"/>
                <w:sz w:val="21"/>
                <w:szCs w:val="21"/>
                <w:lang w:eastAsia="zh-CN"/>
              </w:rPr>
              <w:t>）</w:t>
            </w:r>
          </w:p>
          <w:p w14:paraId="3A7A5230">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制动器</w:t>
            </w:r>
          </w:p>
        </w:tc>
        <w:tc>
          <w:tcPr>
            <w:tcW w:w="5850" w:type="dxa"/>
            <w:gridSpan w:val="4"/>
            <w:tcBorders>
              <w:tl2br w:val="nil"/>
              <w:tr2bl w:val="nil"/>
            </w:tcBorders>
            <w:vAlign w:val="center"/>
          </w:tcPr>
          <w:p w14:paraId="6517F28F">
            <w:pPr>
              <w:pStyle w:val="49"/>
              <w:kinsoku/>
              <w:overflowPunct/>
              <w:topLinePunct w:val="0"/>
              <w:bidi w:val="0"/>
              <w:spacing w:line="360" w:lineRule="atLeast"/>
              <w:jc w:val="both"/>
              <w:rPr>
                <w:rFonts w:hint="eastAsia" w:ascii="宋体" w:hAnsi="宋体" w:eastAsia="宋体" w:cs="宋体"/>
                <w:sz w:val="21"/>
                <w:szCs w:val="21"/>
                <w:lang w:eastAsia="zh-CN"/>
              </w:rPr>
            </w:pPr>
            <w:r>
              <w:rPr>
                <w:rFonts w:hint="eastAsia" w:ascii="宋体" w:hAnsi="宋体" w:eastAsia="宋体" w:cs="宋体"/>
                <w:sz w:val="21"/>
                <w:szCs w:val="21"/>
              </w:rPr>
              <w:t>1.无可见裂纹</w:t>
            </w:r>
            <w:r>
              <w:rPr>
                <w:rFonts w:hint="eastAsia" w:ascii="宋体" w:hAnsi="宋体" w:eastAsia="宋体" w:cs="宋体"/>
                <w:sz w:val="21"/>
                <w:szCs w:val="21"/>
                <w:lang w:eastAsia="zh-CN"/>
              </w:rPr>
              <w:t>；</w:t>
            </w:r>
          </w:p>
        </w:tc>
        <w:tc>
          <w:tcPr>
            <w:tcW w:w="1349" w:type="dxa"/>
            <w:vMerge w:val="restart"/>
            <w:tcBorders>
              <w:tl2br w:val="nil"/>
              <w:tr2bl w:val="nil"/>
            </w:tcBorders>
            <w:vAlign w:val="center"/>
          </w:tcPr>
          <w:p w14:paraId="14E2FD35">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GB5144-2006</w:t>
            </w:r>
          </w:p>
          <w:p w14:paraId="293AA90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JGJ160-2008</w:t>
            </w:r>
          </w:p>
        </w:tc>
        <w:tc>
          <w:tcPr>
            <w:tcW w:w="1116" w:type="dxa"/>
            <w:tcBorders>
              <w:tl2br w:val="nil"/>
              <w:tr2bl w:val="nil"/>
            </w:tcBorders>
            <w:vAlign w:val="center"/>
          </w:tcPr>
          <w:p w14:paraId="01BD20E6">
            <w:pPr>
              <w:pStyle w:val="49"/>
              <w:kinsoku/>
              <w:overflowPunct/>
              <w:topLinePunct w:val="0"/>
              <w:bidi w:val="0"/>
              <w:spacing w:line="360" w:lineRule="atLeast"/>
              <w:rPr>
                <w:rFonts w:hint="eastAsia" w:ascii="宋体" w:hAnsi="宋体" w:eastAsia="宋体" w:cs="宋体"/>
                <w:sz w:val="21"/>
                <w:szCs w:val="21"/>
              </w:rPr>
            </w:pPr>
          </w:p>
        </w:tc>
      </w:tr>
      <w:tr w14:paraId="1AEF4B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5" w:hRule="atLeast"/>
        </w:trPr>
        <w:tc>
          <w:tcPr>
            <w:tcW w:w="1206" w:type="dxa"/>
            <w:vMerge w:val="continue"/>
            <w:tcBorders>
              <w:tl2br w:val="nil"/>
              <w:tr2bl w:val="nil"/>
            </w:tcBorders>
            <w:vAlign w:val="center"/>
          </w:tcPr>
          <w:p w14:paraId="7A0F67A6">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78EB28F7">
            <w:pPr>
              <w:pStyle w:val="49"/>
              <w:kinsoku/>
              <w:overflowPunct/>
              <w:topLinePunct w:val="0"/>
              <w:bidi w:val="0"/>
              <w:spacing w:line="360" w:lineRule="atLeast"/>
              <w:jc w:val="both"/>
              <w:rPr>
                <w:rFonts w:hint="eastAsia" w:ascii="宋体" w:hAnsi="宋体" w:eastAsia="宋体" w:cs="宋体"/>
                <w:sz w:val="21"/>
                <w:szCs w:val="21"/>
                <w:lang w:eastAsia="zh-CN"/>
              </w:rPr>
            </w:pPr>
            <w:r>
              <w:rPr>
                <w:rFonts w:hint="eastAsia" w:ascii="宋体" w:hAnsi="宋体" w:eastAsia="宋体" w:cs="宋体"/>
                <w:sz w:val="21"/>
                <w:szCs w:val="21"/>
              </w:rPr>
              <w:t>2.制动块摩擦衬垫磨损量未达原厚度的50%</w:t>
            </w:r>
            <w:r>
              <w:rPr>
                <w:rFonts w:hint="eastAsia" w:ascii="宋体" w:hAnsi="宋体" w:eastAsia="宋体" w:cs="宋体"/>
                <w:sz w:val="21"/>
                <w:szCs w:val="21"/>
                <w:lang w:eastAsia="zh-CN"/>
              </w:rPr>
              <w:t>；</w:t>
            </w:r>
          </w:p>
        </w:tc>
        <w:tc>
          <w:tcPr>
            <w:tcW w:w="1349" w:type="dxa"/>
            <w:vMerge w:val="continue"/>
            <w:tcBorders>
              <w:tl2br w:val="nil"/>
              <w:tr2bl w:val="nil"/>
            </w:tcBorders>
            <w:vAlign w:val="center"/>
          </w:tcPr>
          <w:p w14:paraId="2E91BE0D">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66AB4642">
            <w:pPr>
              <w:pStyle w:val="49"/>
              <w:kinsoku/>
              <w:overflowPunct/>
              <w:topLinePunct w:val="0"/>
              <w:bidi w:val="0"/>
              <w:spacing w:line="360" w:lineRule="atLeast"/>
              <w:rPr>
                <w:rFonts w:hint="eastAsia" w:ascii="宋体" w:hAnsi="宋体" w:eastAsia="宋体" w:cs="宋体"/>
                <w:sz w:val="21"/>
                <w:szCs w:val="21"/>
              </w:rPr>
            </w:pPr>
          </w:p>
        </w:tc>
      </w:tr>
      <w:tr w14:paraId="27BC3F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0" w:hRule="atLeast"/>
        </w:trPr>
        <w:tc>
          <w:tcPr>
            <w:tcW w:w="1206" w:type="dxa"/>
            <w:vMerge w:val="continue"/>
            <w:tcBorders>
              <w:tl2br w:val="nil"/>
              <w:tr2bl w:val="nil"/>
            </w:tcBorders>
            <w:vAlign w:val="center"/>
          </w:tcPr>
          <w:p w14:paraId="20860006">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40BB53E7">
            <w:pPr>
              <w:pStyle w:val="49"/>
              <w:kinsoku/>
              <w:overflowPunct/>
              <w:topLinePunct w:val="0"/>
              <w:bidi w:val="0"/>
              <w:spacing w:line="360" w:lineRule="atLeast"/>
              <w:jc w:val="both"/>
              <w:rPr>
                <w:rFonts w:hint="eastAsia" w:ascii="宋体" w:hAnsi="宋体" w:eastAsia="宋体" w:cs="宋体"/>
                <w:sz w:val="21"/>
                <w:szCs w:val="21"/>
                <w:lang w:eastAsia="zh-CN"/>
              </w:rPr>
            </w:pPr>
            <w:r>
              <w:rPr>
                <w:rFonts w:hint="eastAsia" w:ascii="宋体" w:hAnsi="宋体" w:eastAsia="宋体" w:cs="宋体"/>
                <w:sz w:val="21"/>
                <w:szCs w:val="21"/>
              </w:rPr>
              <w:t>3.制动轮表面磨损量未达1.5 mm~2mm</w:t>
            </w:r>
            <w:r>
              <w:rPr>
                <w:rFonts w:hint="eastAsia" w:ascii="宋体" w:hAnsi="宋体" w:eastAsia="宋体" w:cs="宋体"/>
                <w:sz w:val="21"/>
                <w:szCs w:val="21"/>
                <w:lang w:eastAsia="zh-CN"/>
              </w:rPr>
              <w:t>；</w:t>
            </w:r>
          </w:p>
        </w:tc>
        <w:tc>
          <w:tcPr>
            <w:tcW w:w="1349" w:type="dxa"/>
            <w:vMerge w:val="continue"/>
            <w:tcBorders>
              <w:tl2br w:val="nil"/>
              <w:tr2bl w:val="nil"/>
            </w:tcBorders>
            <w:vAlign w:val="center"/>
          </w:tcPr>
          <w:p w14:paraId="41B580DD">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5006EB58">
            <w:pPr>
              <w:pStyle w:val="49"/>
              <w:kinsoku/>
              <w:overflowPunct/>
              <w:topLinePunct w:val="0"/>
              <w:bidi w:val="0"/>
              <w:spacing w:line="360" w:lineRule="atLeast"/>
              <w:rPr>
                <w:rFonts w:hint="eastAsia" w:ascii="宋体" w:hAnsi="宋体" w:eastAsia="宋体" w:cs="宋体"/>
                <w:sz w:val="21"/>
                <w:szCs w:val="21"/>
              </w:rPr>
            </w:pPr>
          </w:p>
        </w:tc>
      </w:tr>
      <w:tr w14:paraId="3D3DC6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30" w:hRule="atLeast"/>
        </w:trPr>
        <w:tc>
          <w:tcPr>
            <w:tcW w:w="1206" w:type="dxa"/>
            <w:vMerge w:val="continue"/>
            <w:tcBorders>
              <w:tl2br w:val="nil"/>
              <w:tr2bl w:val="nil"/>
            </w:tcBorders>
            <w:vAlign w:val="center"/>
          </w:tcPr>
          <w:p w14:paraId="078EB7A8">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39B801D5">
            <w:pPr>
              <w:pStyle w:val="49"/>
              <w:kinsoku/>
              <w:overflowPunct/>
              <w:topLinePunct w:val="0"/>
              <w:bidi w:val="0"/>
              <w:spacing w:line="360" w:lineRule="atLeast"/>
              <w:jc w:val="both"/>
              <w:rPr>
                <w:rFonts w:hint="eastAsia" w:ascii="宋体" w:hAnsi="宋体" w:eastAsia="宋体" w:cs="宋体"/>
                <w:sz w:val="21"/>
                <w:szCs w:val="21"/>
                <w:lang w:eastAsia="zh-CN"/>
              </w:rPr>
            </w:pPr>
            <w:r>
              <w:rPr>
                <w:rFonts w:hint="eastAsia" w:ascii="宋体" w:hAnsi="宋体" w:eastAsia="宋体" w:cs="宋体"/>
                <w:sz w:val="21"/>
                <w:szCs w:val="21"/>
              </w:rPr>
              <w:t>4.弹簧未出现塑性变形</w:t>
            </w:r>
            <w:r>
              <w:rPr>
                <w:rFonts w:hint="eastAsia" w:ascii="宋体" w:hAnsi="宋体" w:eastAsia="宋体" w:cs="宋体"/>
                <w:sz w:val="21"/>
                <w:szCs w:val="21"/>
                <w:lang w:eastAsia="zh-CN"/>
              </w:rPr>
              <w:t>；</w:t>
            </w:r>
          </w:p>
        </w:tc>
        <w:tc>
          <w:tcPr>
            <w:tcW w:w="1349" w:type="dxa"/>
            <w:vMerge w:val="continue"/>
            <w:tcBorders>
              <w:tl2br w:val="nil"/>
              <w:tr2bl w:val="nil"/>
            </w:tcBorders>
            <w:vAlign w:val="center"/>
          </w:tcPr>
          <w:p w14:paraId="37ECC0FE">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14AB781E">
            <w:pPr>
              <w:pStyle w:val="49"/>
              <w:kinsoku/>
              <w:overflowPunct/>
              <w:topLinePunct w:val="0"/>
              <w:bidi w:val="0"/>
              <w:spacing w:line="360" w:lineRule="atLeast"/>
              <w:rPr>
                <w:rFonts w:hint="eastAsia" w:ascii="宋体" w:hAnsi="宋体" w:eastAsia="宋体" w:cs="宋体"/>
                <w:sz w:val="21"/>
                <w:szCs w:val="21"/>
              </w:rPr>
            </w:pPr>
          </w:p>
        </w:tc>
      </w:tr>
      <w:tr w14:paraId="32DCDD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10" w:hRule="atLeast"/>
        </w:trPr>
        <w:tc>
          <w:tcPr>
            <w:tcW w:w="1206" w:type="dxa"/>
            <w:vMerge w:val="restart"/>
            <w:tcBorders>
              <w:tl2br w:val="nil"/>
              <w:tr2bl w:val="nil"/>
            </w:tcBorders>
            <w:vAlign w:val="center"/>
          </w:tcPr>
          <w:p w14:paraId="625515C5">
            <w:pPr>
              <w:pStyle w:val="49"/>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十二</w:t>
            </w:r>
            <w:r>
              <w:rPr>
                <w:rFonts w:hint="eastAsia" w:ascii="宋体" w:hAnsi="宋体" w:eastAsia="宋体" w:cs="宋体"/>
                <w:sz w:val="21"/>
                <w:szCs w:val="21"/>
                <w:lang w:eastAsia="zh-CN"/>
              </w:rPr>
              <w:t>）</w:t>
            </w:r>
          </w:p>
          <w:p w14:paraId="44BECF6E">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安全距</w:t>
            </w:r>
          </w:p>
          <w:p w14:paraId="1840299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离</w:t>
            </w:r>
          </w:p>
        </w:tc>
        <w:tc>
          <w:tcPr>
            <w:tcW w:w="5850" w:type="dxa"/>
            <w:gridSpan w:val="4"/>
            <w:tcBorders>
              <w:tl2br w:val="nil"/>
              <w:tr2bl w:val="nil"/>
            </w:tcBorders>
            <w:vAlign w:val="center"/>
          </w:tcPr>
          <w:p w14:paraId="7207EC7F">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1.与建筑物周围施工设施之间距离≥0.5米；</w:t>
            </w:r>
          </w:p>
        </w:tc>
        <w:tc>
          <w:tcPr>
            <w:tcW w:w="1349" w:type="dxa"/>
            <w:vMerge w:val="restart"/>
            <w:tcBorders>
              <w:tl2br w:val="nil"/>
              <w:tr2bl w:val="nil"/>
            </w:tcBorders>
            <w:vAlign w:val="center"/>
          </w:tcPr>
          <w:p w14:paraId="64FF010C">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JGJ196-2010</w:t>
            </w:r>
          </w:p>
          <w:p w14:paraId="3FFFBE1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JGJ160-2008</w:t>
            </w:r>
          </w:p>
        </w:tc>
        <w:tc>
          <w:tcPr>
            <w:tcW w:w="1116" w:type="dxa"/>
            <w:tcBorders>
              <w:tl2br w:val="nil"/>
              <w:tr2bl w:val="nil"/>
            </w:tcBorders>
            <w:vAlign w:val="center"/>
          </w:tcPr>
          <w:p w14:paraId="14469601">
            <w:pPr>
              <w:pStyle w:val="49"/>
              <w:kinsoku/>
              <w:overflowPunct/>
              <w:topLinePunct w:val="0"/>
              <w:bidi w:val="0"/>
              <w:spacing w:line="360" w:lineRule="atLeast"/>
              <w:rPr>
                <w:rFonts w:hint="eastAsia" w:ascii="宋体" w:hAnsi="宋体" w:eastAsia="宋体" w:cs="宋体"/>
                <w:sz w:val="21"/>
                <w:szCs w:val="21"/>
              </w:rPr>
            </w:pPr>
          </w:p>
        </w:tc>
      </w:tr>
      <w:tr w14:paraId="20351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206" w:type="dxa"/>
            <w:vMerge w:val="continue"/>
            <w:tcBorders>
              <w:tl2br w:val="nil"/>
              <w:tr2bl w:val="nil"/>
            </w:tcBorders>
            <w:vAlign w:val="center"/>
          </w:tcPr>
          <w:p w14:paraId="307ACFAA">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66187D54">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2.多塔作业相互间应符合要求，有防碰撞措施；</w:t>
            </w:r>
          </w:p>
        </w:tc>
        <w:tc>
          <w:tcPr>
            <w:tcW w:w="1349" w:type="dxa"/>
            <w:vMerge w:val="continue"/>
            <w:tcBorders>
              <w:tl2br w:val="nil"/>
              <w:tr2bl w:val="nil"/>
            </w:tcBorders>
            <w:vAlign w:val="center"/>
          </w:tcPr>
          <w:p w14:paraId="7D13A7EA">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207B8A66">
            <w:pPr>
              <w:pStyle w:val="49"/>
              <w:kinsoku/>
              <w:overflowPunct/>
              <w:topLinePunct w:val="0"/>
              <w:bidi w:val="0"/>
              <w:spacing w:line="360" w:lineRule="atLeast"/>
              <w:rPr>
                <w:rFonts w:hint="eastAsia" w:ascii="宋体" w:hAnsi="宋体" w:eastAsia="宋体" w:cs="宋体"/>
                <w:sz w:val="21"/>
                <w:szCs w:val="21"/>
              </w:rPr>
            </w:pPr>
          </w:p>
        </w:tc>
      </w:tr>
      <w:tr w14:paraId="6A41C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0" w:hRule="atLeast"/>
        </w:trPr>
        <w:tc>
          <w:tcPr>
            <w:tcW w:w="1206" w:type="dxa"/>
            <w:vMerge w:val="continue"/>
            <w:tcBorders>
              <w:tl2br w:val="nil"/>
              <w:tr2bl w:val="nil"/>
            </w:tcBorders>
            <w:vAlign w:val="center"/>
          </w:tcPr>
          <w:p w14:paraId="0E8E8CD4">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1D7661B1">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3.各部位与外电线路保持安全距离，达不到要求的必须按规定采取防护措施，防护措施应达到电业部门规定要求。</w:t>
            </w:r>
          </w:p>
        </w:tc>
        <w:tc>
          <w:tcPr>
            <w:tcW w:w="1349" w:type="dxa"/>
            <w:vMerge w:val="continue"/>
            <w:tcBorders>
              <w:tl2br w:val="nil"/>
              <w:tr2bl w:val="nil"/>
            </w:tcBorders>
            <w:vAlign w:val="center"/>
          </w:tcPr>
          <w:p w14:paraId="3CB92742">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3ECA0660">
            <w:pPr>
              <w:pStyle w:val="49"/>
              <w:kinsoku/>
              <w:overflowPunct/>
              <w:topLinePunct w:val="0"/>
              <w:bidi w:val="0"/>
              <w:spacing w:line="360" w:lineRule="atLeast"/>
              <w:rPr>
                <w:rFonts w:hint="eastAsia" w:ascii="宋体" w:hAnsi="宋体" w:eastAsia="宋体" w:cs="宋体"/>
                <w:sz w:val="21"/>
                <w:szCs w:val="21"/>
              </w:rPr>
            </w:pPr>
          </w:p>
        </w:tc>
      </w:tr>
      <w:tr w14:paraId="1351E0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1206" w:type="dxa"/>
            <w:vMerge w:val="restart"/>
            <w:tcBorders>
              <w:tl2br w:val="nil"/>
              <w:tr2bl w:val="nil"/>
            </w:tcBorders>
            <w:vAlign w:val="center"/>
          </w:tcPr>
          <w:p w14:paraId="358CB19B">
            <w:pPr>
              <w:pStyle w:val="49"/>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十三</w:t>
            </w:r>
            <w:r>
              <w:rPr>
                <w:rFonts w:hint="eastAsia" w:ascii="宋体" w:hAnsi="宋体" w:eastAsia="宋体" w:cs="宋体"/>
                <w:sz w:val="21"/>
                <w:szCs w:val="21"/>
                <w:lang w:eastAsia="zh-CN"/>
              </w:rPr>
              <w:t>）</w:t>
            </w:r>
          </w:p>
          <w:p w14:paraId="76E5BB11">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卷筒</w:t>
            </w:r>
          </w:p>
          <w:p w14:paraId="4EF9B5F0">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滑轮</w:t>
            </w:r>
          </w:p>
        </w:tc>
        <w:tc>
          <w:tcPr>
            <w:tcW w:w="5850" w:type="dxa"/>
            <w:gridSpan w:val="4"/>
            <w:tcBorders>
              <w:tl2br w:val="nil"/>
              <w:tr2bl w:val="nil"/>
            </w:tcBorders>
            <w:vAlign w:val="center"/>
          </w:tcPr>
          <w:p w14:paraId="1F83A3A5">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1.卷筒两侧边沿的高度大于钢丝绳直径2倍；</w:t>
            </w:r>
          </w:p>
        </w:tc>
        <w:tc>
          <w:tcPr>
            <w:tcW w:w="1349" w:type="dxa"/>
            <w:vMerge w:val="restart"/>
            <w:tcBorders>
              <w:tl2br w:val="nil"/>
              <w:tr2bl w:val="nil"/>
            </w:tcBorders>
            <w:vAlign w:val="center"/>
          </w:tcPr>
          <w:p w14:paraId="140A7A4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GBT13752-2017</w:t>
            </w:r>
          </w:p>
          <w:p w14:paraId="676DEAD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JGJ160-2008</w:t>
            </w:r>
          </w:p>
        </w:tc>
        <w:tc>
          <w:tcPr>
            <w:tcW w:w="1116" w:type="dxa"/>
            <w:tcBorders>
              <w:tl2br w:val="nil"/>
              <w:tr2bl w:val="nil"/>
            </w:tcBorders>
            <w:vAlign w:val="center"/>
          </w:tcPr>
          <w:p w14:paraId="0C95AE94">
            <w:pPr>
              <w:pStyle w:val="49"/>
              <w:kinsoku/>
              <w:overflowPunct/>
              <w:topLinePunct w:val="0"/>
              <w:bidi w:val="0"/>
              <w:spacing w:line="360" w:lineRule="atLeast"/>
              <w:rPr>
                <w:rFonts w:hint="eastAsia" w:ascii="宋体" w:hAnsi="宋体" w:eastAsia="宋体" w:cs="宋体"/>
                <w:sz w:val="21"/>
                <w:szCs w:val="21"/>
              </w:rPr>
            </w:pPr>
          </w:p>
        </w:tc>
      </w:tr>
      <w:tr w14:paraId="5CA198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206" w:type="dxa"/>
            <w:vMerge w:val="continue"/>
            <w:tcBorders>
              <w:tl2br w:val="nil"/>
              <w:tr2bl w:val="nil"/>
            </w:tcBorders>
            <w:vAlign w:val="center"/>
          </w:tcPr>
          <w:p w14:paraId="30678976">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3F6B91E0">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2.卷筒上的钢丝绳至少保留3圈；</w:t>
            </w:r>
          </w:p>
        </w:tc>
        <w:tc>
          <w:tcPr>
            <w:tcW w:w="1349" w:type="dxa"/>
            <w:vMerge w:val="continue"/>
            <w:tcBorders>
              <w:tl2br w:val="nil"/>
              <w:tr2bl w:val="nil"/>
            </w:tcBorders>
            <w:vAlign w:val="center"/>
          </w:tcPr>
          <w:p w14:paraId="12459B7B">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133C3720">
            <w:pPr>
              <w:pStyle w:val="49"/>
              <w:kinsoku/>
              <w:overflowPunct/>
              <w:topLinePunct w:val="0"/>
              <w:bidi w:val="0"/>
              <w:spacing w:line="360" w:lineRule="atLeast"/>
              <w:rPr>
                <w:rFonts w:hint="eastAsia" w:ascii="宋体" w:hAnsi="宋体" w:eastAsia="宋体" w:cs="宋体"/>
                <w:sz w:val="21"/>
                <w:szCs w:val="21"/>
              </w:rPr>
            </w:pPr>
          </w:p>
        </w:tc>
      </w:tr>
      <w:tr w14:paraId="1215E3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1206" w:type="dxa"/>
            <w:vMerge w:val="continue"/>
            <w:tcBorders>
              <w:tl2br w:val="nil"/>
              <w:tr2bl w:val="nil"/>
            </w:tcBorders>
            <w:vAlign w:val="center"/>
          </w:tcPr>
          <w:p w14:paraId="7859EDC5">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79C4576D">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3.滑轮应设有防绳跳槽装置，且与滑轮最外沿间隙不得超过钢丝绳直径的20％；</w:t>
            </w:r>
          </w:p>
        </w:tc>
        <w:tc>
          <w:tcPr>
            <w:tcW w:w="1349" w:type="dxa"/>
            <w:vMerge w:val="continue"/>
            <w:tcBorders>
              <w:tl2br w:val="nil"/>
              <w:tr2bl w:val="nil"/>
            </w:tcBorders>
            <w:vAlign w:val="center"/>
          </w:tcPr>
          <w:p w14:paraId="1B00697C">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38C32185">
            <w:pPr>
              <w:pStyle w:val="49"/>
              <w:kinsoku/>
              <w:overflowPunct/>
              <w:topLinePunct w:val="0"/>
              <w:bidi w:val="0"/>
              <w:spacing w:line="360" w:lineRule="atLeast"/>
              <w:rPr>
                <w:rFonts w:hint="eastAsia" w:ascii="宋体" w:hAnsi="宋体" w:eastAsia="宋体" w:cs="宋体"/>
                <w:sz w:val="21"/>
                <w:szCs w:val="21"/>
              </w:rPr>
            </w:pPr>
          </w:p>
        </w:tc>
      </w:tr>
      <w:tr w14:paraId="200CF1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0" w:hRule="atLeast"/>
        </w:trPr>
        <w:tc>
          <w:tcPr>
            <w:tcW w:w="1206" w:type="dxa"/>
            <w:vMerge w:val="continue"/>
            <w:tcBorders>
              <w:tl2br w:val="nil"/>
              <w:tr2bl w:val="nil"/>
            </w:tcBorders>
            <w:vAlign w:val="center"/>
          </w:tcPr>
          <w:p w14:paraId="2325D129">
            <w:pPr>
              <w:pStyle w:val="49"/>
              <w:kinsoku/>
              <w:overflowPunct/>
              <w:topLinePunct w:val="0"/>
              <w:bidi w:val="0"/>
              <w:spacing w:line="360" w:lineRule="atLeast"/>
              <w:rPr>
                <w:rFonts w:hint="eastAsia" w:ascii="宋体" w:hAnsi="宋体" w:eastAsia="宋体" w:cs="宋体"/>
                <w:sz w:val="21"/>
                <w:szCs w:val="21"/>
              </w:rPr>
            </w:pPr>
          </w:p>
        </w:tc>
        <w:tc>
          <w:tcPr>
            <w:tcW w:w="5850" w:type="dxa"/>
            <w:gridSpan w:val="4"/>
            <w:tcBorders>
              <w:tl2br w:val="nil"/>
              <w:tr2bl w:val="nil"/>
            </w:tcBorders>
            <w:vAlign w:val="center"/>
          </w:tcPr>
          <w:p w14:paraId="6C0623A9">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4.滑轮转动灵活、无卡塞现象。</w:t>
            </w:r>
          </w:p>
        </w:tc>
        <w:tc>
          <w:tcPr>
            <w:tcW w:w="1349" w:type="dxa"/>
            <w:vMerge w:val="continue"/>
            <w:tcBorders>
              <w:tl2br w:val="nil"/>
              <w:tr2bl w:val="nil"/>
            </w:tcBorders>
            <w:vAlign w:val="center"/>
          </w:tcPr>
          <w:p w14:paraId="7A153191">
            <w:pPr>
              <w:pStyle w:val="49"/>
              <w:kinsoku/>
              <w:overflowPunct/>
              <w:topLinePunct w:val="0"/>
              <w:bidi w:val="0"/>
              <w:spacing w:line="360" w:lineRule="atLeast"/>
              <w:rPr>
                <w:rFonts w:hint="eastAsia" w:ascii="宋体" w:hAnsi="宋体" w:eastAsia="宋体" w:cs="宋体"/>
                <w:sz w:val="21"/>
                <w:szCs w:val="21"/>
              </w:rPr>
            </w:pPr>
          </w:p>
        </w:tc>
        <w:tc>
          <w:tcPr>
            <w:tcW w:w="1116" w:type="dxa"/>
            <w:tcBorders>
              <w:tl2br w:val="nil"/>
              <w:tr2bl w:val="nil"/>
            </w:tcBorders>
            <w:vAlign w:val="center"/>
          </w:tcPr>
          <w:p w14:paraId="22753BBE">
            <w:pPr>
              <w:pStyle w:val="49"/>
              <w:kinsoku/>
              <w:overflowPunct/>
              <w:topLinePunct w:val="0"/>
              <w:bidi w:val="0"/>
              <w:spacing w:line="360" w:lineRule="atLeast"/>
              <w:rPr>
                <w:rFonts w:hint="eastAsia" w:ascii="宋体" w:hAnsi="宋体" w:eastAsia="宋体" w:cs="宋体"/>
                <w:sz w:val="21"/>
                <w:szCs w:val="21"/>
              </w:rPr>
            </w:pPr>
          </w:p>
        </w:tc>
      </w:tr>
      <w:tr w14:paraId="484C77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1206" w:type="dxa"/>
            <w:tcBorders>
              <w:tl2br w:val="nil"/>
              <w:tr2bl w:val="nil"/>
            </w:tcBorders>
            <w:vAlign w:val="center"/>
          </w:tcPr>
          <w:p w14:paraId="680C7532">
            <w:pPr>
              <w:pStyle w:val="49"/>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十四</w:t>
            </w:r>
            <w:r>
              <w:rPr>
                <w:rFonts w:hint="eastAsia" w:ascii="宋体" w:hAnsi="宋体" w:eastAsia="宋体" w:cs="宋体"/>
                <w:sz w:val="21"/>
                <w:szCs w:val="21"/>
                <w:lang w:eastAsia="zh-CN"/>
              </w:rPr>
              <w:t>）</w:t>
            </w:r>
          </w:p>
          <w:p w14:paraId="1685812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持证上岗</w:t>
            </w:r>
          </w:p>
        </w:tc>
        <w:tc>
          <w:tcPr>
            <w:tcW w:w="5850" w:type="dxa"/>
            <w:gridSpan w:val="4"/>
            <w:tcBorders>
              <w:tl2br w:val="nil"/>
              <w:tr2bl w:val="nil"/>
            </w:tcBorders>
            <w:vAlign w:val="center"/>
          </w:tcPr>
          <w:p w14:paraId="6F7FCDD6">
            <w:pPr>
              <w:pStyle w:val="49"/>
              <w:kinsoku/>
              <w:overflowPunct/>
              <w:topLinePunct w:val="0"/>
              <w:bidi w:val="0"/>
              <w:spacing w:line="360" w:lineRule="atLeast"/>
              <w:jc w:val="both"/>
              <w:rPr>
                <w:rFonts w:hint="eastAsia" w:ascii="宋体" w:hAnsi="宋体" w:eastAsia="宋体" w:cs="宋体"/>
                <w:sz w:val="21"/>
                <w:szCs w:val="21"/>
              </w:rPr>
            </w:pPr>
            <w:r>
              <w:rPr>
                <w:rFonts w:hint="eastAsia" w:ascii="宋体" w:hAnsi="宋体" w:eastAsia="宋体" w:cs="宋体"/>
                <w:sz w:val="21"/>
                <w:szCs w:val="21"/>
              </w:rPr>
              <w:t>使用过程中塔吊司机必须持证上岗。</w:t>
            </w:r>
          </w:p>
        </w:tc>
        <w:tc>
          <w:tcPr>
            <w:tcW w:w="1349" w:type="dxa"/>
            <w:tcBorders>
              <w:tl2br w:val="nil"/>
              <w:tr2bl w:val="nil"/>
            </w:tcBorders>
            <w:vAlign w:val="center"/>
          </w:tcPr>
          <w:p w14:paraId="3CB945E4">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JGJ196-2010</w:t>
            </w:r>
          </w:p>
        </w:tc>
        <w:tc>
          <w:tcPr>
            <w:tcW w:w="1116" w:type="dxa"/>
            <w:tcBorders>
              <w:tl2br w:val="nil"/>
              <w:tr2bl w:val="nil"/>
            </w:tcBorders>
            <w:vAlign w:val="center"/>
          </w:tcPr>
          <w:p w14:paraId="46CC4214">
            <w:pPr>
              <w:pStyle w:val="49"/>
              <w:kinsoku/>
              <w:overflowPunct/>
              <w:topLinePunct w:val="0"/>
              <w:bidi w:val="0"/>
              <w:spacing w:line="360" w:lineRule="atLeast"/>
              <w:rPr>
                <w:rFonts w:hint="eastAsia" w:ascii="宋体" w:hAnsi="宋体" w:eastAsia="宋体" w:cs="宋体"/>
                <w:sz w:val="21"/>
                <w:szCs w:val="21"/>
              </w:rPr>
            </w:pPr>
          </w:p>
        </w:tc>
      </w:tr>
      <w:tr w14:paraId="35B6D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96" w:hRule="atLeast"/>
        </w:trPr>
        <w:tc>
          <w:tcPr>
            <w:tcW w:w="1206" w:type="dxa"/>
            <w:tcBorders>
              <w:tl2br w:val="nil"/>
              <w:tr2bl w:val="nil"/>
            </w:tcBorders>
            <w:vAlign w:val="center"/>
          </w:tcPr>
          <w:p w14:paraId="4FE58FF6">
            <w:pPr>
              <w:pStyle w:val="49"/>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十五</w:t>
            </w:r>
            <w:r>
              <w:rPr>
                <w:rFonts w:hint="eastAsia" w:ascii="宋体" w:hAnsi="宋体" w:eastAsia="宋体" w:cs="宋体"/>
                <w:sz w:val="21"/>
                <w:szCs w:val="21"/>
                <w:lang w:eastAsia="zh-CN"/>
              </w:rPr>
              <w:t>）</w:t>
            </w:r>
          </w:p>
          <w:p w14:paraId="255C486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检查结论及整改措施</w:t>
            </w:r>
          </w:p>
        </w:tc>
        <w:tc>
          <w:tcPr>
            <w:tcW w:w="8315" w:type="dxa"/>
            <w:gridSpan w:val="6"/>
            <w:tcBorders>
              <w:tl2br w:val="nil"/>
              <w:tr2bl w:val="nil"/>
            </w:tcBorders>
            <w:vAlign w:val="center"/>
          </w:tcPr>
          <w:p w14:paraId="1C09CB14">
            <w:pPr>
              <w:pStyle w:val="49"/>
              <w:kinsoku/>
              <w:overflowPunct/>
              <w:topLinePunct w:val="0"/>
              <w:bidi w:val="0"/>
              <w:spacing w:line="360" w:lineRule="atLeast"/>
              <w:rPr>
                <w:rFonts w:hint="eastAsia" w:ascii="宋体" w:hAnsi="宋体" w:eastAsia="宋体" w:cs="宋体"/>
                <w:sz w:val="21"/>
                <w:szCs w:val="21"/>
              </w:rPr>
            </w:pPr>
          </w:p>
          <w:p w14:paraId="74FB63C4">
            <w:pPr>
              <w:pStyle w:val="49"/>
              <w:kinsoku/>
              <w:overflowPunct/>
              <w:topLinePunct w:val="0"/>
              <w:bidi w:val="0"/>
              <w:spacing w:line="360" w:lineRule="atLeast"/>
              <w:rPr>
                <w:rFonts w:hint="eastAsia" w:ascii="宋体" w:hAnsi="宋体" w:eastAsia="宋体" w:cs="宋体"/>
                <w:sz w:val="21"/>
                <w:szCs w:val="21"/>
              </w:rPr>
            </w:pPr>
          </w:p>
          <w:p w14:paraId="2E95D691">
            <w:pPr>
              <w:pStyle w:val="49"/>
              <w:kinsoku/>
              <w:overflowPunct/>
              <w:topLinePunct w:val="0"/>
              <w:bidi w:val="0"/>
              <w:spacing w:line="360" w:lineRule="atLeast"/>
              <w:rPr>
                <w:rFonts w:hint="eastAsia" w:ascii="宋体" w:hAnsi="宋体" w:eastAsia="宋体" w:cs="宋体"/>
                <w:sz w:val="21"/>
                <w:szCs w:val="21"/>
              </w:rPr>
            </w:pPr>
          </w:p>
        </w:tc>
      </w:tr>
    </w:tbl>
    <w:p w14:paraId="232B7E47">
      <w:pPr>
        <w:pStyle w:val="4"/>
        <w:keepNext w:val="0"/>
        <w:pageBreakBefore w:val="0"/>
        <w:widowControl w:val="0"/>
        <w:numPr>
          <w:ilvl w:val="2"/>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联合验收</w:t>
      </w:r>
    </w:p>
    <w:p w14:paraId="28CDDCD9">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塔式起重机</w:t>
      </w:r>
      <w:r>
        <w:rPr>
          <w:rFonts w:hint="eastAsia" w:cs="宋体"/>
          <w:sz w:val="24"/>
          <w:szCs w:val="24"/>
          <w:lang w:eastAsia="zh-CN"/>
        </w:rPr>
        <w:t>拆除</w:t>
      </w:r>
      <w:r>
        <w:rPr>
          <w:rFonts w:hint="eastAsia" w:ascii="宋体" w:hAnsi="宋体" w:eastAsia="宋体" w:cs="宋体"/>
          <w:sz w:val="24"/>
          <w:szCs w:val="24"/>
        </w:rPr>
        <w:t>工程验收内容详见</w:t>
      </w:r>
    </w:p>
    <w:p w14:paraId="223FDE05">
      <w:pPr>
        <w:pStyle w:val="13"/>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8.3.2</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塔式起重机工程验收内容</w:t>
      </w:r>
    </w:p>
    <w:tbl>
      <w:tblPr>
        <w:tblStyle w:val="41"/>
        <w:tblW w:w="950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666"/>
        <w:gridCol w:w="594"/>
        <w:gridCol w:w="1440"/>
        <w:gridCol w:w="1082"/>
        <w:gridCol w:w="435"/>
        <w:gridCol w:w="1902"/>
        <w:gridCol w:w="1103"/>
        <w:gridCol w:w="1092"/>
      </w:tblGrid>
      <w:tr w14:paraId="644C53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2" w:type="dxa"/>
            <w:gridSpan w:val="2"/>
            <w:tcBorders>
              <w:tl2br w:val="nil"/>
              <w:tr2bl w:val="nil"/>
            </w:tcBorders>
            <w:vAlign w:val="center"/>
          </w:tcPr>
          <w:p w14:paraId="1FBD9EAD">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工程名称</w:t>
            </w:r>
          </w:p>
        </w:tc>
        <w:tc>
          <w:tcPr>
            <w:tcW w:w="3551" w:type="dxa"/>
            <w:gridSpan w:val="4"/>
            <w:tcBorders>
              <w:tl2br w:val="nil"/>
              <w:tr2bl w:val="nil"/>
            </w:tcBorders>
            <w:vAlign w:val="center"/>
          </w:tcPr>
          <w:p w14:paraId="346DD9B3">
            <w:pPr>
              <w:pStyle w:val="49"/>
              <w:kinsoku/>
              <w:overflowPunct/>
              <w:topLinePunct w:val="0"/>
              <w:bidi w:val="0"/>
              <w:spacing w:line="360" w:lineRule="atLeast"/>
              <w:rPr>
                <w:rFonts w:hint="eastAsia" w:ascii="宋体" w:hAnsi="宋体" w:eastAsia="宋体" w:cs="宋体"/>
                <w:b/>
                <w:bCs/>
                <w:sz w:val="21"/>
                <w:szCs w:val="21"/>
              </w:rPr>
            </w:pPr>
          </w:p>
        </w:tc>
        <w:tc>
          <w:tcPr>
            <w:tcW w:w="1902" w:type="dxa"/>
            <w:tcBorders>
              <w:tl2br w:val="nil"/>
              <w:tr2bl w:val="nil"/>
            </w:tcBorders>
            <w:vAlign w:val="center"/>
          </w:tcPr>
          <w:p w14:paraId="32A9818B">
            <w:pPr>
              <w:pStyle w:val="49"/>
              <w:kinsoku/>
              <w:overflowPunct/>
              <w:topLinePunct w:val="0"/>
              <w:bidi w:val="0"/>
              <w:spacing w:line="360" w:lineRule="atLeast"/>
              <w:rPr>
                <w:rFonts w:hint="eastAsia" w:ascii="宋体" w:hAnsi="宋体" w:eastAsia="宋体" w:cs="宋体"/>
                <w:b/>
                <w:bCs/>
                <w:sz w:val="21"/>
                <w:szCs w:val="21"/>
              </w:rPr>
            </w:pPr>
            <w:r>
              <w:rPr>
                <w:rFonts w:hint="eastAsia" w:cs="宋体"/>
                <w:b/>
                <w:bCs/>
                <w:sz w:val="21"/>
                <w:szCs w:val="21"/>
                <w:lang w:eastAsia="zh-CN"/>
              </w:rPr>
              <w:t>拆除</w:t>
            </w:r>
            <w:r>
              <w:rPr>
                <w:rFonts w:hint="eastAsia" w:ascii="宋体" w:hAnsi="宋体" w:eastAsia="宋体" w:cs="宋体"/>
                <w:b/>
                <w:bCs/>
                <w:sz w:val="21"/>
                <w:szCs w:val="21"/>
              </w:rPr>
              <w:t>日期</w:t>
            </w:r>
          </w:p>
        </w:tc>
        <w:tc>
          <w:tcPr>
            <w:tcW w:w="2195" w:type="dxa"/>
            <w:gridSpan w:val="2"/>
            <w:tcBorders>
              <w:tl2br w:val="nil"/>
              <w:tr2bl w:val="nil"/>
            </w:tcBorders>
            <w:vAlign w:val="center"/>
          </w:tcPr>
          <w:p w14:paraId="74655234">
            <w:pPr>
              <w:pStyle w:val="49"/>
              <w:kinsoku/>
              <w:overflowPunct/>
              <w:topLinePunct w:val="0"/>
              <w:bidi w:val="0"/>
              <w:spacing w:line="360" w:lineRule="atLeast"/>
              <w:rPr>
                <w:rFonts w:hint="eastAsia" w:ascii="宋体" w:hAnsi="宋体" w:eastAsia="宋体" w:cs="宋体"/>
                <w:b/>
                <w:bCs/>
                <w:sz w:val="21"/>
                <w:szCs w:val="21"/>
              </w:rPr>
            </w:pPr>
          </w:p>
        </w:tc>
      </w:tr>
      <w:tr w14:paraId="2539A9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2" w:type="dxa"/>
            <w:gridSpan w:val="2"/>
            <w:tcBorders>
              <w:tl2br w:val="nil"/>
              <w:tr2bl w:val="nil"/>
            </w:tcBorders>
            <w:vAlign w:val="center"/>
          </w:tcPr>
          <w:p w14:paraId="5D71C9A2">
            <w:pPr>
              <w:pStyle w:val="49"/>
              <w:kinsoku/>
              <w:overflowPunct/>
              <w:topLinePunct w:val="0"/>
              <w:bidi w:val="0"/>
              <w:spacing w:line="360" w:lineRule="atLeast"/>
              <w:rPr>
                <w:rFonts w:hint="eastAsia" w:ascii="宋体" w:hAnsi="宋体" w:eastAsia="宋体" w:cs="宋体"/>
                <w:b/>
                <w:bCs/>
                <w:color w:val="auto"/>
                <w:sz w:val="21"/>
                <w:szCs w:val="21"/>
                <w:lang w:val="en-US" w:eastAsia="zh-CN"/>
              </w:rPr>
            </w:pPr>
            <w:r>
              <w:rPr>
                <w:rFonts w:hint="eastAsia" w:cs="宋体"/>
                <w:b/>
                <w:bCs/>
                <w:color w:val="auto"/>
                <w:sz w:val="21"/>
                <w:szCs w:val="21"/>
                <w:lang w:val="en-US" w:eastAsia="zh-CN"/>
              </w:rPr>
              <w:t>拆除</w:t>
            </w:r>
            <w:r>
              <w:rPr>
                <w:rFonts w:hint="eastAsia" w:ascii="宋体" w:hAnsi="宋体" w:eastAsia="宋体" w:cs="宋体"/>
                <w:b/>
                <w:bCs/>
                <w:color w:val="auto"/>
                <w:sz w:val="21"/>
                <w:szCs w:val="21"/>
                <w:lang w:val="en-US" w:eastAsia="zh-CN"/>
              </w:rPr>
              <w:t>单位</w:t>
            </w:r>
          </w:p>
        </w:tc>
        <w:tc>
          <w:tcPr>
            <w:tcW w:w="3551" w:type="dxa"/>
            <w:gridSpan w:val="4"/>
            <w:tcBorders>
              <w:tl2br w:val="nil"/>
              <w:tr2bl w:val="nil"/>
            </w:tcBorders>
            <w:vAlign w:val="center"/>
          </w:tcPr>
          <w:p w14:paraId="138A38BC">
            <w:pPr>
              <w:pStyle w:val="49"/>
              <w:kinsoku/>
              <w:overflowPunct/>
              <w:topLinePunct w:val="0"/>
              <w:bidi w:val="0"/>
              <w:spacing w:line="360" w:lineRule="atLeast"/>
              <w:rPr>
                <w:rFonts w:hint="eastAsia" w:ascii="宋体" w:hAnsi="宋体" w:eastAsia="宋体" w:cs="宋体"/>
                <w:b/>
                <w:bCs/>
                <w:color w:val="auto"/>
                <w:sz w:val="21"/>
                <w:szCs w:val="21"/>
              </w:rPr>
            </w:pPr>
          </w:p>
        </w:tc>
        <w:tc>
          <w:tcPr>
            <w:tcW w:w="1902" w:type="dxa"/>
            <w:tcBorders>
              <w:tl2br w:val="nil"/>
              <w:tr2bl w:val="nil"/>
            </w:tcBorders>
            <w:vAlign w:val="center"/>
          </w:tcPr>
          <w:p w14:paraId="0F17CBDC">
            <w:pPr>
              <w:pStyle w:val="49"/>
              <w:kinsoku/>
              <w:overflowPunct/>
              <w:topLinePunct w:val="0"/>
              <w:bidi w:val="0"/>
              <w:spacing w:line="360" w:lineRule="atLeast"/>
              <w:rPr>
                <w:rFonts w:hint="eastAsia" w:ascii="宋体" w:hAnsi="宋体" w:eastAsia="宋体" w:cs="宋体"/>
                <w:b/>
                <w:bCs/>
                <w:color w:val="auto"/>
                <w:sz w:val="21"/>
                <w:szCs w:val="21"/>
              </w:rPr>
            </w:pPr>
            <w:r>
              <w:rPr>
                <w:rFonts w:hint="eastAsia" w:cs="宋体"/>
                <w:b/>
                <w:bCs/>
                <w:color w:val="auto"/>
                <w:sz w:val="21"/>
                <w:szCs w:val="21"/>
                <w:lang w:eastAsia="zh-CN"/>
              </w:rPr>
              <w:t>拆除</w:t>
            </w:r>
            <w:r>
              <w:rPr>
                <w:rFonts w:hint="eastAsia" w:ascii="宋体" w:hAnsi="宋体" w:eastAsia="宋体" w:cs="宋体"/>
                <w:b/>
                <w:bCs/>
                <w:color w:val="auto"/>
                <w:sz w:val="21"/>
                <w:szCs w:val="21"/>
              </w:rPr>
              <w:t>资质编号</w:t>
            </w:r>
          </w:p>
        </w:tc>
        <w:tc>
          <w:tcPr>
            <w:tcW w:w="2195" w:type="dxa"/>
            <w:gridSpan w:val="2"/>
            <w:tcBorders>
              <w:tl2br w:val="nil"/>
              <w:tr2bl w:val="nil"/>
            </w:tcBorders>
            <w:vAlign w:val="center"/>
          </w:tcPr>
          <w:p w14:paraId="463E4939">
            <w:pPr>
              <w:pStyle w:val="49"/>
              <w:kinsoku/>
              <w:overflowPunct/>
              <w:topLinePunct w:val="0"/>
              <w:bidi w:val="0"/>
              <w:spacing w:line="360" w:lineRule="atLeast"/>
              <w:rPr>
                <w:rFonts w:hint="eastAsia" w:ascii="宋体" w:hAnsi="宋体" w:eastAsia="宋体" w:cs="宋体"/>
                <w:b/>
                <w:bCs/>
                <w:sz w:val="21"/>
                <w:szCs w:val="21"/>
              </w:rPr>
            </w:pPr>
          </w:p>
        </w:tc>
      </w:tr>
      <w:tr w14:paraId="2328A7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2" w:type="dxa"/>
            <w:gridSpan w:val="2"/>
            <w:tcBorders>
              <w:tl2br w:val="nil"/>
              <w:tr2bl w:val="nil"/>
            </w:tcBorders>
            <w:vAlign w:val="center"/>
          </w:tcPr>
          <w:p w14:paraId="21AFFAE4">
            <w:pPr>
              <w:pStyle w:val="49"/>
              <w:kinsoku/>
              <w:overflowPunct/>
              <w:topLinePunct w:val="0"/>
              <w:bidi w:val="0"/>
              <w:spacing w:line="360" w:lineRule="atLeast"/>
              <w:rPr>
                <w:rFonts w:hint="eastAsia" w:ascii="宋体" w:hAnsi="宋体" w:eastAsia="宋体" w:cs="宋体"/>
                <w:b/>
                <w:bCs/>
                <w:color w:val="auto"/>
                <w:sz w:val="21"/>
                <w:szCs w:val="21"/>
              </w:rPr>
            </w:pPr>
            <w:r>
              <w:rPr>
                <w:rFonts w:hint="eastAsia" w:ascii="宋体" w:hAnsi="宋体" w:eastAsia="宋体" w:cs="宋体"/>
                <w:b/>
                <w:bCs/>
                <w:color w:val="auto"/>
                <w:sz w:val="21"/>
                <w:szCs w:val="21"/>
              </w:rPr>
              <w:t>制造厂家</w:t>
            </w:r>
          </w:p>
        </w:tc>
        <w:tc>
          <w:tcPr>
            <w:tcW w:w="3551" w:type="dxa"/>
            <w:gridSpan w:val="4"/>
            <w:tcBorders>
              <w:tl2br w:val="nil"/>
              <w:tr2bl w:val="nil"/>
            </w:tcBorders>
            <w:vAlign w:val="center"/>
          </w:tcPr>
          <w:p w14:paraId="6A8D5185">
            <w:pPr>
              <w:pStyle w:val="49"/>
              <w:kinsoku/>
              <w:overflowPunct/>
              <w:topLinePunct w:val="0"/>
              <w:bidi w:val="0"/>
              <w:spacing w:line="360" w:lineRule="atLeast"/>
              <w:rPr>
                <w:rFonts w:hint="eastAsia" w:ascii="宋体" w:hAnsi="宋体" w:eastAsia="宋体" w:cs="宋体"/>
                <w:b/>
                <w:bCs/>
                <w:color w:val="auto"/>
                <w:sz w:val="21"/>
                <w:szCs w:val="21"/>
              </w:rPr>
            </w:pPr>
          </w:p>
        </w:tc>
        <w:tc>
          <w:tcPr>
            <w:tcW w:w="1902" w:type="dxa"/>
            <w:tcBorders>
              <w:tl2br w:val="nil"/>
              <w:tr2bl w:val="nil"/>
            </w:tcBorders>
            <w:vAlign w:val="center"/>
          </w:tcPr>
          <w:p w14:paraId="026D38C5">
            <w:pPr>
              <w:pStyle w:val="49"/>
              <w:kinsoku/>
              <w:overflowPunct/>
              <w:topLinePunct w:val="0"/>
              <w:bidi w:val="0"/>
              <w:spacing w:line="360" w:lineRule="atLeast"/>
              <w:rPr>
                <w:rFonts w:hint="eastAsia" w:ascii="宋体" w:hAnsi="宋体" w:eastAsia="宋体" w:cs="宋体"/>
                <w:b/>
                <w:bCs/>
                <w:color w:val="auto"/>
                <w:sz w:val="21"/>
                <w:szCs w:val="21"/>
              </w:rPr>
            </w:pPr>
            <w:r>
              <w:rPr>
                <w:rFonts w:hint="eastAsia" w:ascii="宋体" w:hAnsi="宋体" w:eastAsia="宋体" w:cs="宋体"/>
                <w:b/>
                <w:bCs/>
                <w:color w:val="auto"/>
                <w:sz w:val="21"/>
                <w:szCs w:val="21"/>
              </w:rPr>
              <w:t>使用单位</w:t>
            </w:r>
          </w:p>
        </w:tc>
        <w:tc>
          <w:tcPr>
            <w:tcW w:w="2195" w:type="dxa"/>
            <w:gridSpan w:val="2"/>
            <w:tcBorders>
              <w:tl2br w:val="nil"/>
              <w:tr2bl w:val="nil"/>
            </w:tcBorders>
            <w:vAlign w:val="center"/>
          </w:tcPr>
          <w:p w14:paraId="4D7DA131">
            <w:pPr>
              <w:pStyle w:val="49"/>
              <w:kinsoku/>
              <w:overflowPunct/>
              <w:topLinePunct w:val="0"/>
              <w:bidi w:val="0"/>
              <w:spacing w:line="360" w:lineRule="atLeast"/>
              <w:rPr>
                <w:rFonts w:hint="eastAsia" w:ascii="宋体" w:hAnsi="宋体" w:eastAsia="宋体" w:cs="宋体"/>
                <w:b/>
                <w:bCs/>
                <w:sz w:val="21"/>
                <w:szCs w:val="21"/>
              </w:rPr>
            </w:pPr>
          </w:p>
        </w:tc>
      </w:tr>
      <w:tr w14:paraId="1C36D7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2" w:type="dxa"/>
            <w:gridSpan w:val="2"/>
            <w:tcBorders>
              <w:tl2br w:val="nil"/>
              <w:tr2bl w:val="nil"/>
            </w:tcBorders>
            <w:vAlign w:val="center"/>
          </w:tcPr>
          <w:p w14:paraId="11E08566">
            <w:pPr>
              <w:pStyle w:val="49"/>
              <w:kinsoku/>
              <w:overflowPunct/>
              <w:topLinePunct w:val="0"/>
              <w:bidi w:val="0"/>
              <w:spacing w:line="360" w:lineRule="atLeast"/>
              <w:rPr>
                <w:rFonts w:hint="eastAsia" w:ascii="宋体" w:hAnsi="宋体" w:eastAsia="宋体" w:cs="宋体"/>
                <w:b/>
                <w:bCs/>
                <w:color w:val="auto"/>
                <w:sz w:val="21"/>
                <w:szCs w:val="21"/>
              </w:rPr>
            </w:pPr>
            <w:r>
              <w:rPr>
                <w:rFonts w:hint="eastAsia" w:ascii="宋体" w:hAnsi="宋体" w:eastAsia="宋体" w:cs="宋体"/>
                <w:b/>
                <w:bCs/>
                <w:color w:val="auto"/>
                <w:sz w:val="21"/>
                <w:szCs w:val="21"/>
              </w:rPr>
              <w:t>规格型号</w:t>
            </w:r>
          </w:p>
        </w:tc>
        <w:tc>
          <w:tcPr>
            <w:tcW w:w="3551" w:type="dxa"/>
            <w:gridSpan w:val="4"/>
            <w:tcBorders>
              <w:tl2br w:val="nil"/>
              <w:tr2bl w:val="nil"/>
            </w:tcBorders>
            <w:vAlign w:val="center"/>
          </w:tcPr>
          <w:p w14:paraId="3C417EDE">
            <w:pPr>
              <w:pStyle w:val="49"/>
              <w:kinsoku/>
              <w:overflowPunct/>
              <w:topLinePunct w:val="0"/>
              <w:bidi w:val="0"/>
              <w:spacing w:line="360" w:lineRule="atLeast"/>
              <w:rPr>
                <w:rFonts w:hint="eastAsia" w:ascii="宋体" w:hAnsi="宋体" w:eastAsia="宋体" w:cs="宋体"/>
                <w:b/>
                <w:bCs/>
                <w:color w:val="auto"/>
                <w:sz w:val="21"/>
                <w:szCs w:val="21"/>
              </w:rPr>
            </w:pPr>
          </w:p>
        </w:tc>
        <w:tc>
          <w:tcPr>
            <w:tcW w:w="1902" w:type="dxa"/>
            <w:tcBorders>
              <w:tl2br w:val="nil"/>
              <w:tr2bl w:val="nil"/>
            </w:tcBorders>
            <w:vAlign w:val="center"/>
          </w:tcPr>
          <w:p w14:paraId="2899C563">
            <w:pPr>
              <w:pStyle w:val="49"/>
              <w:kinsoku/>
              <w:overflowPunct/>
              <w:topLinePunct w:val="0"/>
              <w:bidi w:val="0"/>
              <w:spacing w:line="360" w:lineRule="atLeast"/>
              <w:rPr>
                <w:rFonts w:hint="eastAsia" w:ascii="宋体" w:hAnsi="宋体" w:eastAsia="宋体" w:cs="宋体"/>
                <w:b/>
                <w:bCs/>
                <w:color w:val="auto"/>
                <w:sz w:val="21"/>
                <w:szCs w:val="21"/>
              </w:rPr>
            </w:pPr>
            <w:r>
              <w:rPr>
                <w:rFonts w:hint="eastAsia" w:ascii="宋体" w:hAnsi="宋体" w:eastAsia="宋体" w:cs="宋体"/>
                <w:b/>
                <w:bCs/>
                <w:color w:val="auto"/>
                <w:sz w:val="21"/>
                <w:szCs w:val="21"/>
                <w:lang w:val="en-US" w:eastAsia="zh-CN"/>
              </w:rPr>
              <w:t>使用登记</w:t>
            </w:r>
            <w:r>
              <w:rPr>
                <w:rFonts w:hint="eastAsia" w:ascii="宋体" w:hAnsi="宋体" w:eastAsia="宋体" w:cs="宋体"/>
                <w:b/>
                <w:bCs/>
                <w:color w:val="auto"/>
                <w:sz w:val="21"/>
                <w:szCs w:val="21"/>
              </w:rPr>
              <w:t>编号</w:t>
            </w:r>
          </w:p>
        </w:tc>
        <w:tc>
          <w:tcPr>
            <w:tcW w:w="2195" w:type="dxa"/>
            <w:gridSpan w:val="2"/>
            <w:tcBorders>
              <w:tl2br w:val="nil"/>
              <w:tr2bl w:val="nil"/>
            </w:tcBorders>
            <w:vAlign w:val="center"/>
          </w:tcPr>
          <w:p w14:paraId="48FE371A">
            <w:pPr>
              <w:pStyle w:val="49"/>
              <w:kinsoku/>
              <w:overflowPunct/>
              <w:topLinePunct w:val="0"/>
              <w:bidi w:val="0"/>
              <w:spacing w:line="360" w:lineRule="atLeast"/>
              <w:rPr>
                <w:rFonts w:hint="eastAsia" w:ascii="宋体" w:hAnsi="宋体" w:eastAsia="宋体" w:cs="宋体"/>
                <w:b/>
                <w:bCs/>
                <w:sz w:val="21"/>
                <w:szCs w:val="21"/>
              </w:rPr>
            </w:pPr>
          </w:p>
        </w:tc>
      </w:tr>
      <w:tr w14:paraId="0D269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2" w:type="dxa"/>
            <w:gridSpan w:val="2"/>
            <w:tcBorders>
              <w:tl2br w:val="nil"/>
              <w:tr2bl w:val="nil"/>
            </w:tcBorders>
            <w:vAlign w:val="center"/>
          </w:tcPr>
          <w:p w14:paraId="634B45AA">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初始</w:t>
            </w:r>
            <w:r>
              <w:rPr>
                <w:rFonts w:hint="eastAsia" w:cs="宋体"/>
                <w:b/>
                <w:bCs/>
                <w:sz w:val="21"/>
                <w:szCs w:val="21"/>
                <w:lang w:eastAsia="zh-CN"/>
              </w:rPr>
              <w:t>拆除</w:t>
            </w:r>
            <w:r>
              <w:rPr>
                <w:rFonts w:hint="eastAsia" w:ascii="宋体" w:hAnsi="宋体" w:eastAsia="宋体" w:cs="宋体"/>
                <w:b/>
                <w:bCs/>
                <w:sz w:val="21"/>
                <w:szCs w:val="21"/>
              </w:rPr>
              <w:t>高度</w:t>
            </w:r>
          </w:p>
        </w:tc>
        <w:tc>
          <w:tcPr>
            <w:tcW w:w="2034" w:type="dxa"/>
            <w:gridSpan w:val="2"/>
            <w:tcBorders>
              <w:tl2br w:val="nil"/>
              <w:tr2bl w:val="nil"/>
            </w:tcBorders>
            <w:vAlign w:val="center"/>
          </w:tcPr>
          <w:p w14:paraId="31D05F31">
            <w:pPr>
              <w:pStyle w:val="49"/>
              <w:kinsoku/>
              <w:overflowPunct/>
              <w:topLinePunct w:val="0"/>
              <w:bidi w:val="0"/>
              <w:spacing w:line="360" w:lineRule="atLeast"/>
              <w:rPr>
                <w:rFonts w:hint="eastAsia" w:ascii="宋体" w:hAnsi="宋体" w:eastAsia="宋体" w:cs="宋体"/>
                <w:b/>
                <w:bCs/>
                <w:sz w:val="21"/>
                <w:szCs w:val="21"/>
              </w:rPr>
            </w:pPr>
          </w:p>
        </w:tc>
        <w:tc>
          <w:tcPr>
            <w:tcW w:w="1517" w:type="dxa"/>
            <w:gridSpan w:val="2"/>
            <w:tcBorders>
              <w:tl2br w:val="nil"/>
              <w:tr2bl w:val="nil"/>
            </w:tcBorders>
            <w:vAlign w:val="center"/>
          </w:tcPr>
          <w:p w14:paraId="7588E248">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本次自检高度</w:t>
            </w:r>
          </w:p>
        </w:tc>
        <w:tc>
          <w:tcPr>
            <w:tcW w:w="1902" w:type="dxa"/>
            <w:tcBorders>
              <w:tl2br w:val="nil"/>
              <w:tr2bl w:val="nil"/>
            </w:tcBorders>
            <w:vAlign w:val="center"/>
          </w:tcPr>
          <w:p w14:paraId="1BD0D3AD">
            <w:pPr>
              <w:pStyle w:val="49"/>
              <w:kinsoku/>
              <w:overflowPunct/>
              <w:topLinePunct w:val="0"/>
              <w:bidi w:val="0"/>
              <w:spacing w:line="360" w:lineRule="atLeast"/>
              <w:rPr>
                <w:rFonts w:hint="eastAsia" w:ascii="宋体" w:hAnsi="宋体" w:eastAsia="宋体" w:cs="宋体"/>
                <w:b/>
                <w:bCs/>
                <w:sz w:val="21"/>
                <w:szCs w:val="21"/>
              </w:rPr>
            </w:pPr>
          </w:p>
        </w:tc>
        <w:tc>
          <w:tcPr>
            <w:tcW w:w="1103" w:type="dxa"/>
            <w:tcBorders>
              <w:tl2br w:val="nil"/>
              <w:tr2bl w:val="nil"/>
            </w:tcBorders>
            <w:vAlign w:val="center"/>
          </w:tcPr>
          <w:p w14:paraId="7C68FF29">
            <w:pPr>
              <w:pStyle w:val="49"/>
              <w:kinsoku/>
              <w:overflowPunct/>
              <w:topLinePunct w:val="0"/>
              <w:bidi w:val="0"/>
              <w:spacing w:line="360" w:lineRule="atLeast"/>
              <w:rPr>
                <w:rFonts w:hint="eastAsia" w:ascii="宋体" w:hAnsi="宋体" w:eastAsia="宋体" w:cs="宋体"/>
                <w:b/>
                <w:bCs/>
                <w:sz w:val="21"/>
                <w:szCs w:val="21"/>
                <w:lang w:eastAsia="zh-CN"/>
              </w:rPr>
            </w:pPr>
            <w:r>
              <w:rPr>
                <w:rFonts w:hint="eastAsia" w:ascii="宋体" w:hAnsi="宋体" w:eastAsia="宋体" w:cs="宋体"/>
                <w:b/>
                <w:bCs/>
                <w:sz w:val="21"/>
                <w:szCs w:val="21"/>
              </w:rPr>
              <w:t>计划</w:t>
            </w:r>
            <w:r>
              <w:rPr>
                <w:rFonts w:hint="eastAsia" w:cs="宋体"/>
                <w:b/>
                <w:bCs/>
                <w:sz w:val="21"/>
                <w:szCs w:val="21"/>
                <w:lang w:eastAsia="zh-CN"/>
              </w:rPr>
              <w:t>拆除</w:t>
            </w:r>
          </w:p>
          <w:p w14:paraId="2A329F6E">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高度</w:t>
            </w:r>
          </w:p>
        </w:tc>
        <w:tc>
          <w:tcPr>
            <w:tcW w:w="1092" w:type="dxa"/>
            <w:tcBorders>
              <w:tl2br w:val="nil"/>
              <w:tr2bl w:val="nil"/>
            </w:tcBorders>
            <w:vAlign w:val="center"/>
          </w:tcPr>
          <w:p w14:paraId="1E36BA6B">
            <w:pPr>
              <w:pStyle w:val="49"/>
              <w:kinsoku/>
              <w:overflowPunct/>
              <w:topLinePunct w:val="0"/>
              <w:bidi w:val="0"/>
              <w:spacing w:line="360" w:lineRule="atLeast"/>
              <w:rPr>
                <w:rFonts w:hint="eastAsia" w:ascii="宋体" w:hAnsi="宋体" w:eastAsia="宋体" w:cs="宋体"/>
                <w:b/>
                <w:bCs/>
                <w:sz w:val="21"/>
                <w:szCs w:val="21"/>
              </w:rPr>
            </w:pPr>
          </w:p>
        </w:tc>
      </w:tr>
      <w:tr w14:paraId="26735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852" w:type="dxa"/>
            <w:gridSpan w:val="2"/>
            <w:tcBorders>
              <w:tl2br w:val="nil"/>
              <w:tr2bl w:val="nil"/>
            </w:tcBorders>
            <w:vAlign w:val="center"/>
          </w:tcPr>
          <w:p w14:paraId="551DFF2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检查结果</w:t>
            </w:r>
          </w:p>
          <w:p w14:paraId="73FAAA89">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代号说明</w:t>
            </w:r>
          </w:p>
        </w:tc>
        <w:tc>
          <w:tcPr>
            <w:tcW w:w="7648" w:type="dxa"/>
            <w:gridSpan w:val="7"/>
            <w:tcBorders>
              <w:tl2br w:val="nil"/>
              <w:tr2bl w:val="nil"/>
            </w:tcBorders>
            <w:vAlign w:val="center"/>
          </w:tcPr>
          <w:p w14:paraId="0DFC75E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“√”=合格“○”=整改后合格“×”=不合格“/”=无此项</w:t>
            </w:r>
          </w:p>
        </w:tc>
      </w:tr>
      <w:tr w14:paraId="35C524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tcBorders>
              <w:tl2br w:val="nil"/>
              <w:tr2bl w:val="nil"/>
            </w:tcBorders>
            <w:vAlign w:val="center"/>
          </w:tcPr>
          <w:p w14:paraId="0CA96871">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名称</w:t>
            </w:r>
          </w:p>
        </w:tc>
        <w:tc>
          <w:tcPr>
            <w:tcW w:w="666" w:type="dxa"/>
            <w:tcBorders>
              <w:tl2br w:val="nil"/>
              <w:tr2bl w:val="nil"/>
            </w:tcBorders>
            <w:vAlign w:val="center"/>
          </w:tcPr>
          <w:p w14:paraId="223A5AD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序号</w:t>
            </w:r>
          </w:p>
        </w:tc>
        <w:tc>
          <w:tcPr>
            <w:tcW w:w="2034" w:type="dxa"/>
            <w:gridSpan w:val="2"/>
            <w:tcBorders>
              <w:tl2br w:val="nil"/>
              <w:tr2bl w:val="nil"/>
            </w:tcBorders>
            <w:vAlign w:val="center"/>
          </w:tcPr>
          <w:p w14:paraId="532EDDC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检查项目</w:t>
            </w:r>
          </w:p>
        </w:tc>
        <w:tc>
          <w:tcPr>
            <w:tcW w:w="3419" w:type="dxa"/>
            <w:gridSpan w:val="3"/>
            <w:tcBorders>
              <w:tl2br w:val="nil"/>
              <w:tr2bl w:val="nil"/>
            </w:tcBorders>
            <w:vAlign w:val="center"/>
          </w:tcPr>
          <w:p w14:paraId="50C15CE9">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要求</w:t>
            </w:r>
          </w:p>
        </w:tc>
        <w:tc>
          <w:tcPr>
            <w:tcW w:w="1103" w:type="dxa"/>
            <w:tcBorders>
              <w:tl2br w:val="nil"/>
              <w:tr2bl w:val="nil"/>
            </w:tcBorders>
            <w:vAlign w:val="center"/>
          </w:tcPr>
          <w:p w14:paraId="275FE07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检查结果</w:t>
            </w:r>
          </w:p>
        </w:tc>
        <w:tc>
          <w:tcPr>
            <w:tcW w:w="1092" w:type="dxa"/>
            <w:tcBorders>
              <w:tl2br w:val="nil"/>
              <w:tr2bl w:val="nil"/>
            </w:tcBorders>
            <w:vAlign w:val="center"/>
          </w:tcPr>
          <w:p w14:paraId="504577D5">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备注</w:t>
            </w:r>
          </w:p>
        </w:tc>
      </w:tr>
      <w:tr w14:paraId="4CBC3A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restart"/>
            <w:tcBorders>
              <w:tl2br w:val="nil"/>
              <w:tr2bl w:val="nil"/>
            </w:tcBorders>
            <w:vAlign w:val="center"/>
          </w:tcPr>
          <w:p w14:paraId="032D7545">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资料</w:t>
            </w:r>
          </w:p>
        </w:tc>
        <w:tc>
          <w:tcPr>
            <w:tcW w:w="666" w:type="dxa"/>
            <w:tcBorders>
              <w:tl2br w:val="nil"/>
              <w:tr2bl w:val="nil"/>
            </w:tcBorders>
            <w:vAlign w:val="center"/>
          </w:tcPr>
          <w:p w14:paraId="1B159A4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w:t>
            </w:r>
          </w:p>
        </w:tc>
        <w:tc>
          <w:tcPr>
            <w:tcW w:w="2034" w:type="dxa"/>
            <w:gridSpan w:val="2"/>
            <w:tcBorders>
              <w:tl2br w:val="nil"/>
              <w:tr2bl w:val="nil"/>
            </w:tcBorders>
            <w:vAlign w:val="center"/>
          </w:tcPr>
          <w:p w14:paraId="0D5B8AC1">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基础验收表</w:t>
            </w:r>
          </w:p>
        </w:tc>
        <w:tc>
          <w:tcPr>
            <w:tcW w:w="3419" w:type="dxa"/>
            <w:gridSpan w:val="3"/>
            <w:tcBorders>
              <w:tl2br w:val="nil"/>
              <w:tr2bl w:val="nil"/>
            </w:tcBorders>
            <w:vAlign w:val="center"/>
          </w:tcPr>
          <w:p w14:paraId="1AF83E63">
            <w:pPr>
              <w:pStyle w:val="49"/>
              <w:kinsoku/>
              <w:overflowPunct/>
              <w:topLinePunct w:val="0"/>
              <w:bidi w:val="0"/>
              <w:spacing w:line="360" w:lineRule="atLeast"/>
              <w:jc w:val="left"/>
              <w:rPr>
                <w:rFonts w:hint="eastAsia" w:ascii="宋体" w:hAnsi="宋体" w:eastAsia="宋体" w:cs="宋体"/>
                <w:sz w:val="21"/>
                <w:szCs w:val="21"/>
                <w:lang w:val="en-US" w:eastAsia="zh-CN"/>
              </w:rPr>
            </w:pPr>
            <w:r>
              <w:rPr>
                <w:rFonts w:hint="eastAsia" w:ascii="宋体" w:hAnsi="宋体" w:eastAsia="宋体" w:cs="宋体"/>
                <w:sz w:val="21"/>
                <w:szCs w:val="21"/>
              </w:rPr>
              <w:t>检查或实测记录、应附资料及签章齐全</w:t>
            </w:r>
            <w:r>
              <w:rPr>
                <w:rFonts w:hint="eastAsia" w:ascii="宋体" w:hAnsi="宋体" w:eastAsia="宋体" w:cs="宋体"/>
                <w:sz w:val="21"/>
                <w:szCs w:val="21"/>
                <w:lang w:eastAsia="zh-CN"/>
              </w:rPr>
              <w:t>。</w:t>
            </w:r>
          </w:p>
        </w:tc>
        <w:tc>
          <w:tcPr>
            <w:tcW w:w="1103" w:type="dxa"/>
            <w:tcBorders>
              <w:tl2br w:val="nil"/>
              <w:tr2bl w:val="nil"/>
            </w:tcBorders>
            <w:vAlign w:val="center"/>
          </w:tcPr>
          <w:p w14:paraId="5D413015">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48779BF8">
            <w:pPr>
              <w:pStyle w:val="49"/>
              <w:kinsoku/>
              <w:overflowPunct/>
              <w:topLinePunct w:val="0"/>
              <w:bidi w:val="0"/>
              <w:spacing w:line="360" w:lineRule="atLeast"/>
              <w:rPr>
                <w:rFonts w:hint="eastAsia" w:ascii="宋体" w:hAnsi="宋体" w:eastAsia="宋体" w:cs="宋体"/>
                <w:sz w:val="21"/>
                <w:szCs w:val="21"/>
              </w:rPr>
            </w:pPr>
          </w:p>
        </w:tc>
      </w:tr>
      <w:tr w14:paraId="5A2715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7EA1132B">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3769C37A">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w:t>
            </w:r>
          </w:p>
        </w:tc>
        <w:tc>
          <w:tcPr>
            <w:tcW w:w="2034" w:type="dxa"/>
            <w:gridSpan w:val="2"/>
            <w:tcBorders>
              <w:tl2br w:val="nil"/>
              <w:tr2bl w:val="nil"/>
            </w:tcBorders>
            <w:vAlign w:val="center"/>
          </w:tcPr>
          <w:p w14:paraId="648AD0E1">
            <w:pPr>
              <w:pStyle w:val="49"/>
              <w:kinsoku/>
              <w:overflowPunct/>
              <w:topLinePunct w:val="0"/>
              <w:bidi w:val="0"/>
              <w:spacing w:line="360" w:lineRule="atLeast"/>
              <w:jc w:val="left"/>
              <w:rPr>
                <w:rFonts w:hint="eastAsia" w:ascii="宋体" w:hAnsi="宋体" w:eastAsia="宋体" w:cs="宋体"/>
                <w:sz w:val="21"/>
                <w:szCs w:val="21"/>
              </w:rPr>
            </w:pPr>
            <w:r>
              <w:rPr>
                <w:rFonts w:hint="eastAsia" w:cs="宋体"/>
                <w:sz w:val="21"/>
                <w:szCs w:val="21"/>
                <w:lang w:eastAsia="zh-CN"/>
              </w:rPr>
              <w:t>拆除</w:t>
            </w:r>
            <w:r>
              <w:rPr>
                <w:rFonts w:hint="eastAsia" w:ascii="宋体" w:hAnsi="宋体" w:eastAsia="宋体" w:cs="宋体"/>
                <w:sz w:val="21"/>
                <w:szCs w:val="21"/>
              </w:rPr>
              <w:t>方案、安全技术交底记录</w:t>
            </w:r>
          </w:p>
        </w:tc>
        <w:tc>
          <w:tcPr>
            <w:tcW w:w="3419" w:type="dxa"/>
            <w:gridSpan w:val="3"/>
            <w:tcBorders>
              <w:tl2br w:val="nil"/>
              <w:tr2bl w:val="nil"/>
            </w:tcBorders>
            <w:vAlign w:val="center"/>
          </w:tcPr>
          <w:p w14:paraId="2A53A291">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内容及签章齐全</w:t>
            </w:r>
            <w:r>
              <w:rPr>
                <w:rFonts w:hint="eastAsia" w:ascii="宋体" w:hAnsi="宋体" w:eastAsia="宋体" w:cs="宋体"/>
                <w:sz w:val="21"/>
                <w:szCs w:val="21"/>
                <w:lang w:eastAsia="zh-CN"/>
              </w:rPr>
              <w:t>。</w:t>
            </w:r>
          </w:p>
        </w:tc>
        <w:tc>
          <w:tcPr>
            <w:tcW w:w="1103" w:type="dxa"/>
            <w:tcBorders>
              <w:tl2br w:val="nil"/>
              <w:tr2bl w:val="nil"/>
            </w:tcBorders>
            <w:vAlign w:val="center"/>
          </w:tcPr>
          <w:p w14:paraId="0D3CF391">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1EF52568">
            <w:pPr>
              <w:pStyle w:val="49"/>
              <w:kinsoku/>
              <w:overflowPunct/>
              <w:topLinePunct w:val="0"/>
              <w:bidi w:val="0"/>
              <w:spacing w:line="360" w:lineRule="atLeast"/>
              <w:rPr>
                <w:rFonts w:hint="eastAsia" w:ascii="宋体" w:hAnsi="宋体" w:eastAsia="宋体" w:cs="宋体"/>
                <w:sz w:val="21"/>
                <w:szCs w:val="21"/>
              </w:rPr>
            </w:pPr>
          </w:p>
        </w:tc>
      </w:tr>
      <w:tr w14:paraId="152FA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44E2F725">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68C70919">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w:t>
            </w:r>
          </w:p>
        </w:tc>
        <w:tc>
          <w:tcPr>
            <w:tcW w:w="2034" w:type="dxa"/>
            <w:gridSpan w:val="2"/>
            <w:tcBorders>
              <w:tl2br w:val="nil"/>
              <w:tr2bl w:val="nil"/>
            </w:tcBorders>
            <w:vAlign w:val="center"/>
          </w:tcPr>
          <w:p w14:paraId="558B7C36">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塔式起重机进场检查核验表</w:t>
            </w:r>
          </w:p>
        </w:tc>
        <w:tc>
          <w:tcPr>
            <w:tcW w:w="3419" w:type="dxa"/>
            <w:gridSpan w:val="3"/>
            <w:tcBorders>
              <w:tl2br w:val="nil"/>
              <w:tr2bl w:val="nil"/>
            </w:tcBorders>
            <w:vAlign w:val="center"/>
          </w:tcPr>
          <w:p w14:paraId="21C6EC8D">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内容及签章齐全</w:t>
            </w:r>
            <w:r>
              <w:rPr>
                <w:rFonts w:hint="eastAsia" w:ascii="宋体" w:hAnsi="宋体" w:eastAsia="宋体" w:cs="宋体"/>
                <w:sz w:val="21"/>
                <w:szCs w:val="21"/>
                <w:lang w:eastAsia="zh-CN"/>
              </w:rPr>
              <w:t>。</w:t>
            </w:r>
          </w:p>
        </w:tc>
        <w:tc>
          <w:tcPr>
            <w:tcW w:w="1103" w:type="dxa"/>
            <w:tcBorders>
              <w:tl2br w:val="nil"/>
              <w:tr2bl w:val="nil"/>
            </w:tcBorders>
            <w:vAlign w:val="center"/>
          </w:tcPr>
          <w:p w14:paraId="6D9F0125">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5A657D00">
            <w:pPr>
              <w:pStyle w:val="49"/>
              <w:kinsoku/>
              <w:overflowPunct/>
              <w:topLinePunct w:val="0"/>
              <w:bidi w:val="0"/>
              <w:spacing w:line="360" w:lineRule="atLeast"/>
              <w:rPr>
                <w:rFonts w:hint="eastAsia" w:ascii="宋体" w:hAnsi="宋体" w:eastAsia="宋体" w:cs="宋体"/>
                <w:sz w:val="21"/>
                <w:szCs w:val="21"/>
              </w:rPr>
            </w:pPr>
          </w:p>
        </w:tc>
      </w:tr>
      <w:tr w14:paraId="0825DC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restart"/>
            <w:tcBorders>
              <w:tl2br w:val="nil"/>
              <w:tr2bl w:val="nil"/>
            </w:tcBorders>
            <w:vAlign w:val="center"/>
          </w:tcPr>
          <w:p w14:paraId="64BB0711">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基础</w:t>
            </w:r>
          </w:p>
        </w:tc>
        <w:tc>
          <w:tcPr>
            <w:tcW w:w="666" w:type="dxa"/>
            <w:tcBorders>
              <w:tl2br w:val="nil"/>
              <w:tr2bl w:val="nil"/>
            </w:tcBorders>
            <w:vAlign w:val="center"/>
          </w:tcPr>
          <w:p w14:paraId="66E4FE5A">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w:t>
            </w:r>
          </w:p>
        </w:tc>
        <w:tc>
          <w:tcPr>
            <w:tcW w:w="2034" w:type="dxa"/>
            <w:gridSpan w:val="2"/>
            <w:tcBorders>
              <w:tl2br w:val="nil"/>
              <w:tr2bl w:val="nil"/>
            </w:tcBorders>
            <w:vAlign w:val="center"/>
          </w:tcPr>
          <w:p w14:paraId="79850FD5">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塔式起重机底架水平度</w:t>
            </w:r>
          </w:p>
        </w:tc>
        <w:tc>
          <w:tcPr>
            <w:tcW w:w="3419" w:type="dxa"/>
            <w:gridSpan w:val="3"/>
            <w:tcBorders>
              <w:tl2br w:val="nil"/>
              <w:tr2bl w:val="nil"/>
            </w:tcBorders>
            <w:vAlign w:val="center"/>
          </w:tcPr>
          <w:p w14:paraId="4BEBD16B">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符合使用说明书要求</w:t>
            </w:r>
            <w:r>
              <w:rPr>
                <w:rFonts w:hint="eastAsia" w:ascii="宋体" w:hAnsi="宋体" w:eastAsia="宋体" w:cs="宋体"/>
                <w:sz w:val="21"/>
                <w:szCs w:val="21"/>
                <w:lang w:eastAsia="zh-CN"/>
              </w:rPr>
              <w:t>。</w:t>
            </w:r>
          </w:p>
        </w:tc>
        <w:tc>
          <w:tcPr>
            <w:tcW w:w="1103" w:type="dxa"/>
            <w:tcBorders>
              <w:tl2br w:val="nil"/>
              <w:tr2bl w:val="nil"/>
            </w:tcBorders>
            <w:vAlign w:val="center"/>
          </w:tcPr>
          <w:p w14:paraId="5A5DD826">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178843D9">
            <w:pPr>
              <w:pStyle w:val="49"/>
              <w:kinsoku/>
              <w:overflowPunct/>
              <w:topLinePunct w:val="0"/>
              <w:bidi w:val="0"/>
              <w:spacing w:line="360" w:lineRule="atLeast"/>
              <w:rPr>
                <w:rFonts w:hint="eastAsia" w:ascii="宋体" w:hAnsi="宋体" w:eastAsia="宋体" w:cs="宋体"/>
                <w:sz w:val="21"/>
                <w:szCs w:val="21"/>
              </w:rPr>
            </w:pPr>
          </w:p>
        </w:tc>
      </w:tr>
      <w:tr w14:paraId="72A4C2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7FBAF9C2">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36AB252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w:t>
            </w:r>
          </w:p>
        </w:tc>
        <w:tc>
          <w:tcPr>
            <w:tcW w:w="2034" w:type="dxa"/>
            <w:gridSpan w:val="2"/>
            <w:tcBorders>
              <w:tl2br w:val="nil"/>
              <w:tr2bl w:val="nil"/>
            </w:tcBorders>
            <w:vAlign w:val="center"/>
          </w:tcPr>
          <w:p w14:paraId="52F49978">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行走式塔式起重机导轨的水平度</w:t>
            </w:r>
          </w:p>
        </w:tc>
        <w:tc>
          <w:tcPr>
            <w:tcW w:w="3419" w:type="dxa"/>
            <w:gridSpan w:val="3"/>
            <w:tcBorders>
              <w:tl2br w:val="nil"/>
              <w:tr2bl w:val="nil"/>
            </w:tcBorders>
            <w:vAlign w:val="center"/>
          </w:tcPr>
          <w:p w14:paraId="257B4A72">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符合使用说明书要求</w:t>
            </w:r>
            <w:r>
              <w:rPr>
                <w:rFonts w:hint="eastAsia" w:ascii="宋体" w:hAnsi="宋体" w:eastAsia="宋体" w:cs="宋体"/>
                <w:sz w:val="21"/>
                <w:szCs w:val="21"/>
                <w:lang w:eastAsia="zh-CN"/>
              </w:rPr>
              <w:t>。</w:t>
            </w:r>
          </w:p>
        </w:tc>
        <w:tc>
          <w:tcPr>
            <w:tcW w:w="1103" w:type="dxa"/>
            <w:tcBorders>
              <w:tl2br w:val="nil"/>
              <w:tr2bl w:val="nil"/>
            </w:tcBorders>
            <w:vAlign w:val="center"/>
          </w:tcPr>
          <w:p w14:paraId="3B715655">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02F9E823">
            <w:pPr>
              <w:pStyle w:val="49"/>
              <w:kinsoku/>
              <w:overflowPunct/>
              <w:topLinePunct w:val="0"/>
              <w:bidi w:val="0"/>
              <w:spacing w:line="360" w:lineRule="atLeast"/>
              <w:rPr>
                <w:rFonts w:hint="eastAsia" w:ascii="宋体" w:hAnsi="宋体" w:eastAsia="宋体" w:cs="宋体"/>
                <w:sz w:val="21"/>
                <w:szCs w:val="21"/>
              </w:rPr>
            </w:pPr>
          </w:p>
        </w:tc>
      </w:tr>
      <w:tr w14:paraId="31E844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3BCC7CFE">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2B3E8C14">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6</w:t>
            </w:r>
          </w:p>
        </w:tc>
        <w:tc>
          <w:tcPr>
            <w:tcW w:w="2034" w:type="dxa"/>
            <w:gridSpan w:val="2"/>
            <w:tcBorders>
              <w:tl2br w:val="nil"/>
              <w:tr2bl w:val="nil"/>
            </w:tcBorders>
            <w:vAlign w:val="center"/>
          </w:tcPr>
          <w:p w14:paraId="13ED571B">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塔式起重机接地装置的设置</w:t>
            </w:r>
          </w:p>
        </w:tc>
        <w:tc>
          <w:tcPr>
            <w:tcW w:w="3419" w:type="dxa"/>
            <w:gridSpan w:val="3"/>
            <w:tcBorders>
              <w:tl2br w:val="nil"/>
              <w:tr2bl w:val="nil"/>
            </w:tcBorders>
            <w:vAlign w:val="center"/>
          </w:tcPr>
          <w:p w14:paraId="4168845B">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符合规范要求</w:t>
            </w:r>
            <w:r>
              <w:rPr>
                <w:rFonts w:hint="eastAsia" w:ascii="宋体" w:hAnsi="宋体" w:eastAsia="宋体" w:cs="宋体"/>
                <w:sz w:val="21"/>
                <w:szCs w:val="21"/>
                <w:lang w:eastAsia="zh-CN"/>
              </w:rPr>
              <w:t>。</w:t>
            </w:r>
          </w:p>
        </w:tc>
        <w:tc>
          <w:tcPr>
            <w:tcW w:w="1103" w:type="dxa"/>
            <w:tcBorders>
              <w:tl2br w:val="nil"/>
              <w:tr2bl w:val="nil"/>
            </w:tcBorders>
            <w:vAlign w:val="center"/>
          </w:tcPr>
          <w:p w14:paraId="624C5538">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5BD0F92A">
            <w:pPr>
              <w:pStyle w:val="49"/>
              <w:kinsoku/>
              <w:overflowPunct/>
              <w:topLinePunct w:val="0"/>
              <w:bidi w:val="0"/>
              <w:spacing w:line="360" w:lineRule="atLeast"/>
              <w:rPr>
                <w:rFonts w:hint="eastAsia" w:ascii="宋体" w:hAnsi="宋体" w:eastAsia="宋体" w:cs="宋体"/>
                <w:sz w:val="21"/>
                <w:szCs w:val="21"/>
              </w:rPr>
            </w:pPr>
          </w:p>
        </w:tc>
      </w:tr>
      <w:tr w14:paraId="00739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22902C80">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31093CD4">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7</w:t>
            </w:r>
          </w:p>
        </w:tc>
        <w:tc>
          <w:tcPr>
            <w:tcW w:w="2034" w:type="dxa"/>
            <w:gridSpan w:val="2"/>
            <w:tcBorders>
              <w:tl2br w:val="nil"/>
              <w:tr2bl w:val="nil"/>
            </w:tcBorders>
            <w:vAlign w:val="center"/>
          </w:tcPr>
          <w:p w14:paraId="51BA9DEE">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排水措施</w:t>
            </w:r>
          </w:p>
        </w:tc>
        <w:tc>
          <w:tcPr>
            <w:tcW w:w="3419" w:type="dxa"/>
            <w:gridSpan w:val="3"/>
            <w:tcBorders>
              <w:tl2br w:val="nil"/>
              <w:tr2bl w:val="nil"/>
            </w:tcBorders>
            <w:vAlign w:val="center"/>
          </w:tcPr>
          <w:p w14:paraId="1B1A7FBE">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有排水措施，且无积水</w:t>
            </w:r>
            <w:r>
              <w:rPr>
                <w:rFonts w:hint="eastAsia" w:ascii="宋体" w:hAnsi="宋体" w:eastAsia="宋体" w:cs="宋体"/>
                <w:sz w:val="21"/>
                <w:szCs w:val="21"/>
                <w:lang w:eastAsia="zh-CN"/>
              </w:rPr>
              <w:t>。</w:t>
            </w:r>
          </w:p>
        </w:tc>
        <w:tc>
          <w:tcPr>
            <w:tcW w:w="1103" w:type="dxa"/>
            <w:tcBorders>
              <w:tl2br w:val="nil"/>
              <w:tr2bl w:val="nil"/>
            </w:tcBorders>
            <w:vAlign w:val="center"/>
          </w:tcPr>
          <w:p w14:paraId="61E8E590">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734D0D8D">
            <w:pPr>
              <w:pStyle w:val="49"/>
              <w:kinsoku/>
              <w:overflowPunct/>
              <w:topLinePunct w:val="0"/>
              <w:bidi w:val="0"/>
              <w:spacing w:line="360" w:lineRule="atLeast"/>
              <w:rPr>
                <w:rFonts w:hint="eastAsia" w:ascii="宋体" w:hAnsi="宋体" w:eastAsia="宋体" w:cs="宋体"/>
                <w:sz w:val="21"/>
                <w:szCs w:val="21"/>
              </w:rPr>
            </w:pPr>
          </w:p>
        </w:tc>
      </w:tr>
      <w:tr w14:paraId="0658AD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restart"/>
            <w:tcBorders>
              <w:tl2br w:val="nil"/>
              <w:tr2bl w:val="nil"/>
            </w:tcBorders>
            <w:vAlign w:val="center"/>
          </w:tcPr>
          <w:p w14:paraId="03324C65">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标识与环境</w:t>
            </w:r>
          </w:p>
        </w:tc>
        <w:tc>
          <w:tcPr>
            <w:tcW w:w="666" w:type="dxa"/>
            <w:tcBorders>
              <w:tl2br w:val="nil"/>
              <w:tr2bl w:val="nil"/>
            </w:tcBorders>
            <w:vAlign w:val="center"/>
          </w:tcPr>
          <w:p w14:paraId="7783FF50">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8</w:t>
            </w:r>
          </w:p>
        </w:tc>
        <w:tc>
          <w:tcPr>
            <w:tcW w:w="2034" w:type="dxa"/>
            <w:gridSpan w:val="2"/>
            <w:tcBorders>
              <w:tl2br w:val="nil"/>
              <w:tr2bl w:val="nil"/>
            </w:tcBorders>
            <w:vAlign w:val="center"/>
          </w:tcPr>
          <w:p w14:paraId="421003C4">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产品标牌</w:t>
            </w:r>
          </w:p>
        </w:tc>
        <w:tc>
          <w:tcPr>
            <w:tcW w:w="3419" w:type="dxa"/>
            <w:gridSpan w:val="3"/>
            <w:tcBorders>
              <w:tl2br w:val="nil"/>
              <w:tr2bl w:val="nil"/>
            </w:tcBorders>
            <w:vAlign w:val="center"/>
          </w:tcPr>
          <w:p w14:paraId="6E7FAF5C">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符合使用说明书和规范要求</w:t>
            </w:r>
            <w:r>
              <w:rPr>
                <w:rFonts w:hint="eastAsia" w:ascii="宋体" w:hAnsi="宋体" w:eastAsia="宋体" w:cs="宋体"/>
                <w:sz w:val="21"/>
                <w:szCs w:val="21"/>
                <w:lang w:eastAsia="zh-CN"/>
              </w:rPr>
              <w:t>。</w:t>
            </w:r>
          </w:p>
        </w:tc>
        <w:tc>
          <w:tcPr>
            <w:tcW w:w="1103" w:type="dxa"/>
            <w:tcBorders>
              <w:tl2br w:val="nil"/>
              <w:tr2bl w:val="nil"/>
            </w:tcBorders>
            <w:vAlign w:val="center"/>
          </w:tcPr>
          <w:p w14:paraId="766372FE">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04E20F84">
            <w:pPr>
              <w:pStyle w:val="49"/>
              <w:kinsoku/>
              <w:overflowPunct/>
              <w:topLinePunct w:val="0"/>
              <w:bidi w:val="0"/>
              <w:spacing w:line="360" w:lineRule="atLeast"/>
              <w:rPr>
                <w:rFonts w:hint="eastAsia" w:ascii="宋体" w:hAnsi="宋体" w:eastAsia="宋体" w:cs="宋体"/>
                <w:sz w:val="21"/>
                <w:szCs w:val="21"/>
              </w:rPr>
            </w:pPr>
          </w:p>
        </w:tc>
      </w:tr>
      <w:tr w14:paraId="3F20D0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05112556">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48C54BE4">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9</w:t>
            </w:r>
          </w:p>
        </w:tc>
        <w:tc>
          <w:tcPr>
            <w:tcW w:w="2034" w:type="dxa"/>
            <w:gridSpan w:val="2"/>
            <w:vMerge w:val="restart"/>
            <w:tcBorders>
              <w:tl2br w:val="nil"/>
              <w:tr2bl w:val="nil"/>
            </w:tcBorders>
            <w:vAlign w:val="center"/>
          </w:tcPr>
          <w:p w14:paraId="682EF888">
            <w:pPr>
              <w:pStyle w:val="49"/>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塔式起重机与周围环境关系</w:t>
            </w:r>
          </w:p>
        </w:tc>
        <w:tc>
          <w:tcPr>
            <w:tcW w:w="3419" w:type="dxa"/>
            <w:gridSpan w:val="3"/>
            <w:tcBorders>
              <w:tl2br w:val="nil"/>
              <w:tr2bl w:val="nil"/>
            </w:tcBorders>
            <w:vAlign w:val="center"/>
          </w:tcPr>
          <w:p w14:paraId="2070FD99">
            <w:pPr>
              <w:pStyle w:val="49"/>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尾部与建(构)筑物及施工设施之间的距离不小于0.6m</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14:paraId="539045FA">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63E9A963">
            <w:pPr>
              <w:pStyle w:val="49"/>
              <w:kinsoku/>
              <w:overflowPunct/>
              <w:topLinePunct w:val="0"/>
              <w:bidi w:val="0"/>
              <w:spacing w:line="360" w:lineRule="atLeast"/>
              <w:rPr>
                <w:rFonts w:hint="eastAsia" w:ascii="宋体" w:hAnsi="宋体" w:eastAsia="宋体" w:cs="宋体"/>
                <w:sz w:val="21"/>
                <w:szCs w:val="21"/>
              </w:rPr>
            </w:pPr>
          </w:p>
        </w:tc>
      </w:tr>
      <w:tr w14:paraId="7BB8AE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27FBF306">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5EFD1B7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10</w:t>
            </w:r>
          </w:p>
        </w:tc>
        <w:tc>
          <w:tcPr>
            <w:tcW w:w="2034" w:type="dxa"/>
            <w:gridSpan w:val="2"/>
            <w:vMerge w:val="continue"/>
            <w:tcBorders>
              <w:tl2br w:val="nil"/>
              <w:tr2bl w:val="nil"/>
            </w:tcBorders>
            <w:vAlign w:val="center"/>
          </w:tcPr>
          <w:p w14:paraId="773A0176">
            <w:pPr>
              <w:pStyle w:val="49"/>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p>
        </w:tc>
        <w:tc>
          <w:tcPr>
            <w:tcW w:w="3419" w:type="dxa"/>
            <w:gridSpan w:val="3"/>
            <w:tcBorders>
              <w:tl2br w:val="nil"/>
              <w:tr2bl w:val="nil"/>
            </w:tcBorders>
            <w:vAlign w:val="center"/>
          </w:tcPr>
          <w:p w14:paraId="373E6AE1">
            <w:pPr>
              <w:pStyle w:val="49"/>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两台塔式起重机之间的最小架设距离应保证处于低位塔式起重机的起重臂端部与另一塔式起重机的塔身之间至少有2m的距离；处于高位塔式起重机的最低位置的部件与低位塔式起重机中处于最高位置部件之间的垂直距离不应小于2m</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14:paraId="468C9957">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7F333BD1">
            <w:pPr>
              <w:pStyle w:val="49"/>
              <w:kinsoku/>
              <w:overflowPunct/>
              <w:topLinePunct w:val="0"/>
              <w:bidi w:val="0"/>
              <w:spacing w:line="360" w:lineRule="atLeast"/>
              <w:rPr>
                <w:rFonts w:hint="eastAsia" w:ascii="宋体" w:hAnsi="宋体" w:eastAsia="宋体" w:cs="宋体"/>
                <w:sz w:val="21"/>
                <w:szCs w:val="21"/>
              </w:rPr>
            </w:pPr>
          </w:p>
        </w:tc>
      </w:tr>
      <w:tr w14:paraId="2D35F5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7303A727">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2FBAC889">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11*</w:t>
            </w:r>
          </w:p>
        </w:tc>
        <w:tc>
          <w:tcPr>
            <w:tcW w:w="2034" w:type="dxa"/>
            <w:gridSpan w:val="2"/>
            <w:vMerge w:val="continue"/>
            <w:tcBorders>
              <w:tl2br w:val="nil"/>
              <w:tr2bl w:val="nil"/>
            </w:tcBorders>
            <w:vAlign w:val="center"/>
          </w:tcPr>
          <w:p w14:paraId="6E320743">
            <w:pPr>
              <w:pStyle w:val="49"/>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p>
        </w:tc>
        <w:tc>
          <w:tcPr>
            <w:tcW w:w="3419" w:type="dxa"/>
            <w:gridSpan w:val="3"/>
            <w:tcBorders>
              <w:tl2br w:val="nil"/>
              <w:tr2bl w:val="nil"/>
            </w:tcBorders>
            <w:vAlign w:val="center"/>
          </w:tcPr>
          <w:p w14:paraId="12D12626">
            <w:pPr>
              <w:pStyle w:val="49"/>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与输电线的距离应不小于《施工现场临时用电安全技术规范》JGJ46的规定</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14:paraId="3445029F">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4CFE3FE3">
            <w:pPr>
              <w:pStyle w:val="49"/>
              <w:kinsoku/>
              <w:overflowPunct/>
              <w:topLinePunct w:val="0"/>
              <w:bidi w:val="0"/>
              <w:spacing w:line="360" w:lineRule="atLeast"/>
              <w:rPr>
                <w:rFonts w:hint="eastAsia" w:ascii="宋体" w:hAnsi="宋体" w:eastAsia="宋体" w:cs="宋体"/>
                <w:sz w:val="21"/>
                <w:szCs w:val="21"/>
              </w:rPr>
            </w:pPr>
          </w:p>
        </w:tc>
      </w:tr>
      <w:tr w14:paraId="5AA859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restart"/>
            <w:tcBorders>
              <w:tl2br w:val="nil"/>
              <w:tr2bl w:val="nil"/>
            </w:tcBorders>
            <w:vAlign w:val="center"/>
          </w:tcPr>
          <w:p w14:paraId="08F67C6C">
            <w:pPr>
              <w:pStyle w:val="49"/>
              <w:kinsoku/>
              <w:overflowPunct/>
              <w:topLinePunct w:val="0"/>
              <w:bidi w:val="0"/>
              <w:spacing w:line="360" w:lineRule="atLeast"/>
              <w:rPr>
                <w:rFonts w:hint="eastAsia" w:ascii="宋体" w:hAnsi="宋体" w:eastAsia="宋体" w:cs="宋体"/>
                <w:sz w:val="21"/>
                <w:szCs w:val="21"/>
              </w:rPr>
            </w:pPr>
          </w:p>
          <w:p w14:paraId="59166563">
            <w:pPr>
              <w:pStyle w:val="49"/>
              <w:kinsoku/>
              <w:overflowPunct/>
              <w:topLinePunct w:val="0"/>
              <w:bidi w:val="0"/>
              <w:spacing w:line="360" w:lineRule="atLeast"/>
              <w:rPr>
                <w:rFonts w:hint="eastAsia" w:ascii="宋体" w:hAnsi="宋体" w:eastAsia="宋体" w:cs="宋体"/>
                <w:sz w:val="21"/>
                <w:szCs w:val="21"/>
              </w:rPr>
            </w:pPr>
          </w:p>
          <w:p w14:paraId="636F01AF">
            <w:pPr>
              <w:pStyle w:val="49"/>
              <w:kinsoku/>
              <w:overflowPunct/>
              <w:topLinePunct w:val="0"/>
              <w:bidi w:val="0"/>
              <w:spacing w:line="360" w:lineRule="atLeast"/>
              <w:rPr>
                <w:rFonts w:hint="eastAsia" w:ascii="宋体" w:hAnsi="宋体" w:eastAsia="宋体" w:cs="宋体"/>
                <w:sz w:val="21"/>
                <w:szCs w:val="21"/>
              </w:rPr>
            </w:pPr>
          </w:p>
          <w:p w14:paraId="0A8527C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金属结构件</w:t>
            </w:r>
          </w:p>
          <w:p w14:paraId="36973886">
            <w:pPr>
              <w:pStyle w:val="49"/>
              <w:kinsoku/>
              <w:overflowPunct/>
              <w:topLinePunct w:val="0"/>
              <w:bidi w:val="0"/>
              <w:spacing w:line="360" w:lineRule="atLeast"/>
              <w:rPr>
                <w:rFonts w:hint="eastAsia" w:ascii="宋体" w:hAnsi="宋体" w:eastAsia="宋体" w:cs="宋体"/>
                <w:sz w:val="21"/>
                <w:szCs w:val="21"/>
              </w:rPr>
            </w:pPr>
          </w:p>
          <w:p w14:paraId="6786F409">
            <w:pPr>
              <w:pStyle w:val="49"/>
              <w:kinsoku/>
              <w:overflowPunct/>
              <w:topLinePunct w:val="0"/>
              <w:bidi w:val="0"/>
              <w:spacing w:line="360" w:lineRule="atLeast"/>
              <w:rPr>
                <w:rFonts w:hint="eastAsia" w:ascii="宋体" w:hAnsi="宋体" w:eastAsia="宋体" w:cs="宋体"/>
                <w:sz w:val="21"/>
                <w:szCs w:val="21"/>
              </w:rPr>
            </w:pPr>
          </w:p>
          <w:p w14:paraId="7BDE2E58">
            <w:pPr>
              <w:pStyle w:val="49"/>
              <w:kinsoku/>
              <w:overflowPunct/>
              <w:topLinePunct w:val="0"/>
              <w:bidi w:val="0"/>
              <w:spacing w:line="360" w:lineRule="atLeast"/>
              <w:rPr>
                <w:rFonts w:hint="eastAsia" w:ascii="宋体" w:hAnsi="宋体" w:eastAsia="宋体" w:cs="宋体"/>
                <w:sz w:val="21"/>
                <w:szCs w:val="21"/>
              </w:rPr>
            </w:pPr>
          </w:p>
          <w:p w14:paraId="388777E8">
            <w:pPr>
              <w:pStyle w:val="49"/>
              <w:kinsoku/>
              <w:overflowPunct/>
              <w:topLinePunct w:val="0"/>
              <w:bidi w:val="0"/>
              <w:spacing w:line="360" w:lineRule="atLeast"/>
              <w:rPr>
                <w:rFonts w:hint="eastAsia" w:ascii="宋体" w:hAnsi="宋体" w:eastAsia="宋体" w:cs="宋体"/>
                <w:sz w:val="21"/>
                <w:szCs w:val="21"/>
              </w:rPr>
            </w:pPr>
          </w:p>
          <w:p w14:paraId="6D3D3AEB">
            <w:pPr>
              <w:pStyle w:val="49"/>
              <w:kinsoku/>
              <w:overflowPunct/>
              <w:topLinePunct w:val="0"/>
              <w:bidi w:val="0"/>
              <w:spacing w:line="360" w:lineRule="atLeast"/>
              <w:rPr>
                <w:rFonts w:hint="eastAsia" w:ascii="宋体" w:hAnsi="宋体" w:eastAsia="宋体" w:cs="宋体"/>
                <w:sz w:val="21"/>
                <w:szCs w:val="21"/>
              </w:rPr>
            </w:pPr>
          </w:p>
          <w:p w14:paraId="74D3446E">
            <w:pPr>
              <w:pStyle w:val="49"/>
              <w:kinsoku/>
              <w:overflowPunct/>
              <w:topLinePunct w:val="0"/>
              <w:bidi w:val="0"/>
              <w:spacing w:line="360" w:lineRule="atLeast"/>
              <w:rPr>
                <w:rFonts w:hint="eastAsia" w:ascii="宋体" w:hAnsi="宋体" w:eastAsia="宋体" w:cs="宋体"/>
                <w:sz w:val="21"/>
                <w:szCs w:val="21"/>
              </w:rPr>
            </w:pPr>
          </w:p>
          <w:p w14:paraId="26E53648">
            <w:pPr>
              <w:pStyle w:val="49"/>
              <w:kinsoku/>
              <w:overflowPunct/>
              <w:topLinePunct w:val="0"/>
              <w:bidi w:val="0"/>
              <w:spacing w:line="360" w:lineRule="atLeast"/>
              <w:rPr>
                <w:rFonts w:hint="eastAsia" w:ascii="宋体" w:hAnsi="宋体" w:eastAsia="宋体" w:cs="宋体"/>
                <w:sz w:val="21"/>
                <w:szCs w:val="21"/>
              </w:rPr>
            </w:pPr>
          </w:p>
          <w:p w14:paraId="27330D5E">
            <w:pPr>
              <w:pStyle w:val="49"/>
              <w:kinsoku/>
              <w:overflowPunct/>
              <w:topLinePunct w:val="0"/>
              <w:bidi w:val="0"/>
              <w:spacing w:line="360" w:lineRule="atLeast"/>
              <w:rPr>
                <w:rFonts w:hint="eastAsia" w:ascii="宋体" w:hAnsi="宋体" w:eastAsia="宋体" w:cs="宋体"/>
                <w:sz w:val="21"/>
                <w:szCs w:val="21"/>
              </w:rPr>
            </w:pPr>
          </w:p>
          <w:p w14:paraId="37F12006">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金属结构件</w:t>
            </w:r>
          </w:p>
        </w:tc>
        <w:tc>
          <w:tcPr>
            <w:tcW w:w="666" w:type="dxa"/>
            <w:tcBorders>
              <w:tl2br w:val="nil"/>
              <w:tr2bl w:val="nil"/>
            </w:tcBorders>
            <w:vAlign w:val="center"/>
          </w:tcPr>
          <w:p w14:paraId="75D1BF49">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12</w:t>
            </w:r>
          </w:p>
        </w:tc>
        <w:tc>
          <w:tcPr>
            <w:tcW w:w="2034" w:type="dxa"/>
            <w:gridSpan w:val="2"/>
            <w:tcBorders>
              <w:tl2br w:val="nil"/>
              <w:tr2bl w:val="nil"/>
            </w:tcBorders>
            <w:vAlign w:val="center"/>
          </w:tcPr>
          <w:p w14:paraId="1172A8BA">
            <w:pPr>
              <w:pStyle w:val="49"/>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主要结构件</w:t>
            </w:r>
          </w:p>
        </w:tc>
        <w:tc>
          <w:tcPr>
            <w:tcW w:w="3419" w:type="dxa"/>
            <w:gridSpan w:val="3"/>
            <w:tcBorders>
              <w:tl2br w:val="nil"/>
              <w:tr2bl w:val="nil"/>
            </w:tcBorders>
            <w:vAlign w:val="center"/>
          </w:tcPr>
          <w:p w14:paraId="0E24DCDE">
            <w:pPr>
              <w:pStyle w:val="49"/>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无可见裂纹和明显变形</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14:paraId="4A57D662">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328AE130">
            <w:pPr>
              <w:pStyle w:val="49"/>
              <w:kinsoku/>
              <w:overflowPunct/>
              <w:topLinePunct w:val="0"/>
              <w:bidi w:val="0"/>
              <w:spacing w:line="360" w:lineRule="atLeast"/>
              <w:rPr>
                <w:rFonts w:hint="eastAsia" w:ascii="宋体" w:hAnsi="宋体" w:eastAsia="宋体" w:cs="宋体"/>
                <w:sz w:val="21"/>
                <w:szCs w:val="21"/>
              </w:rPr>
            </w:pPr>
          </w:p>
        </w:tc>
      </w:tr>
      <w:tr w14:paraId="6796EC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0F5EDF68">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3D815790">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13</w:t>
            </w:r>
          </w:p>
        </w:tc>
        <w:tc>
          <w:tcPr>
            <w:tcW w:w="2034" w:type="dxa"/>
            <w:gridSpan w:val="2"/>
            <w:tcBorders>
              <w:tl2br w:val="nil"/>
              <w:tr2bl w:val="nil"/>
            </w:tcBorders>
            <w:vAlign w:val="center"/>
          </w:tcPr>
          <w:p w14:paraId="68D7CD02">
            <w:pPr>
              <w:pStyle w:val="49"/>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主要连接螺栓</w:t>
            </w:r>
          </w:p>
        </w:tc>
        <w:tc>
          <w:tcPr>
            <w:tcW w:w="3419" w:type="dxa"/>
            <w:gridSpan w:val="3"/>
            <w:tcBorders>
              <w:tl2br w:val="nil"/>
              <w:tr2bl w:val="nil"/>
            </w:tcBorders>
            <w:vAlign w:val="center"/>
          </w:tcPr>
          <w:p w14:paraId="697A9DD4">
            <w:pPr>
              <w:pStyle w:val="49"/>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齐全，规格和预紧力达到使用说明书要求</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14:paraId="66A12704">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2B534DB8">
            <w:pPr>
              <w:pStyle w:val="49"/>
              <w:kinsoku/>
              <w:overflowPunct/>
              <w:topLinePunct w:val="0"/>
              <w:bidi w:val="0"/>
              <w:spacing w:line="360" w:lineRule="atLeast"/>
              <w:rPr>
                <w:rFonts w:hint="eastAsia" w:ascii="宋体" w:hAnsi="宋体" w:eastAsia="宋体" w:cs="宋体"/>
                <w:sz w:val="21"/>
                <w:szCs w:val="21"/>
              </w:rPr>
            </w:pPr>
          </w:p>
        </w:tc>
      </w:tr>
      <w:tr w14:paraId="7B828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2FB83E9F">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6BB46864">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14</w:t>
            </w:r>
          </w:p>
        </w:tc>
        <w:tc>
          <w:tcPr>
            <w:tcW w:w="2034" w:type="dxa"/>
            <w:gridSpan w:val="2"/>
            <w:tcBorders>
              <w:tl2br w:val="nil"/>
              <w:tr2bl w:val="nil"/>
            </w:tcBorders>
            <w:vAlign w:val="center"/>
          </w:tcPr>
          <w:p w14:paraId="331F1F49">
            <w:pPr>
              <w:pStyle w:val="49"/>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主要连接销轴</w:t>
            </w:r>
          </w:p>
        </w:tc>
        <w:tc>
          <w:tcPr>
            <w:tcW w:w="3419" w:type="dxa"/>
            <w:gridSpan w:val="3"/>
            <w:tcBorders>
              <w:tl2br w:val="nil"/>
              <w:tr2bl w:val="nil"/>
            </w:tcBorders>
            <w:vAlign w:val="center"/>
          </w:tcPr>
          <w:p w14:paraId="4A4628D7">
            <w:pPr>
              <w:pStyle w:val="49"/>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销轴符合出厂要求，连接可靠</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14:paraId="1D916FF9">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44C52050">
            <w:pPr>
              <w:pStyle w:val="49"/>
              <w:kinsoku/>
              <w:overflowPunct/>
              <w:topLinePunct w:val="0"/>
              <w:bidi w:val="0"/>
              <w:spacing w:line="360" w:lineRule="atLeast"/>
              <w:rPr>
                <w:rFonts w:hint="eastAsia" w:ascii="宋体" w:hAnsi="宋体" w:eastAsia="宋体" w:cs="宋体"/>
                <w:sz w:val="21"/>
                <w:szCs w:val="21"/>
              </w:rPr>
            </w:pPr>
          </w:p>
        </w:tc>
      </w:tr>
      <w:tr w14:paraId="2B4E3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403084E2">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2587C104">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15</w:t>
            </w:r>
          </w:p>
        </w:tc>
        <w:tc>
          <w:tcPr>
            <w:tcW w:w="2034" w:type="dxa"/>
            <w:gridSpan w:val="2"/>
            <w:tcBorders>
              <w:tl2br w:val="nil"/>
              <w:tr2bl w:val="nil"/>
            </w:tcBorders>
            <w:vAlign w:val="center"/>
          </w:tcPr>
          <w:p w14:paraId="7222AD59">
            <w:pPr>
              <w:pStyle w:val="49"/>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过道、平台、栏杆、踏板</w:t>
            </w:r>
          </w:p>
        </w:tc>
        <w:tc>
          <w:tcPr>
            <w:tcW w:w="3419" w:type="dxa"/>
            <w:gridSpan w:val="3"/>
            <w:tcBorders>
              <w:tl2br w:val="nil"/>
              <w:tr2bl w:val="nil"/>
            </w:tcBorders>
            <w:vAlign w:val="center"/>
          </w:tcPr>
          <w:p w14:paraId="174F0317">
            <w:pPr>
              <w:pStyle w:val="49"/>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符合《塔式起重机安全规程》（GB5144-2006）的规定</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14:paraId="2516B916">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47803025">
            <w:pPr>
              <w:pStyle w:val="49"/>
              <w:kinsoku/>
              <w:overflowPunct/>
              <w:topLinePunct w:val="0"/>
              <w:bidi w:val="0"/>
              <w:spacing w:line="360" w:lineRule="atLeast"/>
              <w:rPr>
                <w:rFonts w:hint="eastAsia" w:ascii="宋体" w:hAnsi="宋体" w:eastAsia="宋体" w:cs="宋体"/>
                <w:sz w:val="21"/>
                <w:szCs w:val="21"/>
              </w:rPr>
            </w:pPr>
          </w:p>
        </w:tc>
      </w:tr>
      <w:tr w14:paraId="73F62E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0B826B10">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192A9AF9">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16</w:t>
            </w:r>
          </w:p>
        </w:tc>
        <w:tc>
          <w:tcPr>
            <w:tcW w:w="2034" w:type="dxa"/>
            <w:gridSpan w:val="2"/>
            <w:tcBorders>
              <w:tl2br w:val="nil"/>
              <w:tr2bl w:val="nil"/>
            </w:tcBorders>
            <w:vAlign w:val="center"/>
          </w:tcPr>
          <w:p w14:paraId="0E94963B">
            <w:pPr>
              <w:pStyle w:val="49"/>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梯子、护圈、休息平台</w:t>
            </w:r>
          </w:p>
        </w:tc>
        <w:tc>
          <w:tcPr>
            <w:tcW w:w="3419" w:type="dxa"/>
            <w:gridSpan w:val="3"/>
            <w:tcBorders>
              <w:tl2br w:val="nil"/>
              <w:tr2bl w:val="nil"/>
            </w:tcBorders>
            <w:vAlign w:val="center"/>
          </w:tcPr>
          <w:p w14:paraId="6AC45020">
            <w:pPr>
              <w:pStyle w:val="49"/>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符合《塔式起重机安全规程》（GB5144-2006）的规定</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14:paraId="01F41BAF">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79052992">
            <w:pPr>
              <w:pStyle w:val="49"/>
              <w:kinsoku/>
              <w:overflowPunct/>
              <w:topLinePunct w:val="0"/>
              <w:bidi w:val="0"/>
              <w:spacing w:line="360" w:lineRule="atLeast"/>
              <w:rPr>
                <w:rFonts w:hint="eastAsia" w:ascii="宋体" w:hAnsi="宋体" w:eastAsia="宋体" w:cs="宋体"/>
                <w:sz w:val="21"/>
                <w:szCs w:val="21"/>
              </w:rPr>
            </w:pPr>
          </w:p>
        </w:tc>
      </w:tr>
      <w:tr w14:paraId="6D7E0F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273D3048">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16207AE9">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17</w:t>
            </w:r>
          </w:p>
        </w:tc>
        <w:tc>
          <w:tcPr>
            <w:tcW w:w="2034" w:type="dxa"/>
            <w:gridSpan w:val="2"/>
            <w:tcBorders>
              <w:tl2br w:val="nil"/>
              <w:tr2bl w:val="nil"/>
            </w:tcBorders>
            <w:vAlign w:val="center"/>
          </w:tcPr>
          <w:p w14:paraId="0C080187">
            <w:pPr>
              <w:pStyle w:val="49"/>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塔身高度</w:t>
            </w:r>
          </w:p>
        </w:tc>
        <w:tc>
          <w:tcPr>
            <w:tcW w:w="3419" w:type="dxa"/>
            <w:gridSpan w:val="3"/>
            <w:tcBorders>
              <w:tl2br w:val="nil"/>
              <w:tr2bl w:val="nil"/>
            </w:tcBorders>
            <w:vAlign w:val="center"/>
          </w:tcPr>
          <w:p w14:paraId="4FDB9F38">
            <w:pPr>
              <w:pStyle w:val="49"/>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塔身独立状态下的高度符合使用说明书要求</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14:paraId="699A0E42">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5900A365">
            <w:pPr>
              <w:pStyle w:val="49"/>
              <w:kinsoku/>
              <w:overflowPunct/>
              <w:topLinePunct w:val="0"/>
              <w:bidi w:val="0"/>
              <w:spacing w:line="360" w:lineRule="atLeast"/>
              <w:rPr>
                <w:rFonts w:hint="eastAsia" w:ascii="宋体" w:hAnsi="宋体" w:eastAsia="宋体" w:cs="宋体"/>
                <w:sz w:val="21"/>
                <w:szCs w:val="21"/>
              </w:rPr>
            </w:pPr>
          </w:p>
        </w:tc>
      </w:tr>
      <w:tr w14:paraId="07C280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6DA00EA5">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70F740B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18</w:t>
            </w:r>
          </w:p>
        </w:tc>
        <w:tc>
          <w:tcPr>
            <w:tcW w:w="2034" w:type="dxa"/>
            <w:gridSpan w:val="2"/>
            <w:tcBorders>
              <w:tl2br w:val="nil"/>
              <w:tr2bl w:val="nil"/>
            </w:tcBorders>
            <w:vAlign w:val="center"/>
          </w:tcPr>
          <w:p w14:paraId="533FB0E3">
            <w:pPr>
              <w:pStyle w:val="49"/>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平衡重、压重</w:t>
            </w:r>
          </w:p>
        </w:tc>
        <w:tc>
          <w:tcPr>
            <w:tcW w:w="3419" w:type="dxa"/>
            <w:gridSpan w:val="3"/>
            <w:tcBorders>
              <w:tl2br w:val="nil"/>
              <w:tr2bl w:val="nil"/>
            </w:tcBorders>
            <w:vAlign w:val="center"/>
          </w:tcPr>
          <w:p w14:paraId="751C3E1E">
            <w:pPr>
              <w:pStyle w:val="49"/>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平衡重、压重的重量与位置符合使用说明书要求，且</w:t>
            </w:r>
            <w:r>
              <w:rPr>
                <w:rFonts w:hint="eastAsia" w:cs="宋体"/>
                <w:color w:val="000000" w:themeColor="text1"/>
                <w:sz w:val="21"/>
                <w:szCs w:val="21"/>
                <w:lang w:eastAsia="zh-CN"/>
                <w14:textFill>
                  <w14:solidFill>
                    <w14:schemeClr w14:val="tx1"/>
                  </w14:solidFill>
                </w14:textFill>
              </w:rPr>
              <w:t>拆除</w:t>
            </w:r>
            <w:r>
              <w:rPr>
                <w:rFonts w:hint="eastAsia" w:ascii="宋体" w:hAnsi="宋体" w:eastAsia="宋体" w:cs="宋体"/>
                <w:color w:val="000000" w:themeColor="text1"/>
                <w:sz w:val="21"/>
                <w:szCs w:val="21"/>
                <w14:textFill>
                  <w14:solidFill>
                    <w14:schemeClr w14:val="tx1"/>
                  </w14:solidFill>
                </w14:textFill>
              </w:rPr>
              <w:t>牢固。</w:t>
            </w:r>
          </w:p>
        </w:tc>
        <w:tc>
          <w:tcPr>
            <w:tcW w:w="1103" w:type="dxa"/>
            <w:tcBorders>
              <w:tl2br w:val="nil"/>
              <w:tr2bl w:val="nil"/>
            </w:tcBorders>
            <w:vAlign w:val="center"/>
          </w:tcPr>
          <w:p w14:paraId="09CE6C6B">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26AABA59">
            <w:pPr>
              <w:pStyle w:val="49"/>
              <w:kinsoku/>
              <w:overflowPunct/>
              <w:topLinePunct w:val="0"/>
              <w:bidi w:val="0"/>
              <w:spacing w:line="360" w:lineRule="atLeast"/>
              <w:rPr>
                <w:rFonts w:hint="eastAsia" w:ascii="宋体" w:hAnsi="宋体" w:eastAsia="宋体" w:cs="宋体"/>
                <w:sz w:val="21"/>
                <w:szCs w:val="21"/>
              </w:rPr>
            </w:pPr>
          </w:p>
        </w:tc>
      </w:tr>
      <w:tr w14:paraId="4421C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01604769">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02FDD394">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19</w:t>
            </w:r>
          </w:p>
        </w:tc>
        <w:tc>
          <w:tcPr>
            <w:tcW w:w="2034" w:type="dxa"/>
            <w:gridSpan w:val="2"/>
            <w:tcBorders>
              <w:tl2br w:val="nil"/>
              <w:tr2bl w:val="nil"/>
            </w:tcBorders>
            <w:vAlign w:val="center"/>
          </w:tcPr>
          <w:p w14:paraId="581E1CA0">
            <w:pPr>
              <w:pStyle w:val="49"/>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塔身垂直度偏差</w:t>
            </w:r>
          </w:p>
        </w:tc>
        <w:tc>
          <w:tcPr>
            <w:tcW w:w="3419" w:type="dxa"/>
            <w:gridSpan w:val="3"/>
            <w:tcBorders>
              <w:tl2br w:val="nil"/>
              <w:tr2bl w:val="nil"/>
            </w:tcBorders>
            <w:vAlign w:val="center"/>
          </w:tcPr>
          <w:p w14:paraId="37438281">
            <w:pPr>
              <w:pStyle w:val="49"/>
              <w:kinsoku/>
              <w:overflowPunct/>
              <w:topLinePunct w:val="0"/>
              <w:bidi w:val="0"/>
              <w:adjustRightInd w:val="0"/>
              <w:snapToGrid w:val="0"/>
              <w:spacing w:line="360" w:lineRule="atLeast"/>
              <w:jc w:val="left"/>
              <w:rPr>
                <w:rFonts w:hint="eastAsia" w:ascii="宋体" w:hAnsi="宋体" w:eastAsia="宋体" w:cs="宋体"/>
                <w:color w:val="000000" w:themeColor="text1"/>
                <w:spacing w:val="9"/>
                <w:sz w:val="21"/>
                <w:szCs w:val="21"/>
                <w:lang w:val="en-US" w:eastAsia="zh-CN"/>
                <w14:textFill>
                  <w14:solidFill>
                    <w14:schemeClr w14:val="tx1"/>
                  </w14:solidFill>
                </w14:textFill>
              </w:rPr>
            </w:pPr>
            <w:r>
              <w:rPr>
                <w:rFonts w:hint="eastAsia" w:ascii="宋体" w:hAnsi="宋体" w:eastAsia="宋体" w:cs="宋体"/>
                <w:color w:val="000000" w:themeColor="text1"/>
                <w:spacing w:val="9"/>
                <w:sz w:val="21"/>
                <w:szCs w:val="21"/>
                <w:lang w:val="en-US" w:eastAsia="zh-CN"/>
                <w14:textFill>
                  <w14:solidFill>
                    <w14:schemeClr w14:val="tx1"/>
                  </w14:solidFill>
                </w14:textFill>
              </w:rPr>
              <w:t>空载、风速不大于3m/s状态下，独立状态塔身（或附着状态下最高附着点以上塔身）轴心线的</w:t>
            </w:r>
          </w:p>
          <w:p w14:paraId="5A85452C">
            <w:pPr>
              <w:pStyle w:val="49"/>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pacing w:val="9"/>
                <w:sz w:val="21"/>
                <w:szCs w:val="21"/>
                <w:lang w:val="en-US" w:eastAsia="zh-CN"/>
                <w14:textFill>
                  <w14:solidFill>
                    <w14:schemeClr w14:val="tx1"/>
                  </w14:solidFill>
                </w14:textFill>
              </w:rPr>
              <w:t>侧向垂直度误差不大于0.4%，最高附着点以下塔身轴心线的垂直度误差不大于0.2%。</w:t>
            </w:r>
          </w:p>
        </w:tc>
        <w:tc>
          <w:tcPr>
            <w:tcW w:w="1103" w:type="dxa"/>
            <w:tcBorders>
              <w:tl2br w:val="nil"/>
              <w:tr2bl w:val="nil"/>
            </w:tcBorders>
            <w:vAlign w:val="center"/>
          </w:tcPr>
          <w:p w14:paraId="07B48169">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02B0E886">
            <w:pPr>
              <w:pStyle w:val="49"/>
              <w:kinsoku/>
              <w:overflowPunct/>
              <w:topLinePunct w:val="0"/>
              <w:bidi w:val="0"/>
              <w:spacing w:line="360" w:lineRule="atLeast"/>
              <w:rPr>
                <w:rFonts w:hint="eastAsia" w:ascii="宋体" w:hAnsi="宋体" w:eastAsia="宋体" w:cs="宋体"/>
                <w:sz w:val="21"/>
                <w:szCs w:val="21"/>
              </w:rPr>
            </w:pPr>
          </w:p>
        </w:tc>
      </w:tr>
      <w:tr w14:paraId="77B582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2F283B92">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7F0CA4BC">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20</w:t>
            </w:r>
          </w:p>
        </w:tc>
        <w:tc>
          <w:tcPr>
            <w:tcW w:w="2034" w:type="dxa"/>
            <w:gridSpan w:val="2"/>
            <w:tcBorders>
              <w:tl2br w:val="nil"/>
              <w:tr2bl w:val="nil"/>
            </w:tcBorders>
            <w:vAlign w:val="center"/>
          </w:tcPr>
          <w:p w14:paraId="1300C207">
            <w:pPr>
              <w:pStyle w:val="49"/>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pacing w:val="-11"/>
                <w:sz w:val="21"/>
                <w:szCs w:val="21"/>
                <w14:textFill>
                  <w14:solidFill>
                    <w14:schemeClr w14:val="tx1"/>
                  </w14:solidFill>
                </w14:textFill>
              </w:rPr>
              <w:t>内爬式塔式起重机的爬升框与支承钢梁、支承钢梁与建筑结构之间的连接</w:t>
            </w:r>
          </w:p>
        </w:tc>
        <w:tc>
          <w:tcPr>
            <w:tcW w:w="3419" w:type="dxa"/>
            <w:gridSpan w:val="3"/>
            <w:tcBorders>
              <w:tl2br w:val="nil"/>
              <w:tr2bl w:val="nil"/>
            </w:tcBorders>
            <w:vAlign w:val="center"/>
          </w:tcPr>
          <w:p w14:paraId="5F554F5B">
            <w:pPr>
              <w:pStyle w:val="49"/>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连接可靠</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14:paraId="733F82BF">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7626A537">
            <w:pPr>
              <w:pStyle w:val="49"/>
              <w:kinsoku/>
              <w:overflowPunct/>
              <w:topLinePunct w:val="0"/>
              <w:bidi w:val="0"/>
              <w:spacing w:line="360" w:lineRule="atLeast"/>
              <w:rPr>
                <w:rFonts w:hint="eastAsia" w:ascii="宋体" w:hAnsi="宋体" w:eastAsia="宋体" w:cs="宋体"/>
                <w:sz w:val="21"/>
                <w:szCs w:val="21"/>
              </w:rPr>
            </w:pPr>
          </w:p>
        </w:tc>
      </w:tr>
      <w:tr w14:paraId="133C62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restart"/>
            <w:tcBorders>
              <w:tl2br w:val="nil"/>
              <w:tr2bl w:val="nil"/>
            </w:tcBorders>
            <w:vAlign w:val="center"/>
          </w:tcPr>
          <w:p w14:paraId="359AA82E">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爬升与回转</w:t>
            </w:r>
          </w:p>
        </w:tc>
        <w:tc>
          <w:tcPr>
            <w:tcW w:w="666" w:type="dxa"/>
            <w:tcBorders>
              <w:tl2br w:val="nil"/>
              <w:tr2bl w:val="nil"/>
            </w:tcBorders>
            <w:vAlign w:val="center"/>
          </w:tcPr>
          <w:p w14:paraId="088DCFD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21</w:t>
            </w:r>
          </w:p>
        </w:tc>
        <w:tc>
          <w:tcPr>
            <w:tcW w:w="2034" w:type="dxa"/>
            <w:gridSpan w:val="2"/>
            <w:tcBorders>
              <w:tl2br w:val="nil"/>
              <w:tr2bl w:val="nil"/>
            </w:tcBorders>
            <w:vAlign w:val="center"/>
          </w:tcPr>
          <w:p w14:paraId="5D644FDD">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平衡阀或液压锁与油缸间连接</w:t>
            </w:r>
          </w:p>
        </w:tc>
        <w:tc>
          <w:tcPr>
            <w:tcW w:w="3419" w:type="dxa"/>
            <w:gridSpan w:val="3"/>
            <w:tcBorders>
              <w:tl2br w:val="nil"/>
              <w:tr2bl w:val="nil"/>
            </w:tcBorders>
            <w:vAlign w:val="center"/>
          </w:tcPr>
          <w:p w14:paraId="1714AED5">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设平衡阀或液压锁，且与油缸用硬管连接</w:t>
            </w:r>
            <w:r>
              <w:rPr>
                <w:rFonts w:hint="eastAsia" w:ascii="宋体" w:hAnsi="宋体" w:eastAsia="宋体" w:cs="宋体"/>
                <w:sz w:val="21"/>
                <w:szCs w:val="21"/>
                <w:lang w:eastAsia="zh-CN"/>
              </w:rPr>
              <w:t>。</w:t>
            </w:r>
          </w:p>
        </w:tc>
        <w:tc>
          <w:tcPr>
            <w:tcW w:w="1103" w:type="dxa"/>
            <w:tcBorders>
              <w:tl2br w:val="nil"/>
              <w:tr2bl w:val="nil"/>
            </w:tcBorders>
            <w:vAlign w:val="center"/>
          </w:tcPr>
          <w:p w14:paraId="59D14D78">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5E6BB114">
            <w:pPr>
              <w:pStyle w:val="49"/>
              <w:kinsoku/>
              <w:overflowPunct/>
              <w:topLinePunct w:val="0"/>
              <w:bidi w:val="0"/>
              <w:spacing w:line="360" w:lineRule="atLeast"/>
              <w:rPr>
                <w:rFonts w:hint="eastAsia" w:ascii="宋体" w:hAnsi="宋体" w:eastAsia="宋体" w:cs="宋体"/>
                <w:sz w:val="21"/>
                <w:szCs w:val="21"/>
              </w:rPr>
            </w:pPr>
          </w:p>
        </w:tc>
      </w:tr>
      <w:tr w14:paraId="7C8D6B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4AED9890">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28DC127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22</w:t>
            </w:r>
          </w:p>
        </w:tc>
        <w:tc>
          <w:tcPr>
            <w:tcW w:w="2034" w:type="dxa"/>
            <w:gridSpan w:val="2"/>
            <w:tcBorders>
              <w:tl2br w:val="nil"/>
              <w:tr2bl w:val="nil"/>
            </w:tcBorders>
            <w:vAlign w:val="center"/>
          </w:tcPr>
          <w:p w14:paraId="3B631A52">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爬升装置防脱功能</w:t>
            </w:r>
          </w:p>
        </w:tc>
        <w:tc>
          <w:tcPr>
            <w:tcW w:w="3419" w:type="dxa"/>
            <w:gridSpan w:val="3"/>
            <w:tcBorders>
              <w:tl2br w:val="nil"/>
              <w:tr2bl w:val="nil"/>
            </w:tcBorders>
            <w:vAlign w:val="center"/>
          </w:tcPr>
          <w:p w14:paraId="4919689D">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自升式塔式起重在正常加节、降节作业时，具有可靠的防止爬升装置在塔身支承中或油缸端头从其连接结构中自行(非人为操作)脱出的功能</w:t>
            </w:r>
            <w:r>
              <w:rPr>
                <w:rFonts w:hint="eastAsia" w:ascii="宋体" w:hAnsi="宋体" w:eastAsia="宋体" w:cs="宋体"/>
                <w:sz w:val="21"/>
                <w:szCs w:val="21"/>
                <w:lang w:eastAsia="zh-CN"/>
              </w:rPr>
              <w:t>。</w:t>
            </w:r>
          </w:p>
        </w:tc>
        <w:tc>
          <w:tcPr>
            <w:tcW w:w="1103" w:type="dxa"/>
            <w:tcBorders>
              <w:tl2br w:val="nil"/>
              <w:tr2bl w:val="nil"/>
            </w:tcBorders>
            <w:vAlign w:val="center"/>
          </w:tcPr>
          <w:p w14:paraId="0F1E5D7D">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05E36F23">
            <w:pPr>
              <w:pStyle w:val="49"/>
              <w:kinsoku/>
              <w:overflowPunct/>
              <w:topLinePunct w:val="0"/>
              <w:bidi w:val="0"/>
              <w:spacing w:line="360" w:lineRule="atLeast"/>
              <w:rPr>
                <w:rFonts w:hint="eastAsia" w:ascii="宋体" w:hAnsi="宋体" w:eastAsia="宋体" w:cs="宋体"/>
                <w:sz w:val="21"/>
                <w:szCs w:val="21"/>
              </w:rPr>
            </w:pPr>
          </w:p>
        </w:tc>
      </w:tr>
      <w:tr w14:paraId="4C3CB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716D2CDE">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381E0D5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23</w:t>
            </w:r>
          </w:p>
        </w:tc>
        <w:tc>
          <w:tcPr>
            <w:tcW w:w="2034" w:type="dxa"/>
            <w:gridSpan w:val="2"/>
            <w:tcBorders>
              <w:tl2br w:val="nil"/>
              <w:tr2bl w:val="nil"/>
            </w:tcBorders>
            <w:vAlign w:val="center"/>
          </w:tcPr>
          <w:p w14:paraId="1928C610">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回转限位器</w:t>
            </w:r>
          </w:p>
        </w:tc>
        <w:tc>
          <w:tcPr>
            <w:tcW w:w="3419" w:type="dxa"/>
            <w:gridSpan w:val="3"/>
            <w:tcBorders>
              <w:tl2br w:val="nil"/>
              <w:tr2bl w:val="nil"/>
            </w:tcBorders>
            <w:vAlign w:val="center"/>
          </w:tcPr>
          <w:p w14:paraId="48D322C4">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对回转处不设集电器供电的塔式起重机，设置正反两个方向回转限位开关。开关动作时臂架旋转角度不大于±540°</w:t>
            </w:r>
            <w:r>
              <w:rPr>
                <w:rFonts w:hint="eastAsia" w:ascii="宋体" w:hAnsi="宋体" w:eastAsia="宋体" w:cs="宋体"/>
                <w:sz w:val="21"/>
                <w:szCs w:val="21"/>
                <w:lang w:eastAsia="zh-CN"/>
              </w:rPr>
              <w:t>。</w:t>
            </w:r>
          </w:p>
        </w:tc>
        <w:tc>
          <w:tcPr>
            <w:tcW w:w="1103" w:type="dxa"/>
            <w:tcBorders>
              <w:tl2br w:val="nil"/>
              <w:tr2bl w:val="nil"/>
            </w:tcBorders>
            <w:vAlign w:val="center"/>
          </w:tcPr>
          <w:p w14:paraId="697501BE">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74DEA8C3">
            <w:pPr>
              <w:pStyle w:val="49"/>
              <w:kinsoku/>
              <w:overflowPunct/>
              <w:topLinePunct w:val="0"/>
              <w:bidi w:val="0"/>
              <w:spacing w:line="360" w:lineRule="atLeast"/>
              <w:rPr>
                <w:rFonts w:hint="eastAsia" w:ascii="宋体" w:hAnsi="宋体" w:eastAsia="宋体" w:cs="宋体"/>
                <w:sz w:val="21"/>
                <w:szCs w:val="21"/>
              </w:rPr>
            </w:pPr>
          </w:p>
        </w:tc>
      </w:tr>
      <w:tr w14:paraId="58251F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restart"/>
            <w:tcBorders>
              <w:tl2br w:val="nil"/>
              <w:tr2bl w:val="nil"/>
            </w:tcBorders>
            <w:vAlign w:val="center"/>
          </w:tcPr>
          <w:p w14:paraId="7E39733C">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起升系统</w:t>
            </w:r>
          </w:p>
        </w:tc>
        <w:tc>
          <w:tcPr>
            <w:tcW w:w="666" w:type="dxa"/>
            <w:tcBorders>
              <w:tl2br w:val="nil"/>
              <w:tr2bl w:val="nil"/>
            </w:tcBorders>
            <w:vAlign w:val="center"/>
          </w:tcPr>
          <w:p w14:paraId="566356DE">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24</w:t>
            </w:r>
          </w:p>
        </w:tc>
        <w:tc>
          <w:tcPr>
            <w:tcW w:w="2034" w:type="dxa"/>
            <w:gridSpan w:val="2"/>
            <w:tcBorders>
              <w:tl2br w:val="nil"/>
              <w:tr2bl w:val="nil"/>
            </w:tcBorders>
            <w:vAlign w:val="center"/>
          </w:tcPr>
          <w:p w14:paraId="2C79ECF3">
            <w:pPr>
              <w:pStyle w:val="49"/>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起重力矩限制器</w:t>
            </w:r>
          </w:p>
        </w:tc>
        <w:tc>
          <w:tcPr>
            <w:tcW w:w="3419" w:type="dxa"/>
            <w:gridSpan w:val="3"/>
            <w:tcBorders>
              <w:tl2br w:val="nil"/>
              <w:tr2bl w:val="nil"/>
            </w:tcBorders>
            <w:vAlign w:val="center"/>
          </w:tcPr>
          <w:p w14:paraId="4EF88188">
            <w:pPr>
              <w:pStyle w:val="49"/>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灵敏可靠，限制值＜额定载荷ll0％，且显示误差≤±5%</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14:paraId="38B8AC0C">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7242FC63">
            <w:pPr>
              <w:pStyle w:val="49"/>
              <w:kinsoku/>
              <w:overflowPunct/>
              <w:topLinePunct w:val="0"/>
              <w:bidi w:val="0"/>
              <w:spacing w:line="360" w:lineRule="atLeast"/>
              <w:rPr>
                <w:rFonts w:hint="eastAsia" w:ascii="宋体" w:hAnsi="宋体" w:eastAsia="宋体" w:cs="宋体"/>
                <w:sz w:val="21"/>
                <w:szCs w:val="21"/>
              </w:rPr>
            </w:pPr>
          </w:p>
        </w:tc>
      </w:tr>
      <w:tr w14:paraId="4472B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1D7F2005">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3E8084B6">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25</w:t>
            </w:r>
          </w:p>
        </w:tc>
        <w:tc>
          <w:tcPr>
            <w:tcW w:w="2034" w:type="dxa"/>
            <w:gridSpan w:val="2"/>
            <w:tcBorders>
              <w:tl2br w:val="nil"/>
              <w:tr2bl w:val="nil"/>
            </w:tcBorders>
            <w:vAlign w:val="center"/>
          </w:tcPr>
          <w:p w14:paraId="49B76096">
            <w:pPr>
              <w:pStyle w:val="49"/>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起升高度限位</w:t>
            </w:r>
          </w:p>
        </w:tc>
        <w:tc>
          <w:tcPr>
            <w:tcW w:w="3419" w:type="dxa"/>
            <w:gridSpan w:val="3"/>
            <w:tcBorders>
              <w:tl2br w:val="nil"/>
              <w:tr2bl w:val="nil"/>
            </w:tcBorders>
            <w:vAlign w:val="center"/>
          </w:tcPr>
          <w:p w14:paraId="334F7BE4">
            <w:pPr>
              <w:pStyle w:val="49"/>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对动臂变幅和小车变幅的塔式起重机，当吊钩装置顶部升至起重臂下端的最小距离为800mm处时，能立即停止起升运动</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14:paraId="1DF4BDC6">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79AC269F">
            <w:pPr>
              <w:pStyle w:val="49"/>
              <w:kinsoku/>
              <w:overflowPunct/>
              <w:topLinePunct w:val="0"/>
              <w:bidi w:val="0"/>
              <w:spacing w:line="360" w:lineRule="atLeast"/>
              <w:rPr>
                <w:rFonts w:hint="eastAsia" w:ascii="宋体" w:hAnsi="宋体" w:eastAsia="宋体" w:cs="宋体"/>
                <w:sz w:val="21"/>
                <w:szCs w:val="21"/>
              </w:rPr>
            </w:pPr>
          </w:p>
        </w:tc>
      </w:tr>
      <w:tr w14:paraId="5B80F9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2DCFE8DD">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58EE02E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26</w:t>
            </w:r>
          </w:p>
        </w:tc>
        <w:tc>
          <w:tcPr>
            <w:tcW w:w="2034" w:type="dxa"/>
            <w:gridSpan w:val="2"/>
            <w:tcBorders>
              <w:tl2br w:val="nil"/>
              <w:tr2bl w:val="nil"/>
            </w:tcBorders>
            <w:vAlign w:val="center"/>
          </w:tcPr>
          <w:p w14:paraId="06DE5F36">
            <w:pPr>
              <w:pStyle w:val="49"/>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起重量限制器</w:t>
            </w:r>
          </w:p>
        </w:tc>
        <w:tc>
          <w:tcPr>
            <w:tcW w:w="3419" w:type="dxa"/>
            <w:gridSpan w:val="3"/>
            <w:tcBorders>
              <w:tl2br w:val="nil"/>
              <w:tr2bl w:val="nil"/>
            </w:tcBorders>
            <w:vAlign w:val="center"/>
          </w:tcPr>
          <w:p w14:paraId="4F7645F2">
            <w:pPr>
              <w:pStyle w:val="49"/>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灵敏可靠，限制值＜额定载荷110％，且显示误差≤±5％</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14:paraId="7C685FD1">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5B172959">
            <w:pPr>
              <w:pStyle w:val="49"/>
              <w:kinsoku/>
              <w:overflowPunct/>
              <w:topLinePunct w:val="0"/>
              <w:bidi w:val="0"/>
              <w:spacing w:line="360" w:lineRule="atLeast"/>
              <w:rPr>
                <w:rFonts w:hint="eastAsia" w:ascii="宋体" w:hAnsi="宋体" w:eastAsia="宋体" w:cs="宋体"/>
                <w:sz w:val="21"/>
                <w:szCs w:val="21"/>
              </w:rPr>
            </w:pPr>
          </w:p>
        </w:tc>
      </w:tr>
      <w:tr w14:paraId="30013A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restart"/>
            <w:tcBorders>
              <w:tl2br w:val="nil"/>
              <w:tr2bl w:val="nil"/>
            </w:tcBorders>
            <w:vAlign w:val="center"/>
          </w:tcPr>
          <w:p w14:paraId="6D569E2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变幅系统</w:t>
            </w:r>
          </w:p>
        </w:tc>
        <w:tc>
          <w:tcPr>
            <w:tcW w:w="666" w:type="dxa"/>
            <w:tcBorders>
              <w:tl2br w:val="nil"/>
              <w:tr2bl w:val="nil"/>
            </w:tcBorders>
            <w:vAlign w:val="center"/>
          </w:tcPr>
          <w:p w14:paraId="0364EF8C">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27</w:t>
            </w:r>
          </w:p>
        </w:tc>
        <w:tc>
          <w:tcPr>
            <w:tcW w:w="2034" w:type="dxa"/>
            <w:gridSpan w:val="2"/>
            <w:tcBorders>
              <w:tl2br w:val="nil"/>
              <w:tr2bl w:val="nil"/>
            </w:tcBorders>
            <w:vAlign w:val="center"/>
          </w:tcPr>
          <w:p w14:paraId="07965F07">
            <w:pPr>
              <w:pStyle w:val="49"/>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小车断绳保护装置</w:t>
            </w:r>
          </w:p>
        </w:tc>
        <w:tc>
          <w:tcPr>
            <w:tcW w:w="3419" w:type="dxa"/>
            <w:gridSpan w:val="3"/>
            <w:tcBorders>
              <w:tl2br w:val="nil"/>
              <w:tr2bl w:val="nil"/>
            </w:tcBorders>
            <w:vAlign w:val="center"/>
          </w:tcPr>
          <w:p w14:paraId="5BC337D5">
            <w:pPr>
              <w:pStyle w:val="49"/>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双向均设置</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14:paraId="2CD5E433">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382F184D">
            <w:pPr>
              <w:pStyle w:val="49"/>
              <w:kinsoku/>
              <w:overflowPunct/>
              <w:topLinePunct w:val="0"/>
              <w:bidi w:val="0"/>
              <w:spacing w:line="360" w:lineRule="atLeast"/>
              <w:rPr>
                <w:rFonts w:hint="eastAsia" w:ascii="宋体" w:hAnsi="宋体" w:eastAsia="宋体" w:cs="宋体"/>
                <w:sz w:val="21"/>
                <w:szCs w:val="21"/>
              </w:rPr>
            </w:pPr>
          </w:p>
        </w:tc>
      </w:tr>
      <w:tr w14:paraId="4788F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0AD50F1D">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2B902EC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28</w:t>
            </w:r>
          </w:p>
        </w:tc>
        <w:tc>
          <w:tcPr>
            <w:tcW w:w="2034" w:type="dxa"/>
            <w:gridSpan w:val="2"/>
            <w:tcBorders>
              <w:tl2br w:val="nil"/>
              <w:tr2bl w:val="nil"/>
            </w:tcBorders>
            <w:vAlign w:val="center"/>
          </w:tcPr>
          <w:p w14:paraId="3AB87FB1">
            <w:pPr>
              <w:pStyle w:val="49"/>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小车断轴保护装置</w:t>
            </w:r>
          </w:p>
        </w:tc>
        <w:tc>
          <w:tcPr>
            <w:tcW w:w="3419" w:type="dxa"/>
            <w:gridSpan w:val="3"/>
            <w:tcBorders>
              <w:tl2br w:val="nil"/>
              <w:tr2bl w:val="nil"/>
            </w:tcBorders>
            <w:vAlign w:val="center"/>
          </w:tcPr>
          <w:p w14:paraId="6CB86915">
            <w:pPr>
              <w:pStyle w:val="49"/>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齐全，设置位置合理</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14:paraId="4731C888">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2ABB36F1">
            <w:pPr>
              <w:pStyle w:val="49"/>
              <w:kinsoku/>
              <w:overflowPunct/>
              <w:topLinePunct w:val="0"/>
              <w:bidi w:val="0"/>
              <w:spacing w:line="360" w:lineRule="atLeast"/>
              <w:rPr>
                <w:rFonts w:hint="eastAsia" w:ascii="宋体" w:hAnsi="宋体" w:eastAsia="宋体" w:cs="宋体"/>
                <w:sz w:val="21"/>
                <w:szCs w:val="21"/>
              </w:rPr>
            </w:pPr>
          </w:p>
        </w:tc>
      </w:tr>
      <w:tr w14:paraId="665FAC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558DB429">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01783729">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29</w:t>
            </w:r>
          </w:p>
        </w:tc>
        <w:tc>
          <w:tcPr>
            <w:tcW w:w="2034" w:type="dxa"/>
            <w:gridSpan w:val="2"/>
            <w:tcBorders>
              <w:tl2br w:val="nil"/>
              <w:tr2bl w:val="nil"/>
            </w:tcBorders>
            <w:vAlign w:val="center"/>
          </w:tcPr>
          <w:p w14:paraId="2631F626">
            <w:pPr>
              <w:pStyle w:val="49"/>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小车变幅检修挂篮</w:t>
            </w:r>
          </w:p>
        </w:tc>
        <w:tc>
          <w:tcPr>
            <w:tcW w:w="3419" w:type="dxa"/>
            <w:gridSpan w:val="3"/>
            <w:tcBorders>
              <w:tl2br w:val="nil"/>
              <w:tr2bl w:val="nil"/>
            </w:tcBorders>
            <w:vAlign w:val="center"/>
          </w:tcPr>
          <w:p w14:paraId="1E0CEFB7">
            <w:pPr>
              <w:pStyle w:val="49"/>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连接可靠</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14:paraId="4877C10B">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0490E2E7">
            <w:pPr>
              <w:pStyle w:val="49"/>
              <w:kinsoku/>
              <w:overflowPunct/>
              <w:topLinePunct w:val="0"/>
              <w:bidi w:val="0"/>
              <w:spacing w:line="360" w:lineRule="atLeast"/>
              <w:rPr>
                <w:rFonts w:hint="eastAsia" w:ascii="宋体" w:hAnsi="宋体" w:eastAsia="宋体" w:cs="宋体"/>
                <w:sz w:val="21"/>
                <w:szCs w:val="21"/>
              </w:rPr>
            </w:pPr>
          </w:p>
        </w:tc>
      </w:tr>
      <w:tr w14:paraId="735D69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4BCD9FBF">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2BCA61A4">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30</w:t>
            </w:r>
          </w:p>
        </w:tc>
        <w:tc>
          <w:tcPr>
            <w:tcW w:w="2034" w:type="dxa"/>
            <w:gridSpan w:val="2"/>
            <w:tcBorders>
              <w:tl2br w:val="nil"/>
              <w:tr2bl w:val="nil"/>
            </w:tcBorders>
            <w:vAlign w:val="center"/>
          </w:tcPr>
          <w:p w14:paraId="5633F275">
            <w:pPr>
              <w:pStyle w:val="49"/>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小车变幅限位和终端止挡装置</w:t>
            </w:r>
          </w:p>
        </w:tc>
        <w:tc>
          <w:tcPr>
            <w:tcW w:w="3419" w:type="dxa"/>
            <w:gridSpan w:val="3"/>
            <w:tcBorders>
              <w:tl2br w:val="nil"/>
              <w:tr2bl w:val="nil"/>
            </w:tcBorders>
            <w:vAlign w:val="center"/>
          </w:tcPr>
          <w:p w14:paraId="7B52CFEA">
            <w:pPr>
              <w:pStyle w:val="49"/>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对小车变幅的塔机，设置小车行程限位开关和终端缓冲装置。限位开关动作后应保证小车停车时其端部距缓冲装置最小距离为200mm</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14:paraId="361E949E">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2807DDD4">
            <w:pPr>
              <w:pStyle w:val="49"/>
              <w:kinsoku/>
              <w:overflowPunct/>
              <w:topLinePunct w:val="0"/>
              <w:bidi w:val="0"/>
              <w:spacing w:line="360" w:lineRule="atLeast"/>
              <w:rPr>
                <w:rFonts w:hint="eastAsia" w:ascii="宋体" w:hAnsi="宋体" w:eastAsia="宋体" w:cs="宋体"/>
                <w:sz w:val="21"/>
                <w:szCs w:val="21"/>
              </w:rPr>
            </w:pPr>
          </w:p>
        </w:tc>
      </w:tr>
      <w:tr w14:paraId="65C996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069CE55B">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16DDD60E">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31</w:t>
            </w:r>
          </w:p>
        </w:tc>
        <w:tc>
          <w:tcPr>
            <w:tcW w:w="2034" w:type="dxa"/>
            <w:gridSpan w:val="2"/>
            <w:tcBorders>
              <w:tl2br w:val="nil"/>
              <w:tr2bl w:val="nil"/>
            </w:tcBorders>
            <w:vAlign w:val="center"/>
          </w:tcPr>
          <w:p w14:paraId="7CF65B47">
            <w:pPr>
              <w:pStyle w:val="49"/>
              <w:kinsoku/>
              <w:overflowPunct/>
              <w:topLinePunct w:val="0"/>
              <w:bidi w:val="0"/>
              <w:spacing w:line="360" w:lineRule="atLeast"/>
              <w:jc w:val="lef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动臂式变幅限位和防臂架后翻装置</w:t>
            </w:r>
          </w:p>
        </w:tc>
        <w:tc>
          <w:tcPr>
            <w:tcW w:w="3419" w:type="dxa"/>
            <w:gridSpan w:val="3"/>
            <w:tcBorders>
              <w:tl2br w:val="nil"/>
              <w:tr2bl w:val="nil"/>
            </w:tcBorders>
            <w:vAlign w:val="center"/>
          </w:tcPr>
          <w:p w14:paraId="0B52C1A7">
            <w:pPr>
              <w:pStyle w:val="49"/>
              <w:kinsoku/>
              <w:overflowPunct/>
              <w:topLinePunct w:val="0"/>
              <w:bidi w:val="0"/>
              <w:spacing w:line="360" w:lineRule="atLeast"/>
              <w:jc w:val="left"/>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动臂变幅有最大和最小幅度限位器，限制范围符合使用说明书要求；防止臂架反弹后翻的装置牢固可靠</w:t>
            </w:r>
            <w:r>
              <w:rPr>
                <w:rFonts w:hint="eastAsia" w:ascii="宋体" w:hAnsi="宋体" w:eastAsia="宋体" w:cs="宋体"/>
                <w:color w:val="000000" w:themeColor="text1"/>
                <w:sz w:val="21"/>
                <w:szCs w:val="21"/>
                <w:lang w:eastAsia="zh-CN"/>
                <w14:textFill>
                  <w14:solidFill>
                    <w14:schemeClr w14:val="tx1"/>
                  </w14:solidFill>
                </w14:textFill>
              </w:rPr>
              <w:t>。</w:t>
            </w:r>
          </w:p>
        </w:tc>
        <w:tc>
          <w:tcPr>
            <w:tcW w:w="1103" w:type="dxa"/>
            <w:tcBorders>
              <w:tl2br w:val="nil"/>
              <w:tr2bl w:val="nil"/>
            </w:tcBorders>
            <w:vAlign w:val="center"/>
          </w:tcPr>
          <w:p w14:paraId="655D65F3">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64FBC2CA">
            <w:pPr>
              <w:pStyle w:val="49"/>
              <w:kinsoku/>
              <w:overflowPunct/>
              <w:topLinePunct w:val="0"/>
              <w:bidi w:val="0"/>
              <w:spacing w:line="360" w:lineRule="atLeast"/>
              <w:rPr>
                <w:rFonts w:hint="eastAsia" w:ascii="宋体" w:hAnsi="宋体" w:eastAsia="宋体" w:cs="宋体"/>
                <w:sz w:val="21"/>
                <w:szCs w:val="21"/>
              </w:rPr>
            </w:pPr>
          </w:p>
        </w:tc>
      </w:tr>
      <w:tr w14:paraId="06BB89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restart"/>
            <w:tcBorders>
              <w:tl2br w:val="nil"/>
              <w:tr2bl w:val="nil"/>
            </w:tcBorders>
            <w:vAlign w:val="center"/>
          </w:tcPr>
          <w:p w14:paraId="0A49E6E1">
            <w:pPr>
              <w:pStyle w:val="49"/>
              <w:kinsoku/>
              <w:overflowPunct/>
              <w:topLinePunct w:val="0"/>
              <w:bidi w:val="0"/>
              <w:spacing w:line="360" w:lineRule="atLeast"/>
              <w:rPr>
                <w:rFonts w:hint="eastAsia" w:ascii="宋体" w:hAnsi="宋体" w:eastAsia="宋体" w:cs="宋体"/>
                <w:sz w:val="21"/>
                <w:szCs w:val="21"/>
              </w:rPr>
            </w:pPr>
          </w:p>
          <w:p w14:paraId="63889FDD">
            <w:pPr>
              <w:pStyle w:val="49"/>
              <w:kinsoku/>
              <w:overflowPunct/>
              <w:topLinePunct w:val="0"/>
              <w:bidi w:val="0"/>
              <w:spacing w:line="360" w:lineRule="atLeast"/>
              <w:rPr>
                <w:rFonts w:hint="eastAsia" w:ascii="宋体" w:hAnsi="宋体" w:eastAsia="宋体" w:cs="宋体"/>
                <w:sz w:val="21"/>
                <w:szCs w:val="21"/>
              </w:rPr>
            </w:pPr>
          </w:p>
          <w:p w14:paraId="2092B835">
            <w:pPr>
              <w:pStyle w:val="49"/>
              <w:kinsoku/>
              <w:overflowPunct/>
              <w:topLinePunct w:val="0"/>
              <w:bidi w:val="0"/>
              <w:spacing w:line="360" w:lineRule="atLeast"/>
              <w:rPr>
                <w:rFonts w:hint="eastAsia" w:ascii="宋体" w:hAnsi="宋体" w:eastAsia="宋体" w:cs="宋体"/>
                <w:sz w:val="21"/>
                <w:szCs w:val="21"/>
              </w:rPr>
            </w:pPr>
          </w:p>
          <w:p w14:paraId="25CFE952">
            <w:pPr>
              <w:pStyle w:val="49"/>
              <w:kinsoku/>
              <w:overflowPunct/>
              <w:topLinePunct w:val="0"/>
              <w:bidi w:val="0"/>
              <w:spacing w:line="360" w:lineRule="atLeast"/>
              <w:rPr>
                <w:rFonts w:hint="eastAsia" w:ascii="宋体" w:hAnsi="宋体" w:eastAsia="宋体" w:cs="宋体"/>
                <w:sz w:val="21"/>
                <w:szCs w:val="21"/>
              </w:rPr>
            </w:pPr>
          </w:p>
          <w:p w14:paraId="7EF6253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机构及</w:t>
            </w:r>
          </w:p>
          <w:p w14:paraId="7A84E6E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零部件</w:t>
            </w:r>
          </w:p>
          <w:p w14:paraId="1960B9DB">
            <w:pPr>
              <w:pStyle w:val="49"/>
              <w:kinsoku/>
              <w:overflowPunct/>
              <w:topLinePunct w:val="0"/>
              <w:bidi w:val="0"/>
              <w:spacing w:line="360" w:lineRule="atLeast"/>
              <w:rPr>
                <w:rFonts w:hint="eastAsia" w:ascii="宋体" w:hAnsi="宋体" w:eastAsia="宋体" w:cs="宋体"/>
                <w:sz w:val="21"/>
                <w:szCs w:val="21"/>
              </w:rPr>
            </w:pPr>
          </w:p>
          <w:p w14:paraId="33984732">
            <w:pPr>
              <w:pStyle w:val="49"/>
              <w:kinsoku/>
              <w:overflowPunct/>
              <w:topLinePunct w:val="0"/>
              <w:bidi w:val="0"/>
              <w:spacing w:line="360" w:lineRule="atLeast"/>
              <w:rPr>
                <w:rFonts w:hint="eastAsia" w:ascii="宋体" w:hAnsi="宋体" w:eastAsia="宋体" w:cs="宋体"/>
                <w:sz w:val="21"/>
                <w:szCs w:val="21"/>
              </w:rPr>
            </w:pPr>
          </w:p>
          <w:p w14:paraId="7BDE265D">
            <w:pPr>
              <w:pStyle w:val="49"/>
              <w:kinsoku/>
              <w:overflowPunct/>
              <w:topLinePunct w:val="0"/>
              <w:bidi w:val="0"/>
              <w:spacing w:line="360" w:lineRule="atLeast"/>
              <w:rPr>
                <w:rFonts w:hint="eastAsia" w:ascii="宋体" w:hAnsi="宋体" w:eastAsia="宋体" w:cs="宋体"/>
                <w:sz w:val="21"/>
                <w:szCs w:val="21"/>
              </w:rPr>
            </w:pPr>
          </w:p>
          <w:p w14:paraId="3423A3E3">
            <w:pPr>
              <w:pStyle w:val="49"/>
              <w:kinsoku/>
              <w:overflowPunct/>
              <w:topLinePunct w:val="0"/>
              <w:bidi w:val="0"/>
              <w:spacing w:line="360" w:lineRule="atLeast"/>
              <w:rPr>
                <w:rFonts w:hint="eastAsia" w:ascii="宋体" w:hAnsi="宋体" w:eastAsia="宋体" w:cs="宋体"/>
                <w:sz w:val="21"/>
                <w:szCs w:val="21"/>
              </w:rPr>
            </w:pPr>
          </w:p>
          <w:p w14:paraId="6CFEB311">
            <w:pPr>
              <w:pStyle w:val="49"/>
              <w:kinsoku/>
              <w:overflowPunct/>
              <w:topLinePunct w:val="0"/>
              <w:bidi w:val="0"/>
              <w:spacing w:line="360" w:lineRule="atLeast"/>
              <w:rPr>
                <w:rFonts w:hint="eastAsia" w:ascii="宋体" w:hAnsi="宋体" w:eastAsia="宋体" w:cs="宋体"/>
                <w:sz w:val="21"/>
                <w:szCs w:val="21"/>
              </w:rPr>
            </w:pPr>
          </w:p>
          <w:p w14:paraId="5E01A242">
            <w:pPr>
              <w:pStyle w:val="49"/>
              <w:kinsoku/>
              <w:overflowPunct/>
              <w:topLinePunct w:val="0"/>
              <w:bidi w:val="0"/>
              <w:spacing w:line="360" w:lineRule="atLeast"/>
              <w:rPr>
                <w:rFonts w:hint="eastAsia" w:ascii="宋体" w:hAnsi="宋体" w:eastAsia="宋体" w:cs="宋体"/>
                <w:sz w:val="21"/>
                <w:szCs w:val="21"/>
              </w:rPr>
            </w:pPr>
          </w:p>
          <w:p w14:paraId="7B22E88E">
            <w:pPr>
              <w:pStyle w:val="49"/>
              <w:kinsoku/>
              <w:overflowPunct/>
              <w:topLinePunct w:val="0"/>
              <w:bidi w:val="0"/>
              <w:spacing w:line="360" w:lineRule="atLeast"/>
              <w:rPr>
                <w:rFonts w:hint="eastAsia" w:ascii="宋体" w:hAnsi="宋体" w:eastAsia="宋体" w:cs="宋体"/>
                <w:sz w:val="21"/>
                <w:szCs w:val="21"/>
              </w:rPr>
            </w:pPr>
          </w:p>
          <w:p w14:paraId="39F6B54C">
            <w:pPr>
              <w:pStyle w:val="49"/>
              <w:kinsoku/>
              <w:overflowPunct/>
              <w:topLinePunct w:val="0"/>
              <w:bidi w:val="0"/>
              <w:spacing w:line="360" w:lineRule="atLeast"/>
              <w:rPr>
                <w:rFonts w:hint="eastAsia" w:ascii="宋体" w:hAnsi="宋体" w:eastAsia="宋体" w:cs="宋体"/>
                <w:sz w:val="21"/>
                <w:szCs w:val="21"/>
              </w:rPr>
            </w:pPr>
          </w:p>
          <w:p w14:paraId="781A2880">
            <w:pPr>
              <w:pStyle w:val="49"/>
              <w:kinsoku/>
              <w:overflowPunct/>
              <w:topLinePunct w:val="0"/>
              <w:bidi w:val="0"/>
              <w:spacing w:line="360" w:lineRule="atLeast"/>
              <w:rPr>
                <w:rFonts w:hint="eastAsia" w:ascii="宋体" w:hAnsi="宋体" w:eastAsia="宋体" w:cs="宋体"/>
                <w:sz w:val="21"/>
                <w:szCs w:val="21"/>
              </w:rPr>
            </w:pPr>
          </w:p>
          <w:p w14:paraId="1CC41662">
            <w:pPr>
              <w:pStyle w:val="49"/>
              <w:kinsoku/>
              <w:overflowPunct/>
              <w:topLinePunct w:val="0"/>
              <w:bidi w:val="0"/>
              <w:spacing w:line="360" w:lineRule="atLeast"/>
              <w:rPr>
                <w:rFonts w:hint="eastAsia" w:ascii="宋体" w:hAnsi="宋体" w:eastAsia="宋体" w:cs="宋体"/>
                <w:sz w:val="21"/>
                <w:szCs w:val="21"/>
              </w:rPr>
            </w:pPr>
          </w:p>
          <w:p w14:paraId="20B9D71F">
            <w:pPr>
              <w:pStyle w:val="49"/>
              <w:kinsoku/>
              <w:overflowPunct/>
              <w:topLinePunct w:val="0"/>
              <w:bidi w:val="0"/>
              <w:spacing w:line="360" w:lineRule="atLeast"/>
              <w:rPr>
                <w:rFonts w:hint="eastAsia" w:ascii="宋体" w:hAnsi="宋体" w:eastAsia="宋体" w:cs="宋体"/>
                <w:sz w:val="21"/>
                <w:szCs w:val="21"/>
              </w:rPr>
            </w:pPr>
          </w:p>
          <w:p w14:paraId="397E4D29">
            <w:pPr>
              <w:pStyle w:val="49"/>
              <w:kinsoku/>
              <w:overflowPunct/>
              <w:topLinePunct w:val="0"/>
              <w:bidi w:val="0"/>
              <w:spacing w:line="360" w:lineRule="atLeast"/>
              <w:rPr>
                <w:rFonts w:hint="eastAsia" w:ascii="宋体" w:hAnsi="宋体" w:eastAsia="宋体" w:cs="宋体"/>
                <w:sz w:val="21"/>
                <w:szCs w:val="21"/>
              </w:rPr>
            </w:pPr>
          </w:p>
          <w:p w14:paraId="21D57679">
            <w:pPr>
              <w:pStyle w:val="49"/>
              <w:kinsoku/>
              <w:overflowPunct/>
              <w:topLinePunct w:val="0"/>
              <w:bidi w:val="0"/>
              <w:spacing w:line="360" w:lineRule="atLeast"/>
              <w:rPr>
                <w:rFonts w:hint="eastAsia" w:ascii="宋体" w:hAnsi="宋体" w:eastAsia="宋体" w:cs="宋体"/>
                <w:sz w:val="21"/>
                <w:szCs w:val="21"/>
              </w:rPr>
            </w:pPr>
          </w:p>
          <w:p w14:paraId="7032A814">
            <w:pPr>
              <w:pStyle w:val="49"/>
              <w:kinsoku/>
              <w:overflowPunct/>
              <w:topLinePunct w:val="0"/>
              <w:bidi w:val="0"/>
              <w:spacing w:line="360" w:lineRule="atLeast"/>
              <w:rPr>
                <w:rFonts w:hint="eastAsia" w:ascii="宋体" w:hAnsi="宋体" w:eastAsia="宋体" w:cs="宋体"/>
                <w:sz w:val="21"/>
                <w:szCs w:val="21"/>
              </w:rPr>
            </w:pPr>
          </w:p>
          <w:p w14:paraId="1B28E7C3">
            <w:pPr>
              <w:pStyle w:val="49"/>
              <w:kinsoku/>
              <w:overflowPunct/>
              <w:topLinePunct w:val="0"/>
              <w:bidi w:val="0"/>
              <w:spacing w:line="360" w:lineRule="atLeast"/>
              <w:rPr>
                <w:rFonts w:hint="eastAsia" w:ascii="宋体" w:hAnsi="宋体" w:eastAsia="宋体" w:cs="宋体"/>
                <w:sz w:val="21"/>
                <w:szCs w:val="21"/>
              </w:rPr>
            </w:pPr>
          </w:p>
          <w:p w14:paraId="218D97C9">
            <w:pPr>
              <w:pStyle w:val="49"/>
              <w:kinsoku/>
              <w:overflowPunct/>
              <w:topLinePunct w:val="0"/>
              <w:bidi w:val="0"/>
              <w:spacing w:line="360" w:lineRule="atLeast"/>
              <w:rPr>
                <w:rFonts w:hint="eastAsia" w:ascii="宋体" w:hAnsi="宋体" w:eastAsia="宋体" w:cs="宋体"/>
                <w:sz w:val="21"/>
                <w:szCs w:val="21"/>
              </w:rPr>
            </w:pPr>
          </w:p>
          <w:p w14:paraId="3B9DF4A7">
            <w:pPr>
              <w:pStyle w:val="49"/>
              <w:kinsoku/>
              <w:overflowPunct/>
              <w:topLinePunct w:val="0"/>
              <w:bidi w:val="0"/>
              <w:spacing w:line="360" w:lineRule="atLeast"/>
              <w:rPr>
                <w:rFonts w:hint="eastAsia" w:ascii="宋体" w:hAnsi="宋体" w:eastAsia="宋体" w:cs="宋体"/>
                <w:sz w:val="21"/>
                <w:szCs w:val="21"/>
              </w:rPr>
            </w:pPr>
          </w:p>
          <w:p w14:paraId="207F5A67">
            <w:pPr>
              <w:pStyle w:val="49"/>
              <w:kinsoku/>
              <w:overflowPunct/>
              <w:topLinePunct w:val="0"/>
              <w:bidi w:val="0"/>
              <w:spacing w:line="360" w:lineRule="atLeast"/>
              <w:rPr>
                <w:rFonts w:hint="eastAsia" w:ascii="宋体" w:hAnsi="宋体" w:eastAsia="宋体" w:cs="宋体"/>
                <w:sz w:val="21"/>
                <w:szCs w:val="21"/>
              </w:rPr>
            </w:pPr>
          </w:p>
          <w:p w14:paraId="53DF8924">
            <w:pPr>
              <w:pStyle w:val="49"/>
              <w:kinsoku/>
              <w:overflowPunct/>
              <w:topLinePunct w:val="0"/>
              <w:bidi w:val="0"/>
              <w:spacing w:line="360" w:lineRule="atLeast"/>
              <w:rPr>
                <w:rFonts w:hint="eastAsia" w:ascii="宋体" w:hAnsi="宋体" w:eastAsia="宋体" w:cs="宋体"/>
                <w:sz w:val="21"/>
                <w:szCs w:val="21"/>
              </w:rPr>
            </w:pPr>
          </w:p>
          <w:p w14:paraId="3C82819C">
            <w:pPr>
              <w:pStyle w:val="49"/>
              <w:kinsoku/>
              <w:overflowPunct/>
              <w:topLinePunct w:val="0"/>
              <w:bidi w:val="0"/>
              <w:spacing w:line="360" w:lineRule="atLeast"/>
              <w:rPr>
                <w:rFonts w:hint="eastAsia" w:ascii="宋体" w:hAnsi="宋体" w:eastAsia="宋体" w:cs="宋体"/>
                <w:sz w:val="21"/>
                <w:szCs w:val="21"/>
              </w:rPr>
            </w:pPr>
          </w:p>
          <w:p w14:paraId="2B3796D7">
            <w:pPr>
              <w:pStyle w:val="49"/>
              <w:kinsoku/>
              <w:overflowPunct/>
              <w:topLinePunct w:val="0"/>
              <w:bidi w:val="0"/>
              <w:spacing w:line="360" w:lineRule="atLeast"/>
              <w:rPr>
                <w:rFonts w:hint="eastAsia" w:ascii="宋体" w:hAnsi="宋体" w:eastAsia="宋体" w:cs="宋体"/>
                <w:sz w:val="21"/>
                <w:szCs w:val="21"/>
              </w:rPr>
            </w:pPr>
          </w:p>
          <w:p w14:paraId="7C2A8493">
            <w:pPr>
              <w:pStyle w:val="49"/>
              <w:kinsoku/>
              <w:overflowPunct/>
              <w:topLinePunct w:val="0"/>
              <w:bidi w:val="0"/>
              <w:spacing w:line="360" w:lineRule="atLeast"/>
              <w:rPr>
                <w:rFonts w:hint="eastAsia" w:ascii="宋体" w:hAnsi="宋体" w:eastAsia="宋体" w:cs="宋体"/>
                <w:sz w:val="21"/>
                <w:szCs w:val="21"/>
              </w:rPr>
            </w:pPr>
          </w:p>
          <w:p w14:paraId="6451709E">
            <w:pPr>
              <w:pStyle w:val="49"/>
              <w:kinsoku/>
              <w:overflowPunct/>
              <w:topLinePunct w:val="0"/>
              <w:bidi w:val="0"/>
              <w:spacing w:line="360" w:lineRule="atLeast"/>
              <w:rPr>
                <w:rFonts w:hint="eastAsia" w:ascii="宋体" w:hAnsi="宋体" w:eastAsia="宋体" w:cs="宋体"/>
                <w:sz w:val="21"/>
                <w:szCs w:val="21"/>
              </w:rPr>
            </w:pPr>
          </w:p>
          <w:p w14:paraId="48CCA89D">
            <w:pPr>
              <w:pStyle w:val="49"/>
              <w:kinsoku/>
              <w:overflowPunct/>
              <w:topLinePunct w:val="0"/>
              <w:bidi w:val="0"/>
              <w:spacing w:line="360" w:lineRule="atLeast"/>
              <w:rPr>
                <w:rFonts w:hint="eastAsia" w:ascii="宋体" w:hAnsi="宋体" w:eastAsia="宋体" w:cs="宋体"/>
                <w:sz w:val="21"/>
                <w:szCs w:val="21"/>
              </w:rPr>
            </w:pPr>
          </w:p>
          <w:p w14:paraId="3A62C1EF">
            <w:pPr>
              <w:pStyle w:val="49"/>
              <w:kinsoku/>
              <w:overflowPunct/>
              <w:topLinePunct w:val="0"/>
              <w:bidi w:val="0"/>
              <w:spacing w:line="360" w:lineRule="atLeast"/>
              <w:rPr>
                <w:rFonts w:hint="eastAsia" w:ascii="宋体" w:hAnsi="宋体" w:eastAsia="宋体" w:cs="宋体"/>
                <w:sz w:val="21"/>
                <w:szCs w:val="21"/>
              </w:rPr>
            </w:pPr>
          </w:p>
          <w:p w14:paraId="6F40EDA5">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机构及</w:t>
            </w:r>
          </w:p>
          <w:p w14:paraId="5C756E5C">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零部件</w:t>
            </w:r>
          </w:p>
        </w:tc>
        <w:tc>
          <w:tcPr>
            <w:tcW w:w="666" w:type="dxa"/>
            <w:tcBorders>
              <w:tl2br w:val="nil"/>
              <w:tr2bl w:val="nil"/>
            </w:tcBorders>
            <w:vAlign w:val="center"/>
          </w:tcPr>
          <w:p w14:paraId="154DFE1A">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32</w:t>
            </w:r>
          </w:p>
        </w:tc>
        <w:tc>
          <w:tcPr>
            <w:tcW w:w="2034" w:type="dxa"/>
            <w:gridSpan w:val="2"/>
            <w:tcBorders>
              <w:tl2br w:val="nil"/>
              <w:tr2bl w:val="nil"/>
            </w:tcBorders>
            <w:vAlign w:val="center"/>
          </w:tcPr>
          <w:p w14:paraId="0090A6AE">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吊钩</w:t>
            </w:r>
          </w:p>
        </w:tc>
        <w:tc>
          <w:tcPr>
            <w:tcW w:w="3419" w:type="dxa"/>
            <w:gridSpan w:val="3"/>
            <w:tcBorders>
              <w:tl2br w:val="nil"/>
              <w:tr2bl w:val="nil"/>
            </w:tcBorders>
            <w:vAlign w:val="center"/>
          </w:tcPr>
          <w:p w14:paraId="5385A6FF">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钩体无裂纹、磨损、补焊，危险截面，钩筋无塑性变形</w:t>
            </w:r>
            <w:r>
              <w:rPr>
                <w:rFonts w:hint="eastAsia" w:ascii="宋体" w:hAnsi="宋体" w:eastAsia="宋体" w:cs="宋体"/>
                <w:sz w:val="21"/>
                <w:szCs w:val="21"/>
                <w:lang w:eastAsia="zh-CN"/>
              </w:rPr>
              <w:t>。</w:t>
            </w:r>
          </w:p>
        </w:tc>
        <w:tc>
          <w:tcPr>
            <w:tcW w:w="1103" w:type="dxa"/>
            <w:tcBorders>
              <w:tl2br w:val="nil"/>
              <w:tr2bl w:val="nil"/>
            </w:tcBorders>
            <w:vAlign w:val="center"/>
          </w:tcPr>
          <w:p w14:paraId="09FA4D5C">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5BA2B980">
            <w:pPr>
              <w:pStyle w:val="49"/>
              <w:kinsoku/>
              <w:overflowPunct/>
              <w:topLinePunct w:val="0"/>
              <w:bidi w:val="0"/>
              <w:spacing w:line="360" w:lineRule="atLeast"/>
              <w:rPr>
                <w:rFonts w:hint="eastAsia" w:ascii="宋体" w:hAnsi="宋体" w:eastAsia="宋体" w:cs="宋体"/>
                <w:sz w:val="21"/>
                <w:szCs w:val="21"/>
              </w:rPr>
            </w:pPr>
          </w:p>
        </w:tc>
      </w:tr>
      <w:tr w14:paraId="7AB53F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24C8A706">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1844942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33</w:t>
            </w:r>
          </w:p>
        </w:tc>
        <w:tc>
          <w:tcPr>
            <w:tcW w:w="2034" w:type="dxa"/>
            <w:gridSpan w:val="2"/>
            <w:tcBorders>
              <w:tl2br w:val="nil"/>
              <w:tr2bl w:val="nil"/>
            </w:tcBorders>
            <w:vAlign w:val="center"/>
          </w:tcPr>
          <w:p w14:paraId="3FB94C91">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吊钩防钢丝绳脱钩装置</w:t>
            </w:r>
          </w:p>
        </w:tc>
        <w:tc>
          <w:tcPr>
            <w:tcW w:w="3419" w:type="dxa"/>
            <w:gridSpan w:val="3"/>
            <w:tcBorders>
              <w:tl2br w:val="nil"/>
              <w:tr2bl w:val="nil"/>
            </w:tcBorders>
            <w:vAlign w:val="center"/>
          </w:tcPr>
          <w:p w14:paraId="31147EFA">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完整、可靠</w:t>
            </w:r>
            <w:r>
              <w:rPr>
                <w:rFonts w:hint="eastAsia" w:ascii="宋体" w:hAnsi="宋体" w:eastAsia="宋体" w:cs="宋体"/>
                <w:sz w:val="21"/>
                <w:szCs w:val="21"/>
                <w:lang w:eastAsia="zh-CN"/>
              </w:rPr>
              <w:t>。</w:t>
            </w:r>
          </w:p>
        </w:tc>
        <w:tc>
          <w:tcPr>
            <w:tcW w:w="1103" w:type="dxa"/>
            <w:tcBorders>
              <w:tl2br w:val="nil"/>
              <w:tr2bl w:val="nil"/>
            </w:tcBorders>
            <w:vAlign w:val="center"/>
          </w:tcPr>
          <w:p w14:paraId="780D4B43">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43A7F0C2">
            <w:pPr>
              <w:pStyle w:val="49"/>
              <w:kinsoku/>
              <w:overflowPunct/>
              <w:topLinePunct w:val="0"/>
              <w:bidi w:val="0"/>
              <w:spacing w:line="360" w:lineRule="atLeast"/>
              <w:rPr>
                <w:rFonts w:hint="eastAsia" w:ascii="宋体" w:hAnsi="宋体" w:eastAsia="宋体" w:cs="宋体"/>
                <w:sz w:val="21"/>
                <w:szCs w:val="21"/>
              </w:rPr>
            </w:pPr>
          </w:p>
        </w:tc>
      </w:tr>
      <w:tr w14:paraId="19366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4F4280D7">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6AD806F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34</w:t>
            </w:r>
          </w:p>
        </w:tc>
        <w:tc>
          <w:tcPr>
            <w:tcW w:w="2034" w:type="dxa"/>
            <w:gridSpan w:val="2"/>
            <w:tcBorders>
              <w:tl2br w:val="nil"/>
              <w:tr2bl w:val="nil"/>
            </w:tcBorders>
            <w:vAlign w:val="center"/>
          </w:tcPr>
          <w:p w14:paraId="1D214AD1">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滑轮</w:t>
            </w:r>
          </w:p>
        </w:tc>
        <w:tc>
          <w:tcPr>
            <w:tcW w:w="3419" w:type="dxa"/>
            <w:gridSpan w:val="3"/>
            <w:tcBorders>
              <w:tl2br w:val="nil"/>
              <w:tr2bl w:val="nil"/>
            </w:tcBorders>
            <w:vAlign w:val="center"/>
          </w:tcPr>
          <w:p w14:paraId="251341EB">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滑轮转动良好，出现下列情况应报废：</w:t>
            </w:r>
            <w:r>
              <w:rPr>
                <w:rFonts w:hint="eastAsia" w:ascii="宋体" w:hAnsi="宋体" w:eastAsia="宋体" w:cs="宋体"/>
                <w:sz w:val="21"/>
                <w:szCs w:val="21"/>
                <w:lang w:val="en-US" w:eastAsia="zh-CN"/>
              </w:rPr>
              <w:t>1</w:t>
            </w:r>
            <w:r>
              <w:rPr>
                <w:rFonts w:hint="eastAsia" w:ascii="宋体" w:hAnsi="宋体" w:eastAsia="宋体" w:cs="宋体"/>
                <w:sz w:val="21"/>
                <w:szCs w:val="21"/>
              </w:rPr>
              <w:t>.裂纹或轮缘破损；2.滑轮绳槽壁厚磨损量达原壁厚的20％；</w:t>
            </w:r>
            <w:r>
              <w:rPr>
                <w:rFonts w:hint="eastAsia" w:ascii="宋体" w:hAnsi="宋体" w:eastAsia="宋体" w:cs="宋体"/>
                <w:sz w:val="21"/>
                <w:szCs w:val="21"/>
                <w:lang w:val="en-US" w:eastAsia="zh-CN"/>
              </w:rPr>
              <w:t>3</w:t>
            </w:r>
            <w:r>
              <w:rPr>
                <w:rFonts w:hint="eastAsia" w:ascii="宋体" w:hAnsi="宋体" w:eastAsia="宋体" w:cs="宋体"/>
                <w:sz w:val="21"/>
                <w:szCs w:val="21"/>
              </w:rPr>
              <w:t>.滑轮槽底的磨损量超过相应钢丝绳直径的25％</w:t>
            </w:r>
            <w:r>
              <w:rPr>
                <w:rFonts w:hint="eastAsia" w:ascii="宋体" w:hAnsi="宋体" w:eastAsia="宋体" w:cs="宋体"/>
                <w:sz w:val="21"/>
                <w:szCs w:val="21"/>
                <w:lang w:eastAsia="zh-CN"/>
              </w:rPr>
              <w:t>。</w:t>
            </w:r>
          </w:p>
        </w:tc>
        <w:tc>
          <w:tcPr>
            <w:tcW w:w="1103" w:type="dxa"/>
            <w:tcBorders>
              <w:tl2br w:val="nil"/>
              <w:tr2bl w:val="nil"/>
            </w:tcBorders>
            <w:vAlign w:val="center"/>
          </w:tcPr>
          <w:p w14:paraId="77E25E00">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794ED56E">
            <w:pPr>
              <w:pStyle w:val="49"/>
              <w:kinsoku/>
              <w:overflowPunct/>
              <w:topLinePunct w:val="0"/>
              <w:bidi w:val="0"/>
              <w:spacing w:line="360" w:lineRule="atLeast"/>
              <w:rPr>
                <w:rFonts w:hint="eastAsia" w:ascii="宋体" w:hAnsi="宋体" w:eastAsia="宋体" w:cs="宋体"/>
                <w:sz w:val="21"/>
                <w:szCs w:val="21"/>
              </w:rPr>
            </w:pPr>
          </w:p>
        </w:tc>
      </w:tr>
      <w:tr w14:paraId="2606A0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4CCADB55">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3E7AE3B5">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35</w:t>
            </w:r>
          </w:p>
        </w:tc>
        <w:tc>
          <w:tcPr>
            <w:tcW w:w="2034" w:type="dxa"/>
            <w:gridSpan w:val="2"/>
            <w:tcBorders>
              <w:tl2br w:val="nil"/>
              <w:tr2bl w:val="nil"/>
            </w:tcBorders>
            <w:vAlign w:val="center"/>
          </w:tcPr>
          <w:p w14:paraId="4507CF31">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滑轮上钢丝绳防脱装置</w:t>
            </w:r>
          </w:p>
        </w:tc>
        <w:tc>
          <w:tcPr>
            <w:tcW w:w="3419" w:type="dxa"/>
            <w:gridSpan w:val="3"/>
            <w:tcBorders>
              <w:tl2br w:val="nil"/>
              <w:tr2bl w:val="nil"/>
            </w:tcBorders>
            <w:vAlign w:val="center"/>
          </w:tcPr>
          <w:p w14:paraId="77DF1709">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完整、可靠，该装置与滑轮最外缘的间隙不应超过钢丝绳直径的20％</w:t>
            </w:r>
            <w:r>
              <w:rPr>
                <w:rFonts w:hint="eastAsia" w:ascii="宋体" w:hAnsi="宋体" w:eastAsia="宋体" w:cs="宋体"/>
                <w:sz w:val="21"/>
                <w:szCs w:val="21"/>
                <w:lang w:eastAsia="zh-CN"/>
              </w:rPr>
              <w:t>。</w:t>
            </w:r>
          </w:p>
        </w:tc>
        <w:tc>
          <w:tcPr>
            <w:tcW w:w="1103" w:type="dxa"/>
            <w:tcBorders>
              <w:tl2br w:val="nil"/>
              <w:tr2bl w:val="nil"/>
            </w:tcBorders>
            <w:vAlign w:val="center"/>
          </w:tcPr>
          <w:p w14:paraId="385292B5">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5AFD1D47">
            <w:pPr>
              <w:pStyle w:val="49"/>
              <w:kinsoku/>
              <w:overflowPunct/>
              <w:topLinePunct w:val="0"/>
              <w:bidi w:val="0"/>
              <w:spacing w:line="360" w:lineRule="atLeast"/>
              <w:rPr>
                <w:rFonts w:hint="eastAsia" w:ascii="宋体" w:hAnsi="宋体" w:eastAsia="宋体" w:cs="宋体"/>
                <w:sz w:val="21"/>
                <w:szCs w:val="21"/>
              </w:rPr>
            </w:pPr>
          </w:p>
        </w:tc>
      </w:tr>
      <w:tr w14:paraId="5A0942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1F5466DB">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5F6D67F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36</w:t>
            </w:r>
          </w:p>
        </w:tc>
        <w:tc>
          <w:tcPr>
            <w:tcW w:w="2034" w:type="dxa"/>
            <w:gridSpan w:val="2"/>
            <w:tcBorders>
              <w:tl2br w:val="nil"/>
              <w:tr2bl w:val="nil"/>
            </w:tcBorders>
            <w:vAlign w:val="center"/>
          </w:tcPr>
          <w:p w14:paraId="4D276AEE">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卷筒</w:t>
            </w:r>
          </w:p>
        </w:tc>
        <w:tc>
          <w:tcPr>
            <w:tcW w:w="3419" w:type="dxa"/>
            <w:gridSpan w:val="3"/>
            <w:tcBorders>
              <w:tl2br w:val="nil"/>
              <w:tr2bl w:val="nil"/>
            </w:tcBorders>
            <w:vAlign w:val="center"/>
          </w:tcPr>
          <w:p w14:paraId="323D8F6D">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卷筒壁不应有裂纹。筒壁磨损量不应大于原壁厚的10％；多层缠绕的卷筒，端部应有比最外层钢丝绳高出2倍钢丝绳直径的凸缘</w:t>
            </w:r>
            <w:r>
              <w:rPr>
                <w:rFonts w:hint="eastAsia" w:ascii="宋体" w:hAnsi="宋体" w:eastAsia="宋体" w:cs="宋体"/>
                <w:sz w:val="21"/>
                <w:szCs w:val="21"/>
                <w:lang w:eastAsia="zh-CN"/>
              </w:rPr>
              <w:t>。</w:t>
            </w:r>
          </w:p>
        </w:tc>
        <w:tc>
          <w:tcPr>
            <w:tcW w:w="1103" w:type="dxa"/>
            <w:tcBorders>
              <w:tl2br w:val="nil"/>
              <w:tr2bl w:val="nil"/>
            </w:tcBorders>
            <w:vAlign w:val="center"/>
          </w:tcPr>
          <w:p w14:paraId="4030F7FE">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324C1E41">
            <w:pPr>
              <w:pStyle w:val="49"/>
              <w:kinsoku/>
              <w:overflowPunct/>
              <w:topLinePunct w:val="0"/>
              <w:bidi w:val="0"/>
              <w:spacing w:line="360" w:lineRule="atLeast"/>
              <w:rPr>
                <w:rFonts w:hint="eastAsia" w:ascii="宋体" w:hAnsi="宋体" w:eastAsia="宋体" w:cs="宋体"/>
                <w:sz w:val="21"/>
                <w:szCs w:val="21"/>
              </w:rPr>
            </w:pPr>
          </w:p>
        </w:tc>
      </w:tr>
      <w:tr w14:paraId="5F6247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23E92A37">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475107B5">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37</w:t>
            </w:r>
          </w:p>
        </w:tc>
        <w:tc>
          <w:tcPr>
            <w:tcW w:w="2034" w:type="dxa"/>
            <w:gridSpan w:val="2"/>
            <w:tcBorders>
              <w:tl2br w:val="nil"/>
              <w:tr2bl w:val="nil"/>
            </w:tcBorders>
            <w:vAlign w:val="center"/>
          </w:tcPr>
          <w:p w14:paraId="6904EB62">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卷筒上钢丝绳防脱装置</w:t>
            </w:r>
          </w:p>
        </w:tc>
        <w:tc>
          <w:tcPr>
            <w:tcW w:w="3419" w:type="dxa"/>
            <w:gridSpan w:val="3"/>
            <w:tcBorders>
              <w:tl2br w:val="nil"/>
              <w:tr2bl w:val="nil"/>
            </w:tcBorders>
            <w:vAlign w:val="center"/>
          </w:tcPr>
          <w:p w14:paraId="78CF3A05">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卷筒上钢丝绳</w:t>
            </w:r>
            <w:r>
              <w:rPr>
                <w:rFonts w:hint="eastAsia" w:ascii="宋体" w:hAnsi="宋体" w:eastAsia="宋体" w:cs="宋体"/>
                <w:sz w:val="21"/>
                <w:szCs w:val="21"/>
                <w:lang w:eastAsia="zh-CN"/>
              </w:rPr>
              <w:t>，</w:t>
            </w:r>
            <w:r>
              <w:rPr>
                <w:rFonts w:hint="eastAsia" w:ascii="宋体" w:hAnsi="宋体" w:eastAsia="宋体" w:cs="宋体"/>
                <w:sz w:val="21"/>
                <w:szCs w:val="21"/>
              </w:rPr>
              <w:t>应排列有序，设有防钢丝绳脱槽装置。该装置与卷筒最外缘的间隙不应超过钢丝绳直径的20%</w:t>
            </w:r>
            <w:r>
              <w:rPr>
                <w:rFonts w:hint="eastAsia" w:ascii="宋体" w:hAnsi="宋体" w:eastAsia="宋体" w:cs="宋体"/>
                <w:sz w:val="21"/>
                <w:szCs w:val="21"/>
                <w:lang w:eastAsia="zh-CN"/>
              </w:rPr>
              <w:t>。</w:t>
            </w:r>
          </w:p>
        </w:tc>
        <w:tc>
          <w:tcPr>
            <w:tcW w:w="1103" w:type="dxa"/>
            <w:tcBorders>
              <w:tl2br w:val="nil"/>
              <w:tr2bl w:val="nil"/>
            </w:tcBorders>
            <w:vAlign w:val="center"/>
          </w:tcPr>
          <w:p w14:paraId="02CF3EE5">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5B09AD5C">
            <w:pPr>
              <w:pStyle w:val="49"/>
              <w:kinsoku/>
              <w:overflowPunct/>
              <w:topLinePunct w:val="0"/>
              <w:bidi w:val="0"/>
              <w:spacing w:line="360" w:lineRule="atLeast"/>
              <w:rPr>
                <w:rFonts w:hint="eastAsia" w:ascii="宋体" w:hAnsi="宋体" w:eastAsia="宋体" w:cs="宋体"/>
                <w:sz w:val="21"/>
                <w:szCs w:val="21"/>
              </w:rPr>
            </w:pPr>
          </w:p>
        </w:tc>
      </w:tr>
      <w:tr w14:paraId="59FB1D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01AEAE7B">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6B565D4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38</w:t>
            </w:r>
          </w:p>
        </w:tc>
        <w:tc>
          <w:tcPr>
            <w:tcW w:w="2034" w:type="dxa"/>
            <w:gridSpan w:val="2"/>
            <w:tcBorders>
              <w:tl2br w:val="nil"/>
              <w:tr2bl w:val="nil"/>
            </w:tcBorders>
            <w:vAlign w:val="center"/>
          </w:tcPr>
          <w:p w14:paraId="0D5039D5">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钢丝绳端部固定</w:t>
            </w:r>
          </w:p>
        </w:tc>
        <w:tc>
          <w:tcPr>
            <w:tcW w:w="3419" w:type="dxa"/>
            <w:gridSpan w:val="3"/>
            <w:tcBorders>
              <w:tl2br w:val="nil"/>
              <w:tr2bl w:val="nil"/>
            </w:tcBorders>
            <w:vAlign w:val="center"/>
          </w:tcPr>
          <w:p w14:paraId="6D07C9B1">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符合使用说明书规定</w:t>
            </w:r>
            <w:r>
              <w:rPr>
                <w:rFonts w:hint="eastAsia" w:ascii="宋体" w:hAnsi="宋体" w:eastAsia="宋体" w:cs="宋体"/>
                <w:sz w:val="21"/>
                <w:szCs w:val="21"/>
                <w:lang w:eastAsia="zh-CN"/>
              </w:rPr>
              <w:t>。</w:t>
            </w:r>
          </w:p>
        </w:tc>
        <w:tc>
          <w:tcPr>
            <w:tcW w:w="1103" w:type="dxa"/>
            <w:tcBorders>
              <w:tl2br w:val="nil"/>
              <w:tr2bl w:val="nil"/>
            </w:tcBorders>
            <w:vAlign w:val="center"/>
          </w:tcPr>
          <w:p w14:paraId="57C0B849">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0BBC477B">
            <w:pPr>
              <w:pStyle w:val="49"/>
              <w:kinsoku/>
              <w:overflowPunct/>
              <w:topLinePunct w:val="0"/>
              <w:bidi w:val="0"/>
              <w:spacing w:line="360" w:lineRule="atLeast"/>
              <w:rPr>
                <w:rFonts w:hint="eastAsia" w:ascii="宋体" w:hAnsi="宋体" w:eastAsia="宋体" w:cs="宋体"/>
                <w:sz w:val="21"/>
                <w:szCs w:val="21"/>
              </w:rPr>
            </w:pPr>
          </w:p>
        </w:tc>
      </w:tr>
      <w:tr w14:paraId="34FE53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2511D30E">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26F9E2EC">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39</w:t>
            </w:r>
          </w:p>
        </w:tc>
        <w:tc>
          <w:tcPr>
            <w:tcW w:w="2034" w:type="dxa"/>
            <w:gridSpan w:val="2"/>
            <w:tcBorders>
              <w:tl2br w:val="nil"/>
              <w:tr2bl w:val="nil"/>
            </w:tcBorders>
            <w:vAlign w:val="center"/>
          </w:tcPr>
          <w:p w14:paraId="1F9E1074">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钢丝绳穿绕方式、润</w:t>
            </w:r>
          </w:p>
          <w:p w14:paraId="5F9C3350">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滑与干涉</w:t>
            </w:r>
          </w:p>
        </w:tc>
        <w:tc>
          <w:tcPr>
            <w:tcW w:w="3419" w:type="dxa"/>
            <w:gridSpan w:val="3"/>
            <w:tcBorders>
              <w:tl2br w:val="nil"/>
              <w:tr2bl w:val="nil"/>
            </w:tcBorders>
            <w:vAlign w:val="center"/>
          </w:tcPr>
          <w:p w14:paraId="0B0AD213">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穿绕正确，润滑良好，无干涉</w:t>
            </w:r>
            <w:r>
              <w:rPr>
                <w:rFonts w:hint="eastAsia" w:ascii="宋体" w:hAnsi="宋体" w:eastAsia="宋体" w:cs="宋体"/>
                <w:sz w:val="21"/>
                <w:szCs w:val="21"/>
                <w:lang w:eastAsia="zh-CN"/>
              </w:rPr>
              <w:t>。</w:t>
            </w:r>
          </w:p>
        </w:tc>
        <w:tc>
          <w:tcPr>
            <w:tcW w:w="1103" w:type="dxa"/>
            <w:tcBorders>
              <w:tl2br w:val="nil"/>
              <w:tr2bl w:val="nil"/>
            </w:tcBorders>
            <w:vAlign w:val="center"/>
          </w:tcPr>
          <w:p w14:paraId="60D8B19E">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0F1B5339">
            <w:pPr>
              <w:pStyle w:val="49"/>
              <w:kinsoku/>
              <w:overflowPunct/>
              <w:topLinePunct w:val="0"/>
              <w:bidi w:val="0"/>
              <w:spacing w:line="360" w:lineRule="atLeast"/>
              <w:rPr>
                <w:rFonts w:hint="eastAsia" w:ascii="宋体" w:hAnsi="宋体" w:eastAsia="宋体" w:cs="宋体"/>
                <w:sz w:val="21"/>
                <w:szCs w:val="21"/>
              </w:rPr>
            </w:pPr>
          </w:p>
        </w:tc>
      </w:tr>
      <w:tr w14:paraId="72D8F1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3AFEFCA6">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4E7FB509">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40</w:t>
            </w:r>
          </w:p>
        </w:tc>
        <w:tc>
          <w:tcPr>
            <w:tcW w:w="2034" w:type="dxa"/>
            <w:gridSpan w:val="2"/>
            <w:tcBorders>
              <w:tl2br w:val="nil"/>
              <w:tr2bl w:val="nil"/>
            </w:tcBorders>
            <w:vAlign w:val="center"/>
          </w:tcPr>
          <w:p w14:paraId="6AA2425A">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钢丝绳磨损量</w:t>
            </w:r>
          </w:p>
        </w:tc>
        <w:tc>
          <w:tcPr>
            <w:tcW w:w="3419" w:type="dxa"/>
            <w:gridSpan w:val="3"/>
            <w:tcBorders>
              <w:tl2br w:val="nil"/>
              <w:tr2bl w:val="nil"/>
            </w:tcBorders>
            <w:vAlign w:val="center"/>
          </w:tcPr>
          <w:p w14:paraId="4FA49EDB">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钢丝绳实测直径相对于公称直径减小7％或更多时，应报废</w:t>
            </w:r>
            <w:r>
              <w:rPr>
                <w:rFonts w:hint="eastAsia" w:ascii="宋体" w:hAnsi="宋体" w:eastAsia="宋体" w:cs="宋体"/>
                <w:sz w:val="21"/>
                <w:szCs w:val="21"/>
                <w:lang w:eastAsia="zh-CN"/>
              </w:rPr>
              <w:t>。</w:t>
            </w:r>
          </w:p>
        </w:tc>
        <w:tc>
          <w:tcPr>
            <w:tcW w:w="1103" w:type="dxa"/>
            <w:tcBorders>
              <w:tl2br w:val="nil"/>
              <w:tr2bl w:val="nil"/>
            </w:tcBorders>
            <w:vAlign w:val="center"/>
          </w:tcPr>
          <w:p w14:paraId="15E8FFC3">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22D19065">
            <w:pPr>
              <w:pStyle w:val="49"/>
              <w:kinsoku/>
              <w:overflowPunct/>
              <w:topLinePunct w:val="0"/>
              <w:bidi w:val="0"/>
              <w:spacing w:line="360" w:lineRule="atLeast"/>
              <w:rPr>
                <w:rFonts w:hint="eastAsia" w:ascii="宋体" w:hAnsi="宋体" w:eastAsia="宋体" w:cs="宋体"/>
                <w:sz w:val="21"/>
                <w:szCs w:val="21"/>
              </w:rPr>
            </w:pPr>
          </w:p>
        </w:tc>
      </w:tr>
      <w:tr w14:paraId="33B32A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284B0241">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356B2E5E">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41</w:t>
            </w:r>
          </w:p>
        </w:tc>
        <w:tc>
          <w:tcPr>
            <w:tcW w:w="2034" w:type="dxa"/>
            <w:gridSpan w:val="2"/>
            <w:tcBorders>
              <w:tl2br w:val="nil"/>
              <w:tr2bl w:val="nil"/>
            </w:tcBorders>
            <w:vAlign w:val="center"/>
          </w:tcPr>
          <w:p w14:paraId="4B8E90D4">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常用规格钢丝绳规定长度内达到报废标准的断丝数</w:t>
            </w:r>
          </w:p>
        </w:tc>
        <w:tc>
          <w:tcPr>
            <w:tcW w:w="3419" w:type="dxa"/>
            <w:gridSpan w:val="3"/>
            <w:tcBorders>
              <w:tl2br w:val="nil"/>
              <w:tr2bl w:val="nil"/>
            </w:tcBorders>
            <w:vAlign w:val="center"/>
          </w:tcPr>
          <w:p w14:paraId="5E574E35">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钢制滑轮上工作的圆股钢丝绳、抗扭钢丝绳中断丝根数的控制标准参照《起重</w:t>
            </w:r>
            <w:r>
              <w:rPr>
                <w:rFonts w:hint="eastAsia" w:ascii="宋体" w:hAnsi="宋体" w:eastAsia="宋体" w:cs="宋体"/>
                <w:color w:val="auto"/>
                <w:sz w:val="21"/>
                <w:szCs w:val="21"/>
              </w:rPr>
              <w:t>机用钢丝绳检验和报废实用规范》GB/T 5972</w:t>
            </w:r>
            <w:r>
              <w:rPr>
                <w:rFonts w:hint="eastAsia" w:ascii="宋体" w:hAnsi="宋体" w:eastAsia="宋体" w:cs="宋体"/>
                <w:color w:val="auto"/>
                <w:sz w:val="21"/>
                <w:szCs w:val="21"/>
                <w:lang w:val="en-US" w:eastAsia="zh-CN"/>
              </w:rPr>
              <w:t>-2023</w:t>
            </w:r>
            <w:r>
              <w:rPr>
                <w:rFonts w:hint="eastAsia" w:ascii="宋体" w:hAnsi="宋体" w:eastAsia="宋体" w:cs="宋体"/>
                <w:color w:val="auto"/>
                <w:sz w:val="21"/>
                <w:szCs w:val="21"/>
              </w:rPr>
              <w:t>，达到报废标准应报废</w:t>
            </w:r>
            <w:r>
              <w:rPr>
                <w:rFonts w:hint="eastAsia" w:ascii="宋体" w:hAnsi="宋体" w:eastAsia="宋体" w:cs="宋体"/>
                <w:color w:val="auto"/>
                <w:sz w:val="21"/>
                <w:szCs w:val="21"/>
                <w:lang w:eastAsia="zh-CN"/>
              </w:rPr>
              <w:t>。</w:t>
            </w:r>
          </w:p>
        </w:tc>
        <w:tc>
          <w:tcPr>
            <w:tcW w:w="1103" w:type="dxa"/>
            <w:tcBorders>
              <w:tl2br w:val="nil"/>
              <w:tr2bl w:val="nil"/>
            </w:tcBorders>
            <w:vAlign w:val="center"/>
          </w:tcPr>
          <w:p w14:paraId="4E1245FB">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3324E099">
            <w:pPr>
              <w:pStyle w:val="49"/>
              <w:kinsoku/>
              <w:overflowPunct/>
              <w:topLinePunct w:val="0"/>
              <w:bidi w:val="0"/>
              <w:spacing w:line="360" w:lineRule="atLeast"/>
              <w:rPr>
                <w:rFonts w:hint="eastAsia" w:ascii="宋体" w:hAnsi="宋体" w:eastAsia="宋体" w:cs="宋体"/>
                <w:sz w:val="21"/>
                <w:szCs w:val="21"/>
              </w:rPr>
            </w:pPr>
          </w:p>
        </w:tc>
      </w:tr>
      <w:tr w14:paraId="2174F4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77FEC810">
            <w:pPr>
              <w:pStyle w:val="49"/>
              <w:kinsoku/>
              <w:overflowPunct/>
              <w:topLinePunct w:val="0"/>
              <w:bidi w:val="0"/>
              <w:spacing w:line="360" w:lineRule="atLeast"/>
              <w:rPr>
                <w:rFonts w:hint="eastAsia" w:ascii="宋体" w:hAnsi="宋体" w:eastAsia="宋体" w:cs="宋体"/>
                <w:sz w:val="21"/>
                <w:szCs w:val="21"/>
              </w:rPr>
            </w:pPr>
          </w:p>
        </w:tc>
        <w:tc>
          <w:tcPr>
            <w:tcW w:w="666" w:type="dxa"/>
            <w:vMerge w:val="restart"/>
            <w:tcBorders>
              <w:tl2br w:val="nil"/>
              <w:tr2bl w:val="nil"/>
            </w:tcBorders>
            <w:vAlign w:val="center"/>
          </w:tcPr>
          <w:p w14:paraId="6D89FA36">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42</w:t>
            </w:r>
          </w:p>
        </w:tc>
        <w:tc>
          <w:tcPr>
            <w:tcW w:w="2034" w:type="dxa"/>
            <w:gridSpan w:val="2"/>
            <w:vMerge w:val="restart"/>
            <w:tcBorders>
              <w:tl2br w:val="nil"/>
              <w:tr2bl w:val="nil"/>
            </w:tcBorders>
            <w:vAlign w:val="center"/>
          </w:tcPr>
          <w:p w14:paraId="2B42FAAD">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钢丝绳的变形</w:t>
            </w:r>
          </w:p>
        </w:tc>
        <w:tc>
          <w:tcPr>
            <w:tcW w:w="3419" w:type="dxa"/>
            <w:gridSpan w:val="3"/>
            <w:tcBorders>
              <w:tl2br w:val="nil"/>
              <w:tr2bl w:val="nil"/>
            </w:tcBorders>
            <w:vAlign w:val="center"/>
          </w:tcPr>
          <w:p w14:paraId="42B5BEE0">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出现波浪形时，在钢丝绳长度不超过25d范围内，若波形幅度值达到4d／3或以上，则钢丝绳应报废</w:t>
            </w:r>
            <w:r>
              <w:rPr>
                <w:rFonts w:hint="eastAsia" w:ascii="宋体" w:hAnsi="宋体" w:eastAsia="宋体" w:cs="宋体"/>
                <w:sz w:val="21"/>
                <w:szCs w:val="21"/>
                <w:lang w:eastAsia="zh-CN"/>
              </w:rPr>
              <w:t>。</w:t>
            </w:r>
          </w:p>
        </w:tc>
        <w:tc>
          <w:tcPr>
            <w:tcW w:w="1103" w:type="dxa"/>
            <w:tcBorders>
              <w:tl2br w:val="nil"/>
              <w:tr2bl w:val="nil"/>
            </w:tcBorders>
            <w:vAlign w:val="center"/>
          </w:tcPr>
          <w:p w14:paraId="77E5DDA6">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0815D717">
            <w:pPr>
              <w:pStyle w:val="49"/>
              <w:kinsoku/>
              <w:overflowPunct/>
              <w:topLinePunct w:val="0"/>
              <w:bidi w:val="0"/>
              <w:spacing w:line="360" w:lineRule="atLeast"/>
              <w:rPr>
                <w:rFonts w:hint="eastAsia" w:ascii="宋体" w:hAnsi="宋体" w:eastAsia="宋体" w:cs="宋体"/>
                <w:sz w:val="21"/>
                <w:szCs w:val="21"/>
              </w:rPr>
            </w:pPr>
          </w:p>
        </w:tc>
      </w:tr>
      <w:tr w14:paraId="550FF1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5ED0D7EF">
            <w:pPr>
              <w:pStyle w:val="49"/>
              <w:kinsoku/>
              <w:overflowPunct/>
              <w:topLinePunct w:val="0"/>
              <w:bidi w:val="0"/>
              <w:spacing w:line="360" w:lineRule="atLeast"/>
              <w:rPr>
                <w:rFonts w:hint="eastAsia" w:ascii="宋体" w:hAnsi="宋体" w:eastAsia="宋体" w:cs="宋体"/>
                <w:sz w:val="21"/>
                <w:szCs w:val="21"/>
              </w:rPr>
            </w:pPr>
          </w:p>
        </w:tc>
        <w:tc>
          <w:tcPr>
            <w:tcW w:w="666" w:type="dxa"/>
            <w:vMerge w:val="continue"/>
            <w:tcBorders>
              <w:tl2br w:val="nil"/>
              <w:tr2bl w:val="nil"/>
            </w:tcBorders>
            <w:vAlign w:val="center"/>
          </w:tcPr>
          <w:p w14:paraId="5C4C88ED">
            <w:pPr>
              <w:pStyle w:val="49"/>
              <w:kinsoku/>
              <w:overflowPunct/>
              <w:topLinePunct w:val="0"/>
              <w:bidi w:val="0"/>
              <w:spacing w:line="360" w:lineRule="atLeast"/>
              <w:rPr>
                <w:rFonts w:hint="eastAsia" w:ascii="宋体" w:hAnsi="宋体" w:eastAsia="宋体" w:cs="宋体"/>
                <w:sz w:val="21"/>
                <w:szCs w:val="21"/>
              </w:rPr>
            </w:pPr>
          </w:p>
        </w:tc>
        <w:tc>
          <w:tcPr>
            <w:tcW w:w="2034" w:type="dxa"/>
            <w:gridSpan w:val="2"/>
            <w:vMerge w:val="continue"/>
            <w:tcBorders>
              <w:tl2br w:val="nil"/>
              <w:tr2bl w:val="nil"/>
            </w:tcBorders>
            <w:vAlign w:val="center"/>
          </w:tcPr>
          <w:p w14:paraId="31FD8D50">
            <w:pPr>
              <w:pStyle w:val="49"/>
              <w:kinsoku/>
              <w:overflowPunct/>
              <w:topLinePunct w:val="0"/>
              <w:bidi w:val="0"/>
              <w:spacing w:line="360" w:lineRule="atLeast"/>
              <w:jc w:val="left"/>
              <w:rPr>
                <w:rFonts w:hint="eastAsia" w:ascii="宋体" w:hAnsi="宋体" w:eastAsia="宋体" w:cs="宋体"/>
                <w:sz w:val="21"/>
                <w:szCs w:val="21"/>
              </w:rPr>
            </w:pPr>
          </w:p>
        </w:tc>
        <w:tc>
          <w:tcPr>
            <w:tcW w:w="3419" w:type="dxa"/>
            <w:gridSpan w:val="3"/>
            <w:tcBorders>
              <w:tl2br w:val="nil"/>
              <w:tr2bl w:val="nil"/>
            </w:tcBorders>
            <w:vAlign w:val="center"/>
          </w:tcPr>
          <w:p w14:paraId="7DA50602">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笼状畸变、绳股挤出或钢丝挤出变形严重的钢丝绳应报废</w:t>
            </w:r>
            <w:r>
              <w:rPr>
                <w:rFonts w:hint="eastAsia" w:ascii="宋体" w:hAnsi="宋体" w:eastAsia="宋体" w:cs="宋体"/>
                <w:sz w:val="21"/>
                <w:szCs w:val="21"/>
                <w:lang w:eastAsia="zh-CN"/>
              </w:rPr>
              <w:t>。</w:t>
            </w:r>
          </w:p>
        </w:tc>
        <w:tc>
          <w:tcPr>
            <w:tcW w:w="1103" w:type="dxa"/>
            <w:tcBorders>
              <w:tl2br w:val="nil"/>
              <w:tr2bl w:val="nil"/>
            </w:tcBorders>
            <w:vAlign w:val="center"/>
          </w:tcPr>
          <w:p w14:paraId="650F12D0">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54C2370C">
            <w:pPr>
              <w:pStyle w:val="49"/>
              <w:kinsoku/>
              <w:overflowPunct/>
              <w:topLinePunct w:val="0"/>
              <w:bidi w:val="0"/>
              <w:spacing w:line="360" w:lineRule="atLeast"/>
              <w:rPr>
                <w:rFonts w:hint="eastAsia" w:ascii="宋体" w:hAnsi="宋体" w:eastAsia="宋体" w:cs="宋体"/>
                <w:sz w:val="21"/>
                <w:szCs w:val="21"/>
              </w:rPr>
            </w:pPr>
          </w:p>
        </w:tc>
      </w:tr>
      <w:tr w14:paraId="338958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7C75E7E9">
            <w:pPr>
              <w:pStyle w:val="49"/>
              <w:kinsoku/>
              <w:overflowPunct/>
              <w:topLinePunct w:val="0"/>
              <w:bidi w:val="0"/>
              <w:spacing w:line="360" w:lineRule="atLeast"/>
              <w:rPr>
                <w:rFonts w:hint="eastAsia" w:ascii="宋体" w:hAnsi="宋体" w:eastAsia="宋体" w:cs="宋体"/>
                <w:sz w:val="21"/>
                <w:szCs w:val="21"/>
              </w:rPr>
            </w:pPr>
          </w:p>
        </w:tc>
        <w:tc>
          <w:tcPr>
            <w:tcW w:w="666" w:type="dxa"/>
            <w:vMerge w:val="continue"/>
            <w:tcBorders>
              <w:tl2br w:val="nil"/>
              <w:tr2bl w:val="nil"/>
            </w:tcBorders>
            <w:vAlign w:val="center"/>
          </w:tcPr>
          <w:p w14:paraId="77E01AEB">
            <w:pPr>
              <w:pStyle w:val="49"/>
              <w:kinsoku/>
              <w:overflowPunct/>
              <w:topLinePunct w:val="0"/>
              <w:bidi w:val="0"/>
              <w:spacing w:line="360" w:lineRule="atLeast"/>
              <w:rPr>
                <w:rFonts w:hint="eastAsia" w:ascii="宋体" w:hAnsi="宋体" w:eastAsia="宋体" w:cs="宋体"/>
                <w:sz w:val="21"/>
                <w:szCs w:val="21"/>
              </w:rPr>
            </w:pPr>
          </w:p>
        </w:tc>
        <w:tc>
          <w:tcPr>
            <w:tcW w:w="2034" w:type="dxa"/>
            <w:gridSpan w:val="2"/>
            <w:vMerge w:val="continue"/>
            <w:tcBorders>
              <w:tl2br w:val="nil"/>
              <w:tr2bl w:val="nil"/>
            </w:tcBorders>
            <w:vAlign w:val="center"/>
          </w:tcPr>
          <w:p w14:paraId="7841C414">
            <w:pPr>
              <w:pStyle w:val="49"/>
              <w:kinsoku/>
              <w:overflowPunct/>
              <w:topLinePunct w:val="0"/>
              <w:bidi w:val="0"/>
              <w:spacing w:line="360" w:lineRule="atLeast"/>
              <w:jc w:val="left"/>
              <w:rPr>
                <w:rFonts w:hint="eastAsia" w:ascii="宋体" w:hAnsi="宋体" w:eastAsia="宋体" w:cs="宋体"/>
                <w:sz w:val="21"/>
                <w:szCs w:val="21"/>
              </w:rPr>
            </w:pPr>
          </w:p>
        </w:tc>
        <w:tc>
          <w:tcPr>
            <w:tcW w:w="3419" w:type="dxa"/>
            <w:gridSpan w:val="3"/>
            <w:tcBorders>
              <w:tl2br w:val="nil"/>
              <w:tr2bl w:val="nil"/>
            </w:tcBorders>
            <w:vAlign w:val="center"/>
          </w:tcPr>
          <w:p w14:paraId="59E5E29E">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钢丝绳出现严重的扭结、压扁和弯折现象应报废</w:t>
            </w:r>
            <w:r>
              <w:rPr>
                <w:rFonts w:hint="eastAsia" w:ascii="宋体" w:hAnsi="宋体" w:eastAsia="宋体" w:cs="宋体"/>
                <w:sz w:val="21"/>
                <w:szCs w:val="21"/>
                <w:lang w:eastAsia="zh-CN"/>
              </w:rPr>
              <w:t>。</w:t>
            </w:r>
          </w:p>
        </w:tc>
        <w:tc>
          <w:tcPr>
            <w:tcW w:w="1103" w:type="dxa"/>
            <w:tcBorders>
              <w:tl2br w:val="nil"/>
              <w:tr2bl w:val="nil"/>
            </w:tcBorders>
            <w:vAlign w:val="center"/>
          </w:tcPr>
          <w:p w14:paraId="4F7AB890">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710B6EB3">
            <w:pPr>
              <w:pStyle w:val="49"/>
              <w:kinsoku/>
              <w:overflowPunct/>
              <w:topLinePunct w:val="0"/>
              <w:bidi w:val="0"/>
              <w:spacing w:line="360" w:lineRule="atLeast"/>
              <w:rPr>
                <w:rFonts w:hint="eastAsia" w:ascii="宋体" w:hAnsi="宋体" w:eastAsia="宋体" w:cs="宋体"/>
                <w:sz w:val="21"/>
                <w:szCs w:val="21"/>
              </w:rPr>
            </w:pPr>
          </w:p>
        </w:tc>
      </w:tr>
      <w:tr w14:paraId="31E763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10CC3A28">
            <w:pPr>
              <w:pStyle w:val="49"/>
              <w:kinsoku/>
              <w:overflowPunct/>
              <w:topLinePunct w:val="0"/>
              <w:bidi w:val="0"/>
              <w:spacing w:line="360" w:lineRule="atLeast"/>
              <w:rPr>
                <w:rFonts w:hint="eastAsia" w:ascii="宋体" w:hAnsi="宋体" w:eastAsia="宋体" w:cs="宋体"/>
                <w:sz w:val="21"/>
                <w:szCs w:val="21"/>
              </w:rPr>
            </w:pPr>
          </w:p>
        </w:tc>
        <w:tc>
          <w:tcPr>
            <w:tcW w:w="666" w:type="dxa"/>
            <w:vMerge w:val="continue"/>
            <w:tcBorders>
              <w:tl2br w:val="nil"/>
              <w:tr2bl w:val="nil"/>
            </w:tcBorders>
            <w:vAlign w:val="center"/>
          </w:tcPr>
          <w:p w14:paraId="4FC40FDD">
            <w:pPr>
              <w:pStyle w:val="49"/>
              <w:kinsoku/>
              <w:overflowPunct/>
              <w:topLinePunct w:val="0"/>
              <w:bidi w:val="0"/>
              <w:spacing w:line="360" w:lineRule="atLeast"/>
              <w:rPr>
                <w:rFonts w:hint="eastAsia" w:ascii="宋体" w:hAnsi="宋体" w:eastAsia="宋体" w:cs="宋体"/>
                <w:sz w:val="21"/>
                <w:szCs w:val="21"/>
              </w:rPr>
            </w:pPr>
          </w:p>
        </w:tc>
        <w:tc>
          <w:tcPr>
            <w:tcW w:w="2034" w:type="dxa"/>
            <w:gridSpan w:val="2"/>
            <w:vMerge w:val="continue"/>
            <w:tcBorders>
              <w:tl2br w:val="nil"/>
              <w:tr2bl w:val="nil"/>
            </w:tcBorders>
            <w:vAlign w:val="center"/>
          </w:tcPr>
          <w:p w14:paraId="35E4C1BA">
            <w:pPr>
              <w:pStyle w:val="49"/>
              <w:kinsoku/>
              <w:overflowPunct/>
              <w:topLinePunct w:val="0"/>
              <w:bidi w:val="0"/>
              <w:spacing w:line="360" w:lineRule="atLeast"/>
              <w:jc w:val="left"/>
              <w:rPr>
                <w:rFonts w:hint="eastAsia" w:ascii="宋体" w:hAnsi="宋体" w:eastAsia="宋体" w:cs="宋体"/>
                <w:sz w:val="21"/>
                <w:szCs w:val="21"/>
              </w:rPr>
            </w:pPr>
          </w:p>
        </w:tc>
        <w:tc>
          <w:tcPr>
            <w:tcW w:w="3419" w:type="dxa"/>
            <w:gridSpan w:val="3"/>
            <w:tcBorders>
              <w:tl2br w:val="nil"/>
              <w:tr2bl w:val="nil"/>
            </w:tcBorders>
            <w:vAlign w:val="center"/>
          </w:tcPr>
          <w:p w14:paraId="7D86D27A">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绳径局部严重增大或减小均应报废</w:t>
            </w:r>
            <w:r>
              <w:rPr>
                <w:rFonts w:hint="eastAsia" w:ascii="宋体" w:hAnsi="宋体" w:eastAsia="宋体" w:cs="宋体"/>
                <w:sz w:val="21"/>
                <w:szCs w:val="21"/>
                <w:lang w:eastAsia="zh-CN"/>
              </w:rPr>
              <w:t>。</w:t>
            </w:r>
          </w:p>
        </w:tc>
        <w:tc>
          <w:tcPr>
            <w:tcW w:w="1103" w:type="dxa"/>
            <w:tcBorders>
              <w:tl2br w:val="nil"/>
              <w:tr2bl w:val="nil"/>
            </w:tcBorders>
            <w:vAlign w:val="center"/>
          </w:tcPr>
          <w:p w14:paraId="27DDCD33">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20E75F9B">
            <w:pPr>
              <w:pStyle w:val="49"/>
              <w:kinsoku/>
              <w:overflowPunct/>
              <w:topLinePunct w:val="0"/>
              <w:bidi w:val="0"/>
              <w:spacing w:line="360" w:lineRule="atLeast"/>
              <w:rPr>
                <w:rFonts w:hint="eastAsia" w:ascii="宋体" w:hAnsi="宋体" w:eastAsia="宋体" w:cs="宋体"/>
                <w:sz w:val="21"/>
                <w:szCs w:val="21"/>
              </w:rPr>
            </w:pPr>
          </w:p>
        </w:tc>
      </w:tr>
      <w:tr w14:paraId="43D173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66CFD60A">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08F94AEA">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43</w:t>
            </w:r>
          </w:p>
        </w:tc>
        <w:tc>
          <w:tcPr>
            <w:tcW w:w="2034" w:type="dxa"/>
            <w:gridSpan w:val="2"/>
            <w:tcBorders>
              <w:tl2br w:val="nil"/>
              <w:tr2bl w:val="nil"/>
            </w:tcBorders>
            <w:vAlign w:val="center"/>
          </w:tcPr>
          <w:p w14:paraId="1EAB1EE6">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制动器</w:t>
            </w:r>
          </w:p>
        </w:tc>
        <w:tc>
          <w:tcPr>
            <w:tcW w:w="3419" w:type="dxa"/>
            <w:gridSpan w:val="3"/>
            <w:tcBorders>
              <w:tl2br w:val="nil"/>
              <w:tr2bl w:val="nil"/>
            </w:tcBorders>
            <w:vAlign w:val="center"/>
          </w:tcPr>
          <w:p w14:paraId="3C9F05EF">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起升、回转、变幅、行走机构都应配备制动器，制动器不应有裂纹、过度磨损、塑性变形、缺件等缺陷。调整适宜，制动平稳可靠</w:t>
            </w:r>
            <w:r>
              <w:rPr>
                <w:rFonts w:hint="eastAsia" w:ascii="宋体" w:hAnsi="宋体" w:eastAsia="宋体" w:cs="宋体"/>
                <w:sz w:val="21"/>
                <w:szCs w:val="21"/>
                <w:lang w:eastAsia="zh-CN"/>
              </w:rPr>
              <w:t>。</w:t>
            </w:r>
          </w:p>
        </w:tc>
        <w:tc>
          <w:tcPr>
            <w:tcW w:w="1103" w:type="dxa"/>
            <w:tcBorders>
              <w:tl2br w:val="nil"/>
              <w:tr2bl w:val="nil"/>
            </w:tcBorders>
            <w:vAlign w:val="center"/>
          </w:tcPr>
          <w:p w14:paraId="04F8D3A6">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099086E7">
            <w:pPr>
              <w:pStyle w:val="49"/>
              <w:kinsoku/>
              <w:overflowPunct/>
              <w:topLinePunct w:val="0"/>
              <w:bidi w:val="0"/>
              <w:spacing w:line="360" w:lineRule="atLeast"/>
              <w:rPr>
                <w:rFonts w:hint="eastAsia" w:ascii="宋体" w:hAnsi="宋体" w:eastAsia="宋体" w:cs="宋体"/>
                <w:sz w:val="21"/>
                <w:szCs w:val="21"/>
              </w:rPr>
            </w:pPr>
          </w:p>
        </w:tc>
      </w:tr>
      <w:tr w14:paraId="038661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6AE094BF">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269FE296">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44</w:t>
            </w:r>
          </w:p>
        </w:tc>
        <w:tc>
          <w:tcPr>
            <w:tcW w:w="2034" w:type="dxa"/>
            <w:gridSpan w:val="2"/>
            <w:tcBorders>
              <w:tl2br w:val="nil"/>
              <w:tr2bl w:val="nil"/>
            </w:tcBorders>
            <w:vAlign w:val="center"/>
          </w:tcPr>
          <w:p w14:paraId="1E8D1E43">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传动装置</w:t>
            </w:r>
          </w:p>
        </w:tc>
        <w:tc>
          <w:tcPr>
            <w:tcW w:w="3419" w:type="dxa"/>
            <w:gridSpan w:val="3"/>
            <w:tcBorders>
              <w:tl2br w:val="nil"/>
              <w:tr2bl w:val="nil"/>
            </w:tcBorders>
            <w:vAlign w:val="center"/>
          </w:tcPr>
          <w:p w14:paraId="5AE05046">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固定牢固，运行平稳</w:t>
            </w:r>
            <w:r>
              <w:rPr>
                <w:rFonts w:hint="eastAsia" w:ascii="宋体" w:hAnsi="宋体" w:eastAsia="宋体" w:cs="宋体"/>
                <w:sz w:val="21"/>
                <w:szCs w:val="21"/>
                <w:lang w:eastAsia="zh-CN"/>
              </w:rPr>
              <w:t>。</w:t>
            </w:r>
          </w:p>
        </w:tc>
        <w:tc>
          <w:tcPr>
            <w:tcW w:w="1103" w:type="dxa"/>
            <w:tcBorders>
              <w:tl2br w:val="nil"/>
              <w:tr2bl w:val="nil"/>
            </w:tcBorders>
            <w:vAlign w:val="center"/>
          </w:tcPr>
          <w:p w14:paraId="61B2DF99">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771376FB">
            <w:pPr>
              <w:pStyle w:val="49"/>
              <w:kinsoku/>
              <w:overflowPunct/>
              <w:topLinePunct w:val="0"/>
              <w:bidi w:val="0"/>
              <w:spacing w:line="360" w:lineRule="atLeast"/>
              <w:rPr>
                <w:rFonts w:hint="eastAsia" w:ascii="宋体" w:hAnsi="宋体" w:eastAsia="宋体" w:cs="宋体"/>
                <w:sz w:val="21"/>
                <w:szCs w:val="21"/>
              </w:rPr>
            </w:pPr>
          </w:p>
        </w:tc>
      </w:tr>
      <w:tr w14:paraId="2B326F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36748288">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04C1180A">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45</w:t>
            </w:r>
          </w:p>
        </w:tc>
        <w:tc>
          <w:tcPr>
            <w:tcW w:w="2034" w:type="dxa"/>
            <w:gridSpan w:val="2"/>
            <w:tcBorders>
              <w:tl2br w:val="nil"/>
              <w:tr2bl w:val="nil"/>
            </w:tcBorders>
            <w:vAlign w:val="center"/>
          </w:tcPr>
          <w:p w14:paraId="12073501">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有可能伤人的活动零部件外露部分</w:t>
            </w:r>
          </w:p>
        </w:tc>
        <w:tc>
          <w:tcPr>
            <w:tcW w:w="3419" w:type="dxa"/>
            <w:gridSpan w:val="3"/>
            <w:tcBorders>
              <w:tl2br w:val="nil"/>
              <w:tr2bl w:val="nil"/>
            </w:tcBorders>
            <w:vAlign w:val="center"/>
          </w:tcPr>
          <w:p w14:paraId="34A47546">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防护罩齐全</w:t>
            </w:r>
            <w:r>
              <w:rPr>
                <w:rFonts w:hint="eastAsia" w:ascii="宋体" w:hAnsi="宋体" w:eastAsia="宋体" w:cs="宋体"/>
                <w:sz w:val="21"/>
                <w:szCs w:val="21"/>
                <w:lang w:eastAsia="zh-CN"/>
              </w:rPr>
              <w:t>。</w:t>
            </w:r>
          </w:p>
        </w:tc>
        <w:tc>
          <w:tcPr>
            <w:tcW w:w="1103" w:type="dxa"/>
            <w:tcBorders>
              <w:tl2br w:val="nil"/>
              <w:tr2bl w:val="nil"/>
            </w:tcBorders>
            <w:vAlign w:val="center"/>
          </w:tcPr>
          <w:p w14:paraId="385603FB">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3FFDCDA1">
            <w:pPr>
              <w:pStyle w:val="49"/>
              <w:kinsoku/>
              <w:overflowPunct/>
              <w:topLinePunct w:val="0"/>
              <w:bidi w:val="0"/>
              <w:spacing w:line="360" w:lineRule="atLeast"/>
              <w:rPr>
                <w:rFonts w:hint="eastAsia" w:ascii="宋体" w:hAnsi="宋体" w:eastAsia="宋体" w:cs="宋体"/>
                <w:sz w:val="21"/>
                <w:szCs w:val="21"/>
              </w:rPr>
            </w:pPr>
          </w:p>
        </w:tc>
      </w:tr>
      <w:tr w14:paraId="4325AF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restart"/>
            <w:tcBorders>
              <w:tl2br w:val="nil"/>
              <w:tr2bl w:val="nil"/>
            </w:tcBorders>
            <w:vAlign w:val="center"/>
          </w:tcPr>
          <w:p w14:paraId="1B3EA280">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电气及保护</w:t>
            </w:r>
          </w:p>
        </w:tc>
        <w:tc>
          <w:tcPr>
            <w:tcW w:w="666" w:type="dxa"/>
            <w:tcBorders>
              <w:tl2br w:val="nil"/>
              <w:tr2bl w:val="nil"/>
            </w:tcBorders>
            <w:vAlign w:val="center"/>
          </w:tcPr>
          <w:p w14:paraId="3DB59DE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46</w:t>
            </w:r>
          </w:p>
        </w:tc>
        <w:tc>
          <w:tcPr>
            <w:tcW w:w="2034" w:type="dxa"/>
            <w:gridSpan w:val="2"/>
            <w:tcBorders>
              <w:tl2br w:val="nil"/>
              <w:tr2bl w:val="nil"/>
            </w:tcBorders>
            <w:vAlign w:val="center"/>
          </w:tcPr>
          <w:p w14:paraId="1902C9A5">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紧急断电开关</w:t>
            </w:r>
          </w:p>
        </w:tc>
        <w:tc>
          <w:tcPr>
            <w:tcW w:w="3419" w:type="dxa"/>
            <w:gridSpan w:val="3"/>
            <w:tcBorders>
              <w:tl2br w:val="nil"/>
              <w:tr2bl w:val="nil"/>
            </w:tcBorders>
            <w:vAlign w:val="center"/>
          </w:tcPr>
          <w:p w14:paraId="345A36FE">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非自动复位，有效，且便于司机操作</w:t>
            </w:r>
            <w:r>
              <w:rPr>
                <w:rFonts w:hint="eastAsia" w:ascii="宋体" w:hAnsi="宋体" w:eastAsia="宋体" w:cs="宋体"/>
                <w:sz w:val="21"/>
                <w:szCs w:val="21"/>
                <w:lang w:eastAsia="zh-CN"/>
              </w:rPr>
              <w:t>。</w:t>
            </w:r>
          </w:p>
        </w:tc>
        <w:tc>
          <w:tcPr>
            <w:tcW w:w="1103" w:type="dxa"/>
            <w:tcBorders>
              <w:tl2br w:val="nil"/>
              <w:tr2bl w:val="nil"/>
            </w:tcBorders>
            <w:vAlign w:val="center"/>
          </w:tcPr>
          <w:p w14:paraId="52A40E2B">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0C378E5F">
            <w:pPr>
              <w:pStyle w:val="49"/>
              <w:kinsoku/>
              <w:overflowPunct/>
              <w:topLinePunct w:val="0"/>
              <w:bidi w:val="0"/>
              <w:spacing w:line="360" w:lineRule="atLeast"/>
              <w:rPr>
                <w:rFonts w:hint="eastAsia" w:ascii="宋体" w:hAnsi="宋体" w:eastAsia="宋体" w:cs="宋体"/>
                <w:sz w:val="21"/>
                <w:szCs w:val="21"/>
              </w:rPr>
            </w:pPr>
          </w:p>
        </w:tc>
      </w:tr>
      <w:tr w14:paraId="2F0F91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70BC48A7">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0C2E7C74">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47</w:t>
            </w:r>
          </w:p>
        </w:tc>
        <w:tc>
          <w:tcPr>
            <w:tcW w:w="2034" w:type="dxa"/>
            <w:gridSpan w:val="2"/>
            <w:tcBorders>
              <w:tl2br w:val="nil"/>
              <w:tr2bl w:val="nil"/>
            </w:tcBorders>
            <w:vAlign w:val="center"/>
          </w:tcPr>
          <w:p w14:paraId="129DCAE3">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绝缘电阻</w:t>
            </w:r>
          </w:p>
        </w:tc>
        <w:tc>
          <w:tcPr>
            <w:tcW w:w="3419" w:type="dxa"/>
            <w:gridSpan w:val="3"/>
            <w:tcBorders>
              <w:tl2br w:val="nil"/>
              <w:tr2bl w:val="nil"/>
            </w:tcBorders>
            <w:vAlign w:val="center"/>
          </w:tcPr>
          <w:p w14:paraId="4746023A">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主电路和控制电路的对地绝缘电阻不应小于0.5MΩ</w:t>
            </w:r>
            <w:r>
              <w:rPr>
                <w:rFonts w:hint="eastAsia" w:ascii="宋体" w:hAnsi="宋体" w:eastAsia="宋体" w:cs="宋体"/>
                <w:sz w:val="21"/>
                <w:szCs w:val="21"/>
                <w:lang w:eastAsia="zh-CN"/>
              </w:rPr>
              <w:t>。</w:t>
            </w:r>
          </w:p>
        </w:tc>
        <w:tc>
          <w:tcPr>
            <w:tcW w:w="1103" w:type="dxa"/>
            <w:tcBorders>
              <w:tl2br w:val="nil"/>
              <w:tr2bl w:val="nil"/>
            </w:tcBorders>
            <w:vAlign w:val="center"/>
          </w:tcPr>
          <w:p w14:paraId="6F9D01BD">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4E4D2FB3">
            <w:pPr>
              <w:pStyle w:val="49"/>
              <w:kinsoku/>
              <w:overflowPunct/>
              <w:topLinePunct w:val="0"/>
              <w:bidi w:val="0"/>
              <w:spacing w:line="360" w:lineRule="atLeast"/>
              <w:rPr>
                <w:rFonts w:hint="eastAsia" w:ascii="宋体" w:hAnsi="宋体" w:eastAsia="宋体" w:cs="宋体"/>
                <w:sz w:val="21"/>
                <w:szCs w:val="21"/>
              </w:rPr>
            </w:pPr>
          </w:p>
        </w:tc>
      </w:tr>
      <w:tr w14:paraId="5134AC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62ABA6CE">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58D6C2B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48</w:t>
            </w:r>
          </w:p>
        </w:tc>
        <w:tc>
          <w:tcPr>
            <w:tcW w:w="2034" w:type="dxa"/>
            <w:gridSpan w:val="2"/>
            <w:tcBorders>
              <w:tl2br w:val="nil"/>
              <w:tr2bl w:val="nil"/>
            </w:tcBorders>
            <w:vAlign w:val="center"/>
          </w:tcPr>
          <w:p w14:paraId="4F5F18AD">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接地电阻</w:t>
            </w:r>
          </w:p>
        </w:tc>
        <w:tc>
          <w:tcPr>
            <w:tcW w:w="3419" w:type="dxa"/>
            <w:gridSpan w:val="3"/>
            <w:tcBorders>
              <w:tl2br w:val="nil"/>
              <w:tr2bl w:val="nil"/>
            </w:tcBorders>
            <w:vAlign w:val="center"/>
          </w:tcPr>
          <w:p w14:paraId="048AC9B5">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接地系统应便于复核检查，接地电阻不大于4Ω</w:t>
            </w:r>
            <w:r>
              <w:rPr>
                <w:rFonts w:hint="eastAsia" w:ascii="宋体" w:hAnsi="宋体" w:eastAsia="宋体" w:cs="宋体"/>
                <w:sz w:val="21"/>
                <w:szCs w:val="21"/>
                <w:lang w:eastAsia="zh-CN"/>
              </w:rPr>
              <w:t>。</w:t>
            </w:r>
          </w:p>
        </w:tc>
        <w:tc>
          <w:tcPr>
            <w:tcW w:w="1103" w:type="dxa"/>
            <w:tcBorders>
              <w:tl2br w:val="nil"/>
              <w:tr2bl w:val="nil"/>
            </w:tcBorders>
            <w:vAlign w:val="center"/>
          </w:tcPr>
          <w:p w14:paraId="12D2D944">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6E0E0E65">
            <w:pPr>
              <w:pStyle w:val="49"/>
              <w:kinsoku/>
              <w:overflowPunct/>
              <w:topLinePunct w:val="0"/>
              <w:bidi w:val="0"/>
              <w:spacing w:line="360" w:lineRule="atLeast"/>
              <w:rPr>
                <w:rFonts w:hint="eastAsia" w:ascii="宋体" w:hAnsi="宋体" w:eastAsia="宋体" w:cs="宋体"/>
                <w:sz w:val="21"/>
                <w:szCs w:val="21"/>
              </w:rPr>
            </w:pPr>
          </w:p>
        </w:tc>
      </w:tr>
      <w:tr w14:paraId="058A8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22ABE1D6">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4BAFE04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49</w:t>
            </w:r>
          </w:p>
        </w:tc>
        <w:tc>
          <w:tcPr>
            <w:tcW w:w="2034" w:type="dxa"/>
            <w:gridSpan w:val="2"/>
            <w:tcBorders>
              <w:tl2br w:val="nil"/>
              <w:tr2bl w:val="nil"/>
            </w:tcBorders>
            <w:vAlign w:val="center"/>
          </w:tcPr>
          <w:p w14:paraId="7E2C0F04">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专用开关箱</w:t>
            </w:r>
          </w:p>
        </w:tc>
        <w:tc>
          <w:tcPr>
            <w:tcW w:w="3419" w:type="dxa"/>
            <w:gridSpan w:val="3"/>
            <w:tcBorders>
              <w:tl2br w:val="nil"/>
              <w:tr2bl w:val="nil"/>
            </w:tcBorders>
            <w:vAlign w:val="center"/>
          </w:tcPr>
          <w:p w14:paraId="74F76D79">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单独设置并有警示标志</w:t>
            </w:r>
            <w:r>
              <w:rPr>
                <w:rFonts w:hint="eastAsia" w:ascii="宋体" w:hAnsi="宋体" w:eastAsia="宋体" w:cs="宋体"/>
                <w:sz w:val="21"/>
                <w:szCs w:val="21"/>
                <w:lang w:eastAsia="zh-CN"/>
              </w:rPr>
              <w:t>。</w:t>
            </w:r>
          </w:p>
        </w:tc>
        <w:tc>
          <w:tcPr>
            <w:tcW w:w="1103" w:type="dxa"/>
            <w:tcBorders>
              <w:tl2br w:val="nil"/>
              <w:tr2bl w:val="nil"/>
            </w:tcBorders>
            <w:vAlign w:val="center"/>
          </w:tcPr>
          <w:p w14:paraId="3710E697">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7E2B238B">
            <w:pPr>
              <w:pStyle w:val="49"/>
              <w:kinsoku/>
              <w:overflowPunct/>
              <w:topLinePunct w:val="0"/>
              <w:bidi w:val="0"/>
              <w:spacing w:line="360" w:lineRule="atLeast"/>
              <w:rPr>
                <w:rFonts w:hint="eastAsia" w:ascii="宋体" w:hAnsi="宋体" w:eastAsia="宋体" w:cs="宋体"/>
                <w:sz w:val="21"/>
                <w:szCs w:val="21"/>
              </w:rPr>
            </w:pPr>
          </w:p>
        </w:tc>
      </w:tr>
      <w:tr w14:paraId="12507E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6ED65935">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6EF4733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50</w:t>
            </w:r>
          </w:p>
        </w:tc>
        <w:tc>
          <w:tcPr>
            <w:tcW w:w="2034" w:type="dxa"/>
            <w:gridSpan w:val="2"/>
            <w:tcBorders>
              <w:tl2br w:val="nil"/>
              <w:tr2bl w:val="nil"/>
            </w:tcBorders>
            <w:vAlign w:val="center"/>
          </w:tcPr>
          <w:p w14:paraId="67CC5187">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声响信号器</w:t>
            </w:r>
          </w:p>
        </w:tc>
        <w:tc>
          <w:tcPr>
            <w:tcW w:w="3419" w:type="dxa"/>
            <w:gridSpan w:val="3"/>
            <w:tcBorders>
              <w:tl2br w:val="nil"/>
              <w:tr2bl w:val="nil"/>
            </w:tcBorders>
            <w:vAlign w:val="center"/>
          </w:tcPr>
          <w:p w14:paraId="27DE1B70">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完好</w:t>
            </w:r>
            <w:r>
              <w:rPr>
                <w:rFonts w:hint="eastAsia" w:ascii="宋体" w:hAnsi="宋体" w:eastAsia="宋体" w:cs="宋体"/>
                <w:sz w:val="21"/>
                <w:szCs w:val="21"/>
                <w:lang w:eastAsia="zh-CN"/>
              </w:rPr>
              <w:t>。</w:t>
            </w:r>
          </w:p>
        </w:tc>
        <w:tc>
          <w:tcPr>
            <w:tcW w:w="1103" w:type="dxa"/>
            <w:tcBorders>
              <w:tl2br w:val="nil"/>
              <w:tr2bl w:val="nil"/>
            </w:tcBorders>
            <w:vAlign w:val="center"/>
          </w:tcPr>
          <w:p w14:paraId="788D6AC2">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58C34072">
            <w:pPr>
              <w:pStyle w:val="49"/>
              <w:kinsoku/>
              <w:overflowPunct/>
              <w:topLinePunct w:val="0"/>
              <w:bidi w:val="0"/>
              <w:spacing w:line="360" w:lineRule="atLeast"/>
              <w:rPr>
                <w:rFonts w:hint="eastAsia" w:ascii="宋体" w:hAnsi="宋体" w:eastAsia="宋体" w:cs="宋体"/>
                <w:sz w:val="21"/>
                <w:szCs w:val="21"/>
              </w:rPr>
            </w:pPr>
          </w:p>
        </w:tc>
      </w:tr>
      <w:tr w14:paraId="5D9A67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5F98BEF9">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76A16E1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51</w:t>
            </w:r>
          </w:p>
        </w:tc>
        <w:tc>
          <w:tcPr>
            <w:tcW w:w="2034" w:type="dxa"/>
            <w:gridSpan w:val="2"/>
            <w:tcBorders>
              <w:tl2br w:val="nil"/>
              <w:tr2bl w:val="nil"/>
            </w:tcBorders>
            <w:vAlign w:val="center"/>
          </w:tcPr>
          <w:p w14:paraId="7E65C99E">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保护零线</w:t>
            </w:r>
          </w:p>
        </w:tc>
        <w:tc>
          <w:tcPr>
            <w:tcW w:w="3419" w:type="dxa"/>
            <w:gridSpan w:val="3"/>
            <w:tcBorders>
              <w:tl2br w:val="nil"/>
              <w:tr2bl w:val="nil"/>
            </w:tcBorders>
            <w:vAlign w:val="center"/>
          </w:tcPr>
          <w:p w14:paraId="7B3FB449">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绿/黄双色绝缘铜芯线，且不得作为载流回路</w:t>
            </w:r>
            <w:r>
              <w:rPr>
                <w:rFonts w:hint="eastAsia" w:ascii="宋体" w:hAnsi="宋体" w:eastAsia="宋体" w:cs="宋体"/>
                <w:sz w:val="21"/>
                <w:szCs w:val="21"/>
                <w:lang w:eastAsia="zh-CN"/>
              </w:rPr>
              <w:t>。</w:t>
            </w:r>
          </w:p>
        </w:tc>
        <w:tc>
          <w:tcPr>
            <w:tcW w:w="1103" w:type="dxa"/>
            <w:tcBorders>
              <w:tl2br w:val="nil"/>
              <w:tr2bl w:val="nil"/>
            </w:tcBorders>
            <w:vAlign w:val="center"/>
          </w:tcPr>
          <w:p w14:paraId="5B2B41AE">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13CD6DBF">
            <w:pPr>
              <w:pStyle w:val="49"/>
              <w:kinsoku/>
              <w:overflowPunct/>
              <w:topLinePunct w:val="0"/>
              <w:bidi w:val="0"/>
              <w:spacing w:line="360" w:lineRule="atLeast"/>
              <w:rPr>
                <w:rFonts w:hint="eastAsia" w:ascii="宋体" w:hAnsi="宋体" w:eastAsia="宋体" w:cs="宋体"/>
                <w:sz w:val="21"/>
                <w:szCs w:val="21"/>
              </w:rPr>
            </w:pPr>
          </w:p>
        </w:tc>
      </w:tr>
      <w:tr w14:paraId="1063CA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038685A8">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0181A116">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52</w:t>
            </w:r>
          </w:p>
        </w:tc>
        <w:tc>
          <w:tcPr>
            <w:tcW w:w="2034" w:type="dxa"/>
            <w:gridSpan w:val="2"/>
            <w:tcBorders>
              <w:tl2br w:val="nil"/>
              <w:tr2bl w:val="nil"/>
            </w:tcBorders>
            <w:vAlign w:val="center"/>
          </w:tcPr>
          <w:p w14:paraId="2C8DC263">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电源电缆与电缆保护</w:t>
            </w:r>
          </w:p>
        </w:tc>
        <w:tc>
          <w:tcPr>
            <w:tcW w:w="3419" w:type="dxa"/>
            <w:gridSpan w:val="3"/>
            <w:tcBorders>
              <w:tl2br w:val="nil"/>
              <w:tr2bl w:val="nil"/>
            </w:tcBorders>
            <w:vAlign w:val="center"/>
          </w:tcPr>
          <w:p w14:paraId="1978B6C7">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无破损，老化。与金属接触处有绝缘材料隔离，移动电缆有电缆卷筒或其他防止磨损措施</w:t>
            </w:r>
            <w:r>
              <w:rPr>
                <w:rFonts w:hint="eastAsia" w:ascii="宋体" w:hAnsi="宋体" w:eastAsia="宋体" w:cs="宋体"/>
                <w:sz w:val="21"/>
                <w:szCs w:val="21"/>
                <w:lang w:eastAsia="zh-CN"/>
              </w:rPr>
              <w:t>。</w:t>
            </w:r>
          </w:p>
        </w:tc>
        <w:tc>
          <w:tcPr>
            <w:tcW w:w="1103" w:type="dxa"/>
            <w:tcBorders>
              <w:tl2br w:val="nil"/>
              <w:tr2bl w:val="nil"/>
            </w:tcBorders>
            <w:vAlign w:val="center"/>
          </w:tcPr>
          <w:p w14:paraId="2579A38A">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458BF36B">
            <w:pPr>
              <w:pStyle w:val="49"/>
              <w:kinsoku/>
              <w:overflowPunct/>
              <w:topLinePunct w:val="0"/>
              <w:bidi w:val="0"/>
              <w:spacing w:line="360" w:lineRule="atLeast"/>
              <w:rPr>
                <w:rFonts w:hint="eastAsia" w:ascii="宋体" w:hAnsi="宋体" w:eastAsia="宋体" w:cs="宋体"/>
                <w:sz w:val="21"/>
                <w:szCs w:val="21"/>
              </w:rPr>
            </w:pPr>
          </w:p>
        </w:tc>
      </w:tr>
      <w:tr w14:paraId="24BACD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1E6FE6E6">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3A3B65CC">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53</w:t>
            </w:r>
          </w:p>
        </w:tc>
        <w:tc>
          <w:tcPr>
            <w:tcW w:w="2034" w:type="dxa"/>
            <w:gridSpan w:val="2"/>
            <w:tcBorders>
              <w:tl2br w:val="nil"/>
              <w:tr2bl w:val="nil"/>
            </w:tcBorders>
            <w:vAlign w:val="center"/>
          </w:tcPr>
          <w:p w14:paraId="4B366097">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障碍指示灯</w:t>
            </w:r>
          </w:p>
        </w:tc>
        <w:tc>
          <w:tcPr>
            <w:tcW w:w="3419" w:type="dxa"/>
            <w:gridSpan w:val="3"/>
            <w:tcBorders>
              <w:tl2br w:val="nil"/>
              <w:tr2bl w:val="nil"/>
            </w:tcBorders>
            <w:vAlign w:val="center"/>
          </w:tcPr>
          <w:p w14:paraId="3AB09C0F">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回转塔身高度大于30m且高于周围建筑物时应</w:t>
            </w:r>
            <w:r>
              <w:rPr>
                <w:rFonts w:hint="eastAsia" w:cs="宋体"/>
                <w:sz w:val="21"/>
                <w:szCs w:val="21"/>
                <w:lang w:eastAsia="zh-CN"/>
              </w:rPr>
              <w:t>拆除</w:t>
            </w:r>
            <w:r>
              <w:rPr>
                <w:rFonts w:hint="eastAsia" w:ascii="宋体" w:hAnsi="宋体" w:eastAsia="宋体" w:cs="宋体"/>
                <w:sz w:val="21"/>
                <w:szCs w:val="21"/>
              </w:rPr>
              <w:t>，该指示灯的供电不应受停机的影响</w:t>
            </w:r>
            <w:r>
              <w:rPr>
                <w:rFonts w:hint="eastAsia" w:ascii="宋体" w:hAnsi="宋体" w:eastAsia="宋体" w:cs="宋体"/>
                <w:sz w:val="21"/>
                <w:szCs w:val="21"/>
                <w:lang w:eastAsia="zh-CN"/>
              </w:rPr>
              <w:t>。</w:t>
            </w:r>
          </w:p>
        </w:tc>
        <w:tc>
          <w:tcPr>
            <w:tcW w:w="1103" w:type="dxa"/>
            <w:tcBorders>
              <w:tl2br w:val="nil"/>
              <w:tr2bl w:val="nil"/>
            </w:tcBorders>
            <w:vAlign w:val="center"/>
          </w:tcPr>
          <w:p w14:paraId="74DE2352">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607D2EAF">
            <w:pPr>
              <w:pStyle w:val="49"/>
              <w:kinsoku/>
              <w:overflowPunct/>
              <w:topLinePunct w:val="0"/>
              <w:bidi w:val="0"/>
              <w:spacing w:line="360" w:lineRule="atLeast"/>
              <w:rPr>
                <w:rFonts w:hint="eastAsia" w:ascii="宋体" w:hAnsi="宋体" w:eastAsia="宋体" w:cs="宋体"/>
                <w:sz w:val="21"/>
                <w:szCs w:val="21"/>
              </w:rPr>
            </w:pPr>
          </w:p>
        </w:tc>
      </w:tr>
      <w:tr w14:paraId="61DABD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restart"/>
            <w:tcBorders>
              <w:tl2br w:val="nil"/>
              <w:tr2bl w:val="nil"/>
            </w:tcBorders>
            <w:vAlign w:val="center"/>
          </w:tcPr>
          <w:p w14:paraId="34D74BD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轨道</w:t>
            </w:r>
          </w:p>
        </w:tc>
        <w:tc>
          <w:tcPr>
            <w:tcW w:w="666" w:type="dxa"/>
            <w:tcBorders>
              <w:tl2br w:val="nil"/>
              <w:tr2bl w:val="nil"/>
            </w:tcBorders>
            <w:vAlign w:val="center"/>
          </w:tcPr>
          <w:p w14:paraId="7C21A381">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54</w:t>
            </w:r>
          </w:p>
        </w:tc>
        <w:tc>
          <w:tcPr>
            <w:tcW w:w="2034" w:type="dxa"/>
            <w:gridSpan w:val="2"/>
            <w:tcBorders>
              <w:tl2br w:val="nil"/>
              <w:tr2bl w:val="nil"/>
            </w:tcBorders>
            <w:vAlign w:val="center"/>
          </w:tcPr>
          <w:p w14:paraId="4967158D">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行走轨道端部止挡装置与缓冲</w:t>
            </w:r>
          </w:p>
        </w:tc>
        <w:tc>
          <w:tcPr>
            <w:tcW w:w="3419" w:type="dxa"/>
            <w:gridSpan w:val="3"/>
            <w:tcBorders>
              <w:tl2br w:val="nil"/>
              <w:tr2bl w:val="nil"/>
            </w:tcBorders>
            <w:vAlign w:val="center"/>
          </w:tcPr>
          <w:p w14:paraId="4BD8DF01">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齐全，有效</w:t>
            </w:r>
            <w:r>
              <w:rPr>
                <w:rFonts w:hint="eastAsia" w:ascii="宋体" w:hAnsi="宋体" w:eastAsia="宋体" w:cs="宋体"/>
                <w:sz w:val="21"/>
                <w:szCs w:val="21"/>
                <w:lang w:eastAsia="zh-CN"/>
              </w:rPr>
              <w:t>。</w:t>
            </w:r>
          </w:p>
        </w:tc>
        <w:tc>
          <w:tcPr>
            <w:tcW w:w="1103" w:type="dxa"/>
            <w:tcBorders>
              <w:tl2br w:val="nil"/>
              <w:tr2bl w:val="nil"/>
            </w:tcBorders>
            <w:vAlign w:val="center"/>
          </w:tcPr>
          <w:p w14:paraId="161E9309">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2F346C4A">
            <w:pPr>
              <w:pStyle w:val="49"/>
              <w:kinsoku/>
              <w:overflowPunct/>
              <w:topLinePunct w:val="0"/>
              <w:bidi w:val="0"/>
              <w:spacing w:line="360" w:lineRule="atLeast"/>
              <w:rPr>
                <w:rFonts w:hint="eastAsia" w:ascii="宋体" w:hAnsi="宋体" w:eastAsia="宋体" w:cs="宋体"/>
                <w:sz w:val="21"/>
                <w:szCs w:val="21"/>
              </w:rPr>
            </w:pPr>
          </w:p>
        </w:tc>
      </w:tr>
      <w:tr w14:paraId="739BF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5DB00A0B">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126C474C">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55</w:t>
            </w:r>
          </w:p>
        </w:tc>
        <w:tc>
          <w:tcPr>
            <w:tcW w:w="2034" w:type="dxa"/>
            <w:gridSpan w:val="2"/>
            <w:tcBorders>
              <w:tl2br w:val="nil"/>
              <w:tr2bl w:val="nil"/>
            </w:tcBorders>
            <w:vAlign w:val="center"/>
          </w:tcPr>
          <w:p w14:paraId="1020AC9F">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行走限位装置</w:t>
            </w:r>
          </w:p>
        </w:tc>
        <w:tc>
          <w:tcPr>
            <w:tcW w:w="3419" w:type="dxa"/>
            <w:gridSpan w:val="3"/>
            <w:tcBorders>
              <w:tl2br w:val="nil"/>
              <w:tr2bl w:val="nil"/>
            </w:tcBorders>
            <w:vAlign w:val="center"/>
          </w:tcPr>
          <w:p w14:paraId="78EDF070">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制停后距止档装置≥1m</w:t>
            </w:r>
            <w:r>
              <w:rPr>
                <w:rFonts w:hint="eastAsia" w:ascii="宋体" w:hAnsi="宋体" w:eastAsia="宋体" w:cs="宋体"/>
                <w:sz w:val="21"/>
                <w:szCs w:val="21"/>
                <w:lang w:eastAsia="zh-CN"/>
              </w:rPr>
              <w:t>。</w:t>
            </w:r>
          </w:p>
        </w:tc>
        <w:tc>
          <w:tcPr>
            <w:tcW w:w="1103" w:type="dxa"/>
            <w:tcBorders>
              <w:tl2br w:val="nil"/>
              <w:tr2bl w:val="nil"/>
            </w:tcBorders>
            <w:vAlign w:val="center"/>
          </w:tcPr>
          <w:p w14:paraId="7436C6E4">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5D222748">
            <w:pPr>
              <w:pStyle w:val="49"/>
              <w:kinsoku/>
              <w:overflowPunct/>
              <w:topLinePunct w:val="0"/>
              <w:bidi w:val="0"/>
              <w:spacing w:line="360" w:lineRule="atLeast"/>
              <w:rPr>
                <w:rFonts w:hint="eastAsia" w:ascii="宋体" w:hAnsi="宋体" w:eastAsia="宋体" w:cs="宋体"/>
                <w:sz w:val="21"/>
                <w:szCs w:val="21"/>
              </w:rPr>
            </w:pPr>
          </w:p>
        </w:tc>
      </w:tr>
      <w:tr w14:paraId="0A0947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703FC4F0">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5F5DC4C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56</w:t>
            </w:r>
          </w:p>
        </w:tc>
        <w:tc>
          <w:tcPr>
            <w:tcW w:w="2034" w:type="dxa"/>
            <w:gridSpan w:val="2"/>
            <w:tcBorders>
              <w:tl2br w:val="nil"/>
              <w:tr2bl w:val="nil"/>
            </w:tcBorders>
            <w:vAlign w:val="center"/>
          </w:tcPr>
          <w:p w14:paraId="0EDE60F9">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防风夹轨器</w:t>
            </w:r>
          </w:p>
        </w:tc>
        <w:tc>
          <w:tcPr>
            <w:tcW w:w="3419" w:type="dxa"/>
            <w:gridSpan w:val="3"/>
            <w:tcBorders>
              <w:tl2br w:val="nil"/>
              <w:tr2bl w:val="nil"/>
            </w:tcBorders>
            <w:vAlign w:val="center"/>
          </w:tcPr>
          <w:p w14:paraId="6B13CA35">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齐全，有效</w:t>
            </w:r>
            <w:r>
              <w:rPr>
                <w:rFonts w:hint="eastAsia" w:ascii="宋体" w:hAnsi="宋体" w:eastAsia="宋体" w:cs="宋体"/>
                <w:sz w:val="21"/>
                <w:szCs w:val="21"/>
                <w:lang w:eastAsia="zh-CN"/>
              </w:rPr>
              <w:t>。</w:t>
            </w:r>
          </w:p>
        </w:tc>
        <w:tc>
          <w:tcPr>
            <w:tcW w:w="1103" w:type="dxa"/>
            <w:tcBorders>
              <w:tl2br w:val="nil"/>
              <w:tr2bl w:val="nil"/>
            </w:tcBorders>
            <w:vAlign w:val="center"/>
          </w:tcPr>
          <w:p w14:paraId="3E045481">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1FEB12FB">
            <w:pPr>
              <w:pStyle w:val="49"/>
              <w:kinsoku/>
              <w:overflowPunct/>
              <w:topLinePunct w:val="0"/>
              <w:bidi w:val="0"/>
              <w:spacing w:line="360" w:lineRule="atLeast"/>
              <w:rPr>
                <w:rFonts w:hint="eastAsia" w:ascii="宋体" w:hAnsi="宋体" w:eastAsia="宋体" w:cs="宋体"/>
                <w:sz w:val="21"/>
                <w:szCs w:val="21"/>
              </w:rPr>
            </w:pPr>
          </w:p>
        </w:tc>
      </w:tr>
      <w:tr w14:paraId="665F99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561F57F6">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3591D8C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57</w:t>
            </w:r>
          </w:p>
        </w:tc>
        <w:tc>
          <w:tcPr>
            <w:tcW w:w="2034" w:type="dxa"/>
            <w:gridSpan w:val="2"/>
            <w:tcBorders>
              <w:tl2br w:val="nil"/>
              <w:tr2bl w:val="nil"/>
            </w:tcBorders>
            <w:vAlign w:val="center"/>
          </w:tcPr>
          <w:p w14:paraId="18696037">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排障清轨板</w:t>
            </w:r>
          </w:p>
        </w:tc>
        <w:tc>
          <w:tcPr>
            <w:tcW w:w="3419" w:type="dxa"/>
            <w:gridSpan w:val="3"/>
            <w:tcBorders>
              <w:tl2br w:val="nil"/>
              <w:tr2bl w:val="nil"/>
            </w:tcBorders>
            <w:vAlign w:val="center"/>
          </w:tcPr>
          <w:p w14:paraId="7F17AE70">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清孰板与轨道之目的间隙不应大于5mm</w:t>
            </w:r>
            <w:r>
              <w:rPr>
                <w:rFonts w:hint="eastAsia" w:ascii="宋体" w:hAnsi="宋体" w:eastAsia="宋体" w:cs="宋体"/>
                <w:sz w:val="21"/>
                <w:szCs w:val="21"/>
                <w:lang w:eastAsia="zh-CN"/>
              </w:rPr>
              <w:t>。</w:t>
            </w:r>
          </w:p>
        </w:tc>
        <w:tc>
          <w:tcPr>
            <w:tcW w:w="1103" w:type="dxa"/>
            <w:tcBorders>
              <w:tl2br w:val="nil"/>
              <w:tr2bl w:val="nil"/>
            </w:tcBorders>
            <w:vAlign w:val="center"/>
          </w:tcPr>
          <w:p w14:paraId="00AED6F7">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00BDE962">
            <w:pPr>
              <w:pStyle w:val="49"/>
              <w:kinsoku/>
              <w:overflowPunct/>
              <w:topLinePunct w:val="0"/>
              <w:bidi w:val="0"/>
              <w:spacing w:line="360" w:lineRule="atLeast"/>
              <w:rPr>
                <w:rFonts w:hint="eastAsia" w:ascii="宋体" w:hAnsi="宋体" w:eastAsia="宋体" w:cs="宋体"/>
                <w:sz w:val="21"/>
                <w:szCs w:val="21"/>
              </w:rPr>
            </w:pPr>
          </w:p>
        </w:tc>
      </w:tr>
      <w:tr w14:paraId="7C63C4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489D742F">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04C9AB8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58</w:t>
            </w:r>
          </w:p>
        </w:tc>
        <w:tc>
          <w:tcPr>
            <w:tcW w:w="2034" w:type="dxa"/>
            <w:gridSpan w:val="2"/>
            <w:tcBorders>
              <w:tl2br w:val="nil"/>
              <w:tr2bl w:val="nil"/>
            </w:tcBorders>
            <w:vAlign w:val="center"/>
          </w:tcPr>
          <w:p w14:paraId="13A3B761">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钢轨接头位置及误差</w:t>
            </w:r>
          </w:p>
        </w:tc>
        <w:tc>
          <w:tcPr>
            <w:tcW w:w="3419" w:type="dxa"/>
            <w:gridSpan w:val="3"/>
            <w:tcBorders>
              <w:tl2br w:val="nil"/>
              <w:tr2bl w:val="nil"/>
            </w:tcBorders>
            <w:vAlign w:val="center"/>
          </w:tcPr>
          <w:p w14:paraId="5442E817">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支承在道木或路基箱上时，两侧错开≥1.5m；间隙≤4mm；高差≤2mm</w:t>
            </w:r>
            <w:r>
              <w:rPr>
                <w:rFonts w:hint="eastAsia" w:ascii="宋体" w:hAnsi="宋体" w:eastAsia="宋体" w:cs="宋体"/>
                <w:sz w:val="21"/>
                <w:szCs w:val="21"/>
                <w:lang w:eastAsia="zh-CN"/>
              </w:rPr>
              <w:t>。</w:t>
            </w:r>
          </w:p>
        </w:tc>
        <w:tc>
          <w:tcPr>
            <w:tcW w:w="1103" w:type="dxa"/>
            <w:tcBorders>
              <w:tl2br w:val="nil"/>
              <w:tr2bl w:val="nil"/>
            </w:tcBorders>
            <w:vAlign w:val="center"/>
          </w:tcPr>
          <w:p w14:paraId="529EFFAC">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665B80A6">
            <w:pPr>
              <w:pStyle w:val="49"/>
              <w:kinsoku/>
              <w:overflowPunct/>
              <w:topLinePunct w:val="0"/>
              <w:bidi w:val="0"/>
              <w:spacing w:line="360" w:lineRule="atLeast"/>
              <w:rPr>
                <w:rFonts w:hint="eastAsia" w:ascii="宋体" w:hAnsi="宋体" w:eastAsia="宋体" w:cs="宋体"/>
                <w:sz w:val="21"/>
                <w:szCs w:val="21"/>
              </w:rPr>
            </w:pPr>
          </w:p>
        </w:tc>
      </w:tr>
      <w:tr w14:paraId="2A436E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7627D539">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5FB58246">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59</w:t>
            </w:r>
          </w:p>
        </w:tc>
        <w:tc>
          <w:tcPr>
            <w:tcW w:w="2034" w:type="dxa"/>
            <w:gridSpan w:val="2"/>
            <w:tcBorders>
              <w:tl2br w:val="nil"/>
              <w:tr2bl w:val="nil"/>
            </w:tcBorders>
            <w:vAlign w:val="center"/>
          </w:tcPr>
          <w:p w14:paraId="2D0BCFF7">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轨距误差及轨距拉杆设置</w:t>
            </w:r>
          </w:p>
        </w:tc>
        <w:tc>
          <w:tcPr>
            <w:tcW w:w="3419" w:type="dxa"/>
            <w:gridSpan w:val="3"/>
            <w:tcBorders>
              <w:tl2br w:val="nil"/>
              <w:tr2bl w:val="nil"/>
            </w:tcBorders>
            <w:vAlign w:val="center"/>
          </w:tcPr>
          <w:p w14:paraId="1FD2213B">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＜1／1000且最大应＜6mm；相邻两根间距≤6m</w:t>
            </w:r>
            <w:r>
              <w:rPr>
                <w:rFonts w:hint="eastAsia" w:ascii="宋体" w:hAnsi="宋体" w:eastAsia="宋体" w:cs="宋体"/>
                <w:sz w:val="21"/>
                <w:szCs w:val="21"/>
                <w:lang w:eastAsia="zh-CN"/>
              </w:rPr>
              <w:t>。</w:t>
            </w:r>
          </w:p>
        </w:tc>
        <w:tc>
          <w:tcPr>
            <w:tcW w:w="1103" w:type="dxa"/>
            <w:tcBorders>
              <w:tl2br w:val="nil"/>
              <w:tr2bl w:val="nil"/>
            </w:tcBorders>
            <w:vAlign w:val="center"/>
          </w:tcPr>
          <w:p w14:paraId="4FDD1333">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223CE3E9">
            <w:pPr>
              <w:pStyle w:val="49"/>
              <w:kinsoku/>
              <w:overflowPunct/>
              <w:topLinePunct w:val="0"/>
              <w:bidi w:val="0"/>
              <w:spacing w:line="360" w:lineRule="atLeast"/>
              <w:rPr>
                <w:rFonts w:hint="eastAsia" w:ascii="宋体" w:hAnsi="宋体" w:eastAsia="宋体" w:cs="宋体"/>
                <w:sz w:val="21"/>
                <w:szCs w:val="21"/>
              </w:rPr>
            </w:pPr>
          </w:p>
        </w:tc>
      </w:tr>
      <w:tr w14:paraId="20C05B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restart"/>
            <w:tcBorders>
              <w:tl2br w:val="nil"/>
              <w:tr2bl w:val="nil"/>
            </w:tcBorders>
            <w:vAlign w:val="center"/>
          </w:tcPr>
          <w:p w14:paraId="0B2B58B0">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司机室</w:t>
            </w:r>
          </w:p>
        </w:tc>
        <w:tc>
          <w:tcPr>
            <w:tcW w:w="666" w:type="dxa"/>
            <w:tcBorders>
              <w:tl2br w:val="nil"/>
              <w:tr2bl w:val="nil"/>
            </w:tcBorders>
            <w:vAlign w:val="center"/>
          </w:tcPr>
          <w:p w14:paraId="390F196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60</w:t>
            </w:r>
          </w:p>
        </w:tc>
        <w:tc>
          <w:tcPr>
            <w:tcW w:w="2034" w:type="dxa"/>
            <w:gridSpan w:val="2"/>
            <w:tcBorders>
              <w:tl2br w:val="nil"/>
              <w:tr2bl w:val="nil"/>
            </w:tcBorders>
            <w:vAlign w:val="center"/>
          </w:tcPr>
          <w:p w14:paraId="2A6688C5">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性能标牌(显示屏)</w:t>
            </w:r>
          </w:p>
        </w:tc>
        <w:tc>
          <w:tcPr>
            <w:tcW w:w="3419" w:type="dxa"/>
            <w:gridSpan w:val="3"/>
            <w:tcBorders>
              <w:tl2br w:val="nil"/>
              <w:tr2bl w:val="nil"/>
            </w:tcBorders>
            <w:vAlign w:val="center"/>
          </w:tcPr>
          <w:p w14:paraId="07CF366E">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齐全，清晰</w:t>
            </w:r>
            <w:r>
              <w:rPr>
                <w:rFonts w:hint="eastAsia" w:ascii="宋体" w:hAnsi="宋体" w:eastAsia="宋体" w:cs="宋体"/>
                <w:sz w:val="21"/>
                <w:szCs w:val="21"/>
                <w:lang w:eastAsia="zh-CN"/>
              </w:rPr>
              <w:t>。</w:t>
            </w:r>
          </w:p>
        </w:tc>
        <w:tc>
          <w:tcPr>
            <w:tcW w:w="1103" w:type="dxa"/>
            <w:tcBorders>
              <w:tl2br w:val="nil"/>
              <w:tr2bl w:val="nil"/>
            </w:tcBorders>
            <w:vAlign w:val="center"/>
          </w:tcPr>
          <w:p w14:paraId="68C1F3C3">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378BC0C1">
            <w:pPr>
              <w:pStyle w:val="49"/>
              <w:kinsoku/>
              <w:overflowPunct/>
              <w:topLinePunct w:val="0"/>
              <w:bidi w:val="0"/>
              <w:spacing w:line="360" w:lineRule="atLeast"/>
              <w:rPr>
                <w:rFonts w:hint="eastAsia" w:ascii="宋体" w:hAnsi="宋体" w:eastAsia="宋体" w:cs="宋体"/>
                <w:sz w:val="21"/>
                <w:szCs w:val="21"/>
              </w:rPr>
            </w:pPr>
          </w:p>
        </w:tc>
      </w:tr>
      <w:tr w14:paraId="6CE042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vMerge w:val="continue"/>
            <w:tcBorders>
              <w:tl2br w:val="nil"/>
              <w:tr2bl w:val="nil"/>
            </w:tcBorders>
            <w:vAlign w:val="center"/>
          </w:tcPr>
          <w:p w14:paraId="7E8E7320">
            <w:pPr>
              <w:pStyle w:val="49"/>
              <w:kinsoku/>
              <w:overflowPunct/>
              <w:topLinePunct w:val="0"/>
              <w:bidi w:val="0"/>
              <w:spacing w:line="360" w:lineRule="atLeast"/>
              <w:rPr>
                <w:rFonts w:hint="eastAsia" w:ascii="宋体" w:hAnsi="宋体" w:eastAsia="宋体" w:cs="宋体"/>
                <w:sz w:val="21"/>
                <w:szCs w:val="21"/>
              </w:rPr>
            </w:pPr>
          </w:p>
        </w:tc>
        <w:tc>
          <w:tcPr>
            <w:tcW w:w="666" w:type="dxa"/>
            <w:tcBorders>
              <w:tl2br w:val="nil"/>
              <w:tr2bl w:val="nil"/>
            </w:tcBorders>
            <w:vAlign w:val="center"/>
          </w:tcPr>
          <w:p w14:paraId="044400B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61</w:t>
            </w:r>
          </w:p>
        </w:tc>
        <w:tc>
          <w:tcPr>
            <w:tcW w:w="2034" w:type="dxa"/>
            <w:gridSpan w:val="2"/>
            <w:tcBorders>
              <w:tl2br w:val="nil"/>
              <w:tr2bl w:val="nil"/>
            </w:tcBorders>
            <w:vAlign w:val="center"/>
          </w:tcPr>
          <w:p w14:paraId="4B7B094E">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门窗和灭火器、雨刷</w:t>
            </w:r>
          </w:p>
          <w:p w14:paraId="19FB6BBA">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等附属设施</w:t>
            </w:r>
          </w:p>
        </w:tc>
        <w:tc>
          <w:tcPr>
            <w:tcW w:w="3419" w:type="dxa"/>
            <w:gridSpan w:val="3"/>
            <w:tcBorders>
              <w:tl2br w:val="nil"/>
              <w:tr2bl w:val="nil"/>
            </w:tcBorders>
            <w:vAlign w:val="center"/>
          </w:tcPr>
          <w:p w14:paraId="363CC460">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齐全，有效</w:t>
            </w:r>
            <w:r>
              <w:rPr>
                <w:rFonts w:hint="eastAsia" w:ascii="宋体" w:hAnsi="宋体" w:eastAsia="宋体" w:cs="宋体"/>
                <w:sz w:val="21"/>
                <w:szCs w:val="21"/>
                <w:lang w:eastAsia="zh-CN"/>
              </w:rPr>
              <w:t>。</w:t>
            </w:r>
          </w:p>
        </w:tc>
        <w:tc>
          <w:tcPr>
            <w:tcW w:w="1103" w:type="dxa"/>
            <w:tcBorders>
              <w:tl2br w:val="nil"/>
              <w:tr2bl w:val="nil"/>
            </w:tcBorders>
            <w:vAlign w:val="center"/>
          </w:tcPr>
          <w:p w14:paraId="49AB79D1">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226B8C43">
            <w:pPr>
              <w:pStyle w:val="49"/>
              <w:kinsoku/>
              <w:overflowPunct/>
              <w:topLinePunct w:val="0"/>
              <w:bidi w:val="0"/>
              <w:spacing w:line="360" w:lineRule="atLeast"/>
              <w:rPr>
                <w:rFonts w:hint="eastAsia" w:ascii="宋体" w:hAnsi="宋体" w:eastAsia="宋体" w:cs="宋体"/>
                <w:sz w:val="21"/>
                <w:szCs w:val="21"/>
              </w:rPr>
            </w:pPr>
          </w:p>
        </w:tc>
      </w:tr>
      <w:tr w14:paraId="363B1F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186" w:type="dxa"/>
            <w:tcBorders>
              <w:tl2br w:val="nil"/>
              <w:tr2bl w:val="nil"/>
            </w:tcBorders>
            <w:vAlign w:val="center"/>
          </w:tcPr>
          <w:p w14:paraId="2ECECC1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其他</w:t>
            </w:r>
          </w:p>
        </w:tc>
        <w:tc>
          <w:tcPr>
            <w:tcW w:w="666" w:type="dxa"/>
            <w:tcBorders>
              <w:tl2br w:val="nil"/>
              <w:tr2bl w:val="nil"/>
            </w:tcBorders>
            <w:vAlign w:val="center"/>
          </w:tcPr>
          <w:p w14:paraId="78463D3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62</w:t>
            </w:r>
          </w:p>
        </w:tc>
        <w:tc>
          <w:tcPr>
            <w:tcW w:w="2034" w:type="dxa"/>
            <w:gridSpan w:val="2"/>
            <w:tcBorders>
              <w:tl2br w:val="nil"/>
              <w:tr2bl w:val="nil"/>
            </w:tcBorders>
            <w:vAlign w:val="center"/>
          </w:tcPr>
          <w:p w14:paraId="342D6A4A">
            <w:pPr>
              <w:pStyle w:val="49"/>
              <w:kinsoku/>
              <w:overflowPunct/>
              <w:topLinePunct w:val="0"/>
              <w:bidi w:val="0"/>
              <w:spacing w:line="360" w:lineRule="atLeast"/>
              <w:jc w:val="left"/>
              <w:rPr>
                <w:rFonts w:hint="eastAsia" w:ascii="宋体" w:hAnsi="宋体" w:eastAsia="宋体" w:cs="宋体"/>
                <w:sz w:val="21"/>
                <w:szCs w:val="21"/>
              </w:rPr>
            </w:pPr>
            <w:r>
              <w:rPr>
                <w:rFonts w:hint="eastAsia" w:ascii="宋体" w:hAnsi="宋体" w:eastAsia="宋体" w:cs="宋体"/>
                <w:sz w:val="21"/>
                <w:szCs w:val="21"/>
              </w:rPr>
              <w:t>风速仪</w:t>
            </w:r>
          </w:p>
        </w:tc>
        <w:tc>
          <w:tcPr>
            <w:tcW w:w="3419" w:type="dxa"/>
            <w:gridSpan w:val="3"/>
            <w:tcBorders>
              <w:tl2br w:val="nil"/>
              <w:tr2bl w:val="nil"/>
            </w:tcBorders>
            <w:vAlign w:val="center"/>
          </w:tcPr>
          <w:p w14:paraId="0EE4E50D">
            <w:pPr>
              <w:pStyle w:val="49"/>
              <w:kinsoku/>
              <w:overflowPunct/>
              <w:topLinePunct w:val="0"/>
              <w:bidi w:val="0"/>
              <w:spacing w:line="360" w:lineRule="atLeast"/>
              <w:jc w:val="left"/>
              <w:rPr>
                <w:rFonts w:hint="eastAsia" w:ascii="宋体" w:hAnsi="宋体" w:eastAsia="宋体" w:cs="宋体"/>
                <w:sz w:val="21"/>
                <w:szCs w:val="21"/>
                <w:lang w:eastAsia="zh-CN"/>
              </w:rPr>
            </w:pPr>
            <w:r>
              <w:rPr>
                <w:rFonts w:hint="eastAsia" w:ascii="宋体" w:hAnsi="宋体" w:eastAsia="宋体" w:cs="宋体"/>
                <w:sz w:val="21"/>
                <w:szCs w:val="21"/>
              </w:rPr>
              <w:t>臂架根部铰点高于50m时应设置</w:t>
            </w:r>
            <w:r>
              <w:rPr>
                <w:rFonts w:hint="eastAsia" w:ascii="宋体" w:hAnsi="宋体" w:eastAsia="宋体" w:cs="宋体"/>
                <w:sz w:val="21"/>
                <w:szCs w:val="21"/>
                <w:lang w:eastAsia="zh-CN"/>
              </w:rPr>
              <w:t>。</w:t>
            </w:r>
          </w:p>
        </w:tc>
        <w:tc>
          <w:tcPr>
            <w:tcW w:w="1103" w:type="dxa"/>
            <w:tcBorders>
              <w:tl2br w:val="nil"/>
              <w:tr2bl w:val="nil"/>
            </w:tcBorders>
            <w:vAlign w:val="center"/>
          </w:tcPr>
          <w:p w14:paraId="41A6F2BC">
            <w:pPr>
              <w:pStyle w:val="49"/>
              <w:kinsoku/>
              <w:overflowPunct/>
              <w:topLinePunct w:val="0"/>
              <w:bidi w:val="0"/>
              <w:spacing w:line="360" w:lineRule="atLeast"/>
              <w:rPr>
                <w:rFonts w:hint="eastAsia" w:ascii="宋体" w:hAnsi="宋体" w:eastAsia="宋体" w:cs="宋体"/>
                <w:sz w:val="21"/>
                <w:szCs w:val="21"/>
              </w:rPr>
            </w:pPr>
          </w:p>
        </w:tc>
        <w:tc>
          <w:tcPr>
            <w:tcW w:w="1092" w:type="dxa"/>
            <w:tcBorders>
              <w:tl2br w:val="nil"/>
              <w:tr2bl w:val="nil"/>
            </w:tcBorders>
            <w:vAlign w:val="center"/>
          </w:tcPr>
          <w:p w14:paraId="09472650">
            <w:pPr>
              <w:pStyle w:val="49"/>
              <w:kinsoku/>
              <w:overflowPunct/>
              <w:topLinePunct w:val="0"/>
              <w:bidi w:val="0"/>
              <w:spacing w:line="360" w:lineRule="atLeast"/>
              <w:rPr>
                <w:rFonts w:hint="eastAsia" w:ascii="宋体" w:hAnsi="宋体" w:eastAsia="宋体" w:cs="宋体"/>
                <w:sz w:val="21"/>
                <w:szCs w:val="21"/>
              </w:rPr>
            </w:pPr>
          </w:p>
        </w:tc>
      </w:tr>
      <w:tr w14:paraId="1B6632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500" w:type="dxa"/>
            <w:gridSpan w:val="9"/>
            <w:tcBorders>
              <w:tl2br w:val="nil"/>
              <w:tr2bl w:val="nil"/>
            </w:tcBorders>
            <w:vAlign w:val="center"/>
          </w:tcPr>
          <w:p w14:paraId="4BF59B3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检查结果</w:t>
            </w:r>
          </w:p>
        </w:tc>
      </w:tr>
      <w:tr w14:paraId="083643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446" w:type="dxa"/>
            <w:gridSpan w:val="3"/>
            <w:tcBorders>
              <w:tl2br w:val="nil"/>
              <w:tr2bl w:val="nil"/>
            </w:tcBorders>
            <w:vAlign w:val="center"/>
          </w:tcPr>
          <w:p w14:paraId="3FE140E1">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保证项目不合格项数</w:t>
            </w:r>
          </w:p>
        </w:tc>
        <w:tc>
          <w:tcPr>
            <w:tcW w:w="2522" w:type="dxa"/>
            <w:gridSpan w:val="2"/>
            <w:tcBorders>
              <w:tl2br w:val="nil"/>
              <w:tr2bl w:val="nil"/>
            </w:tcBorders>
            <w:vAlign w:val="center"/>
          </w:tcPr>
          <w:p w14:paraId="2D0DCE99">
            <w:pPr>
              <w:pStyle w:val="49"/>
              <w:kinsoku/>
              <w:overflowPunct/>
              <w:topLinePunct w:val="0"/>
              <w:bidi w:val="0"/>
              <w:spacing w:line="360" w:lineRule="atLeast"/>
              <w:rPr>
                <w:rFonts w:hint="eastAsia" w:ascii="宋体" w:hAnsi="宋体" w:eastAsia="宋体" w:cs="宋体"/>
                <w:sz w:val="21"/>
                <w:szCs w:val="21"/>
              </w:rPr>
            </w:pPr>
          </w:p>
        </w:tc>
        <w:tc>
          <w:tcPr>
            <w:tcW w:w="2337" w:type="dxa"/>
            <w:gridSpan w:val="2"/>
            <w:tcBorders>
              <w:tl2br w:val="nil"/>
              <w:tr2bl w:val="nil"/>
            </w:tcBorders>
            <w:vAlign w:val="center"/>
          </w:tcPr>
          <w:p w14:paraId="561FCA6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一般项目不合格项数</w:t>
            </w:r>
          </w:p>
        </w:tc>
        <w:tc>
          <w:tcPr>
            <w:tcW w:w="2195" w:type="dxa"/>
            <w:gridSpan w:val="2"/>
            <w:tcBorders>
              <w:tl2br w:val="nil"/>
              <w:tr2bl w:val="nil"/>
            </w:tcBorders>
            <w:vAlign w:val="center"/>
          </w:tcPr>
          <w:p w14:paraId="158AF377">
            <w:pPr>
              <w:pStyle w:val="49"/>
              <w:kinsoku/>
              <w:overflowPunct/>
              <w:topLinePunct w:val="0"/>
              <w:bidi w:val="0"/>
              <w:spacing w:line="360" w:lineRule="atLeast"/>
              <w:rPr>
                <w:rFonts w:hint="eastAsia" w:ascii="宋体" w:hAnsi="宋体" w:eastAsia="宋体" w:cs="宋体"/>
                <w:sz w:val="21"/>
                <w:szCs w:val="21"/>
              </w:rPr>
            </w:pPr>
          </w:p>
        </w:tc>
      </w:tr>
      <w:tr w14:paraId="11D65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8" w:type="dxa"/>
            <w:gridSpan w:val="5"/>
            <w:tcBorders>
              <w:tl2br w:val="nil"/>
              <w:tr2bl w:val="nil"/>
            </w:tcBorders>
            <w:vAlign w:val="center"/>
          </w:tcPr>
          <w:p w14:paraId="2FF0FEE1">
            <w:pPr>
              <w:pStyle w:val="49"/>
              <w:kinsoku/>
              <w:overflowPunct/>
              <w:topLinePunct w:val="0"/>
              <w:bidi w:val="0"/>
              <w:spacing w:line="360" w:lineRule="atLeast"/>
              <w:rPr>
                <w:rFonts w:hint="eastAsia" w:ascii="宋体" w:hAnsi="宋体" w:eastAsia="宋体" w:cs="宋体"/>
                <w:kern w:val="0"/>
                <w:sz w:val="21"/>
                <w:szCs w:val="21"/>
                <w:lang w:bidi="ar"/>
              </w:rPr>
            </w:pPr>
            <w:r>
              <w:rPr>
                <w:rFonts w:hint="eastAsia" w:ascii="宋体" w:hAnsi="宋体" w:eastAsia="宋体" w:cs="宋体"/>
                <w:kern w:val="0"/>
                <w:sz w:val="21"/>
                <w:szCs w:val="21"/>
                <w:lang w:bidi="ar"/>
              </w:rPr>
              <w:t>租赁单位意见：</w:t>
            </w:r>
          </w:p>
          <w:p w14:paraId="10A14D8E">
            <w:pPr>
              <w:pStyle w:val="49"/>
              <w:kinsoku/>
              <w:overflowPunct/>
              <w:topLinePunct w:val="0"/>
              <w:bidi w:val="0"/>
              <w:spacing w:line="360" w:lineRule="atLeast"/>
              <w:rPr>
                <w:rFonts w:hint="eastAsia" w:ascii="宋体" w:hAnsi="宋体" w:eastAsia="宋体" w:cs="宋体"/>
                <w:kern w:val="0"/>
                <w:sz w:val="21"/>
                <w:szCs w:val="21"/>
                <w:lang w:bidi="ar"/>
              </w:rPr>
            </w:pPr>
          </w:p>
          <w:p w14:paraId="24E0A852">
            <w:pPr>
              <w:pStyle w:val="49"/>
              <w:kinsoku/>
              <w:overflowPunct/>
              <w:topLinePunct w:val="0"/>
              <w:bidi w:val="0"/>
              <w:spacing w:line="360" w:lineRule="atLeast"/>
              <w:rPr>
                <w:rFonts w:hint="eastAsia" w:ascii="宋体" w:hAnsi="宋体" w:eastAsia="宋体" w:cs="宋体"/>
                <w:kern w:val="0"/>
                <w:sz w:val="21"/>
                <w:szCs w:val="21"/>
                <w:lang w:bidi="ar"/>
              </w:rPr>
            </w:pPr>
          </w:p>
          <w:p w14:paraId="2056B3C2">
            <w:pPr>
              <w:pStyle w:val="49"/>
              <w:kinsoku/>
              <w:overflowPunct/>
              <w:topLinePunct w:val="0"/>
              <w:bidi w:val="0"/>
              <w:spacing w:line="360" w:lineRule="atLeast"/>
              <w:rPr>
                <w:rFonts w:hint="eastAsia" w:ascii="宋体" w:hAnsi="宋体" w:eastAsia="宋体" w:cs="宋体"/>
                <w:kern w:val="0"/>
                <w:sz w:val="21"/>
                <w:szCs w:val="21"/>
                <w:lang w:bidi="ar"/>
              </w:rPr>
            </w:pPr>
            <w:r>
              <w:rPr>
                <w:rFonts w:hint="eastAsia" w:ascii="宋体" w:hAnsi="宋体" w:eastAsia="宋体" w:cs="宋体"/>
                <w:kern w:val="0"/>
                <w:sz w:val="21"/>
                <w:szCs w:val="21"/>
                <w:lang w:bidi="ar"/>
              </w:rPr>
              <w:t>租赁负责人（签字）：（盖章）</w:t>
            </w:r>
          </w:p>
          <w:p w14:paraId="312B5CA1">
            <w:pPr>
              <w:pStyle w:val="49"/>
              <w:kinsoku/>
              <w:overflowPunct/>
              <w:topLinePunct w:val="0"/>
              <w:bidi w:val="0"/>
              <w:spacing w:line="360" w:lineRule="atLeast"/>
              <w:rPr>
                <w:rFonts w:hint="eastAsia" w:ascii="宋体" w:hAnsi="宋体" w:eastAsia="宋体" w:cs="宋体"/>
                <w:kern w:val="0"/>
                <w:sz w:val="21"/>
                <w:szCs w:val="21"/>
                <w:lang w:bidi="ar"/>
              </w:rPr>
            </w:pPr>
          </w:p>
          <w:p w14:paraId="322B2DC8">
            <w:pPr>
              <w:pStyle w:val="49"/>
              <w:kinsoku/>
              <w:overflowPunct/>
              <w:topLinePunct w:val="0"/>
              <w:bidi w:val="0"/>
              <w:spacing w:line="360" w:lineRule="atLeast"/>
              <w:jc w:val="right"/>
              <w:rPr>
                <w:rFonts w:hint="eastAsia" w:ascii="宋体" w:hAnsi="宋体" w:eastAsia="宋体" w:cs="宋体"/>
                <w:sz w:val="21"/>
                <w:szCs w:val="21"/>
              </w:rPr>
            </w:pPr>
            <w:r>
              <w:rPr>
                <w:rFonts w:hint="eastAsia" w:ascii="宋体" w:hAnsi="宋体" w:eastAsia="宋体" w:cs="宋体"/>
                <w:kern w:val="0"/>
                <w:sz w:val="21"/>
                <w:szCs w:val="21"/>
                <w:lang w:bidi="ar"/>
              </w:rPr>
              <w:t>年</w:t>
            </w:r>
            <w:r>
              <w:rPr>
                <w:rFonts w:hint="eastAsia" w:cs="宋体"/>
                <w:kern w:val="0"/>
                <w:sz w:val="21"/>
                <w:szCs w:val="21"/>
                <w:lang w:val="en-US" w:eastAsia="zh-CN" w:bidi="ar"/>
              </w:rPr>
              <w:t xml:space="preserve">  </w:t>
            </w:r>
            <w:r>
              <w:rPr>
                <w:rFonts w:hint="eastAsia" w:ascii="宋体" w:hAnsi="宋体" w:eastAsia="宋体" w:cs="宋体"/>
                <w:kern w:val="0"/>
                <w:sz w:val="21"/>
                <w:szCs w:val="21"/>
                <w:lang w:bidi="ar"/>
              </w:rPr>
              <w:t>月</w:t>
            </w:r>
            <w:r>
              <w:rPr>
                <w:rFonts w:hint="eastAsia" w:cs="宋体"/>
                <w:kern w:val="0"/>
                <w:sz w:val="21"/>
                <w:szCs w:val="21"/>
                <w:lang w:val="en-US" w:eastAsia="zh-CN" w:bidi="ar"/>
              </w:rPr>
              <w:t xml:space="preserve">  </w:t>
            </w:r>
            <w:r>
              <w:rPr>
                <w:rFonts w:hint="eastAsia" w:ascii="宋体" w:hAnsi="宋体" w:eastAsia="宋体" w:cs="宋体"/>
                <w:kern w:val="0"/>
                <w:sz w:val="21"/>
                <w:szCs w:val="21"/>
                <w:lang w:bidi="ar"/>
              </w:rPr>
              <w:t>日</w:t>
            </w:r>
          </w:p>
        </w:tc>
        <w:tc>
          <w:tcPr>
            <w:tcW w:w="4532" w:type="dxa"/>
            <w:gridSpan w:val="4"/>
            <w:tcBorders>
              <w:tl2br w:val="nil"/>
              <w:tr2bl w:val="nil"/>
            </w:tcBorders>
            <w:vAlign w:val="center"/>
          </w:tcPr>
          <w:p w14:paraId="692E1BEA">
            <w:pPr>
              <w:pStyle w:val="49"/>
              <w:kinsoku/>
              <w:overflowPunct/>
              <w:topLinePunct w:val="0"/>
              <w:bidi w:val="0"/>
              <w:spacing w:line="360" w:lineRule="atLeast"/>
              <w:rPr>
                <w:rFonts w:hint="eastAsia" w:ascii="宋体" w:hAnsi="宋体" w:eastAsia="宋体" w:cs="宋体"/>
                <w:kern w:val="0"/>
                <w:sz w:val="21"/>
                <w:szCs w:val="21"/>
                <w:lang w:bidi="ar"/>
              </w:rPr>
            </w:pPr>
            <w:r>
              <w:rPr>
                <w:rFonts w:hint="eastAsia" w:ascii="宋体" w:hAnsi="宋体" w:eastAsia="宋体" w:cs="宋体"/>
                <w:kern w:val="0"/>
                <w:sz w:val="21"/>
                <w:szCs w:val="21"/>
                <w:lang w:bidi="ar"/>
              </w:rPr>
              <w:t>使用单位意见：</w:t>
            </w:r>
          </w:p>
          <w:p w14:paraId="4AF7C774">
            <w:pPr>
              <w:pStyle w:val="49"/>
              <w:kinsoku/>
              <w:overflowPunct/>
              <w:topLinePunct w:val="0"/>
              <w:bidi w:val="0"/>
              <w:spacing w:line="360" w:lineRule="atLeast"/>
              <w:rPr>
                <w:rFonts w:hint="eastAsia" w:ascii="宋体" w:hAnsi="宋体" w:eastAsia="宋体" w:cs="宋体"/>
                <w:kern w:val="0"/>
                <w:sz w:val="21"/>
                <w:szCs w:val="21"/>
                <w:lang w:bidi="ar"/>
              </w:rPr>
            </w:pPr>
          </w:p>
          <w:p w14:paraId="0713999C">
            <w:pPr>
              <w:pStyle w:val="49"/>
              <w:kinsoku/>
              <w:overflowPunct/>
              <w:topLinePunct w:val="0"/>
              <w:bidi w:val="0"/>
              <w:spacing w:line="360" w:lineRule="atLeast"/>
              <w:rPr>
                <w:rFonts w:hint="eastAsia" w:ascii="宋体" w:hAnsi="宋体" w:eastAsia="宋体" w:cs="宋体"/>
                <w:kern w:val="0"/>
                <w:sz w:val="21"/>
                <w:szCs w:val="21"/>
                <w:lang w:bidi="ar"/>
              </w:rPr>
            </w:pPr>
          </w:p>
          <w:p w14:paraId="798DBF14">
            <w:pPr>
              <w:pStyle w:val="49"/>
              <w:kinsoku/>
              <w:overflowPunct/>
              <w:topLinePunct w:val="0"/>
              <w:bidi w:val="0"/>
              <w:spacing w:line="360" w:lineRule="atLeast"/>
              <w:rPr>
                <w:rFonts w:hint="eastAsia" w:ascii="宋体" w:hAnsi="宋体" w:eastAsia="宋体" w:cs="宋体"/>
                <w:kern w:val="0"/>
                <w:sz w:val="21"/>
                <w:szCs w:val="21"/>
                <w:lang w:bidi="ar"/>
              </w:rPr>
            </w:pPr>
            <w:r>
              <w:rPr>
                <w:rFonts w:hint="eastAsia" w:ascii="宋体" w:hAnsi="宋体" w:eastAsia="宋体" w:cs="宋体"/>
                <w:kern w:val="0"/>
                <w:sz w:val="21"/>
                <w:szCs w:val="21"/>
                <w:lang w:bidi="ar"/>
              </w:rPr>
              <w:t>项目技术负责人或机械员（签字）（盖章）</w:t>
            </w:r>
          </w:p>
          <w:p w14:paraId="77B49A4E">
            <w:pPr>
              <w:pStyle w:val="49"/>
              <w:kinsoku/>
              <w:overflowPunct/>
              <w:topLinePunct w:val="0"/>
              <w:bidi w:val="0"/>
              <w:spacing w:line="360" w:lineRule="atLeast"/>
              <w:rPr>
                <w:rFonts w:hint="eastAsia" w:ascii="宋体" w:hAnsi="宋体" w:eastAsia="宋体" w:cs="宋体"/>
                <w:kern w:val="0"/>
                <w:sz w:val="21"/>
                <w:szCs w:val="21"/>
                <w:lang w:bidi="ar"/>
              </w:rPr>
            </w:pPr>
          </w:p>
          <w:p w14:paraId="224C7C37">
            <w:pPr>
              <w:pStyle w:val="49"/>
              <w:kinsoku/>
              <w:overflowPunct/>
              <w:topLinePunct w:val="0"/>
              <w:bidi w:val="0"/>
              <w:spacing w:line="360" w:lineRule="atLeast"/>
              <w:jc w:val="right"/>
              <w:rPr>
                <w:rFonts w:hint="eastAsia" w:ascii="宋体" w:hAnsi="宋体" w:eastAsia="宋体" w:cs="宋体"/>
                <w:sz w:val="21"/>
                <w:szCs w:val="21"/>
              </w:rPr>
            </w:pPr>
            <w:r>
              <w:rPr>
                <w:rFonts w:hint="eastAsia" w:ascii="宋体" w:hAnsi="宋体" w:eastAsia="宋体" w:cs="宋体"/>
                <w:kern w:val="0"/>
                <w:sz w:val="21"/>
                <w:szCs w:val="21"/>
                <w:lang w:bidi="ar"/>
              </w:rPr>
              <w:t>年</w:t>
            </w:r>
            <w:r>
              <w:rPr>
                <w:rFonts w:hint="eastAsia" w:cs="宋体"/>
                <w:kern w:val="0"/>
                <w:sz w:val="21"/>
                <w:szCs w:val="21"/>
                <w:lang w:val="en-US" w:eastAsia="zh-CN" w:bidi="ar"/>
              </w:rPr>
              <w:t xml:space="preserve">  </w:t>
            </w:r>
            <w:r>
              <w:rPr>
                <w:rFonts w:hint="eastAsia" w:ascii="宋体" w:hAnsi="宋体" w:eastAsia="宋体" w:cs="宋体"/>
                <w:kern w:val="0"/>
                <w:sz w:val="21"/>
                <w:szCs w:val="21"/>
                <w:lang w:bidi="ar"/>
              </w:rPr>
              <w:t>月</w:t>
            </w:r>
            <w:r>
              <w:rPr>
                <w:rFonts w:hint="eastAsia" w:cs="宋体"/>
                <w:kern w:val="0"/>
                <w:sz w:val="21"/>
                <w:szCs w:val="21"/>
                <w:lang w:val="en-US" w:eastAsia="zh-CN" w:bidi="ar"/>
              </w:rPr>
              <w:t xml:space="preserve">  </w:t>
            </w:r>
            <w:r>
              <w:rPr>
                <w:rFonts w:hint="eastAsia" w:ascii="宋体" w:hAnsi="宋体" w:eastAsia="宋体" w:cs="宋体"/>
                <w:kern w:val="0"/>
                <w:sz w:val="21"/>
                <w:szCs w:val="21"/>
                <w:lang w:bidi="ar"/>
              </w:rPr>
              <w:t>日</w:t>
            </w:r>
          </w:p>
        </w:tc>
      </w:tr>
      <w:tr w14:paraId="158F03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8" w:type="dxa"/>
            <w:gridSpan w:val="5"/>
            <w:tcBorders>
              <w:tl2br w:val="nil"/>
              <w:tr2bl w:val="nil"/>
            </w:tcBorders>
            <w:vAlign w:val="center"/>
          </w:tcPr>
          <w:p w14:paraId="19E08C41">
            <w:pPr>
              <w:pStyle w:val="49"/>
              <w:kinsoku/>
              <w:overflowPunct/>
              <w:topLinePunct w:val="0"/>
              <w:bidi w:val="0"/>
              <w:spacing w:line="360" w:lineRule="atLeast"/>
              <w:rPr>
                <w:rFonts w:hint="eastAsia" w:ascii="宋体" w:hAnsi="宋体" w:eastAsia="宋体" w:cs="宋体"/>
                <w:kern w:val="0"/>
                <w:sz w:val="21"/>
                <w:szCs w:val="21"/>
                <w:lang w:bidi="ar"/>
              </w:rPr>
            </w:pPr>
            <w:r>
              <w:rPr>
                <w:rFonts w:hint="eastAsia" w:cs="宋体"/>
                <w:kern w:val="0"/>
                <w:sz w:val="21"/>
                <w:szCs w:val="21"/>
                <w:lang w:eastAsia="zh-CN" w:bidi="ar"/>
              </w:rPr>
              <w:t>拆除</w:t>
            </w:r>
            <w:r>
              <w:rPr>
                <w:rFonts w:hint="eastAsia" w:ascii="宋体" w:hAnsi="宋体" w:eastAsia="宋体" w:cs="宋体"/>
                <w:kern w:val="0"/>
                <w:sz w:val="21"/>
                <w:szCs w:val="21"/>
                <w:lang w:bidi="ar"/>
              </w:rPr>
              <w:t>单位意见：</w:t>
            </w:r>
          </w:p>
          <w:p w14:paraId="57B115F5">
            <w:pPr>
              <w:pStyle w:val="49"/>
              <w:kinsoku/>
              <w:overflowPunct/>
              <w:topLinePunct w:val="0"/>
              <w:bidi w:val="0"/>
              <w:spacing w:line="360" w:lineRule="atLeast"/>
              <w:rPr>
                <w:rFonts w:hint="eastAsia" w:ascii="宋体" w:hAnsi="宋体" w:eastAsia="宋体" w:cs="宋体"/>
                <w:kern w:val="0"/>
                <w:sz w:val="21"/>
                <w:szCs w:val="21"/>
                <w:lang w:bidi="ar"/>
              </w:rPr>
            </w:pPr>
          </w:p>
          <w:p w14:paraId="68DDCEE9">
            <w:pPr>
              <w:pStyle w:val="49"/>
              <w:kinsoku/>
              <w:overflowPunct/>
              <w:topLinePunct w:val="0"/>
              <w:bidi w:val="0"/>
              <w:spacing w:line="360" w:lineRule="atLeast"/>
              <w:rPr>
                <w:rFonts w:hint="eastAsia" w:ascii="宋体" w:hAnsi="宋体" w:eastAsia="宋体" w:cs="宋体"/>
                <w:kern w:val="0"/>
                <w:sz w:val="21"/>
                <w:szCs w:val="21"/>
                <w:lang w:bidi="ar"/>
              </w:rPr>
            </w:pPr>
          </w:p>
          <w:p w14:paraId="0A3D127C">
            <w:pPr>
              <w:pStyle w:val="49"/>
              <w:kinsoku/>
              <w:overflowPunct/>
              <w:topLinePunct w:val="0"/>
              <w:bidi w:val="0"/>
              <w:spacing w:line="360" w:lineRule="atLeast"/>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技术负责人（或受委托负责人）（签字）（盖章）</w:t>
            </w:r>
          </w:p>
          <w:p w14:paraId="435EBB2C">
            <w:pPr>
              <w:pStyle w:val="49"/>
              <w:kinsoku/>
              <w:overflowPunct/>
              <w:topLinePunct w:val="0"/>
              <w:bidi w:val="0"/>
              <w:spacing w:line="360" w:lineRule="atLeast"/>
              <w:rPr>
                <w:rFonts w:hint="eastAsia" w:ascii="宋体" w:hAnsi="宋体" w:eastAsia="宋体" w:cs="宋体"/>
                <w:kern w:val="0"/>
                <w:sz w:val="21"/>
                <w:szCs w:val="21"/>
                <w:lang w:bidi="ar"/>
              </w:rPr>
            </w:pPr>
          </w:p>
          <w:p w14:paraId="071FEA52">
            <w:pPr>
              <w:pStyle w:val="49"/>
              <w:kinsoku/>
              <w:overflowPunct/>
              <w:topLinePunct w:val="0"/>
              <w:bidi w:val="0"/>
              <w:spacing w:line="360" w:lineRule="atLeast"/>
              <w:jc w:val="right"/>
              <w:rPr>
                <w:rFonts w:hint="eastAsia" w:ascii="宋体" w:hAnsi="宋体" w:eastAsia="宋体" w:cs="宋体"/>
                <w:sz w:val="21"/>
                <w:szCs w:val="21"/>
              </w:rPr>
            </w:pPr>
            <w:r>
              <w:rPr>
                <w:rFonts w:hint="eastAsia" w:ascii="宋体" w:hAnsi="宋体" w:eastAsia="宋体" w:cs="宋体"/>
                <w:kern w:val="0"/>
                <w:sz w:val="21"/>
                <w:szCs w:val="21"/>
                <w:lang w:bidi="ar"/>
              </w:rPr>
              <w:t>年</w:t>
            </w:r>
            <w:r>
              <w:rPr>
                <w:rFonts w:hint="eastAsia" w:cs="宋体"/>
                <w:kern w:val="0"/>
                <w:sz w:val="21"/>
                <w:szCs w:val="21"/>
                <w:lang w:val="en-US" w:eastAsia="zh-CN" w:bidi="ar"/>
              </w:rPr>
              <w:t xml:space="preserve">  </w:t>
            </w:r>
            <w:r>
              <w:rPr>
                <w:rFonts w:hint="eastAsia" w:ascii="宋体" w:hAnsi="宋体" w:eastAsia="宋体" w:cs="宋体"/>
                <w:kern w:val="0"/>
                <w:sz w:val="21"/>
                <w:szCs w:val="21"/>
                <w:lang w:bidi="ar"/>
              </w:rPr>
              <w:t>月</w:t>
            </w:r>
            <w:r>
              <w:rPr>
                <w:rFonts w:hint="eastAsia" w:cs="宋体"/>
                <w:kern w:val="0"/>
                <w:sz w:val="21"/>
                <w:szCs w:val="21"/>
                <w:lang w:val="en-US" w:eastAsia="zh-CN" w:bidi="ar"/>
              </w:rPr>
              <w:t xml:space="preserve">  </w:t>
            </w:r>
            <w:r>
              <w:rPr>
                <w:rFonts w:hint="eastAsia" w:ascii="宋体" w:hAnsi="宋体" w:eastAsia="宋体" w:cs="宋体"/>
                <w:kern w:val="0"/>
                <w:sz w:val="21"/>
                <w:szCs w:val="21"/>
                <w:lang w:bidi="ar"/>
              </w:rPr>
              <w:t>日</w:t>
            </w:r>
          </w:p>
        </w:tc>
        <w:tc>
          <w:tcPr>
            <w:tcW w:w="4532" w:type="dxa"/>
            <w:gridSpan w:val="4"/>
            <w:tcBorders>
              <w:tl2br w:val="nil"/>
              <w:tr2bl w:val="nil"/>
            </w:tcBorders>
            <w:vAlign w:val="center"/>
          </w:tcPr>
          <w:p w14:paraId="740D4355">
            <w:pPr>
              <w:pStyle w:val="49"/>
              <w:kinsoku/>
              <w:overflowPunct/>
              <w:topLinePunct w:val="0"/>
              <w:bidi w:val="0"/>
              <w:spacing w:line="360" w:lineRule="atLeast"/>
              <w:rPr>
                <w:rFonts w:hint="eastAsia" w:ascii="宋体" w:hAnsi="宋体" w:eastAsia="宋体" w:cs="宋体"/>
                <w:kern w:val="0"/>
                <w:sz w:val="21"/>
                <w:szCs w:val="21"/>
                <w:lang w:bidi="ar"/>
              </w:rPr>
            </w:pPr>
            <w:r>
              <w:rPr>
                <w:rFonts w:hint="eastAsia" w:ascii="宋体" w:hAnsi="宋体" w:eastAsia="宋体" w:cs="宋体"/>
                <w:kern w:val="0"/>
                <w:sz w:val="21"/>
                <w:szCs w:val="21"/>
                <w:lang w:bidi="ar"/>
              </w:rPr>
              <w:t>监理单位意见：</w:t>
            </w:r>
          </w:p>
          <w:p w14:paraId="1E21FEAF">
            <w:pPr>
              <w:pStyle w:val="49"/>
              <w:kinsoku/>
              <w:overflowPunct/>
              <w:topLinePunct w:val="0"/>
              <w:bidi w:val="0"/>
              <w:spacing w:line="360" w:lineRule="atLeast"/>
              <w:rPr>
                <w:rFonts w:hint="eastAsia" w:ascii="宋体" w:hAnsi="宋体" w:eastAsia="宋体" w:cs="宋体"/>
                <w:kern w:val="0"/>
                <w:sz w:val="21"/>
                <w:szCs w:val="21"/>
                <w:lang w:bidi="ar"/>
              </w:rPr>
            </w:pPr>
          </w:p>
          <w:p w14:paraId="212767D9">
            <w:pPr>
              <w:pStyle w:val="49"/>
              <w:kinsoku/>
              <w:overflowPunct/>
              <w:topLinePunct w:val="0"/>
              <w:bidi w:val="0"/>
              <w:spacing w:line="360" w:lineRule="atLeast"/>
              <w:rPr>
                <w:rFonts w:hint="eastAsia" w:ascii="宋体" w:hAnsi="宋体" w:eastAsia="宋体" w:cs="宋体"/>
                <w:kern w:val="0"/>
                <w:sz w:val="21"/>
                <w:szCs w:val="21"/>
                <w:lang w:bidi="ar"/>
              </w:rPr>
            </w:pPr>
          </w:p>
          <w:p w14:paraId="4B2731C3">
            <w:pPr>
              <w:pStyle w:val="49"/>
              <w:kinsoku/>
              <w:overflowPunct/>
              <w:topLinePunct w:val="0"/>
              <w:bidi w:val="0"/>
              <w:spacing w:line="360" w:lineRule="atLeast"/>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总监或专业监理工程师（签字）：（盖章）</w:t>
            </w:r>
          </w:p>
          <w:p w14:paraId="77557434">
            <w:pPr>
              <w:pStyle w:val="49"/>
              <w:kinsoku/>
              <w:overflowPunct/>
              <w:topLinePunct w:val="0"/>
              <w:bidi w:val="0"/>
              <w:spacing w:line="360" w:lineRule="atLeast"/>
              <w:rPr>
                <w:rFonts w:hint="eastAsia" w:ascii="宋体" w:hAnsi="宋体" w:eastAsia="宋体" w:cs="宋体"/>
                <w:kern w:val="0"/>
                <w:sz w:val="21"/>
                <w:szCs w:val="21"/>
                <w:lang w:bidi="ar"/>
              </w:rPr>
            </w:pPr>
          </w:p>
          <w:p w14:paraId="44184D1F">
            <w:pPr>
              <w:pStyle w:val="49"/>
              <w:kinsoku/>
              <w:overflowPunct/>
              <w:topLinePunct w:val="0"/>
              <w:bidi w:val="0"/>
              <w:spacing w:line="360" w:lineRule="atLeast"/>
              <w:jc w:val="right"/>
              <w:rPr>
                <w:rFonts w:hint="eastAsia" w:ascii="宋体" w:hAnsi="宋体" w:eastAsia="宋体" w:cs="宋体"/>
                <w:sz w:val="21"/>
                <w:szCs w:val="21"/>
              </w:rPr>
            </w:pPr>
            <w:r>
              <w:rPr>
                <w:rFonts w:hint="eastAsia" w:ascii="宋体" w:hAnsi="宋体" w:eastAsia="宋体" w:cs="宋体"/>
                <w:kern w:val="0"/>
                <w:sz w:val="21"/>
                <w:szCs w:val="21"/>
                <w:lang w:bidi="ar"/>
              </w:rPr>
              <w:t>年</w:t>
            </w:r>
            <w:r>
              <w:rPr>
                <w:rFonts w:hint="eastAsia" w:cs="宋体"/>
                <w:kern w:val="0"/>
                <w:sz w:val="21"/>
                <w:szCs w:val="21"/>
                <w:lang w:val="en-US" w:eastAsia="zh-CN" w:bidi="ar"/>
              </w:rPr>
              <w:t xml:space="preserve">  </w:t>
            </w:r>
            <w:r>
              <w:rPr>
                <w:rFonts w:hint="eastAsia" w:ascii="宋体" w:hAnsi="宋体" w:eastAsia="宋体" w:cs="宋体"/>
                <w:kern w:val="0"/>
                <w:sz w:val="21"/>
                <w:szCs w:val="21"/>
                <w:lang w:bidi="ar"/>
              </w:rPr>
              <w:t>月</w:t>
            </w:r>
            <w:r>
              <w:rPr>
                <w:rFonts w:hint="eastAsia" w:cs="宋体"/>
                <w:kern w:val="0"/>
                <w:sz w:val="21"/>
                <w:szCs w:val="21"/>
                <w:lang w:val="en-US" w:eastAsia="zh-CN" w:bidi="ar"/>
              </w:rPr>
              <w:t xml:space="preserve">  </w:t>
            </w:r>
            <w:r>
              <w:rPr>
                <w:rFonts w:hint="eastAsia" w:ascii="宋体" w:hAnsi="宋体" w:eastAsia="宋体" w:cs="宋体"/>
                <w:kern w:val="0"/>
                <w:sz w:val="21"/>
                <w:szCs w:val="21"/>
                <w:lang w:bidi="ar"/>
              </w:rPr>
              <w:t>日</w:t>
            </w:r>
          </w:p>
        </w:tc>
      </w:tr>
    </w:tbl>
    <w:p w14:paraId="71121AB0">
      <w:pPr>
        <w:pStyle w:val="2"/>
        <w:keepNext w:val="0"/>
        <w:widowControl w:val="0"/>
        <w:numPr>
          <w:ilvl w:val="0"/>
          <w:numId w:val="1"/>
        </w:numPr>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86" w:name="_Toc26559"/>
      <w:r>
        <w:rPr>
          <w:rFonts w:hint="eastAsia" w:ascii="宋体" w:hAnsi="宋体" w:eastAsia="宋体" w:cs="宋体"/>
          <w:sz w:val="24"/>
          <w:szCs w:val="24"/>
        </w:rPr>
        <w:t>应急处置措施</w:t>
      </w:r>
      <w:bookmarkEnd w:id="86"/>
    </w:p>
    <w:p w14:paraId="09057E9F">
      <w:pPr>
        <w:pStyle w:val="3"/>
        <w:keepNext w:val="0"/>
        <w:widowControl w:val="0"/>
        <w:numPr>
          <w:ilvl w:val="1"/>
          <w:numId w:val="1"/>
        </w:numPr>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87" w:name="_Toc13800"/>
      <w:r>
        <w:rPr>
          <w:rFonts w:hint="eastAsia" w:ascii="宋体" w:hAnsi="宋体" w:eastAsia="宋体" w:cs="宋体"/>
          <w:sz w:val="24"/>
          <w:szCs w:val="24"/>
        </w:rPr>
        <w:t>风险源辨识及分析</w:t>
      </w:r>
      <w:bookmarkEnd w:id="87"/>
    </w:p>
    <w:p w14:paraId="77CD3177">
      <w:pPr>
        <w:pStyle w:val="4"/>
        <w:keepNext w:val="0"/>
        <w:widowControl w:val="0"/>
        <w:numPr>
          <w:ilvl w:val="2"/>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LEC风险评估方法简介</w:t>
      </w:r>
    </w:p>
    <w:p w14:paraId="29F262D1">
      <w:pPr>
        <w:bidi w:val="0"/>
        <w:rPr>
          <w:rFonts w:hint="eastAsia"/>
        </w:rPr>
      </w:pPr>
      <w:r>
        <w:rPr>
          <w:rFonts w:hint="eastAsia"/>
        </w:rPr>
        <w:t>本项目施工风险评估采用“LEC风险法”，其考虑的危险因素有三个：发生事故或危险事件的可能性，危险作业出现频率和事故的后果。主要是评估人员根据实际经验，对评估对象的现状情况进行分析，然后根据公式计算其危险性分数值，再按经验将危险性分数值划分危险程度等级表。</w:t>
      </w:r>
    </w:p>
    <w:p w14:paraId="144944DA">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“LEC风险法”事故风险大小计算公式为：D=L×E×C</w:t>
      </w:r>
    </w:p>
    <w:p w14:paraId="4F3BDFF7">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D——事故风险大小</w:t>
      </w:r>
    </w:p>
    <w:p w14:paraId="495F9BB2">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L——事故发生的可能性</w:t>
      </w:r>
    </w:p>
    <w:p w14:paraId="7E811151">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E——暴露于风险环境的频率</w:t>
      </w:r>
    </w:p>
    <w:p w14:paraId="6E4F7772">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C——发生事故的可能后果</w:t>
      </w:r>
    </w:p>
    <w:p w14:paraId="5BFAE66A">
      <w:pPr>
        <w:bidi w:val="0"/>
        <w:rPr>
          <w:rFonts w:hint="eastAsia"/>
        </w:rPr>
      </w:pPr>
      <w:r>
        <w:rPr>
          <w:rFonts w:hint="eastAsia"/>
        </w:rPr>
        <w:t>事故发生的可能性L定性表达了事故发生的概率。必然发生的事故的概率为1，规定对应得分值为10；实际上不可能事故发生的情况对应得分值为0.5；以此为基础确定，其取值范围如</w:t>
      </w:r>
      <w:r>
        <w:rPr>
          <w:rFonts w:hint="eastAsia"/>
        </w:rPr>
        <w:fldChar w:fldCharType="begin"/>
      </w:r>
      <w:r>
        <w:rPr>
          <w:rFonts w:hint="eastAsia"/>
        </w:rPr>
        <w:instrText xml:space="preserve">REF_Ref67577224\h\*MERGEFORMAT</w:instrText>
      </w:r>
      <w:r>
        <w:rPr>
          <w:rFonts w:hint="eastAsia"/>
        </w:rPr>
        <w:fldChar w:fldCharType="separate"/>
      </w:r>
      <w:r>
        <w:rPr>
          <w:rFonts w:hint="eastAsia"/>
        </w:rPr>
        <w:t>表9.1</w:t>
      </w:r>
      <w:r>
        <w:rPr>
          <w:rFonts w:hint="eastAsia"/>
          <w:lang w:val="en-US" w:eastAsia="zh-CN"/>
        </w:rPr>
        <w:t>.1</w:t>
      </w:r>
      <w:r>
        <w:rPr>
          <w:rFonts w:hint="eastAsia"/>
          <w:lang w:eastAsia="zh-CN"/>
        </w:rPr>
        <w:t>-</w:t>
      </w:r>
      <w:r>
        <w:rPr>
          <w:rFonts w:hint="eastAsia"/>
        </w:rPr>
        <w:t>1</w:t>
      </w:r>
      <w:r>
        <w:rPr>
          <w:rFonts w:hint="eastAsia"/>
        </w:rPr>
        <w:fldChar w:fldCharType="end"/>
      </w:r>
      <w:r>
        <w:rPr>
          <w:rFonts w:hint="eastAsia"/>
        </w:rPr>
        <w:t>。</w:t>
      </w:r>
    </w:p>
    <w:p w14:paraId="695DD5A6">
      <w:pPr>
        <w:pStyle w:val="13"/>
        <w:keepNext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color w:val="000000" w:themeColor="text1"/>
          <w:sz w:val="24"/>
          <w:szCs w:val="24"/>
          <w14:textFill>
            <w14:solidFill>
              <w14:schemeClr w14:val="tx1"/>
            </w14:solidFill>
          </w14:textFill>
        </w:rPr>
      </w:pPr>
      <w:bookmarkStart w:id="88" w:name="_Ref67577224"/>
      <w:r>
        <w:rPr>
          <w:rFonts w:hint="eastAsia" w:ascii="宋体" w:hAnsi="宋体" w:eastAsia="宋体" w:cs="宋体"/>
          <w:color w:val="000000" w:themeColor="text1"/>
          <w:sz w:val="24"/>
          <w:szCs w:val="24"/>
          <w14:textFill>
            <w14:solidFill>
              <w14:schemeClr w14:val="tx1"/>
            </w14:solidFill>
          </w14:textFill>
        </w:rPr>
        <w:t>表</w:t>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STYLEREF 3\s</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9.1.1</w:t>
      </w:r>
      <w:r>
        <w:rPr>
          <w:rFonts w:hint="eastAsia" w:ascii="宋体" w:hAnsi="宋体" w:eastAsia="宋体" w:cs="宋体"/>
          <w:color w:val="000000" w:themeColor="text1"/>
          <w:sz w:val="24"/>
          <w:szCs w:val="24"/>
          <w14:textFill>
            <w14:solidFill>
              <w14:schemeClr w14:val="tx1"/>
            </w14:solidFill>
          </w14:textFill>
        </w:rPr>
        <w:fldChar w:fldCharType="end"/>
      </w:r>
      <w:r>
        <w:rPr>
          <w:rFonts w:hint="eastAsia" w:ascii="宋体" w:hAnsi="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fldChar w:fldCharType="begin"/>
      </w:r>
      <w:r>
        <w:rPr>
          <w:rFonts w:hint="eastAsia" w:ascii="宋体" w:hAnsi="宋体" w:eastAsia="宋体" w:cs="宋体"/>
          <w:color w:val="000000" w:themeColor="text1"/>
          <w:sz w:val="24"/>
          <w:szCs w:val="24"/>
          <w14:textFill>
            <w14:solidFill>
              <w14:schemeClr w14:val="tx1"/>
            </w14:solidFill>
          </w14:textFill>
        </w:rPr>
        <w:instrText xml:space="preserve">SEQ表\*ARABIC\s 3</w:instrText>
      </w:r>
      <w:r>
        <w:rPr>
          <w:rFonts w:hint="eastAsia" w:ascii="宋体" w:hAnsi="宋体" w:eastAsia="宋体" w:cs="宋体"/>
          <w:color w:val="000000" w:themeColor="text1"/>
          <w:sz w:val="24"/>
          <w:szCs w:val="24"/>
          <w14:textFill>
            <w14:solidFill>
              <w14:schemeClr w14:val="tx1"/>
            </w14:solidFill>
          </w14:textFill>
        </w:rPr>
        <w:fldChar w:fldCharType="separate"/>
      </w:r>
      <w:r>
        <w:rPr>
          <w:rFonts w:hint="eastAsia" w:ascii="宋体" w:hAnsi="宋体" w:eastAsia="宋体" w:cs="宋体"/>
          <w:color w:val="000000" w:themeColor="text1"/>
          <w:sz w:val="24"/>
          <w:szCs w:val="24"/>
          <w14:textFill>
            <w14:solidFill>
              <w14:schemeClr w14:val="tx1"/>
            </w14:solidFill>
          </w14:textFill>
        </w:rPr>
        <w:t>1</w:t>
      </w:r>
      <w:r>
        <w:rPr>
          <w:rFonts w:hint="eastAsia" w:ascii="宋体" w:hAnsi="宋体" w:eastAsia="宋体" w:cs="宋体"/>
          <w:color w:val="000000" w:themeColor="text1"/>
          <w:sz w:val="24"/>
          <w:szCs w:val="24"/>
          <w14:textFill>
            <w14:solidFill>
              <w14:schemeClr w14:val="tx1"/>
            </w14:solidFill>
          </w14:textFill>
        </w:rPr>
        <w:fldChar w:fldCharType="end"/>
      </w:r>
      <w:bookmarkEnd w:id="88"/>
      <w:r>
        <w:rPr>
          <w:rFonts w:hint="eastAsia" w:ascii="宋体" w:hAnsi="宋体" w:eastAsia="宋体" w:cs="宋体"/>
          <w:color w:val="000000" w:themeColor="text1"/>
          <w:sz w:val="24"/>
          <w:szCs w:val="24"/>
          <w14:textFill>
            <w14:solidFill>
              <w14:schemeClr w14:val="tx1"/>
            </w14:solidFill>
          </w14:textFill>
        </w:rPr>
        <w:t>事故发生可能性（L）</w:t>
      </w:r>
    </w:p>
    <w:tbl>
      <w:tblPr>
        <w:tblStyle w:val="68"/>
        <w:tblW w:w="493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874"/>
        <w:gridCol w:w="1165"/>
        <w:gridCol w:w="2888"/>
        <w:gridCol w:w="874"/>
        <w:gridCol w:w="1165"/>
        <w:gridCol w:w="2765"/>
      </w:tblGrid>
      <w:tr w14:paraId="6C3968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49" w:type="pct"/>
            <w:tcBorders>
              <w:tl2br w:val="nil"/>
              <w:tr2bl w:val="nil"/>
            </w:tcBorders>
            <w:shd w:val="clear" w:color="auto" w:fill="auto"/>
            <w:vAlign w:val="center"/>
          </w:tcPr>
          <w:p w14:paraId="3EC92438">
            <w:pPr>
              <w:pStyle w:val="49"/>
              <w:kinsoku/>
              <w:overflowPunct/>
              <w:topLinePunct w:val="0"/>
              <w:bidi w:val="0"/>
              <w:spacing w:line="360" w:lineRule="atLeast"/>
              <w:jc w:val="center"/>
              <w:rPr>
                <w:rFonts w:hint="eastAsia" w:ascii="宋体" w:hAnsi="宋体" w:eastAsia="宋体" w:cs="宋体"/>
                <w:b/>
                <w:i w:val="0"/>
                <w:color w:val="000000" w:themeColor="text1"/>
                <w:sz w:val="21"/>
                <w:szCs w:val="21"/>
                <w14:textFill>
                  <w14:solidFill>
                    <w14:schemeClr w14:val="tx1"/>
                  </w14:solidFill>
                </w14:textFill>
              </w:rPr>
            </w:pPr>
            <w:r>
              <w:rPr>
                <w:rFonts w:hint="eastAsia" w:ascii="宋体" w:hAnsi="宋体" w:eastAsia="宋体" w:cs="宋体"/>
                <w:b/>
                <w:i w:val="0"/>
                <w:color w:val="000000" w:themeColor="text1"/>
                <w:sz w:val="21"/>
                <w:szCs w:val="21"/>
                <w14:textFill>
                  <w14:solidFill>
                    <w14:schemeClr w14:val="tx1"/>
                  </w14:solidFill>
                </w14:textFill>
              </w:rPr>
              <w:t>序号</w:t>
            </w:r>
          </w:p>
        </w:tc>
        <w:tc>
          <w:tcPr>
            <w:tcW w:w="598" w:type="pct"/>
            <w:tcBorders>
              <w:tl2br w:val="nil"/>
              <w:tr2bl w:val="nil"/>
            </w:tcBorders>
            <w:shd w:val="clear" w:color="auto" w:fill="auto"/>
            <w:vAlign w:val="center"/>
          </w:tcPr>
          <w:p w14:paraId="07975639">
            <w:pPr>
              <w:pStyle w:val="49"/>
              <w:kinsoku/>
              <w:overflowPunct/>
              <w:topLinePunct w:val="0"/>
              <w:bidi w:val="0"/>
              <w:spacing w:line="360" w:lineRule="atLeast"/>
              <w:jc w:val="center"/>
              <w:rPr>
                <w:rFonts w:hint="eastAsia" w:ascii="宋体" w:hAnsi="宋体" w:eastAsia="宋体" w:cs="宋体"/>
                <w:b/>
                <w:i w:val="0"/>
                <w:color w:val="000000" w:themeColor="text1"/>
                <w:sz w:val="21"/>
                <w:szCs w:val="21"/>
                <w14:textFill>
                  <w14:solidFill>
                    <w14:schemeClr w14:val="tx1"/>
                  </w14:solidFill>
                </w14:textFill>
              </w:rPr>
            </w:pPr>
            <w:r>
              <w:rPr>
                <w:rFonts w:hint="eastAsia" w:ascii="宋体" w:hAnsi="宋体" w:eastAsia="宋体" w:cs="宋体"/>
                <w:b/>
                <w:i w:val="0"/>
                <w:color w:val="000000" w:themeColor="text1"/>
                <w:sz w:val="21"/>
                <w:szCs w:val="21"/>
                <w14:textFill>
                  <w14:solidFill>
                    <w14:schemeClr w14:val="tx1"/>
                  </w14:solidFill>
                </w14:textFill>
              </w:rPr>
              <w:t>分数值</w:t>
            </w:r>
          </w:p>
        </w:tc>
        <w:tc>
          <w:tcPr>
            <w:tcW w:w="1483" w:type="pct"/>
            <w:tcBorders>
              <w:tl2br w:val="nil"/>
              <w:tr2bl w:val="nil"/>
            </w:tcBorders>
            <w:shd w:val="clear" w:color="auto" w:fill="auto"/>
            <w:vAlign w:val="center"/>
          </w:tcPr>
          <w:p w14:paraId="15FF456E">
            <w:pPr>
              <w:pStyle w:val="49"/>
              <w:kinsoku/>
              <w:overflowPunct/>
              <w:topLinePunct w:val="0"/>
              <w:bidi w:val="0"/>
              <w:spacing w:line="360" w:lineRule="atLeast"/>
              <w:ind w:firstLine="480"/>
              <w:rPr>
                <w:rFonts w:hint="eastAsia" w:ascii="宋体" w:hAnsi="宋体" w:eastAsia="宋体" w:cs="宋体"/>
                <w:b/>
                <w:i w:val="0"/>
                <w:color w:val="000000" w:themeColor="text1"/>
                <w:sz w:val="21"/>
                <w:szCs w:val="21"/>
                <w14:textFill>
                  <w14:solidFill>
                    <w14:schemeClr w14:val="tx1"/>
                  </w14:solidFill>
                </w14:textFill>
              </w:rPr>
            </w:pPr>
            <w:r>
              <w:rPr>
                <w:rFonts w:hint="eastAsia" w:ascii="宋体" w:hAnsi="宋体" w:eastAsia="宋体" w:cs="宋体"/>
                <w:b/>
                <w:i w:val="0"/>
                <w:color w:val="000000" w:themeColor="text1"/>
                <w:sz w:val="21"/>
                <w:szCs w:val="21"/>
                <w14:textFill>
                  <w14:solidFill>
                    <w14:schemeClr w14:val="tx1"/>
                  </w14:solidFill>
                </w14:textFill>
              </w:rPr>
              <w:t>事故发生的可能性</w:t>
            </w:r>
          </w:p>
        </w:tc>
        <w:tc>
          <w:tcPr>
            <w:tcW w:w="449" w:type="pct"/>
            <w:tcBorders>
              <w:tl2br w:val="nil"/>
              <w:tr2bl w:val="nil"/>
            </w:tcBorders>
            <w:shd w:val="clear" w:color="auto" w:fill="auto"/>
            <w:vAlign w:val="center"/>
          </w:tcPr>
          <w:p w14:paraId="65339DF2">
            <w:pPr>
              <w:pStyle w:val="49"/>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b/>
                <w:i w:val="0"/>
                <w:color w:val="000000" w:themeColor="text1"/>
                <w:sz w:val="21"/>
                <w:szCs w:val="21"/>
                <w14:textFill>
                  <w14:solidFill>
                    <w14:schemeClr w14:val="tx1"/>
                  </w14:solidFill>
                </w14:textFill>
              </w:rPr>
            </w:pPr>
            <w:r>
              <w:rPr>
                <w:rFonts w:hint="eastAsia" w:ascii="宋体" w:hAnsi="宋体" w:eastAsia="宋体" w:cs="宋体"/>
                <w:b/>
                <w:i w:val="0"/>
                <w:color w:val="000000" w:themeColor="text1"/>
                <w:sz w:val="21"/>
                <w:szCs w:val="21"/>
                <w14:textFill>
                  <w14:solidFill>
                    <w14:schemeClr w14:val="tx1"/>
                  </w14:solidFill>
                </w14:textFill>
              </w:rPr>
              <w:t>序号</w:t>
            </w:r>
          </w:p>
        </w:tc>
        <w:tc>
          <w:tcPr>
            <w:tcW w:w="598" w:type="pct"/>
            <w:tcBorders>
              <w:tl2br w:val="nil"/>
              <w:tr2bl w:val="nil"/>
            </w:tcBorders>
            <w:shd w:val="clear" w:color="auto" w:fill="auto"/>
            <w:vAlign w:val="center"/>
          </w:tcPr>
          <w:p w14:paraId="054E9278">
            <w:pPr>
              <w:pStyle w:val="49"/>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b/>
                <w:i w:val="0"/>
                <w:color w:val="000000" w:themeColor="text1"/>
                <w:sz w:val="21"/>
                <w:szCs w:val="21"/>
                <w14:textFill>
                  <w14:solidFill>
                    <w14:schemeClr w14:val="tx1"/>
                  </w14:solidFill>
                </w14:textFill>
              </w:rPr>
            </w:pPr>
            <w:r>
              <w:rPr>
                <w:rFonts w:hint="eastAsia" w:ascii="宋体" w:hAnsi="宋体" w:eastAsia="宋体" w:cs="宋体"/>
                <w:b/>
                <w:i w:val="0"/>
                <w:color w:val="000000" w:themeColor="text1"/>
                <w:sz w:val="21"/>
                <w:szCs w:val="21"/>
                <w14:textFill>
                  <w14:solidFill>
                    <w14:schemeClr w14:val="tx1"/>
                  </w14:solidFill>
                </w14:textFill>
              </w:rPr>
              <w:t>分数值</w:t>
            </w:r>
          </w:p>
        </w:tc>
        <w:tc>
          <w:tcPr>
            <w:tcW w:w="1420" w:type="pct"/>
            <w:tcBorders>
              <w:tl2br w:val="nil"/>
              <w:tr2bl w:val="nil"/>
            </w:tcBorders>
            <w:shd w:val="clear" w:color="auto" w:fill="auto"/>
            <w:vAlign w:val="center"/>
          </w:tcPr>
          <w:p w14:paraId="512495F5">
            <w:pPr>
              <w:pStyle w:val="49"/>
              <w:kinsoku/>
              <w:overflowPunct/>
              <w:topLinePunct w:val="0"/>
              <w:bidi w:val="0"/>
              <w:spacing w:line="360" w:lineRule="atLeast"/>
              <w:ind w:firstLine="480"/>
              <w:rPr>
                <w:rFonts w:hint="eastAsia" w:ascii="宋体" w:hAnsi="宋体" w:eastAsia="宋体" w:cs="宋体"/>
                <w:b/>
                <w:i w:val="0"/>
                <w:color w:val="000000" w:themeColor="text1"/>
                <w:sz w:val="21"/>
                <w:szCs w:val="21"/>
                <w14:textFill>
                  <w14:solidFill>
                    <w14:schemeClr w14:val="tx1"/>
                  </w14:solidFill>
                </w14:textFill>
              </w:rPr>
            </w:pPr>
            <w:r>
              <w:rPr>
                <w:rFonts w:hint="eastAsia" w:ascii="宋体" w:hAnsi="宋体" w:eastAsia="宋体" w:cs="宋体"/>
                <w:b/>
                <w:i w:val="0"/>
                <w:color w:val="000000" w:themeColor="text1"/>
                <w:sz w:val="21"/>
                <w:szCs w:val="21"/>
                <w14:textFill>
                  <w14:solidFill>
                    <w14:schemeClr w14:val="tx1"/>
                  </w14:solidFill>
                </w14:textFill>
              </w:rPr>
              <w:t>事故发生的可能性</w:t>
            </w:r>
          </w:p>
        </w:tc>
      </w:tr>
      <w:tr w14:paraId="62C383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49" w:type="pct"/>
            <w:tcBorders>
              <w:tl2br w:val="nil"/>
              <w:tr2bl w:val="nil"/>
            </w:tcBorders>
            <w:shd w:val="clear" w:color="auto" w:fill="auto"/>
            <w:vAlign w:val="center"/>
          </w:tcPr>
          <w:p w14:paraId="1C224ADB">
            <w:pPr>
              <w:pStyle w:val="49"/>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b w:val="0"/>
                <w:i w:val="0"/>
                <w:color w:val="000000" w:themeColor="text1"/>
                <w:sz w:val="21"/>
                <w:szCs w:val="21"/>
                <w14:textFill>
                  <w14:solidFill>
                    <w14:schemeClr w14:val="tx1"/>
                  </w14:solidFill>
                </w14:textFill>
              </w:rPr>
            </w:pPr>
            <w:r>
              <w:rPr>
                <w:rFonts w:hint="eastAsia" w:ascii="宋体" w:hAnsi="宋体" w:eastAsia="宋体" w:cs="宋体"/>
                <w:b w:val="0"/>
                <w:i w:val="0"/>
                <w:color w:val="000000" w:themeColor="text1"/>
                <w:sz w:val="21"/>
                <w:szCs w:val="21"/>
                <w14:textFill>
                  <w14:solidFill>
                    <w14:schemeClr w14:val="tx1"/>
                  </w14:solidFill>
                </w14:textFill>
              </w:rPr>
              <w:t>1</w:t>
            </w:r>
          </w:p>
        </w:tc>
        <w:tc>
          <w:tcPr>
            <w:tcW w:w="598" w:type="pct"/>
            <w:tcBorders>
              <w:tl2br w:val="nil"/>
              <w:tr2bl w:val="nil"/>
            </w:tcBorders>
            <w:shd w:val="clear" w:color="auto" w:fill="auto"/>
            <w:vAlign w:val="center"/>
          </w:tcPr>
          <w:p w14:paraId="24FD14A1">
            <w:pPr>
              <w:pStyle w:val="49"/>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10</w:t>
            </w:r>
          </w:p>
        </w:tc>
        <w:tc>
          <w:tcPr>
            <w:tcW w:w="1483" w:type="pct"/>
            <w:tcBorders>
              <w:tl2br w:val="nil"/>
              <w:tr2bl w:val="nil"/>
            </w:tcBorders>
            <w:shd w:val="clear" w:color="auto" w:fill="auto"/>
            <w:vAlign w:val="center"/>
          </w:tcPr>
          <w:p w14:paraId="0A34C0CE">
            <w:pPr>
              <w:pStyle w:val="49"/>
              <w:kinsoku/>
              <w:overflowPunct/>
              <w:topLinePunct w:val="0"/>
              <w:bidi w:val="0"/>
              <w:spacing w:line="360" w:lineRule="atLeast"/>
              <w:ind w:firstLine="48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完全可以预料</w:t>
            </w:r>
          </w:p>
        </w:tc>
        <w:tc>
          <w:tcPr>
            <w:tcW w:w="449" w:type="pct"/>
            <w:tcBorders>
              <w:tl2br w:val="nil"/>
              <w:tr2bl w:val="nil"/>
            </w:tcBorders>
            <w:shd w:val="clear" w:color="auto" w:fill="auto"/>
            <w:vAlign w:val="center"/>
          </w:tcPr>
          <w:p w14:paraId="5E542E62">
            <w:pPr>
              <w:pStyle w:val="49"/>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5</w:t>
            </w:r>
          </w:p>
        </w:tc>
        <w:tc>
          <w:tcPr>
            <w:tcW w:w="598" w:type="pct"/>
            <w:tcBorders>
              <w:tl2br w:val="nil"/>
              <w:tr2bl w:val="nil"/>
            </w:tcBorders>
            <w:shd w:val="clear" w:color="auto" w:fill="auto"/>
            <w:vAlign w:val="center"/>
          </w:tcPr>
          <w:p w14:paraId="61AD64EE">
            <w:pPr>
              <w:pStyle w:val="49"/>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0.5</w:t>
            </w:r>
          </w:p>
        </w:tc>
        <w:tc>
          <w:tcPr>
            <w:tcW w:w="1420" w:type="pct"/>
            <w:tcBorders>
              <w:tl2br w:val="nil"/>
              <w:tr2bl w:val="nil"/>
            </w:tcBorders>
            <w:shd w:val="clear" w:color="auto" w:fill="auto"/>
            <w:vAlign w:val="center"/>
          </w:tcPr>
          <w:p w14:paraId="466084E4">
            <w:pPr>
              <w:pStyle w:val="49"/>
              <w:kinsoku/>
              <w:overflowPunct/>
              <w:topLinePunct w:val="0"/>
              <w:bidi w:val="0"/>
              <w:spacing w:line="360" w:lineRule="atLeast"/>
              <w:ind w:firstLine="48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很不可能，可以设想</w:t>
            </w:r>
          </w:p>
        </w:tc>
      </w:tr>
      <w:tr w14:paraId="002F98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49" w:type="pct"/>
            <w:tcBorders>
              <w:tl2br w:val="nil"/>
              <w:tr2bl w:val="nil"/>
            </w:tcBorders>
            <w:shd w:val="clear" w:color="auto" w:fill="auto"/>
            <w:vAlign w:val="center"/>
          </w:tcPr>
          <w:p w14:paraId="63E54C0A">
            <w:pPr>
              <w:pStyle w:val="49"/>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b w:val="0"/>
                <w:i w:val="0"/>
                <w:color w:val="000000" w:themeColor="text1"/>
                <w:sz w:val="21"/>
                <w:szCs w:val="21"/>
                <w14:textFill>
                  <w14:solidFill>
                    <w14:schemeClr w14:val="tx1"/>
                  </w14:solidFill>
                </w14:textFill>
              </w:rPr>
            </w:pPr>
            <w:r>
              <w:rPr>
                <w:rFonts w:hint="eastAsia" w:ascii="宋体" w:hAnsi="宋体" w:eastAsia="宋体" w:cs="宋体"/>
                <w:b w:val="0"/>
                <w:i w:val="0"/>
                <w:color w:val="000000" w:themeColor="text1"/>
                <w:sz w:val="21"/>
                <w:szCs w:val="21"/>
                <w14:textFill>
                  <w14:solidFill>
                    <w14:schemeClr w14:val="tx1"/>
                  </w14:solidFill>
                </w14:textFill>
              </w:rPr>
              <w:t>2</w:t>
            </w:r>
          </w:p>
        </w:tc>
        <w:tc>
          <w:tcPr>
            <w:tcW w:w="598" w:type="pct"/>
            <w:tcBorders>
              <w:tl2br w:val="nil"/>
              <w:tr2bl w:val="nil"/>
            </w:tcBorders>
            <w:shd w:val="clear" w:color="auto" w:fill="auto"/>
            <w:vAlign w:val="center"/>
          </w:tcPr>
          <w:p w14:paraId="64D6FF1A">
            <w:pPr>
              <w:pStyle w:val="49"/>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1483" w:type="pct"/>
            <w:tcBorders>
              <w:tl2br w:val="nil"/>
              <w:tr2bl w:val="nil"/>
            </w:tcBorders>
            <w:shd w:val="clear" w:color="auto" w:fill="auto"/>
            <w:vAlign w:val="center"/>
          </w:tcPr>
          <w:p w14:paraId="280AADAA">
            <w:pPr>
              <w:pStyle w:val="49"/>
              <w:kinsoku/>
              <w:overflowPunct/>
              <w:topLinePunct w:val="0"/>
              <w:bidi w:val="0"/>
              <w:spacing w:line="360" w:lineRule="atLeast"/>
              <w:ind w:firstLine="48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相当可能</w:t>
            </w:r>
          </w:p>
        </w:tc>
        <w:tc>
          <w:tcPr>
            <w:tcW w:w="449" w:type="pct"/>
            <w:tcBorders>
              <w:tl2br w:val="nil"/>
              <w:tr2bl w:val="nil"/>
            </w:tcBorders>
            <w:shd w:val="clear" w:color="auto" w:fill="auto"/>
            <w:vAlign w:val="center"/>
          </w:tcPr>
          <w:p w14:paraId="4FD99A03">
            <w:pPr>
              <w:pStyle w:val="49"/>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6</w:t>
            </w:r>
          </w:p>
        </w:tc>
        <w:tc>
          <w:tcPr>
            <w:tcW w:w="598" w:type="pct"/>
            <w:tcBorders>
              <w:tl2br w:val="nil"/>
              <w:tr2bl w:val="nil"/>
            </w:tcBorders>
            <w:shd w:val="clear" w:color="auto" w:fill="auto"/>
            <w:vAlign w:val="center"/>
          </w:tcPr>
          <w:p w14:paraId="216B3FC4">
            <w:pPr>
              <w:pStyle w:val="49"/>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0.2</w:t>
            </w:r>
          </w:p>
        </w:tc>
        <w:tc>
          <w:tcPr>
            <w:tcW w:w="1420" w:type="pct"/>
            <w:tcBorders>
              <w:tl2br w:val="nil"/>
              <w:tr2bl w:val="nil"/>
            </w:tcBorders>
            <w:shd w:val="clear" w:color="auto" w:fill="auto"/>
            <w:vAlign w:val="center"/>
          </w:tcPr>
          <w:p w14:paraId="1DA1541C">
            <w:pPr>
              <w:pStyle w:val="49"/>
              <w:kinsoku/>
              <w:overflowPunct/>
              <w:topLinePunct w:val="0"/>
              <w:bidi w:val="0"/>
              <w:spacing w:line="360" w:lineRule="atLeast"/>
              <w:ind w:firstLine="48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极不可能</w:t>
            </w:r>
          </w:p>
        </w:tc>
      </w:tr>
      <w:tr w14:paraId="0BA32D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49" w:type="pct"/>
            <w:tcBorders>
              <w:tl2br w:val="nil"/>
              <w:tr2bl w:val="nil"/>
            </w:tcBorders>
            <w:shd w:val="clear" w:color="auto" w:fill="auto"/>
            <w:vAlign w:val="center"/>
          </w:tcPr>
          <w:p w14:paraId="4373DE80">
            <w:pPr>
              <w:pStyle w:val="49"/>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b w:val="0"/>
                <w:i w:val="0"/>
                <w:color w:val="000000" w:themeColor="text1"/>
                <w:sz w:val="21"/>
                <w:szCs w:val="21"/>
                <w14:textFill>
                  <w14:solidFill>
                    <w14:schemeClr w14:val="tx1"/>
                  </w14:solidFill>
                </w14:textFill>
              </w:rPr>
            </w:pPr>
            <w:r>
              <w:rPr>
                <w:rFonts w:hint="eastAsia" w:ascii="宋体" w:hAnsi="宋体" w:eastAsia="宋体" w:cs="宋体"/>
                <w:b w:val="0"/>
                <w:i w:val="0"/>
                <w:color w:val="000000" w:themeColor="text1"/>
                <w:sz w:val="21"/>
                <w:szCs w:val="21"/>
                <w14:textFill>
                  <w14:solidFill>
                    <w14:schemeClr w14:val="tx1"/>
                  </w14:solidFill>
                </w14:textFill>
              </w:rPr>
              <w:t>3</w:t>
            </w:r>
          </w:p>
        </w:tc>
        <w:tc>
          <w:tcPr>
            <w:tcW w:w="598" w:type="pct"/>
            <w:tcBorders>
              <w:tl2br w:val="nil"/>
              <w:tr2bl w:val="nil"/>
            </w:tcBorders>
            <w:shd w:val="clear" w:color="auto" w:fill="auto"/>
            <w:vAlign w:val="center"/>
          </w:tcPr>
          <w:p w14:paraId="49BD94B3">
            <w:pPr>
              <w:pStyle w:val="49"/>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1483" w:type="pct"/>
            <w:tcBorders>
              <w:tl2br w:val="nil"/>
              <w:tr2bl w:val="nil"/>
            </w:tcBorders>
            <w:shd w:val="clear" w:color="auto" w:fill="auto"/>
            <w:vAlign w:val="center"/>
          </w:tcPr>
          <w:p w14:paraId="14B3F98E">
            <w:pPr>
              <w:pStyle w:val="49"/>
              <w:kinsoku/>
              <w:overflowPunct/>
              <w:topLinePunct w:val="0"/>
              <w:bidi w:val="0"/>
              <w:spacing w:line="360" w:lineRule="atLeast"/>
              <w:ind w:firstLine="480"/>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可能，但不经常</w:t>
            </w:r>
          </w:p>
        </w:tc>
        <w:tc>
          <w:tcPr>
            <w:tcW w:w="449" w:type="pct"/>
            <w:tcBorders>
              <w:tl2br w:val="nil"/>
              <w:tr2bl w:val="nil"/>
            </w:tcBorders>
            <w:shd w:val="clear" w:color="auto" w:fill="auto"/>
            <w:vAlign w:val="center"/>
          </w:tcPr>
          <w:p w14:paraId="17B0C7DA">
            <w:pPr>
              <w:pStyle w:val="49"/>
              <w:kinsoku/>
              <w:overflowPunct/>
              <w:topLinePunct w:val="0"/>
              <w:bidi w:val="0"/>
              <w:spacing w:line="360" w:lineRule="atLeast"/>
              <w:ind w:firstLine="480"/>
              <w:rPr>
                <w:rFonts w:hint="eastAsia" w:ascii="宋体" w:hAnsi="宋体" w:eastAsia="宋体" w:cs="宋体"/>
                <w:color w:val="000000" w:themeColor="text1"/>
                <w:sz w:val="21"/>
                <w:szCs w:val="21"/>
                <w14:textFill>
                  <w14:solidFill>
                    <w14:schemeClr w14:val="tx1"/>
                  </w14:solidFill>
                </w14:textFill>
              </w:rPr>
            </w:pPr>
          </w:p>
        </w:tc>
        <w:tc>
          <w:tcPr>
            <w:tcW w:w="598" w:type="pct"/>
            <w:tcBorders>
              <w:tl2br w:val="nil"/>
              <w:tr2bl w:val="nil"/>
            </w:tcBorders>
            <w:shd w:val="clear" w:color="auto" w:fill="auto"/>
            <w:vAlign w:val="center"/>
          </w:tcPr>
          <w:p w14:paraId="2E11CBAC">
            <w:pPr>
              <w:pStyle w:val="49"/>
              <w:kinsoku/>
              <w:overflowPunct/>
              <w:topLinePunct w:val="0"/>
              <w:bidi w:val="0"/>
              <w:spacing w:line="360" w:lineRule="atLeast"/>
              <w:ind w:firstLine="480"/>
              <w:rPr>
                <w:rFonts w:hint="eastAsia" w:ascii="宋体" w:hAnsi="宋体" w:eastAsia="宋体" w:cs="宋体"/>
                <w:color w:val="000000" w:themeColor="text1"/>
                <w:sz w:val="21"/>
                <w:szCs w:val="21"/>
                <w14:textFill>
                  <w14:solidFill>
                    <w14:schemeClr w14:val="tx1"/>
                  </w14:solidFill>
                </w14:textFill>
              </w:rPr>
            </w:pPr>
          </w:p>
        </w:tc>
        <w:tc>
          <w:tcPr>
            <w:tcW w:w="1420" w:type="pct"/>
            <w:tcBorders>
              <w:tl2br w:val="nil"/>
              <w:tr2bl w:val="nil"/>
            </w:tcBorders>
            <w:shd w:val="clear" w:color="auto" w:fill="auto"/>
            <w:vAlign w:val="center"/>
          </w:tcPr>
          <w:p w14:paraId="41C6AD61">
            <w:pPr>
              <w:pStyle w:val="49"/>
              <w:kinsoku/>
              <w:overflowPunct/>
              <w:topLinePunct w:val="0"/>
              <w:bidi w:val="0"/>
              <w:spacing w:line="360" w:lineRule="atLeast"/>
              <w:ind w:firstLine="480"/>
              <w:rPr>
                <w:rFonts w:hint="eastAsia" w:ascii="宋体" w:hAnsi="宋体" w:eastAsia="宋体" w:cs="宋体"/>
                <w:color w:val="000000" w:themeColor="text1"/>
                <w:sz w:val="21"/>
                <w:szCs w:val="21"/>
                <w14:textFill>
                  <w14:solidFill>
                    <w14:schemeClr w14:val="tx1"/>
                  </w14:solidFill>
                </w14:textFill>
              </w:rPr>
            </w:pPr>
          </w:p>
        </w:tc>
      </w:tr>
      <w:tr w14:paraId="0A1D7F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49" w:type="pct"/>
            <w:tcBorders>
              <w:tl2br w:val="nil"/>
              <w:tr2bl w:val="nil"/>
            </w:tcBorders>
            <w:shd w:val="clear" w:color="auto" w:fill="auto"/>
            <w:vAlign w:val="center"/>
          </w:tcPr>
          <w:p w14:paraId="7916EB54">
            <w:pPr>
              <w:pStyle w:val="49"/>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b w:val="0"/>
                <w:i w:val="0"/>
                <w:sz w:val="21"/>
                <w:szCs w:val="21"/>
              </w:rPr>
            </w:pPr>
            <w:r>
              <w:rPr>
                <w:rFonts w:hint="eastAsia" w:ascii="宋体" w:hAnsi="宋体" w:eastAsia="宋体" w:cs="宋体"/>
                <w:b w:val="0"/>
                <w:i w:val="0"/>
                <w:sz w:val="21"/>
                <w:szCs w:val="21"/>
              </w:rPr>
              <w:t>4</w:t>
            </w:r>
          </w:p>
        </w:tc>
        <w:tc>
          <w:tcPr>
            <w:tcW w:w="598" w:type="pct"/>
            <w:tcBorders>
              <w:tl2br w:val="nil"/>
              <w:tr2bl w:val="nil"/>
            </w:tcBorders>
            <w:shd w:val="clear" w:color="auto" w:fill="auto"/>
            <w:vAlign w:val="center"/>
          </w:tcPr>
          <w:p w14:paraId="73ECFE31">
            <w:pPr>
              <w:pStyle w:val="49"/>
              <w:keepNext w:val="0"/>
              <w:keepLines w:val="0"/>
              <w:pageBreakBefore w:val="0"/>
              <w:widowControl w:val="0"/>
              <w:kinsoku/>
              <w:wordWrap/>
              <w:overflowPunct/>
              <w:topLinePunct w:val="0"/>
              <w:autoSpaceDE/>
              <w:autoSpaceDN/>
              <w:bidi w:val="0"/>
              <w:adjustRightInd/>
              <w:snapToGrid/>
              <w:spacing w:line="360" w:lineRule="atLeast"/>
              <w:ind w:firstLine="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483" w:type="pct"/>
            <w:tcBorders>
              <w:tl2br w:val="nil"/>
              <w:tr2bl w:val="nil"/>
            </w:tcBorders>
            <w:shd w:val="clear" w:color="auto" w:fill="auto"/>
            <w:vAlign w:val="center"/>
          </w:tcPr>
          <w:p w14:paraId="2B717C22">
            <w:pPr>
              <w:pStyle w:val="49"/>
              <w:kinsoku/>
              <w:overflowPunct/>
              <w:topLinePunct w:val="0"/>
              <w:bidi w:val="0"/>
              <w:spacing w:line="360" w:lineRule="atLeast"/>
              <w:ind w:firstLine="480"/>
              <w:rPr>
                <w:rFonts w:hint="eastAsia" w:ascii="宋体" w:hAnsi="宋体" w:eastAsia="宋体" w:cs="宋体"/>
                <w:sz w:val="21"/>
                <w:szCs w:val="21"/>
              </w:rPr>
            </w:pPr>
            <w:r>
              <w:rPr>
                <w:rFonts w:hint="eastAsia" w:ascii="宋体" w:hAnsi="宋体" w:eastAsia="宋体" w:cs="宋体"/>
                <w:sz w:val="21"/>
                <w:szCs w:val="21"/>
              </w:rPr>
              <w:t>可能性小，完全意外</w:t>
            </w:r>
          </w:p>
        </w:tc>
        <w:tc>
          <w:tcPr>
            <w:tcW w:w="449" w:type="pct"/>
            <w:tcBorders>
              <w:tl2br w:val="nil"/>
              <w:tr2bl w:val="nil"/>
            </w:tcBorders>
            <w:shd w:val="clear" w:color="auto" w:fill="auto"/>
            <w:vAlign w:val="center"/>
          </w:tcPr>
          <w:p w14:paraId="39C15D50">
            <w:pPr>
              <w:pStyle w:val="49"/>
              <w:kinsoku/>
              <w:overflowPunct/>
              <w:topLinePunct w:val="0"/>
              <w:bidi w:val="0"/>
              <w:spacing w:line="360" w:lineRule="atLeast"/>
              <w:ind w:firstLine="480"/>
              <w:rPr>
                <w:rFonts w:hint="eastAsia" w:ascii="宋体" w:hAnsi="宋体" w:eastAsia="宋体" w:cs="宋体"/>
                <w:sz w:val="21"/>
                <w:szCs w:val="21"/>
              </w:rPr>
            </w:pPr>
          </w:p>
        </w:tc>
        <w:tc>
          <w:tcPr>
            <w:tcW w:w="598" w:type="pct"/>
            <w:tcBorders>
              <w:tl2br w:val="nil"/>
              <w:tr2bl w:val="nil"/>
            </w:tcBorders>
            <w:shd w:val="clear" w:color="auto" w:fill="auto"/>
            <w:vAlign w:val="center"/>
          </w:tcPr>
          <w:p w14:paraId="7EF184F4">
            <w:pPr>
              <w:pStyle w:val="49"/>
              <w:kinsoku/>
              <w:overflowPunct/>
              <w:topLinePunct w:val="0"/>
              <w:bidi w:val="0"/>
              <w:spacing w:line="360" w:lineRule="atLeast"/>
              <w:ind w:firstLine="480"/>
              <w:rPr>
                <w:rFonts w:hint="eastAsia" w:ascii="宋体" w:hAnsi="宋体" w:eastAsia="宋体" w:cs="宋体"/>
                <w:sz w:val="21"/>
                <w:szCs w:val="21"/>
              </w:rPr>
            </w:pPr>
          </w:p>
        </w:tc>
        <w:tc>
          <w:tcPr>
            <w:tcW w:w="1420" w:type="pct"/>
            <w:tcBorders>
              <w:tl2br w:val="nil"/>
              <w:tr2bl w:val="nil"/>
            </w:tcBorders>
            <w:shd w:val="clear" w:color="auto" w:fill="auto"/>
            <w:vAlign w:val="center"/>
          </w:tcPr>
          <w:p w14:paraId="215BB5F9">
            <w:pPr>
              <w:pStyle w:val="49"/>
              <w:kinsoku/>
              <w:overflowPunct/>
              <w:topLinePunct w:val="0"/>
              <w:bidi w:val="0"/>
              <w:spacing w:line="360" w:lineRule="atLeast"/>
              <w:ind w:firstLine="480"/>
              <w:rPr>
                <w:rFonts w:hint="eastAsia" w:ascii="宋体" w:hAnsi="宋体" w:eastAsia="宋体" w:cs="宋体"/>
                <w:sz w:val="21"/>
                <w:szCs w:val="21"/>
              </w:rPr>
            </w:pPr>
          </w:p>
        </w:tc>
      </w:tr>
    </w:tbl>
    <w:p w14:paraId="7C087C54">
      <w:pPr>
        <w:bidi w:val="0"/>
        <w:rPr>
          <w:rFonts w:hint="eastAsia"/>
        </w:rPr>
      </w:pPr>
      <w:r>
        <w:rPr>
          <w:rFonts w:hint="eastAsia"/>
        </w:rPr>
        <w:t>人员出现在危险环境中的时间越多，则危险性越大规定连续出现在危险环境的情况，分数定为10，而非常罕见地出现在危险环境中分数定为0.5，将介于两者之间的各种情况规定若干个中间值，具体</w:t>
      </w:r>
      <w:r>
        <w:rPr>
          <w:rFonts w:hint="eastAsia" w:ascii="宋体" w:hAnsi="宋体" w:eastAsia="宋体" w:cs="宋体"/>
        </w:rPr>
        <w:t>见</w:t>
      </w:r>
      <w:r>
        <w:rPr>
          <w:rFonts w:hint="eastAsia" w:ascii="宋体" w:hAnsi="宋体" w:eastAsia="宋体" w:cs="宋体"/>
        </w:rPr>
        <w:fldChar w:fldCharType="begin"/>
      </w:r>
      <w:r>
        <w:rPr>
          <w:rFonts w:hint="eastAsia" w:ascii="宋体" w:hAnsi="宋体" w:eastAsia="宋体" w:cs="宋体"/>
        </w:rPr>
        <w:instrText xml:space="preserve">REF_Ref67577237\h\*MERGEFORMAT</w:instrText>
      </w:r>
      <w:r>
        <w:rPr>
          <w:rFonts w:hint="eastAsia" w:ascii="宋体" w:hAnsi="宋体" w:eastAsia="宋体" w:cs="宋体"/>
        </w:rPr>
        <w:fldChar w:fldCharType="separate"/>
      </w:r>
      <w:r>
        <w:rPr>
          <w:rFonts w:hint="eastAsia" w:ascii="宋体" w:hAnsi="宋体" w:eastAsia="宋体" w:cs="宋体"/>
        </w:rPr>
        <w:t>表9.1</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2</w:t>
      </w:r>
      <w:r>
        <w:rPr>
          <w:rFonts w:hint="eastAsia" w:ascii="宋体" w:hAnsi="宋体" w:eastAsia="宋体" w:cs="宋体"/>
        </w:rPr>
        <w:fldChar w:fldCharType="end"/>
      </w:r>
      <w:r>
        <w:rPr>
          <w:rFonts w:hint="eastAsia" w:ascii="宋体" w:hAnsi="宋体" w:eastAsia="宋体" w:cs="宋体"/>
        </w:rPr>
        <w:t>。</w:t>
      </w:r>
    </w:p>
    <w:p w14:paraId="466F1EBF">
      <w:pPr>
        <w:pStyle w:val="13"/>
        <w:keepNext w:val="0"/>
        <w:keepLines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1"/>
          <w:szCs w:val="21"/>
        </w:rPr>
      </w:pPr>
      <w:bookmarkStart w:id="89" w:name="_Ref67577237"/>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9.1.1</w:t>
      </w:r>
      <w:r>
        <w:rPr>
          <w:rFonts w:hint="eastAsia" w:ascii="宋体" w:hAnsi="宋体" w:eastAsia="宋体" w:cs="宋体"/>
          <w:sz w:val="24"/>
          <w:szCs w:val="24"/>
        </w:rPr>
        <w:fldChar w:fldCharType="end"/>
      </w:r>
      <w:bookmarkEnd w:id="89"/>
      <w:r>
        <w:rPr>
          <w:rFonts w:hint="eastAsia" w:ascii="宋体" w:hAnsi="宋体" w:cs="宋体"/>
          <w:sz w:val="24"/>
          <w:szCs w:val="24"/>
          <w:lang w:eastAsia="zh-CN"/>
        </w:rPr>
        <w:t>-</w:t>
      </w:r>
      <w:r>
        <w:rPr>
          <w:rFonts w:hint="eastAsia" w:ascii="宋体" w:hAnsi="宋体" w:cs="宋体"/>
          <w:sz w:val="24"/>
          <w:szCs w:val="24"/>
          <w:lang w:val="en-US" w:eastAsia="zh-CN"/>
        </w:rPr>
        <w:t>2</w:t>
      </w:r>
      <w:r>
        <w:rPr>
          <w:rFonts w:hint="eastAsia" w:ascii="宋体" w:hAnsi="宋体" w:eastAsia="宋体" w:cs="宋体"/>
          <w:sz w:val="24"/>
          <w:szCs w:val="24"/>
        </w:rPr>
        <w:t>人员暴露时间（E）</w:t>
      </w:r>
    </w:p>
    <w:tbl>
      <w:tblPr>
        <w:tblStyle w:val="68"/>
        <w:tblW w:w="493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762"/>
        <w:gridCol w:w="959"/>
        <w:gridCol w:w="3192"/>
        <w:gridCol w:w="797"/>
        <w:gridCol w:w="955"/>
        <w:gridCol w:w="3052"/>
      </w:tblGrid>
      <w:tr w14:paraId="0E2337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PrEx>
        <w:trPr>
          <w:trHeight w:val="454" w:hRule="atLeast"/>
          <w:tblHeader/>
        </w:trPr>
        <w:tc>
          <w:tcPr>
            <w:tcW w:w="392" w:type="pct"/>
            <w:tcBorders>
              <w:tl2br w:val="nil"/>
              <w:tr2bl w:val="nil"/>
            </w:tcBorders>
            <w:shd w:val="clear" w:color="auto" w:fill="auto"/>
            <w:vAlign w:val="center"/>
          </w:tcPr>
          <w:p w14:paraId="007A50AB">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序号</w:t>
            </w:r>
          </w:p>
        </w:tc>
        <w:tc>
          <w:tcPr>
            <w:tcW w:w="493" w:type="pct"/>
            <w:tcBorders>
              <w:tl2br w:val="nil"/>
              <w:tr2bl w:val="nil"/>
            </w:tcBorders>
            <w:shd w:val="clear" w:color="auto" w:fill="auto"/>
            <w:vAlign w:val="center"/>
          </w:tcPr>
          <w:p w14:paraId="2F0E2612">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分数值</w:t>
            </w:r>
          </w:p>
        </w:tc>
        <w:tc>
          <w:tcPr>
            <w:tcW w:w="1641" w:type="pct"/>
            <w:tcBorders>
              <w:tl2br w:val="nil"/>
              <w:tr2bl w:val="nil"/>
            </w:tcBorders>
            <w:shd w:val="clear" w:color="auto" w:fill="auto"/>
            <w:vAlign w:val="center"/>
          </w:tcPr>
          <w:p w14:paraId="61D29964">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暴露于危险环境的频繁程度</w:t>
            </w:r>
          </w:p>
        </w:tc>
        <w:tc>
          <w:tcPr>
            <w:tcW w:w="410" w:type="pct"/>
            <w:tcBorders>
              <w:tl2br w:val="nil"/>
              <w:tr2bl w:val="nil"/>
            </w:tcBorders>
            <w:shd w:val="clear" w:color="auto" w:fill="auto"/>
            <w:vAlign w:val="center"/>
          </w:tcPr>
          <w:p w14:paraId="7E4E0E25">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序号</w:t>
            </w:r>
          </w:p>
        </w:tc>
        <w:tc>
          <w:tcPr>
            <w:tcW w:w="491" w:type="pct"/>
            <w:tcBorders>
              <w:tl2br w:val="nil"/>
              <w:tr2bl w:val="nil"/>
            </w:tcBorders>
            <w:shd w:val="clear" w:color="auto" w:fill="auto"/>
            <w:vAlign w:val="center"/>
          </w:tcPr>
          <w:p w14:paraId="041E66EB">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分数值</w:t>
            </w:r>
          </w:p>
        </w:tc>
        <w:tc>
          <w:tcPr>
            <w:tcW w:w="1569" w:type="pct"/>
            <w:tcBorders>
              <w:tl2br w:val="nil"/>
              <w:tr2bl w:val="nil"/>
            </w:tcBorders>
            <w:shd w:val="clear" w:color="auto" w:fill="auto"/>
            <w:vAlign w:val="center"/>
          </w:tcPr>
          <w:p w14:paraId="173DA9B2">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暴露于危险环境的频繁程度</w:t>
            </w:r>
          </w:p>
        </w:tc>
      </w:tr>
      <w:tr w14:paraId="0F8180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2" w:type="pct"/>
            <w:tcBorders>
              <w:tl2br w:val="nil"/>
              <w:tr2bl w:val="nil"/>
            </w:tcBorders>
            <w:shd w:val="clear" w:color="auto" w:fill="auto"/>
            <w:vAlign w:val="center"/>
          </w:tcPr>
          <w:p w14:paraId="52EC1D78">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493" w:type="pct"/>
            <w:tcBorders>
              <w:tl2br w:val="nil"/>
              <w:tr2bl w:val="nil"/>
            </w:tcBorders>
            <w:shd w:val="clear" w:color="auto" w:fill="auto"/>
            <w:vAlign w:val="center"/>
          </w:tcPr>
          <w:p w14:paraId="637CE18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10</w:t>
            </w:r>
          </w:p>
        </w:tc>
        <w:tc>
          <w:tcPr>
            <w:tcW w:w="1641" w:type="pct"/>
            <w:tcBorders>
              <w:tl2br w:val="nil"/>
              <w:tr2bl w:val="nil"/>
            </w:tcBorders>
            <w:shd w:val="clear" w:color="auto" w:fill="auto"/>
            <w:vAlign w:val="center"/>
          </w:tcPr>
          <w:p w14:paraId="0076C3CE">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连续暴露</w:t>
            </w:r>
          </w:p>
        </w:tc>
        <w:tc>
          <w:tcPr>
            <w:tcW w:w="410" w:type="pct"/>
            <w:tcBorders>
              <w:tl2br w:val="nil"/>
              <w:tr2bl w:val="nil"/>
            </w:tcBorders>
            <w:shd w:val="clear" w:color="auto" w:fill="auto"/>
            <w:vAlign w:val="center"/>
          </w:tcPr>
          <w:p w14:paraId="1FCBD951">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w:t>
            </w:r>
          </w:p>
        </w:tc>
        <w:tc>
          <w:tcPr>
            <w:tcW w:w="491" w:type="pct"/>
            <w:tcBorders>
              <w:tl2br w:val="nil"/>
              <w:tr2bl w:val="nil"/>
            </w:tcBorders>
            <w:shd w:val="clear" w:color="auto" w:fill="auto"/>
            <w:vAlign w:val="center"/>
          </w:tcPr>
          <w:p w14:paraId="447022DA">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w:t>
            </w:r>
          </w:p>
        </w:tc>
        <w:tc>
          <w:tcPr>
            <w:tcW w:w="1569" w:type="pct"/>
            <w:tcBorders>
              <w:tl2br w:val="nil"/>
              <w:tr2bl w:val="nil"/>
            </w:tcBorders>
            <w:shd w:val="clear" w:color="auto" w:fill="auto"/>
            <w:vAlign w:val="center"/>
          </w:tcPr>
          <w:p w14:paraId="50A6AEDE">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每月一次暴露</w:t>
            </w:r>
          </w:p>
        </w:tc>
      </w:tr>
      <w:tr w14:paraId="12F98F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2" w:type="pct"/>
            <w:tcBorders>
              <w:tl2br w:val="nil"/>
              <w:tr2bl w:val="nil"/>
            </w:tcBorders>
            <w:shd w:val="clear" w:color="auto" w:fill="auto"/>
            <w:vAlign w:val="center"/>
          </w:tcPr>
          <w:p w14:paraId="667EDE13">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2</w:t>
            </w:r>
          </w:p>
        </w:tc>
        <w:tc>
          <w:tcPr>
            <w:tcW w:w="493" w:type="pct"/>
            <w:tcBorders>
              <w:tl2br w:val="nil"/>
              <w:tr2bl w:val="nil"/>
            </w:tcBorders>
            <w:shd w:val="clear" w:color="auto" w:fill="auto"/>
            <w:vAlign w:val="center"/>
          </w:tcPr>
          <w:p w14:paraId="3FAF16B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6</w:t>
            </w:r>
          </w:p>
        </w:tc>
        <w:tc>
          <w:tcPr>
            <w:tcW w:w="1641" w:type="pct"/>
            <w:tcBorders>
              <w:tl2br w:val="nil"/>
              <w:tr2bl w:val="nil"/>
            </w:tcBorders>
            <w:shd w:val="clear" w:color="auto" w:fill="auto"/>
            <w:vAlign w:val="center"/>
          </w:tcPr>
          <w:p w14:paraId="5A59BC8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每天工作时间内暴露</w:t>
            </w:r>
          </w:p>
        </w:tc>
        <w:tc>
          <w:tcPr>
            <w:tcW w:w="410" w:type="pct"/>
            <w:tcBorders>
              <w:tl2br w:val="nil"/>
              <w:tr2bl w:val="nil"/>
            </w:tcBorders>
            <w:shd w:val="clear" w:color="auto" w:fill="auto"/>
            <w:vAlign w:val="center"/>
          </w:tcPr>
          <w:p w14:paraId="37D7265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w:t>
            </w:r>
          </w:p>
        </w:tc>
        <w:tc>
          <w:tcPr>
            <w:tcW w:w="491" w:type="pct"/>
            <w:tcBorders>
              <w:tl2br w:val="nil"/>
              <w:tr2bl w:val="nil"/>
            </w:tcBorders>
            <w:shd w:val="clear" w:color="auto" w:fill="auto"/>
            <w:vAlign w:val="center"/>
          </w:tcPr>
          <w:p w14:paraId="11D8F6F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w:t>
            </w:r>
          </w:p>
        </w:tc>
        <w:tc>
          <w:tcPr>
            <w:tcW w:w="1569" w:type="pct"/>
            <w:tcBorders>
              <w:tl2br w:val="nil"/>
              <w:tr2bl w:val="nil"/>
            </w:tcBorders>
            <w:shd w:val="clear" w:color="auto" w:fill="auto"/>
            <w:vAlign w:val="center"/>
          </w:tcPr>
          <w:p w14:paraId="6CBDAA5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每年几次暴露</w:t>
            </w:r>
          </w:p>
        </w:tc>
      </w:tr>
      <w:tr w14:paraId="6EB23C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92" w:type="pct"/>
            <w:tcBorders>
              <w:tl2br w:val="nil"/>
              <w:tr2bl w:val="nil"/>
            </w:tcBorders>
            <w:shd w:val="clear" w:color="auto" w:fill="auto"/>
            <w:vAlign w:val="center"/>
          </w:tcPr>
          <w:p w14:paraId="740F784C">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3</w:t>
            </w:r>
          </w:p>
        </w:tc>
        <w:tc>
          <w:tcPr>
            <w:tcW w:w="493" w:type="pct"/>
            <w:tcBorders>
              <w:tl2br w:val="nil"/>
              <w:tr2bl w:val="nil"/>
            </w:tcBorders>
            <w:shd w:val="clear" w:color="auto" w:fill="auto"/>
            <w:vAlign w:val="center"/>
          </w:tcPr>
          <w:p w14:paraId="109300D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w:t>
            </w:r>
          </w:p>
        </w:tc>
        <w:tc>
          <w:tcPr>
            <w:tcW w:w="1641" w:type="pct"/>
            <w:tcBorders>
              <w:tl2br w:val="nil"/>
              <w:tr2bl w:val="nil"/>
            </w:tcBorders>
            <w:shd w:val="clear" w:color="auto" w:fill="auto"/>
            <w:vAlign w:val="center"/>
          </w:tcPr>
          <w:p w14:paraId="42B28C0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每周一次或偶然暴露</w:t>
            </w:r>
          </w:p>
        </w:tc>
        <w:tc>
          <w:tcPr>
            <w:tcW w:w="410" w:type="pct"/>
            <w:tcBorders>
              <w:tl2br w:val="nil"/>
              <w:tr2bl w:val="nil"/>
            </w:tcBorders>
            <w:shd w:val="clear" w:color="auto" w:fill="auto"/>
            <w:vAlign w:val="center"/>
          </w:tcPr>
          <w:p w14:paraId="1CEFBBF9">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6</w:t>
            </w:r>
          </w:p>
        </w:tc>
        <w:tc>
          <w:tcPr>
            <w:tcW w:w="491" w:type="pct"/>
            <w:tcBorders>
              <w:tl2br w:val="nil"/>
              <w:tr2bl w:val="nil"/>
            </w:tcBorders>
            <w:shd w:val="clear" w:color="auto" w:fill="auto"/>
            <w:vAlign w:val="center"/>
          </w:tcPr>
          <w:p w14:paraId="2E1A18A6">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0.5</w:t>
            </w:r>
          </w:p>
        </w:tc>
        <w:tc>
          <w:tcPr>
            <w:tcW w:w="1569" w:type="pct"/>
            <w:tcBorders>
              <w:tl2br w:val="nil"/>
              <w:tr2bl w:val="nil"/>
            </w:tcBorders>
            <w:shd w:val="clear" w:color="auto" w:fill="auto"/>
            <w:vAlign w:val="center"/>
          </w:tcPr>
          <w:p w14:paraId="71FA0E7A">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几乎不暴露</w:t>
            </w:r>
          </w:p>
        </w:tc>
      </w:tr>
    </w:tbl>
    <w:p w14:paraId="748CC1CF">
      <w:pPr>
        <w:bidi w:val="0"/>
        <w:rPr>
          <w:rFonts w:hint="eastAsia"/>
        </w:rPr>
      </w:pPr>
      <w:r>
        <w:rPr>
          <w:rFonts w:hint="eastAsia"/>
        </w:rPr>
        <w:t>事故造成的人身伤害与财产损失变化范围很大，对伤亡事故来说，可从极小的轻伤直到多人死亡的严重后果。由于范围广阔，所以规定的分数值为1～100，轻伤规定分数值1，把造成十人以上死亡的可能性分数规定为100，其它情况的数值在1～100之间，具体见</w:t>
      </w:r>
      <w:r>
        <w:rPr>
          <w:rFonts w:hint="eastAsia"/>
        </w:rPr>
        <w:fldChar w:fldCharType="begin"/>
      </w:r>
      <w:r>
        <w:rPr>
          <w:rFonts w:hint="eastAsia"/>
        </w:rPr>
        <w:instrText xml:space="preserve">REF_Ref67577249\h</w:instrText>
      </w:r>
      <w:r>
        <w:rPr>
          <w:rFonts w:hint="eastAsia"/>
        </w:rPr>
        <w:fldChar w:fldCharType="separate"/>
      </w:r>
      <w:r>
        <w:rPr>
          <w:rFonts w:hint="eastAsia"/>
        </w:rPr>
        <w:t>表9.1</w:t>
      </w:r>
      <w:r>
        <w:rPr>
          <w:rFonts w:hint="eastAsia"/>
          <w:lang w:val="en-US" w:eastAsia="zh-CN"/>
        </w:rPr>
        <w:t>.1</w:t>
      </w:r>
      <w:r>
        <w:rPr>
          <w:rFonts w:hint="eastAsia"/>
          <w:lang w:eastAsia="zh-CN"/>
        </w:rPr>
        <w:t>-</w:t>
      </w:r>
      <w:r>
        <w:rPr>
          <w:rFonts w:hint="eastAsia"/>
        </w:rPr>
        <w:t>3</w:t>
      </w:r>
      <w:r>
        <w:rPr>
          <w:rFonts w:hint="eastAsia"/>
        </w:rPr>
        <w:fldChar w:fldCharType="end"/>
      </w:r>
      <w:r>
        <w:rPr>
          <w:rFonts w:hint="eastAsia"/>
        </w:rPr>
        <w:t>。</w:t>
      </w:r>
    </w:p>
    <w:p w14:paraId="09ACE7E2">
      <w:pPr>
        <w:pStyle w:val="13"/>
        <w:keepNext w:val="0"/>
        <w:keepLines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1"/>
          <w:szCs w:val="21"/>
        </w:rPr>
      </w:pPr>
      <w:bookmarkStart w:id="90" w:name="_Ref67577249"/>
      <w:r>
        <w:rPr>
          <w:rFonts w:hint="eastAsia" w:ascii="宋体" w:hAnsi="宋体" w:eastAsia="宋体" w:cs="宋体"/>
          <w:sz w:val="24"/>
          <w:szCs w:val="24"/>
        </w:rPr>
        <w:t>表9.1.1</w:t>
      </w:r>
      <w:bookmarkEnd w:id="90"/>
      <w:r>
        <w:rPr>
          <w:rFonts w:hint="eastAsia" w:ascii="宋体" w:hAnsi="宋体" w:eastAsia="宋体" w:cs="宋体"/>
          <w:sz w:val="24"/>
          <w:szCs w:val="24"/>
        </w:rPr>
        <w:t>-</w:t>
      </w:r>
      <w:r>
        <w:rPr>
          <w:rFonts w:hint="eastAsia" w:ascii="宋体" w:hAnsi="宋体" w:cs="宋体"/>
          <w:sz w:val="24"/>
          <w:szCs w:val="24"/>
          <w:lang w:val="en-US" w:eastAsia="zh-CN"/>
        </w:rPr>
        <w:t>3</w:t>
      </w:r>
      <w:r>
        <w:rPr>
          <w:rFonts w:hint="eastAsia" w:ascii="宋体" w:hAnsi="宋体" w:eastAsia="宋体" w:cs="宋体"/>
          <w:sz w:val="24"/>
          <w:szCs w:val="24"/>
        </w:rPr>
        <w:t>事故后果严重程度（C）</w:t>
      </w:r>
    </w:p>
    <w:tbl>
      <w:tblPr>
        <w:tblStyle w:val="68"/>
        <w:tblW w:w="4917"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1142"/>
        <w:gridCol w:w="1520"/>
        <w:gridCol w:w="3784"/>
        <w:gridCol w:w="3245"/>
      </w:tblGrid>
      <w:tr w14:paraId="5F5547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589" w:type="pct"/>
            <w:tcBorders>
              <w:tl2br w:val="nil"/>
              <w:tr2bl w:val="nil"/>
            </w:tcBorders>
            <w:shd w:val="clear" w:color="auto" w:fill="auto"/>
            <w:vAlign w:val="center"/>
          </w:tcPr>
          <w:p w14:paraId="2EF8EDE2">
            <w:pPr>
              <w:pStyle w:val="49"/>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序号</w:t>
            </w:r>
          </w:p>
        </w:tc>
        <w:tc>
          <w:tcPr>
            <w:tcW w:w="784" w:type="pct"/>
            <w:tcBorders>
              <w:tl2br w:val="nil"/>
              <w:tr2bl w:val="nil"/>
            </w:tcBorders>
            <w:shd w:val="clear" w:color="auto" w:fill="auto"/>
            <w:vAlign w:val="center"/>
          </w:tcPr>
          <w:p w14:paraId="645E04C1">
            <w:pPr>
              <w:pStyle w:val="49"/>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分数值</w:t>
            </w:r>
          </w:p>
        </w:tc>
        <w:tc>
          <w:tcPr>
            <w:tcW w:w="1952" w:type="pct"/>
            <w:tcBorders>
              <w:tl2br w:val="nil"/>
              <w:tr2bl w:val="nil"/>
            </w:tcBorders>
            <w:shd w:val="clear" w:color="auto" w:fill="auto"/>
            <w:vAlign w:val="center"/>
          </w:tcPr>
          <w:p w14:paraId="3F806463">
            <w:pPr>
              <w:pStyle w:val="49"/>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发生事故产生的后果</w:t>
            </w:r>
          </w:p>
        </w:tc>
        <w:tc>
          <w:tcPr>
            <w:tcW w:w="1674" w:type="pct"/>
            <w:tcBorders>
              <w:tl2br w:val="nil"/>
              <w:tr2bl w:val="nil"/>
            </w:tcBorders>
            <w:shd w:val="clear" w:color="auto" w:fill="auto"/>
            <w:vAlign w:val="center"/>
          </w:tcPr>
          <w:p w14:paraId="24D69D22">
            <w:pPr>
              <w:pStyle w:val="49"/>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经济损失（万元）</w:t>
            </w:r>
          </w:p>
        </w:tc>
      </w:tr>
      <w:tr w14:paraId="719EC0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89" w:type="pct"/>
            <w:tcBorders>
              <w:tl2br w:val="nil"/>
              <w:tr2bl w:val="nil"/>
            </w:tcBorders>
            <w:shd w:val="clear" w:color="auto" w:fill="auto"/>
            <w:vAlign w:val="center"/>
          </w:tcPr>
          <w:p w14:paraId="532ABE42">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784" w:type="pct"/>
            <w:tcBorders>
              <w:tl2br w:val="nil"/>
              <w:tr2bl w:val="nil"/>
            </w:tcBorders>
            <w:shd w:val="clear" w:color="auto" w:fill="auto"/>
            <w:vAlign w:val="center"/>
          </w:tcPr>
          <w:p w14:paraId="7BD0BF9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100</w:t>
            </w:r>
          </w:p>
        </w:tc>
        <w:tc>
          <w:tcPr>
            <w:tcW w:w="1952" w:type="pct"/>
            <w:tcBorders>
              <w:tl2br w:val="nil"/>
              <w:tr2bl w:val="nil"/>
            </w:tcBorders>
            <w:shd w:val="clear" w:color="auto" w:fill="auto"/>
            <w:vAlign w:val="center"/>
          </w:tcPr>
          <w:p w14:paraId="688924B9">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10人以上死亡</w:t>
            </w:r>
          </w:p>
        </w:tc>
        <w:tc>
          <w:tcPr>
            <w:tcW w:w="1674" w:type="pct"/>
            <w:tcBorders>
              <w:tl2br w:val="nil"/>
              <w:tr2bl w:val="nil"/>
            </w:tcBorders>
            <w:shd w:val="clear" w:color="auto" w:fill="auto"/>
            <w:vAlign w:val="center"/>
          </w:tcPr>
          <w:p w14:paraId="7BB5EF3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≥5000</w:t>
            </w:r>
          </w:p>
        </w:tc>
      </w:tr>
      <w:tr w14:paraId="459221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589" w:type="pct"/>
            <w:tcBorders>
              <w:tl2br w:val="nil"/>
              <w:tr2bl w:val="nil"/>
            </w:tcBorders>
            <w:shd w:val="clear" w:color="auto" w:fill="auto"/>
            <w:vAlign w:val="center"/>
          </w:tcPr>
          <w:p w14:paraId="6C51119E">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2</w:t>
            </w:r>
          </w:p>
        </w:tc>
        <w:tc>
          <w:tcPr>
            <w:tcW w:w="784" w:type="pct"/>
            <w:tcBorders>
              <w:tl2br w:val="nil"/>
              <w:tr2bl w:val="nil"/>
            </w:tcBorders>
            <w:shd w:val="clear" w:color="auto" w:fill="auto"/>
            <w:vAlign w:val="center"/>
          </w:tcPr>
          <w:p w14:paraId="7BB1CEA6">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40</w:t>
            </w:r>
          </w:p>
        </w:tc>
        <w:tc>
          <w:tcPr>
            <w:tcW w:w="1952" w:type="pct"/>
            <w:tcBorders>
              <w:tl2br w:val="nil"/>
              <w:tr2bl w:val="nil"/>
            </w:tcBorders>
            <w:shd w:val="clear" w:color="auto" w:fill="auto"/>
            <w:vAlign w:val="center"/>
          </w:tcPr>
          <w:p w14:paraId="4094C14E">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3～9人死亡</w:t>
            </w:r>
          </w:p>
        </w:tc>
        <w:tc>
          <w:tcPr>
            <w:tcW w:w="1674" w:type="pct"/>
            <w:tcBorders>
              <w:tl2br w:val="nil"/>
              <w:tr2bl w:val="nil"/>
            </w:tcBorders>
            <w:shd w:val="clear" w:color="auto" w:fill="auto"/>
            <w:vAlign w:val="center"/>
          </w:tcPr>
          <w:p w14:paraId="50BD8E81">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1000～5000</w:t>
            </w:r>
          </w:p>
        </w:tc>
      </w:tr>
      <w:tr w14:paraId="2941C4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589" w:type="pct"/>
            <w:tcBorders>
              <w:tl2br w:val="nil"/>
              <w:tr2bl w:val="nil"/>
            </w:tcBorders>
            <w:shd w:val="clear" w:color="auto" w:fill="auto"/>
            <w:vAlign w:val="center"/>
          </w:tcPr>
          <w:p w14:paraId="324FCE1A">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3</w:t>
            </w:r>
          </w:p>
        </w:tc>
        <w:tc>
          <w:tcPr>
            <w:tcW w:w="784" w:type="pct"/>
            <w:tcBorders>
              <w:tl2br w:val="nil"/>
              <w:tr2bl w:val="nil"/>
            </w:tcBorders>
            <w:shd w:val="clear" w:color="auto" w:fill="auto"/>
            <w:vAlign w:val="center"/>
          </w:tcPr>
          <w:p w14:paraId="7CC129B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15</w:t>
            </w:r>
          </w:p>
        </w:tc>
        <w:tc>
          <w:tcPr>
            <w:tcW w:w="1952" w:type="pct"/>
            <w:tcBorders>
              <w:tl2br w:val="nil"/>
              <w:tr2bl w:val="nil"/>
            </w:tcBorders>
            <w:shd w:val="clear" w:color="auto" w:fill="auto"/>
            <w:vAlign w:val="center"/>
          </w:tcPr>
          <w:p w14:paraId="546B5D4C">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1～2人死亡</w:t>
            </w:r>
          </w:p>
        </w:tc>
        <w:tc>
          <w:tcPr>
            <w:tcW w:w="1674" w:type="pct"/>
            <w:tcBorders>
              <w:tl2br w:val="nil"/>
              <w:tr2bl w:val="nil"/>
            </w:tcBorders>
            <w:shd w:val="clear" w:color="auto" w:fill="auto"/>
            <w:vAlign w:val="center"/>
          </w:tcPr>
          <w:p w14:paraId="4954568E">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100～1000</w:t>
            </w:r>
          </w:p>
        </w:tc>
      </w:tr>
      <w:tr w14:paraId="277439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89" w:type="pct"/>
            <w:tcBorders>
              <w:tl2br w:val="nil"/>
              <w:tr2bl w:val="nil"/>
            </w:tcBorders>
            <w:shd w:val="clear" w:color="auto" w:fill="auto"/>
            <w:vAlign w:val="center"/>
          </w:tcPr>
          <w:p w14:paraId="12AE8428">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4</w:t>
            </w:r>
          </w:p>
        </w:tc>
        <w:tc>
          <w:tcPr>
            <w:tcW w:w="784" w:type="pct"/>
            <w:tcBorders>
              <w:tl2br w:val="nil"/>
              <w:tr2bl w:val="nil"/>
            </w:tcBorders>
            <w:shd w:val="clear" w:color="auto" w:fill="auto"/>
            <w:vAlign w:val="center"/>
          </w:tcPr>
          <w:p w14:paraId="1FE55C14">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7</w:t>
            </w:r>
          </w:p>
        </w:tc>
        <w:tc>
          <w:tcPr>
            <w:tcW w:w="1952" w:type="pct"/>
            <w:tcBorders>
              <w:tl2br w:val="nil"/>
              <w:tr2bl w:val="nil"/>
            </w:tcBorders>
            <w:shd w:val="clear" w:color="auto" w:fill="auto"/>
            <w:vAlign w:val="center"/>
          </w:tcPr>
          <w:p w14:paraId="4DA3B44E">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多人重伤</w:t>
            </w:r>
          </w:p>
        </w:tc>
        <w:tc>
          <w:tcPr>
            <w:tcW w:w="1674" w:type="pct"/>
            <w:tcBorders>
              <w:tl2br w:val="nil"/>
              <w:tr2bl w:val="nil"/>
            </w:tcBorders>
            <w:shd w:val="clear" w:color="auto" w:fill="auto"/>
            <w:vAlign w:val="center"/>
          </w:tcPr>
          <w:p w14:paraId="35CE896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50～100</w:t>
            </w:r>
          </w:p>
        </w:tc>
      </w:tr>
      <w:tr w14:paraId="590050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89" w:type="pct"/>
            <w:tcBorders>
              <w:tl2br w:val="nil"/>
              <w:tr2bl w:val="nil"/>
            </w:tcBorders>
            <w:shd w:val="clear" w:color="auto" w:fill="auto"/>
            <w:vAlign w:val="center"/>
          </w:tcPr>
          <w:p w14:paraId="234BDC4B">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5</w:t>
            </w:r>
          </w:p>
        </w:tc>
        <w:tc>
          <w:tcPr>
            <w:tcW w:w="784" w:type="pct"/>
            <w:tcBorders>
              <w:tl2br w:val="nil"/>
              <w:tr2bl w:val="nil"/>
            </w:tcBorders>
            <w:shd w:val="clear" w:color="auto" w:fill="auto"/>
            <w:vAlign w:val="center"/>
          </w:tcPr>
          <w:p w14:paraId="13A0985A">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w:t>
            </w:r>
          </w:p>
        </w:tc>
        <w:tc>
          <w:tcPr>
            <w:tcW w:w="1952" w:type="pct"/>
            <w:tcBorders>
              <w:tl2br w:val="nil"/>
              <w:tr2bl w:val="nil"/>
            </w:tcBorders>
            <w:shd w:val="clear" w:color="auto" w:fill="auto"/>
            <w:vAlign w:val="center"/>
          </w:tcPr>
          <w:p w14:paraId="5605D74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至少1人伤残</w:t>
            </w:r>
          </w:p>
        </w:tc>
        <w:tc>
          <w:tcPr>
            <w:tcW w:w="1674" w:type="pct"/>
            <w:tcBorders>
              <w:tl2br w:val="nil"/>
              <w:tr2bl w:val="nil"/>
            </w:tcBorders>
            <w:shd w:val="clear" w:color="auto" w:fill="auto"/>
            <w:vAlign w:val="center"/>
          </w:tcPr>
          <w:p w14:paraId="32AFA56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10～50</w:t>
            </w:r>
          </w:p>
        </w:tc>
      </w:tr>
      <w:tr w14:paraId="6F7696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589" w:type="pct"/>
            <w:tcBorders>
              <w:tl2br w:val="nil"/>
              <w:tr2bl w:val="nil"/>
            </w:tcBorders>
            <w:shd w:val="clear" w:color="auto" w:fill="auto"/>
            <w:vAlign w:val="center"/>
          </w:tcPr>
          <w:p w14:paraId="2573CA41">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6</w:t>
            </w:r>
          </w:p>
        </w:tc>
        <w:tc>
          <w:tcPr>
            <w:tcW w:w="784" w:type="pct"/>
            <w:tcBorders>
              <w:tl2br w:val="nil"/>
              <w:tr2bl w:val="nil"/>
            </w:tcBorders>
            <w:shd w:val="clear" w:color="auto" w:fill="auto"/>
            <w:vAlign w:val="center"/>
          </w:tcPr>
          <w:p w14:paraId="7AF745F1">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w:t>
            </w:r>
          </w:p>
        </w:tc>
        <w:tc>
          <w:tcPr>
            <w:tcW w:w="1952" w:type="pct"/>
            <w:tcBorders>
              <w:tl2br w:val="nil"/>
              <w:tr2bl w:val="nil"/>
            </w:tcBorders>
            <w:shd w:val="clear" w:color="auto" w:fill="auto"/>
            <w:vAlign w:val="center"/>
          </w:tcPr>
          <w:p w14:paraId="5FF05C0C">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轻伤</w:t>
            </w:r>
          </w:p>
        </w:tc>
        <w:tc>
          <w:tcPr>
            <w:tcW w:w="1674" w:type="pct"/>
            <w:tcBorders>
              <w:tl2br w:val="nil"/>
              <w:tr2bl w:val="nil"/>
            </w:tcBorders>
            <w:shd w:val="clear" w:color="auto" w:fill="auto"/>
            <w:vAlign w:val="center"/>
          </w:tcPr>
          <w:p w14:paraId="2418A1E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1～10</w:t>
            </w:r>
          </w:p>
        </w:tc>
      </w:tr>
    </w:tbl>
    <w:p w14:paraId="52A46802">
      <w:pPr>
        <w:bidi w:val="0"/>
        <w:rPr>
          <w:rFonts w:hint="eastAsia"/>
        </w:rPr>
      </w:pPr>
      <w:r>
        <w:rPr>
          <w:rFonts w:hint="eastAsia"/>
        </w:rPr>
        <w:t>根据公式D＝LEC，求出风险值D。该方法规定D值在70以内时为Ⅰ级风险；在70~160之间为Ⅱ级风险；在160~320之间为Ⅲ级风险；D值大于320时为Ⅳ级风险。</w:t>
      </w:r>
    </w:p>
    <w:p w14:paraId="21EE3B17">
      <w:pPr>
        <w:bidi w:val="0"/>
        <w:rPr>
          <w:rFonts w:hint="eastAsia"/>
        </w:rPr>
      </w:pPr>
      <w:r>
        <w:rPr>
          <w:rFonts w:hint="eastAsia"/>
        </w:rPr>
        <w:t>风险等级划分如</w:t>
      </w:r>
      <w:r>
        <w:rPr>
          <w:rFonts w:hint="eastAsia"/>
        </w:rPr>
        <w:fldChar w:fldCharType="begin"/>
      </w:r>
      <w:r>
        <w:rPr>
          <w:rFonts w:hint="eastAsia"/>
        </w:rPr>
        <w:instrText xml:space="preserve">REF_Ref67577256\h</w:instrText>
      </w:r>
      <w:r>
        <w:rPr>
          <w:rFonts w:hint="eastAsia"/>
        </w:rPr>
        <w:fldChar w:fldCharType="separate"/>
      </w:r>
      <w:r>
        <w:rPr>
          <w:rFonts w:hint="eastAsia"/>
        </w:rPr>
        <w:t>表9.1</w:t>
      </w:r>
      <w:r>
        <w:rPr>
          <w:rFonts w:hint="eastAsia"/>
          <w:lang w:val="en-US" w:eastAsia="zh-CN"/>
        </w:rPr>
        <w:t>.1</w:t>
      </w:r>
      <w:r>
        <w:rPr>
          <w:rFonts w:hint="eastAsia"/>
          <w:lang w:eastAsia="zh-CN"/>
        </w:rPr>
        <w:t>-</w:t>
      </w:r>
      <w:r>
        <w:rPr>
          <w:rFonts w:hint="eastAsia"/>
        </w:rPr>
        <w:t>4</w:t>
      </w:r>
      <w:r>
        <w:rPr>
          <w:rFonts w:hint="eastAsia"/>
        </w:rPr>
        <w:fldChar w:fldCharType="end"/>
      </w:r>
      <w:r>
        <w:rPr>
          <w:rFonts w:hint="eastAsia"/>
        </w:rPr>
        <w:t>所示。</w:t>
      </w:r>
    </w:p>
    <w:p w14:paraId="1C6E5BFC">
      <w:pPr>
        <w:keepNext w:val="0"/>
        <w:keepLines w:val="0"/>
        <w:pageBreakBefore w:val="0"/>
        <w:widowControl w:val="0"/>
        <w:kinsoku/>
        <w:wordWrap/>
        <w:overflowPunct/>
        <w:topLinePunct w:val="0"/>
        <w:autoSpaceDE/>
        <w:autoSpaceDN/>
        <w:bidi w:val="0"/>
        <w:adjustRightInd/>
        <w:snapToGrid/>
        <w:spacing w:line="480" w:lineRule="atLeast"/>
        <w:ind w:firstLine="0" w:firstLineChars="0"/>
        <w:jc w:val="center"/>
        <w:textAlignment w:val="auto"/>
        <w:rPr>
          <w:rFonts w:hint="eastAsia" w:ascii="宋体" w:hAnsi="宋体" w:eastAsia="宋体" w:cs="宋体"/>
          <w:kern w:val="2"/>
          <w:sz w:val="24"/>
          <w:szCs w:val="24"/>
          <w:lang w:val="en-US" w:eastAsia="zh-CN" w:bidi="ar-SA"/>
        </w:rPr>
      </w:pPr>
      <w:bookmarkStart w:id="91" w:name="_Ref67577256"/>
      <w:r>
        <w:rPr>
          <w:rFonts w:hint="eastAsia" w:ascii="宋体" w:hAnsi="宋体" w:eastAsia="宋体" w:cs="宋体"/>
          <w:kern w:val="2"/>
          <w:sz w:val="24"/>
          <w:szCs w:val="24"/>
          <w:lang w:val="en-US" w:eastAsia="zh-CN" w:bidi="ar-SA"/>
        </w:rPr>
        <w:t>表</w:t>
      </w:r>
      <w:r>
        <w:rPr>
          <w:rFonts w:hint="eastAsia" w:ascii="宋体" w:hAnsi="宋体" w:eastAsia="宋体" w:cs="宋体"/>
          <w:kern w:val="2"/>
          <w:sz w:val="24"/>
          <w:szCs w:val="24"/>
          <w:lang w:val="en-US" w:eastAsia="zh-CN" w:bidi="ar-SA"/>
        </w:rPr>
        <w:fldChar w:fldCharType="begin"/>
      </w:r>
      <w:r>
        <w:rPr>
          <w:rFonts w:hint="eastAsia" w:ascii="宋体" w:hAnsi="宋体" w:eastAsia="宋体" w:cs="宋体"/>
          <w:kern w:val="2"/>
          <w:sz w:val="24"/>
          <w:szCs w:val="24"/>
          <w:lang w:val="en-US" w:eastAsia="zh-CN" w:bidi="ar-SA"/>
        </w:rPr>
        <w:instrText xml:space="preserve">STYLEREF 3\s</w:instrText>
      </w:r>
      <w:r>
        <w:rPr>
          <w:rFonts w:hint="eastAsia" w:ascii="宋体" w:hAnsi="宋体" w:eastAsia="宋体" w:cs="宋体"/>
          <w:kern w:val="2"/>
          <w:sz w:val="24"/>
          <w:szCs w:val="24"/>
          <w:lang w:val="en-US" w:eastAsia="zh-CN" w:bidi="ar-SA"/>
        </w:rPr>
        <w:fldChar w:fldCharType="separate"/>
      </w:r>
      <w:r>
        <w:rPr>
          <w:rFonts w:hint="eastAsia" w:ascii="宋体" w:hAnsi="宋体" w:eastAsia="宋体" w:cs="宋体"/>
          <w:kern w:val="2"/>
          <w:sz w:val="24"/>
          <w:szCs w:val="24"/>
          <w:lang w:val="en-US" w:eastAsia="zh-CN" w:bidi="ar-SA"/>
        </w:rPr>
        <w:t>9.1.1</w:t>
      </w:r>
      <w:r>
        <w:rPr>
          <w:rFonts w:hint="eastAsia" w:ascii="宋体" w:hAnsi="宋体" w:eastAsia="宋体" w:cs="宋体"/>
          <w:kern w:val="2"/>
          <w:sz w:val="24"/>
          <w:szCs w:val="24"/>
          <w:lang w:val="en-US" w:eastAsia="zh-CN" w:bidi="ar-SA"/>
        </w:rPr>
        <w:fldChar w:fldCharType="end"/>
      </w:r>
      <w:bookmarkEnd w:id="91"/>
      <w:r>
        <w:rPr>
          <w:rFonts w:hint="eastAsia" w:ascii="宋体" w:hAnsi="宋体" w:eastAsia="宋体" w:cs="宋体"/>
          <w:kern w:val="2"/>
          <w:sz w:val="24"/>
          <w:szCs w:val="24"/>
          <w:lang w:val="en-US" w:eastAsia="zh-CN" w:bidi="ar-SA"/>
        </w:rPr>
        <w:t>-</w:t>
      </w:r>
      <w:r>
        <w:rPr>
          <w:rFonts w:hint="eastAsia" w:cs="宋体"/>
          <w:kern w:val="2"/>
          <w:sz w:val="24"/>
          <w:szCs w:val="24"/>
          <w:lang w:val="en-US" w:eastAsia="zh-CN" w:bidi="ar-SA"/>
        </w:rPr>
        <w:t>4</w:t>
      </w:r>
      <w:r>
        <w:rPr>
          <w:rFonts w:hint="eastAsia" w:ascii="宋体" w:hAnsi="宋体" w:eastAsia="宋体" w:cs="宋体"/>
          <w:kern w:val="2"/>
          <w:sz w:val="24"/>
          <w:szCs w:val="24"/>
          <w:lang w:val="en-US" w:eastAsia="zh-CN" w:bidi="ar-SA"/>
        </w:rPr>
        <w:t xml:space="preserve"> LEC法评估结果分级</w:t>
      </w:r>
    </w:p>
    <w:tbl>
      <w:tblPr>
        <w:tblStyle w:val="41"/>
        <w:tblW w:w="963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fixed"/>
        <w:tblCellMar>
          <w:top w:w="0" w:type="dxa"/>
          <w:left w:w="108" w:type="dxa"/>
          <w:bottom w:w="0" w:type="dxa"/>
          <w:right w:w="108" w:type="dxa"/>
        </w:tblCellMar>
      </w:tblPr>
      <w:tblGrid>
        <w:gridCol w:w="3892"/>
        <w:gridCol w:w="3738"/>
        <w:gridCol w:w="2003"/>
      </w:tblGrid>
      <w:tr w14:paraId="5B886F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2" w:type="dxa"/>
            <w:tcBorders>
              <w:tl2br w:val="nil"/>
              <w:tr2bl w:val="nil"/>
            </w:tcBorders>
            <w:shd w:val="clear" w:color="auto" w:fill="auto"/>
            <w:noWrap w:val="0"/>
            <w:vAlign w:val="center"/>
          </w:tcPr>
          <w:p w14:paraId="7EB830D1">
            <w:pPr>
              <w:pStyle w:val="389"/>
              <w:rPr>
                <w:rFonts w:hint="eastAsia" w:ascii="宋体" w:hAnsi="宋体" w:eastAsia="宋体" w:cs="宋体"/>
                <w:b/>
                <w:bCs w:val="0"/>
                <w:color w:val="auto"/>
              </w:rPr>
            </w:pPr>
            <w:r>
              <w:rPr>
                <w:rFonts w:hint="eastAsia" w:ascii="宋体" w:hAnsi="宋体" w:eastAsia="宋体" w:cs="宋体"/>
                <w:b/>
                <w:bCs w:val="0"/>
                <w:color w:val="auto"/>
              </w:rPr>
              <w:t>分数值</w:t>
            </w:r>
          </w:p>
        </w:tc>
        <w:tc>
          <w:tcPr>
            <w:tcW w:w="3738" w:type="dxa"/>
            <w:tcBorders>
              <w:tl2br w:val="nil"/>
              <w:tr2bl w:val="nil"/>
            </w:tcBorders>
            <w:shd w:val="clear" w:color="auto" w:fill="auto"/>
            <w:noWrap w:val="0"/>
            <w:vAlign w:val="center"/>
          </w:tcPr>
          <w:p w14:paraId="689277F2">
            <w:pPr>
              <w:pStyle w:val="389"/>
              <w:rPr>
                <w:rFonts w:hint="eastAsia" w:ascii="宋体" w:hAnsi="宋体" w:eastAsia="宋体" w:cs="宋体"/>
                <w:b/>
                <w:bCs w:val="0"/>
                <w:color w:val="auto"/>
              </w:rPr>
            </w:pPr>
            <w:r>
              <w:rPr>
                <w:rFonts w:hint="eastAsia" w:ascii="宋体" w:hAnsi="宋体" w:eastAsia="宋体" w:cs="宋体"/>
                <w:b/>
                <w:bCs w:val="0"/>
                <w:color w:val="auto"/>
              </w:rPr>
              <w:t>风险程度</w:t>
            </w:r>
          </w:p>
        </w:tc>
        <w:tc>
          <w:tcPr>
            <w:tcW w:w="2003" w:type="dxa"/>
            <w:tcBorders>
              <w:tl2br w:val="nil"/>
              <w:tr2bl w:val="nil"/>
            </w:tcBorders>
            <w:shd w:val="clear" w:color="auto" w:fill="auto"/>
            <w:noWrap w:val="0"/>
            <w:vAlign w:val="center"/>
          </w:tcPr>
          <w:p w14:paraId="27DB57FD">
            <w:pPr>
              <w:pStyle w:val="389"/>
              <w:rPr>
                <w:rFonts w:hint="eastAsia" w:ascii="宋体" w:hAnsi="宋体" w:eastAsia="宋体" w:cs="宋体"/>
                <w:b/>
                <w:bCs w:val="0"/>
                <w:color w:val="auto"/>
              </w:rPr>
            </w:pPr>
            <w:r>
              <w:rPr>
                <w:rFonts w:hint="eastAsia" w:ascii="宋体" w:hAnsi="宋体" w:eastAsia="宋体" w:cs="宋体"/>
                <w:b/>
                <w:bCs w:val="0"/>
                <w:color w:val="auto"/>
              </w:rPr>
              <w:t>风险等级</w:t>
            </w:r>
          </w:p>
        </w:tc>
      </w:tr>
      <w:tr w14:paraId="47E792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jc w:val="center"/>
        </w:trPr>
        <w:tc>
          <w:tcPr>
            <w:tcW w:w="3892" w:type="dxa"/>
            <w:tcBorders>
              <w:tl2br w:val="nil"/>
              <w:tr2bl w:val="nil"/>
            </w:tcBorders>
            <w:shd w:val="clear" w:color="auto" w:fill="auto"/>
            <w:noWrap w:val="0"/>
            <w:vAlign w:val="center"/>
          </w:tcPr>
          <w:p w14:paraId="29E1125A">
            <w:pPr>
              <w:pStyle w:val="389"/>
              <w:rPr>
                <w:rFonts w:hint="eastAsia" w:ascii="宋体" w:hAnsi="宋体" w:eastAsia="宋体" w:cs="宋体"/>
                <w:color w:val="auto"/>
              </w:rPr>
            </w:pPr>
            <w:r>
              <w:rPr>
                <w:rFonts w:hint="eastAsia" w:ascii="宋体" w:hAnsi="宋体" w:eastAsia="宋体" w:cs="宋体"/>
                <w:color w:val="auto"/>
              </w:rPr>
              <w:t>&gt;320</w:t>
            </w:r>
          </w:p>
        </w:tc>
        <w:tc>
          <w:tcPr>
            <w:tcW w:w="3738" w:type="dxa"/>
            <w:tcBorders>
              <w:tl2br w:val="nil"/>
              <w:tr2bl w:val="nil"/>
            </w:tcBorders>
            <w:shd w:val="clear" w:color="auto" w:fill="auto"/>
            <w:noWrap w:val="0"/>
            <w:vAlign w:val="center"/>
          </w:tcPr>
          <w:p w14:paraId="52829EBA">
            <w:pPr>
              <w:pStyle w:val="389"/>
              <w:rPr>
                <w:rFonts w:hint="eastAsia" w:ascii="宋体" w:hAnsi="宋体" w:eastAsia="宋体" w:cs="宋体"/>
                <w:color w:val="auto"/>
              </w:rPr>
            </w:pPr>
            <w:r>
              <w:rPr>
                <w:rFonts w:hint="eastAsia" w:ascii="宋体" w:hAnsi="宋体" w:eastAsia="宋体" w:cs="宋体"/>
                <w:color w:val="auto"/>
                <w:lang w:val="en-US" w:eastAsia="zh-CN"/>
              </w:rPr>
              <w:t>特别重大风险</w:t>
            </w:r>
          </w:p>
        </w:tc>
        <w:tc>
          <w:tcPr>
            <w:tcW w:w="2003" w:type="dxa"/>
            <w:tcBorders>
              <w:tl2br w:val="nil"/>
              <w:tr2bl w:val="nil"/>
            </w:tcBorders>
            <w:shd w:val="clear" w:color="auto" w:fill="auto"/>
            <w:noWrap w:val="0"/>
            <w:vAlign w:val="center"/>
          </w:tcPr>
          <w:p w14:paraId="625B90DC">
            <w:pPr>
              <w:pStyle w:val="389"/>
              <w:rPr>
                <w:rFonts w:hint="eastAsia" w:ascii="宋体" w:hAnsi="宋体" w:eastAsia="宋体" w:cs="宋体"/>
                <w:color w:val="auto"/>
              </w:rPr>
            </w:pPr>
            <w:r>
              <w:rPr>
                <w:rFonts w:hint="eastAsia" w:ascii="宋体" w:hAnsi="宋体" w:eastAsia="宋体" w:cs="宋体"/>
                <w:color w:val="auto"/>
              </w:rPr>
              <w:t>5</w:t>
            </w:r>
          </w:p>
        </w:tc>
      </w:tr>
      <w:tr w14:paraId="6A49E6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2" w:type="dxa"/>
            <w:tcBorders>
              <w:tl2br w:val="nil"/>
              <w:tr2bl w:val="nil"/>
            </w:tcBorders>
            <w:shd w:val="clear" w:color="auto" w:fill="auto"/>
            <w:noWrap w:val="0"/>
            <w:vAlign w:val="center"/>
          </w:tcPr>
          <w:p w14:paraId="786B48FD">
            <w:pPr>
              <w:pStyle w:val="389"/>
              <w:rPr>
                <w:rFonts w:hint="eastAsia" w:ascii="宋体" w:hAnsi="宋体" w:eastAsia="宋体" w:cs="宋体"/>
                <w:color w:val="auto"/>
              </w:rPr>
            </w:pPr>
            <w:r>
              <w:rPr>
                <w:rFonts w:hint="eastAsia" w:ascii="宋体" w:hAnsi="宋体" w:eastAsia="宋体" w:cs="宋体"/>
                <w:color w:val="auto"/>
              </w:rPr>
              <w:t>160~320</w:t>
            </w:r>
          </w:p>
        </w:tc>
        <w:tc>
          <w:tcPr>
            <w:tcW w:w="3738" w:type="dxa"/>
            <w:tcBorders>
              <w:tl2br w:val="nil"/>
              <w:tr2bl w:val="nil"/>
            </w:tcBorders>
            <w:shd w:val="clear" w:color="auto" w:fill="auto"/>
            <w:noWrap w:val="0"/>
            <w:vAlign w:val="center"/>
          </w:tcPr>
          <w:p w14:paraId="0148B4C7">
            <w:pPr>
              <w:pStyle w:val="389"/>
              <w:rPr>
                <w:rFonts w:hint="eastAsia" w:ascii="宋体" w:hAnsi="宋体" w:eastAsia="宋体" w:cs="宋体"/>
                <w:color w:val="auto"/>
              </w:rPr>
            </w:pPr>
            <w:r>
              <w:rPr>
                <w:rFonts w:hint="eastAsia" w:ascii="宋体" w:hAnsi="宋体" w:eastAsia="宋体" w:cs="宋体"/>
                <w:color w:val="auto"/>
                <w:lang w:val="en-US" w:eastAsia="zh-CN"/>
              </w:rPr>
              <w:t>重大风险</w:t>
            </w:r>
          </w:p>
        </w:tc>
        <w:tc>
          <w:tcPr>
            <w:tcW w:w="2003" w:type="dxa"/>
            <w:tcBorders>
              <w:tl2br w:val="nil"/>
              <w:tr2bl w:val="nil"/>
            </w:tcBorders>
            <w:shd w:val="clear" w:color="auto" w:fill="auto"/>
            <w:noWrap w:val="0"/>
            <w:vAlign w:val="center"/>
          </w:tcPr>
          <w:p w14:paraId="40E90F8E">
            <w:pPr>
              <w:pStyle w:val="389"/>
              <w:rPr>
                <w:rFonts w:hint="eastAsia" w:ascii="宋体" w:hAnsi="宋体" w:eastAsia="宋体" w:cs="宋体"/>
                <w:color w:val="auto"/>
              </w:rPr>
            </w:pPr>
            <w:r>
              <w:rPr>
                <w:rFonts w:hint="eastAsia" w:ascii="宋体" w:hAnsi="宋体" w:eastAsia="宋体" w:cs="宋体"/>
                <w:color w:val="auto"/>
              </w:rPr>
              <w:t>4</w:t>
            </w:r>
          </w:p>
        </w:tc>
      </w:tr>
      <w:tr w14:paraId="416D69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892" w:type="dxa"/>
            <w:tcBorders>
              <w:tl2br w:val="nil"/>
              <w:tr2bl w:val="nil"/>
            </w:tcBorders>
            <w:shd w:val="clear" w:color="auto" w:fill="auto"/>
            <w:noWrap w:val="0"/>
            <w:vAlign w:val="center"/>
          </w:tcPr>
          <w:p w14:paraId="7F89CD3E">
            <w:pPr>
              <w:pStyle w:val="389"/>
              <w:rPr>
                <w:rFonts w:hint="eastAsia" w:ascii="宋体" w:hAnsi="宋体" w:eastAsia="宋体" w:cs="宋体"/>
                <w:color w:val="auto"/>
              </w:rPr>
            </w:pPr>
            <w:r>
              <w:rPr>
                <w:rFonts w:hint="eastAsia" w:ascii="宋体" w:hAnsi="宋体" w:eastAsia="宋体" w:cs="宋体"/>
                <w:color w:val="auto"/>
              </w:rPr>
              <w:t>70~160</w:t>
            </w:r>
          </w:p>
        </w:tc>
        <w:tc>
          <w:tcPr>
            <w:tcW w:w="3738" w:type="dxa"/>
            <w:tcBorders>
              <w:tl2br w:val="nil"/>
              <w:tr2bl w:val="nil"/>
            </w:tcBorders>
            <w:shd w:val="clear" w:color="auto" w:fill="auto"/>
            <w:noWrap w:val="0"/>
            <w:vAlign w:val="center"/>
          </w:tcPr>
          <w:p w14:paraId="41087724">
            <w:pPr>
              <w:pStyle w:val="389"/>
              <w:rPr>
                <w:rFonts w:hint="eastAsia" w:ascii="宋体" w:hAnsi="宋体" w:eastAsia="宋体" w:cs="宋体"/>
                <w:color w:val="auto"/>
              </w:rPr>
            </w:pPr>
            <w:r>
              <w:rPr>
                <w:rFonts w:hint="eastAsia" w:ascii="宋体" w:hAnsi="宋体" w:eastAsia="宋体" w:cs="宋体"/>
                <w:color w:val="auto"/>
                <w:lang w:val="en-US" w:eastAsia="zh-CN"/>
              </w:rPr>
              <w:t>较大风险</w:t>
            </w:r>
          </w:p>
        </w:tc>
        <w:tc>
          <w:tcPr>
            <w:tcW w:w="2003" w:type="dxa"/>
            <w:tcBorders>
              <w:tl2br w:val="nil"/>
              <w:tr2bl w:val="nil"/>
            </w:tcBorders>
            <w:shd w:val="clear" w:color="auto" w:fill="auto"/>
            <w:noWrap w:val="0"/>
            <w:vAlign w:val="center"/>
          </w:tcPr>
          <w:p w14:paraId="26ADCC97">
            <w:pPr>
              <w:pStyle w:val="389"/>
              <w:rPr>
                <w:rFonts w:hint="eastAsia" w:ascii="宋体" w:hAnsi="宋体" w:eastAsia="宋体" w:cs="宋体"/>
                <w:color w:val="auto"/>
              </w:rPr>
            </w:pPr>
            <w:r>
              <w:rPr>
                <w:rFonts w:hint="eastAsia" w:ascii="宋体" w:hAnsi="宋体" w:eastAsia="宋体" w:cs="宋体"/>
                <w:color w:val="auto"/>
              </w:rPr>
              <w:t>3</w:t>
            </w:r>
          </w:p>
        </w:tc>
      </w:tr>
      <w:tr w14:paraId="560EB5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jc w:val="center"/>
        </w:trPr>
        <w:tc>
          <w:tcPr>
            <w:tcW w:w="3892" w:type="dxa"/>
            <w:tcBorders>
              <w:tl2br w:val="nil"/>
              <w:tr2bl w:val="nil"/>
            </w:tcBorders>
            <w:shd w:val="clear" w:color="auto" w:fill="auto"/>
            <w:noWrap w:val="0"/>
            <w:vAlign w:val="center"/>
          </w:tcPr>
          <w:p w14:paraId="5B45CDBE">
            <w:pPr>
              <w:pStyle w:val="389"/>
              <w:rPr>
                <w:rFonts w:hint="eastAsia" w:ascii="宋体" w:hAnsi="宋体" w:eastAsia="宋体" w:cs="宋体"/>
                <w:color w:val="auto"/>
              </w:rPr>
            </w:pPr>
            <w:r>
              <w:rPr>
                <w:rFonts w:hint="eastAsia" w:ascii="宋体" w:hAnsi="宋体" w:eastAsia="宋体" w:cs="宋体"/>
                <w:color w:val="auto"/>
              </w:rPr>
              <w:t>20~70</w:t>
            </w:r>
          </w:p>
        </w:tc>
        <w:tc>
          <w:tcPr>
            <w:tcW w:w="3738" w:type="dxa"/>
            <w:tcBorders>
              <w:tl2br w:val="nil"/>
              <w:tr2bl w:val="nil"/>
            </w:tcBorders>
            <w:shd w:val="clear" w:color="auto" w:fill="auto"/>
            <w:noWrap w:val="0"/>
            <w:vAlign w:val="center"/>
          </w:tcPr>
          <w:p w14:paraId="0FED87B6">
            <w:pPr>
              <w:pStyle w:val="389"/>
              <w:rPr>
                <w:rFonts w:hint="eastAsia" w:ascii="宋体" w:hAnsi="宋体" w:eastAsia="宋体" w:cs="宋体"/>
                <w:color w:val="auto"/>
              </w:rPr>
            </w:pPr>
            <w:r>
              <w:rPr>
                <w:rFonts w:hint="eastAsia" w:ascii="宋体" w:hAnsi="宋体" w:eastAsia="宋体" w:cs="宋体"/>
                <w:color w:val="auto"/>
              </w:rPr>
              <w:t>一般危险</w:t>
            </w:r>
          </w:p>
        </w:tc>
        <w:tc>
          <w:tcPr>
            <w:tcW w:w="2003" w:type="dxa"/>
            <w:tcBorders>
              <w:tl2br w:val="nil"/>
              <w:tr2bl w:val="nil"/>
            </w:tcBorders>
            <w:shd w:val="clear" w:color="auto" w:fill="auto"/>
            <w:noWrap w:val="0"/>
            <w:vAlign w:val="center"/>
          </w:tcPr>
          <w:p w14:paraId="4D7BB26B">
            <w:pPr>
              <w:pStyle w:val="389"/>
              <w:rPr>
                <w:rFonts w:hint="eastAsia" w:ascii="宋体" w:hAnsi="宋体" w:eastAsia="宋体" w:cs="宋体"/>
                <w:color w:val="auto"/>
              </w:rPr>
            </w:pPr>
            <w:r>
              <w:rPr>
                <w:rFonts w:hint="eastAsia" w:ascii="宋体" w:hAnsi="宋体" w:eastAsia="宋体" w:cs="宋体"/>
                <w:color w:val="auto"/>
              </w:rPr>
              <w:t>2</w:t>
            </w:r>
          </w:p>
        </w:tc>
      </w:tr>
      <w:tr w14:paraId="163069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jc w:val="center"/>
        </w:trPr>
        <w:tc>
          <w:tcPr>
            <w:tcW w:w="3892" w:type="dxa"/>
            <w:tcBorders>
              <w:tl2br w:val="nil"/>
              <w:tr2bl w:val="nil"/>
            </w:tcBorders>
            <w:shd w:val="clear" w:color="auto" w:fill="auto"/>
            <w:noWrap w:val="0"/>
            <w:vAlign w:val="center"/>
          </w:tcPr>
          <w:p w14:paraId="40903139">
            <w:pPr>
              <w:pStyle w:val="389"/>
              <w:rPr>
                <w:rFonts w:hint="eastAsia" w:ascii="宋体" w:hAnsi="宋体" w:eastAsia="宋体" w:cs="宋体"/>
                <w:color w:val="auto"/>
              </w:rPr>
            </w:pPr>
            <w:r>
              <w:rPr>
                <w:rFonts w:hint="eastAsia" w:ascii="宋体" w:hAnsi="宋体" w:eastAsia="宋体" w:cs="宋体"/>
                <w:color w:val="auto"/>
              </w:rPr>
              <w:t>&lt;20</w:t>
            </w:r>
          </w:p>
        </w:tc>
        <w:tc>
          <w:tcPr>
            <w:tcW w:w="3738" w:type="dxa"/>
            <w:tcBorders>
              <w:tl2br w:val="nil"/>
              <w:tr2bl w:val="nil"/>
            </w:tcBorders>
            <w:shd w:val="clear" w:color="auto" w:fill="auto"/>
            <w:noWrap w:val="0"/>
            <w:vAlign w:val="center"/>
          </w:tcPr>
          <w:p w14:paraId="55D7C94A">
            <w:pPr>
              <w:pStyle w:val="389"/>
              <w:rPr>
                <w:rFonts w:hint="eastAsia" w:ascii="宋体" w:hAnsi="宋体" w:eastAsia="宋体" w:cs="宋体"/>
                <w:color w:val="auto"/>
              </w:rPr>
            </w:pPr>
            <w:r>
              <w:rPr>
                <w:rFonts w:hint="eastAsia" w:ascii="宋体" w:hAnsi="宋体" w:eastAsia="宋体" w:cs="宋体"/>
                <w:color w:val="auto"/>
                <w:lang w:val="en-US" w:eastAsia="zh-CN"/>
              </w:rPr>
              <w:t>低风险</w:t>
            </w:r>
          </w:p>
        </w:tc>
        <w:tc>
          <w:tcPr>
            <w:tcW w:w="2003" w:type="dxa"/>
            <w:tcBorders>
              <w:tl2br w:val="nil"/>
              <w:tr2bl w:val="nil"/>
            </w:tcBorders>
            <w:shd w:val="clear" w:color="auto" w:fill="auto"/>
            <w:noWrap w:val="0"/>
            <w:vAlign w:val="center"/>
          </w:tcPr>
          <w:p w14:paraId="446A16E9">
            <w:pPr>
              <w:pStyle w:val="389"/>
              <w:rPr>
                <w:rFonts w:hint="eastAsia" w:ascii="宋体" w:hAnsi="宋体" w:eastAsia="宋体" w:cs="宋体"/>
                <w:color w:val="auto"/>
              </w:rPr>
            </w:pPr>
            <w:r>
              <w:rPr>
                <w:rFonts w:hint="eastAsia" w:ascii="宋体" w:hAnsi="宋体" w:eastAsia="宋体" w:cs="宋体"/>
                <w:color w:val="auto"/>
              </w:rPr>
              <w:t>1</w:t>
            </w:r>
          </w:p>
        </w:tc>
      </w:tr>
    </w:tbl>
    <w:p w14:paraId="42F7A05D">
      <w:pPr>
        <w:keepNext w:val="0"/>
        <w:keepLines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b w:val="0"/>
          <w:bCs w:val="0"/>
          <w:kern w:val="2"/>
          <w:sz w:val="24"/>
          <w:szCs w:val="24"/>
          <w:lang w:val="en-US" w:eastAsia="zh-CN" w:bidi="ar-SA"/>
        </w:rPr>
        <w:t>低风险</w:t>
      </w:r>
      <w:r>
        <w:rPr>
          <w:rFonts w:hint="eastAsia" w:ascii="宋体" w:hAnsi="宋体" w:eastAsia="宋体" w:cs="宋体"/>
          <w:sz w:val="24"/>
          <w:szCs w:val="24"/>
        </w:rPr>
        <w:t>：安全的，不需要采取措施；</w:t>
      </w:r>
    </w:p>
    <w:p w14:paraId="5FFEE50D">
      <w:pPr>
        <w:keepNext w:val="0"/>
        <w:keepLines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一般风险：临界的，有可能</w:t>
      </w:r>
      <w:r>
        <w:rPr>
          <w:rFonts w:hint="eastAsia" w:ascii="宋体" w:hAnsi="宋体" w:eastAsia="宋体" w:cs="宋体"/>
          <w:sz w:val="24"/>
          <w:szCs w:val="24"/>
          <w:lang w:val="en-US" w:eastAsia="zh-CN"/>
        </w:rPr>
        <w:t>造成</w:t>
      </w:r>
      <w:r>
        <w:rPr>
          <w:rFonts w:hint="eastAsia" w:ascii="宋体" w:hAnsi="宋体" w:eastAsia="宋体" w:cs="宋体"/>
          <w:sz w:val="24"/>
          <w:szCs w:val="24"/>
        </w:rPr>
        <w:t>较轻的伤害和损坏，应采取措施；</w:t>
      </w:r>
    </w:p>
    <w:p w14:paraId="76ED1740">
      <w:pPr>
        <w:keepNext w:val="0"/>
        <w:keepLines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b w:val="0"/>
          <w:bCs w:val="0"/>
          <w:kern w:val="2"/>
          <w:sz w:val="24"/>
          <w:szCs w:val="24"/>
          <w:lang w:val="en-US" w:eastAsia="zh-CN" w:bidi="ar-SA"/>
        </w:rPr>
        <w:t>较大风险</w:t>
      </w:r>
      <w:r>
        <w:rPr>
          <w:rFonts w:hint="eastAsia" w:ascii="宋体" w:hAnsi="宋体" w:eastAsia="宋体" w:cs="宋体"/>
          <w:sz w:val="24"/>
          <w:szCs w:val="24"/>
        </w:rPr>
        <w:t>：危险的，会造成人员伤亡和系统破坏，要立即采取措施；</w:t>
      </w:r>
    </w:p>
    <w:p w14:paraId="159B751B">
      <w:pPr>
        <w:keepNext w:val="0"/>
        <w:keepLines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b w:val="0"/>
          <w:bCs w:val="0"/>
          <w:kern w:val="2"/>
          <w:sz w:val="24"/>
          <w:szCs w:val="24"/>
          <w:lang w:val="en-US" w:eastAsia="zh-CN" w:bidi="ar-SA"/>
        </w:rPr>
        <w:t>重大风险</w:t>
      </w:r>
      <w:r>
        <w:rPr>
          <w:rFonts w:hint="eastAsia" w:ascii="宋体" w:hAnsi="宋体" w:eastAsia="宋体" w:cs="宋体"/>
          <w:sz w:val="24"/>
          <w:szCs w:val="24"/>
        </w:rPr>
        <w:t>：破坏性的，会造成灾难性事故，必须立即排除。</w:t>
      </w:r>
    </w:p>
    <w:p w14:paraId="5AE7A70E">
      <w:pPr>
        <w:keepNext w:val="0"/>
        <w:keepLines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特别重大风险：极其危险，应编制专项方案及应急预案，施工期间，严格落实领导带班制度，当风险涉及正在进行中的工作并暂时不能控制时，必须停止作业，采取应急措施。</w:t>
      </w:r>
    </w:p>
    <w:p w14:paraId="7A474FA4">
      <w:pPr>
        <w:pStyle w:val="4"/>
        <w:keepNext w:val="0"/>
        <w:pageBreakBefore w:val="0"/>
        <w:widowControl w:val="0"/>
        <w:numPr>
          <w:ilvl w:val="2"/>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风险源辨识与评价</w:t>
      </w:r>
    </w:p>
    <w:p w14:paraId="0C6DB636">
      <w:pPr>
        <w:bidi w:val="0"/>
        <w:rPr>
          <w:rFonts w:hint="eastAsia"/>
        </w:rPr>
      </w:pPr>
      <w:r>
        <w:rPr>
          <w:rFonts w:hint="eastAsia"/>
        </w:rPr>
        <w:t>根据以上风险估测方法，对塔吊</w:t>
      </w:r>
      <w:r>
        <w:rPr>
          <w:rFonts w:hint="eastAsia"/>
          <w:lang w:eastAsia="zh-CN"/>
        </w:rPr>
        <w:t>拆除</w:t>
      </w:r>
      <w:r>
        <w:rPr>
          <w:rFonts w:hint="eastAsia"/>
        </w:rPr>
        <w:t>施工过程主要危险源进行分析和风险估测，从而得出塔吊</w:t>
      </w:r>
      <w:r>
        <w:rPr>
          <w:rFonts w:hint="eastAsia"/>
          <w:lang w:eastAsia="zh-CN"/>
        </w:rPr>
        <w:t>拆除</w:t>
      </w:r>
      <w:r>
        <w:rPr>
          <w:rFonts w:hint="eastAsia"/>
        </w:rPr>
        <w:t>施工危险有害因素辨识及评价一览表见表9.1.2-1。</w:t>
      </w:r>
    </w:p>
    <w:p w14:paraId="5ACAD6B8">
      <w:pPr>
        <w:kinsoku/>
        <w:overflowPunct/>
        <w:topLinePunct w:val="0"/>
        <w:bidi w:val="0"/>
        <w:spacing w:line="360" w:lineRule="atLeast"/>
        <w:ind w:firstLine="480"/>
        <w:rPr>
          <w:rFonts w:hint="eastAsia" w:ascii="宋体" w:hAnsi="宋体" w:eastAsia="宋体" w:cs="宋体"/>
          <w:sz w:val="21"/>
          <w:szCs w:val="21"/>
        </w:rPr>
        <w:sectPr>
          <w:headerReference r:id="rId7" w:type="default"/>
          <w:footerReference r:id="rId8" w:type="default"/>
          <w:pgSz w:w="11906" w:h="16838"/>
          <w:pgMar w:top="1134" w:right="850" w:bottom="1134" w:left="1417" w:header="851" w:footer="624" w:gutter="0"/>
          <w:pgBorders>
            <w:top w:val="none" w:sz="0" w:space="0"/>
            <w:left w:val="none" w:sz="0" w:space="0"/>
            <w:bottom w:val="none" w:sz="0" w:space="0"/>
            <w:right w:val="none" w:sz="0" w:space="0"/>
          </w:pgBorders>
          <w:pgNumType w:fmt="decimal" w:start="1"/>
          <w:cols w:space="425" w:num="1"/>
          <w:rtlGutter w:val="0"/>
          <w:docGrid w:type="lines" w:linePitch="326" w:charSpace="0"/>
        </w:sectPr>
      </w:pPr>
    </w:p>
    <w:p w14:paraId="6EC41757">
      <w:pPr>
        <w:pStyle w:val="13"/>
        <w:kinsoku/>
        <w:overflowPunct/>
        <w:topLinePunct w:val="0"/>
        <w:bidi w:val="0"/>
        <w:spacing w:line="360" w:lineRule="atLeast"/>
        <w:rPr>
          <w:rFonts w:hint="eastAsia" w:ascii="宋体" w:hAnsi="宋体" w:eastAsia="宋体" w:cs="宋体"/>
          <w:b w:val="0"/>
          <w:bCs/>
          <w:sz w:val="24"/>
          <w:szCs w:val="24"/>
        </w:rPr>
      </w:pPr>
      <w:bookmarkStart w:id="92" w:name="_Ref123196482"/>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9.1.2</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bookmarkEnd w:id="92"/>
      <w:r>
        <w:rPr>
          <w:rFonts w:hint="eastAsia" w:ascii="宋体" w:hAnsi="宋体" w:eastAsia="宋体" w:cs="宋体"/>
          <w:sz w:val="24"/>
          <w:szCs w:val="24"/>
        </w:rPr>
        <w:t>塔吊</w:t>
      </w:r>
      <w:r>
        <w:rPr>
          <w:rFonts w:hint="eastAsia" w:ascii="宋体" w:hAnsi="宋体" w:cs="宋体"/>
          <w:bCs/>
          <w:sz w:val="24"/>
          <w:szCs w:val="24"/>
          <w:lang w:eastAsia="zh-CN"/>
        </w:rPr>
        <w:t>拆除</w:t>
      </w:r>
      <w:r>
        <w:rPr>
          <w:rFonts w:hint="eastAsia" w:ascii="宋体" w:hAnsi="宋体" w:eastAsia="宋体" w:cs="宋体"/>
          <w:bCs/>
          <w:sz w:val="24"/>
          <w:szCs w:val="24"/>
        </w:rPr>
        <w:t>施工危险有害因素辨识及评价一览表</w:t>
      </w:r>
    </w:p>
    <w:tbl>
      <w:tblPr>
        <w:tblStyle w:val="1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703"/>
        <w:gridCol w:w="931"/>
        <w:gridCol w:w="2106"/>
        <w:gridCol w:w="4832"/>
        <w:gridCol w:w="1546"/>
        <w:gridCol w:w="520"/>
        <w:gridCol w:w="520"/>
        <w:gridCol w:w="727"/>
        <w:gridCol w:w="727"/>
        <w:gridCol w:w="728"/>
        <w:gridCol w:w="728"/>
        <w:gridCol w:w="719"/>
      </w:tblGrid>
      <w:tr w14:paraId="2D94EB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271" w:type="pct"/>
            <w:vMerge w:val="restart"/>
            <w:tcBorders>
              <w:tl2br w:val="nil"/>
              <w:tr2bl w:val="nil"/>
            </w:tcBorders>
            <w:shd w:val="clear" w:color="auto" w:fill="auto"/>
            <w:vAlign w:val="center"/>
          </w:tcPr>
          <w:p w14:paraId="27C3CF8C">
            <w:pPr>
              <w:pStyle w:val="49"/>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序号</w:t>
            </w:r>
          </w:p>
        </w:tc>
        <w:tc>
          <w:tcPr>
            <w:tcW w:w="348" w:type="pct"/>
            <w:vMerge w:val="restart"/>
            <w:tcBorders>
              <w:tl2br w:val="nil"/>
              <w:tr2bl w:val="nil"/>
            </w:tcBorders>
            <w:shd w:val="clear" w:color="auto" w:fill="auto"/>
            <w:vAlign w:val="center"/>
          </w:tcPr>
          <w:p w14:paraId="6EB9901A">
            <w:pPr>
              <w:pStyle w:val="49"/>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作业活动单元</w:t>
            </w:r>
          </w:p>
        </w:tc>
        <w:tc>
          <w:tcPr>
            <w:tcW w:w="348" w:type="pct"/>
            <w:vMerge w:val="restart"/>
            <w:tcBorders>
              <w:tl2br w:val="nil"/>
              <w:tr2bl w:val="nil"/>
            </w:tcBorders>
            <w:shd w:val="clear" w:color="auto" w:fill="auto"/>
            <w:vAlign w:val="center"/>
          </w:tcPr>
          <w:p w14:paraId="766B5A07">
            <w:pPr>
              <w:pStyle w:val="49"/>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活动</w:t>
            </w:r>
          </w:p>
          <w:p w14:paraId="5106B790">
            <w:pPr>
              <w:pStyle w:val="49"/>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内容</w:t>
            </w:r>
          </w:p>
        </w:tc>
        <w:tc>
          <w:tcPr>
            <w:tcW w:w="1667" w:type="pct"/>
            <w:vMerge w:val="restart"/>
            <w:tcBorders>
              <w:tl2br w:val="nil"/>
              <w:tr2bl w:val="nil"/>
            </w:tcBorders>
            <w:shd w:val="clear" w:color="auto" w:fill="auto"/>
            <w:vAlign w:val="center"/>
          </w:tcPr>
          <w:p w14:paraId="7831B563">
            <w:pPr>
              <w:pStyle w:val="49"/>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可能存在的隐患</w:t>
            </w:r>
          </w:p>
        </w:tc>
        <w:tc>
          <w:tcPr>
            <w:tcW w:w="556" w:type="pct"/>
            <w:vMerge w:val="restart"/>
            <w:tcBorders>
              <w:tl2br w:val="nil"/>
              <w:tr2bl w:val="nil"/>
            </w:tcBorders>
            <w:shd w:val="clear" w:color="auto" w:fill="auto"/>
            <w:vAlign w:val="center"/>
          </w:tcPr>
          <w:p w14:paraId="316180C6">
            <w:pPr>
              <w:pStyle w:val="49"/>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潜在事故</w:t>
            </w:r>
          </w:p>
          <w:p w14:paraId="7F7E9125">
            <w:pPr>
              <w:pStyle w:val="49"/>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类型</w:t>
            </w:r>
          </w:p>
        </w:tc>
        <w:tc>
          <w:tcPr>
            <w:tcW w:w="1532" w:type="pct"/>
            <w:gridSpan w:val="6"/>
            <w:tcBorders>
              <w:tl2br w:val="nil"/>
              <w:tr2bl w:val="nil"/>
            </w:tcBorders>
            <w:shd w:val="clear" w:color="auto" w:fill="auto"/>
            <w:vAlign w:val="center"/>
          </w:tcPr>
          <w:p w14:paraId="77ECD748">
            <w:pPr>
              <w:pStyle w:val="49"/>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危险、有害因素评价</w:t>
            </w:r>
          </w:p>
        </w:tc>
        <w:tc>
          <w:tcPr>
            <w:tcW w:w="279" w:type="pct"/>
            <w:vMerge w:val="restart"/>
            <w:tcBorders>
              <w:tl2br w:val="nil"/>
              <w:tr2bl w:val="nil"/>
            </w:tcBorders>
            <w:shd w:val="clear" w:color="auto" w:fill="auto"/>
            <w:vAlign w:val="center"/>
          </w:tcPr>
          <w:p w14:paraId="2BE53833">
            <w:pPr>
              <w:pStyle w:val="49"/>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危害</w:t>
            </w:r>
          </w:p>
          <w:p w14:paraId="187D73AB">
            <w:pPr>
              <w:pStyle w:val="49"/>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级别</w:t>
            </w:r>
          </w:p>
        </w:tc>
      </w:tr>
      <w:tr w14:paraId="212370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9" w:hRule="atLeast"/>
          <w:tblHeader/>
        </w:trPr>
        <w:tc>
          <w:tcPr>
            <w:tcW w:w="271" w:type="pct"/>
            <w:vMerge w:val="continue"/>
            <w:tcBorders>
              <w:tl2br w:val="nil"/>
              <w:tr2bl w:val="nil"/>
            </w:tcBorders>
            <w:shd w:val="clear" w:color="auto" w:fill="auto"/>
            <w:vAlign w:val="center"/>
          </w:tcPr>
          <w:p w14:paraId="4FAF8129">
            <w:pPr>
              <w:pStyle w:val="49"/>
              <w:kinsoku/>
              <w:overflowPunct/>
              <w:topLinePunct w:val="0"/>
              <w:bidi w:val="0"/>
              <w:spacing w:line="360" w:lineRule="atLeast"/>
              <w:rPr>
                <w:rStyle w:val="215"/>
                <w:rFonts w:hint="eastAsia" w:ascii="宋体" w:hAnsi="宋体" w:eastAsia="宋体" w:cs="宋体"/>
                <w:b/>
                <w:sz w:val="21"/>
                <w:szCs w:val="21"/>
              </w:rPr>
            </w:pPr>
          </w:p>
        </w:tc>
        <w:tc>
          <w:tcPr>
            <w:tcW w:w="348" w:type="pct"/>
            <w:vMerge w:val="continue"/>
            <w:tcBorders>
              <w:tl2br w:val="nil"/>
              <w:tr2bl w:val="nil"/>
            </w:tcBorders>
            <w:shd w:val="clear" w:color="auto" w:fill="auto"/>
            <w:vAlign w:val="center"/>
          </w:tcPr>
          <w:p w14:paraId="738BFD6C">
            <w:pPr>
              <w:pStyle w:val="49"/>
              <w:kinsoku/>
              <w:overflowPunct/>
              <w:topLinePunct w:val="0"/>
              <w:bidi w:val="0"/>
              <w:spacing w:line="360" w:lineRule="atLeast"/>
              <w:rPr>
                <w:rStyle w:val="215"/>
                <w:rFonts w:hint="eastAsia" w:ascii="宋体" w:hAnsi="宋体" w:eastAsia="宋体" w:cs="宋体"/>
                <w:b/>
                <w:sz w:val="21"/>
                <w:szCs w:val="21"/>
              </w:rPr>
            </w:pPr>
          </w:p>
        </w:tc>
        <w:tc>
          <w:tcPr>
            <w:tcW w:w="348" w:type="pct"/>
            <w:vMerge w:val="continue"/>
            <w:tcBorders>
              <w:tl2br w:val="nil"/>
              <w:tr2bl w:val="nil"/>
            </w:tcBorders>
            <w:shd w:val="clear" w:color="auto" w:fill="auto"/>
            <w:vAlign w:val="center"/>
          </w:tcPr>
          <w:p w14:paraId="08ED36B7">
            <w:pPr>
              <w:pStyle w:val="49"/>
              <w:kinsoku/>
              <w:overflowPunct/>
              <w:topLinePunct w:val="0"/>
              <w:bidi w:val="0"/>
              <w:spacing w:line="360" w:lineRule="atLeast"/>
              <w:rPr>
                <w:rStyle w:val="215"/>
                <w:rFonts w:hint="eastAsia" w:ascii="宋体" w:hAnsi="宋体" w:eastAsia="宋体" w:cs="宋体"/>
                <w:b/>
                <w:sz w:val="21"/>
                <w:szCs w:val="21"/>
              </w:rPr>
            </w:pPr>
          </w:p>
        </w:tc>
        <w:tc>
          <w:tcPr>
            <w:tcW w:w="1667" w:type="pct"/>
            <w:vMerge w:val="continue"/>
            <w:tcBorders>
              <w:tl2br w:val="nil"/>
              <w:tr2bl w:val="nil"/>
            </w:tcBorders>
            <w:shd w:val="clear" w:color="auto" w:fill="auto"/>
            <w:vAlign w:val="center"/>
          </w:tcPr>
          <w:p w14:paraId="38A2689B">
            <w:pPr>
              <w:pStyle w:val="49"/>
              <w:kinsoku/>
              <w:overflowPunct/>
              <w:topLinePunct w:val="0"/>
              <w:bidi w:val="0"/>
              <w:spacing w:line="360" w:lineRule="atLeast"/>
              <w:rPr>
                <w:rStyle w:val="215"/>
                <w:rFonts w:hint="eastAsia" w:ascii="宋体" w:hAnsi="宋体" w:eastAsia="宋体" w:cs="宋体"/>
                <w:b/>
                <w:sz w:val="21"/>
                <w:szCs w:val="21"/>
              </w:rPr>
            </w:pPr>
          </w:p>
        </w:tc>
        <w:tc>
          <w:tcPr>
            <w:tcW w:w="556" w:type="pct"/>
            <w:vMerge w:val="continue"/>
            <w:tcBorders>
              <w:tl2br w:val="nil"/>
              <w:tr2bl w:val="nil"/>
            </w:tcBorders>
            <w:shd w:val="clear" w:color="auto" w:fill="auto"/>
            <w:vAlign w:val="center"/>
          </w:tcPr>
          <w:p w14:paraId="30E7DEA5">
            <w:pPr>
              <w:pStyle w:val="49"/>
              <w:kinsoku/>
              <w:overflowPunct/>
              <w:topLinePunct w:val="0"/>
              <w:bidi w:val="0"/>
              <w:spacing w:line="360" w:lineRule="atLeast"/>
              <w:rPr>
                <w:rStyle w:val="215"/>
                <w:rFonts w:hint="eastAsia" w:ascii="宋体" w:hAnsi="宋体" w:eastAsia="宋体" w:cs="宋体"/>
                <w:b/>
                <w:sz w:val="21"/>
                <w:szCs w:val="21"/>
              </w:rPr>
            </w:pPr>
          </w:p>
        </w:tc>
        <w:tc>
          <w:tcPr>
            <w:tcW w:w="417" w:type="pct"/>
            <w:gridSpan w:val="2"/>
            <w:tcBorders>
              <w:tl2br w:val="nil"/>
              <w:tr2bl w:val="nil"/>
            </w:tcBorders>
            <w:shd w:val="clear" w:color="auto" w:fill="auto"/>
            <w:vAlign w:val="center"/>
          </w:tcPr>
          <w:p w14:paraId="7F97B9B6">
            <w:pPr>
              <w:pStyle w:val="49"/>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直接</w:t>
            </w:r>
          </w:p>
          <w:p w14:paraId="324AB2D2">
            <w:pPr>
              <w:pStyle w:val="49"/>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判断</w:t>
            </w:r>
          </w:p>
        </w:tc>
        <w:tc>
          <w:tcPr>
            <w:tcW w:w="1114" w:type="pct"/>
            <w:gridSpan w:val="4"/>
            <w:tcBorders>
              <w:tl2br w:val="nil"/>
              <w:tr2bl w:val="nil"/>
            </w:tcBorders>
            <w:shd w:val="clear" w:color="auto" w:fill="auto"/>
            <w:vAlign w:val="center"/>
          </w:tcPr>
          <w:p w14:paraId="17276711">
            <w:pPr>
              <w:pStyle w:val="49"/>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D=LEC</w:t>
            </w:r>
          </w:p>
        </w:tc>
        <w:tc>
          <w:tcPr>
            <w:tcW w:w="279" w:type="pct"/>
            <w:vMerge w:val="continue"/>
            <w:tcBorders>
              <w:tl2br w:val="nil"/>
              <w:tr2bl w:val="nil"/>
            </w:tcBorders>
            <w:shd w:val="clear" w:color="auto" w:fill="auto"/>
            <w:vAlign w:val="center"/>
          </w:tcPr>
          <w:p w14:paraId="05BD91C1">
            <w:pPr>
              <w:pStyle w:val="49"/>
              <w:kinsoku/>
              <w:overflowPunct/>
              <w:topLinePunct w:val="0"/>
              <w:bidi w:val="0"/>
              <w:spacing w:line="360" w:lineRule="atLeast"/>
              <w:rPr>
                <w:rStyle w:val="215"/>
                <w:rFonts w:hint="eastAsia" w:ascii="宋体" w:hAnsi="宋体" w:eastAsia="宋体" w:cs="宋体"/>
                <w:b/>
                <w:sz w:val="21"/>
                <w:szCs w:val="21"/>
              </w:rPr>
            </w:pPr>
          </w:p>
        </w:tc>
      </w:tr>
      <w:tr w14:paraId="272FC8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tblHeader/>
        </w:trPr>
        <w:tc>
          <w:tcPr>
            <w:tcW w:w="271" w:type="pct"/>
            <w:vMerge w:val="continue"/>
            <w:tcBorders>
              <w:tl2br w:val="nil"/>
              <w:tr2bl w:val="nil"/>
            </w:tcBorders>
            <w:shd w:val="clear" w:color="auto" w:fill="auto"/>
            <w:vAlign w:val="center"/>
          </w:tcPr>
          <w:p w14:paraId="62044D9E">
            <w:pPr>
              <w:pStyle w:val="49"/>
              <w:kinsoku/>
              <w:overflowPunct/>
              <w:topLinePunct w:val="0"/>
              <w:bidi w:val="0"/>
              <w:spacing w:line="360" w:lineRule="atLeast"/>
              <w:rPr>
                <w:rStyle w:val="215"/>
                <w:rFonts w:hint="eastAsia" w:ascii="宋体" w:hAnsi="宋体" w:eastAsia="宋体" w:cs="宋体"/>
                <w:b/>
                <w:sz w:val="21"/>
                <w:szCs w:val="21"/>
              </w:rPr>
            </w:pPr>
          </w:p>
        </w:tc>
        <w:tc>
          <w:tcPr>
            <w:tcW w:w="348" w:type="pct"/>
            <w:vMerge w:val="continue"/>
            <w:tcBorders>
              <w:tl2br w:val="nil"/>
              <w:tr2bl w:val="nil"/>
            </w:tcBorders>
            <w:shd w:val="clear" w:color="auto" w:fill="auto"/>
            <w:vAlign w:val="center"/>
          </w:tcPr>
          <w:p w14:paraId="6A81622F">
            <w:pPr>
              <w:pStyle w:val="49"/>
              <w:kinsoku/>
              <w:overflowPunct/>
              <w:topLinePunct w:val="0"/>
              <w:bidi w:val="0"/>
              <w:spacing w:line="360" w:lineRule="atLeast"/>
              <w:rPr>
                <w:rStyle w:val="215"/>
                <w:rFonts w:hint="eastAsia" w:ascii="宋体" w:hAnsi="宋体" w:eastAsia="宋体" w:cs="宋体"/>
                <w:b/>
                <w:sz w:val="21"/>
                <w:szCs w:val="21"/>
              </w:rPr>
            </w:pPr>
          </w:p>
        </w:tc>
        <w:tc>
          <w:tcPr>
            <w:tcW w:w="348" w:type="pct"/>
            <w:vMerge w:val="continue"/>
            <w:tcBorders>
              <w:tl2br w:val="nil"/>
              <w:tr2bl w:val="nil"/>
            </w:tcBorders>
            <w:shd w:val="clear" w:color="auto" w:fill="auto"/>
            <w:vAlign w:val="center"/>
          </w:tcPr>
          <w:p w14:paraId="381FDD21">
            <w:pPr>
              <w:pStyle w:val="49"/>
              <w:kinsoku/>
              <w:overflowPunct/>
              <w:topLinePunct w:val="0"/>
              <w:bidi w:val="0"/>
              <w:spacing w:line="360" w:lineRule="atLeast"/>
              <w:rPr>
                <w:rStyle w:val="215"/>
                <w:rFonts w:hint="eastAsia" w:ascii="宋体" w:hAnsi="宋体" w:eastAsia="宋体" w:cs="宋体"/>
                <w:b/>
                <w:sz w:val="21"/>
                <w:szCs w:val="21"/>
              </w:rPr>
            </w:pPr>
          </w:p>
        </w:tc>
        <w:tc>
          <w:tcPr>
            <w:tcW w:w="1667" w:type="pct"/>
            <w:vMerge w:val="continue"/>
            <w:tcBorders>
              <w:tl2br w:val="nil"/>
              <w:tr2bl w:val="nil"/>
            </w:tcBorders>
            <w:shd w:val="clear" w:color="auto" w:fill="auto"/>
            <w:vAlign w:val="center"/>
          </w:tcPr>
          <w:p w14:paraId="68DD8C56">
            <w:pPr>
              <w:pStyle w:val="49"/>
              <w:kinsoku/>
              <w:overflowPunct/>
              <w:topLinePunct w:val="0"/>
              <w:bidi w:val="0"/>
              <w:spacing w:line="360" w:lineRule="atLeast"/>
              <w:rPr>
                <w:rStyle w:val="215"/>
                <w:rFonts w:hint="eastAsia" w:ascii="宋体" w:hAnsi="宋体" w:eastAsia="宋体" w:cs="宋体"/>
                <w:b/>
                <w:sz w:val="21"/>
                <w:szCs w:val="21"/>
              </w:rPr>
            </w:pPr>
          </w:p>
        </w:tc>
        <w:tc>
          <w:tcPr>
            <w:tcW w:w="556" w:type="pct"/>
            <w:vMerge w:val="continue"/>
            <w:tcBorders>
              <w:tl2br w:val="nil"/>
              <w:tr2bl w:val="nil"/>
            </w:tcBorders>
            <w:shd w:val="clear" w:color="auto" w:fill="auto"/>
            <w:vAlign w:val="center"/>
          </w:tcPr>
          <w:p w14:paraId="5F1AC4B7">
            <w:pPr>
              <w:pStyle w:val="49"/>
              <w:kinsoku/>
              <w:overflowPunct/>
              <w:topLinePunct w:val="0"/>
              <w:bidi w:val="0"/>
              <w:spacing w:line="360" w:lineRule="atLeast"/>
              <w:rPr>
                <w:rStyle w:val="215"/>
                <w:rFonts w:hint="eastAsia" w:ascii="宋体" w:hAnsi="宋体" w:eastAsia="宋体" w:cs="宋体"/>
                <w:b/>
                <w:sz w:val="21"/>
                <w:szCs w:val="21"/>
              </w:rPr>
            </w:pPr>
          </w:p>
        </w:tc>
        <w:tc>
          <w:tcPr>
            <w:tcW w:w="209" w:type="pct"/>
            <w:tcBorders>
              <w:tl2br w:val="nil"/>
              <w:tr2bl w:val="nil"/>
            </w:tcBorders>
            <w:shd w:val="clear" w:color="auto" w:fill="auto"/>
            <w:vAlign w:val="center"/>
          </w:tcPr>
          <w:p w14:paraId="13568F8D">
            <w:pPr>
              <w:pStyle w:val="49"/>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是</w:t>
            </w:r>
          </w:p>
        </w:tc>
        <w:tc>
          <w:tcPr>
            <w:tcW w:w="209" w:type="pct"/>
            <w:tcBorders>
              <w:tl2br w:val="nil"/>
              <w:tr2bl w:val="nil"/>
            </w:tcBorders>
            <w:shd w:val="clear" w:color="auto" w:fill="auto"/>
            <w:vAlign w:val="center"/>
          </w:tcPr>
          <w:p w14:paraId="19E34043">
            <w:pPr>
              <w:pStyle w:val="49"/>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非</w:t>
            </w:r>
          </w:p>
        </w:tc>
        <w:tc>
          <w:tcPr>
            <w:tcW w:w="279" w:type="pct"/>
            <w:tcBorders>
              <w:tl2br w:val="nil"/>
              <w:tr2bl w:val="nil"/>
            </w:tcBorders>
            <w:shd w:val="clear" w:color="auto" w:fill="auto"/>
            <w:vAlign w:val="center"/>
          </w:tcPr>
          <w:p w14:paraId="2BA0DAE0">
            <w:pPr>
              <w:pStyle w:val="49"/>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L</w:t>
            </w:r>
          </w:p>
        </w:tc>
        <w:tc>
          <w:tcPr>
            <w:tcW w:w="279" w:type="pct"/>
            <w:tcBorders>
              <w:tl2br w:val="nil"/>
              <w:tr2bl w:val="nil"/>
            </w:tcBorders>
            <w:shd w:val="clear" w:color="auto" w:fill="auto"/>
            <w:vAlign w:val="center"/>
          </w:tcPr>
          <w:p w14:paraId="3CC04EE9">
            <w:pPr>
              <w:pStyle w:val="49"/>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E</w:t>
            </w:r>
          </w:p>
        </w:tc>
        <w:tc>
          <w:tcPr>
            <w:tcW w:w="279" w:type="pct"/>
            <w:tcBorders>
              <w:tl2br w:val="nil"/>
              <w:tr2bl w:val="nil"/>
            </w:tcBorders>
            <w:shd w:val="clear" w:color="auto" w:fill="auto"/>
            <w:vAlign w:val="center"/>
          </w:tcPr>
          <w:p w14:paraId="19869779">
            <w:pPr>
              <w:pStyle w:val="49"/>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C</w:t>
            </w:r>
          </w:p>
        </w:tc>
        <w:tc>
          <w:tcPr>
            <w:tcW w:w="279" w:type="pct"/>
            <w:tcBorders>
              <w:tl2br w:val="nil"/>
              <w:tr2bl w:val="nil"/>
            </w:tcBorders>
            <w:shd w:val="clear" w:color="auto" w:fill="auto"/>
            <w:vAlign w:val="center"/>
          </w:tcPr>
          <w:p w14:paraId="297E09F5">
            <w:pPr>
              <w:pStyle w:val="49"/>
              <w:kinsoku/>
              <w:overflowPunct/>
              <w:topLinePunct w:val="0"/>
              <w:bidi w:val="0"/>
              <w:spacing w:line="360" w:lineRule="atLeast"/>
              <w:rPr>
                <w:rStyle w:val="215"/>
                <w:rFonts w:hint="eastAsia" w:ascii="宋体" w:hAnsi="宋体" w:eastAsia="宋体" w:cs="宋体"/>
                <w:b/>
                <w:sz w:val="21"/>
                <w:szCs w:val="21"/>
              </w:rPr>
            </w:pPr>
            <w:r>
              <w:rPr>
                <w:rStyle w:val="215"/>
                <w:rFonts w:hint="eastAsia" w:ascii="宋体" w:hAnsi="宋体" w:eastAsia="宋体" w:cs="宋体"/>
                <w:b/>
                <w:sz w:val="21"/>
                <w:szCs w:val="21"/>
              </w:rPr>
              <w:t>D</w:t>
            </w:r>
          </w:p>
        </w:tc>
        <w:tc>
          <w:tcPr>
            <w:tcW w:w="279" w:type="pct"/>
            <w:vMerge w:val="continue"/>
            <w:tcBorders>
              <w:tl2br w:val="nil"/>
              <w:tr2bl w:val="nil"/>
            </w:tcBorders>
            <w:shd w:val="clear" w:color="auto" w:fill="auto"/>
            <w:vAlign w:val="center"/>
          </w:tcPr>
          <w:p w14:paraId="586D4064">
            <w:pPr>
              <w:pStyle w:val="49"/>
              <w:kinsoku/>
              <w:overflowPunct/>
              <w:topLinePunct w:val="0"/>
              <w:bidi w:val="0"/>
              <w:spacing w:line="360" w:lineRule="atLeast"/>
              <w:rPr>
                <w:rStyle w:val="215"/>
                <w:rFonts w:hint="eastAsia" w:ascii="宋体" w:hAnsi="宋体" w:eastAsia="宋体" w:cs="宋体"/>
                <w:b/>
                <w:sz w:val="21"/>
                <w:szCs w:val="21"/>
              </w:rPr>
            </w:pPr>
          </w:p>
        </w:tc>
      </w:tr>
      <w:tr w14:paraId="6179C5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70DB20E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348" w:type="pct"/>
            <w:vMerge w:val="restart"/>
            <w:tcBorders>
              <w:tl2br w:val="nil"/>
              <w:tr2bl w:val="nil"/>
            </w:tcBorders>
            <w:shd w:val="clear" w:color="auto" w:fill="auto"/>
            <w:vAlign w:val="center"/>
          </w:tcPr>
          <w:p w14:paraId="7BA097C7">
            <w:pPr>
              <w:pStyle w:val="49"/>
              <w:kinsoku/>
              <w:overflowPunct/>
              <w:topLinePunct w:val="0"/>
              <w:bidi w:val="0"/>
              <w:spacing w:line="360" w:lineRule="atLeast"/>
              <w:rPr>
                <w:rStyle w:val="215"/>
                <w:rFonts w:hint="eastAsia" w:ascii="宋体" w:hAnsi="宋体" w:eastAsia="宋体" w:cs="宋体"/>
                <w:sz w:val="21"/>
                <w:szCs w:val="21"/>
                <w:lang w:eastAsia="zh-CN"/>
              </w:rPr>
            </w:pPr>
            <w:r>
              <w:rPr>
                <w:rStyle w:val="215"/>
                <w:rFonts w:hint="eastAsia" w:ascii="宋体" w:hAnsi="宋体" w:eastAsia="宋体" w:cs="宋体"/>
                <w:sz w:val="21"/>
                <w:szCs w:val="21"/>
              </w:rPr>
              <w:t>塔吊基础及塔吊</w:t>
            </w:r>
            <w:r>
              <w:rPr>
                <w:rStyle w:val="215"/>
                <w:rFonts w:hint="eastAsia" w:cs="宋体"/>
                <w:sz w:val="21"/>
                <w:szCs w:val="21"/>
                <w:lang w:eastAsia="zh-CN"/>
              </w:rPr>
              <w:t>拆除</w:t>
            </w:r>
          </w:p>
        </w:tc>
        <w:tc>
          <w:tcPr>
            <w:tcW w:w="348" w:type="pct"/>
            <w:vMerge w:val="restart"/>
            <w:tcBorders>
              <w:tl2br w:val="nil"/>
              <w:tr2bl w:val="nil"/>
            </w:tcBorders>
            <w:shd w:val="clear" w:color="auto" w:fill="auto"/>
            <w:noWrap/>
            <w:vAlign w:val="center"/>
          </w:tcPr>
          <w:p w14:paraId="397A287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施工</w:t>
            </w:r>
          </w:p>
          <w:p w14:paraId="17461BE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准备</w:t>
            </w:r>
          </w:p>
        </w:tc>
        <w:tc>
          <w:tcPr>
            <w:tcW w:w="1667" w:type="pct"/>
            <w:tcBorders>
              <w:tl2br w:val="nil"/>
              <w:tr2bl w:val="nil"/>
            </w:tcBorders>
            <w:shd w:val="clear" w:color="auto" w:fill="auto"/>
            <w:vAlign w:val="center"/>
          </w:tcPr>
          <w:p w14:paraId="61E0365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作业人员进场未进行安全培训教育和风险告知</w:t>
            </w:r>
          </w:p>
        </w:tc>
        <w:tc>
          <w:tcPr>
            <w:tcW w:w="556" w:type="pct"/>
            <w:vMerge w:val="restart"/>
            <w:tcBorders>
              <w:tl2br w:val="nil"/>
              <w:tr2bl w:val="nil"/>
            </w:tcBorders>
            <w:shd w:val="clear" w:color="auto" w:fill="auto"/>
            <w:vAlign w:val="center"/>
          </w:tcPr>
          <w:p w14:paraId="41F5D9B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物体打击</w:t>
            </w:r>
          </w:p>
          <w:p w14:paraId="7B28104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p w14:paraId="43F51D1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高处坠落</w:t>
            </w:r>
          </w:p>
          <w:p w14:paraId="2FD42D8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车辆伤害</w:t>
            </w:r>
          </w:p>
          <w:p w14:paraId="6348E6E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触电</w:t>
            </w:r>
          </w:p>
          <w:p w14:paraId="4E36E2B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等</w:t>
            </w:r>
          </w:p>
        </w:tc>
        <w:tc>
          <w:tcPr>
            <w:tcW w:w="209" w:type="pct"/>
            <w:tcBorders>
              <w:tl2br w:val="nil"/>
              <w:tr2bl w:val="nil"/>
            </w:tcBorders>
            <w:shd w:val="clear" w:color="auto" w:fill="auto"/>
            <w:vAlign w:val="center"/>
          </w:tcPr>
          <w:p w14:paraId="2235648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6118FAF2">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52F1887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0.2</w:t>
            </w:r>
          </w:p>
        </w:tc>
        <w:tc>
          <w:tcPr>
            <w:tcW w:w="279" w:type="pct"/>
            <w:tcBorders>
              <w:tl2br w:val="nil"/>
              <w:tr2bl w:val="nil"/>
            </w:tcBorders>
            <w:shd w:val="clear" w:color="auto" w:fill="auto"/>
            <w:vAlign w:val="center"/>
          </w:tcPr>
          <w:p w14:paraId="076385E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2E4CC69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14:paraId="041F399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48</w:t>
            </w:r>
          </w:p>
        </w:tc>
        <w:tc>
          <w:tcPr>
            <w:tcW w:w="279" w:type="pct"/>
            <w:tcBorders>
              <w:tl2br w:val="nil"/>
              <w:tr2bl w:val="nil"/>
            </w:tcBorders>
            <w:shd w:val="clear" w:color="auto" w:fill="auto"/>
            <w:vAlign w:val="center"/>
          </w:tcPr>
          <w:p w14:paraId="21BDC51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437A98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6EF75DC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w:t>
            </w:r>
          </w:p>
        </w:tc>
        <w:tc>
          <w:tcPr>
            <w:tcW w:w="348" w:type="pct"/>
            <w:vMerge w:val="continue"/>
            <w:tcBorders>
              <w:tl2br w:val="nil"/>
              <w:tr2bl w:val="nil"/>
            </w:tcBorders>
            <w:shd w:val="clear" w:color="auto" w:fill="auto"/>
            <w:vAlign w:val="center"/>
          </w:tcPr>
          <w:p w14:paraId="4F0EB00D">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14:paraId="70947EF9">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704D288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未对作业人员进行安全技术交底或交底不充分</w:t>
            </w:r>
          </w:p>
        </w:tc>
        <w:tc>
          <w:tcPr>
            <w:tcW w:w="556" w:type="pct"/>
            <w:vMerge w:val="continue"/>
            <w:tcBorders>
              <w:tl2br w:val="nil"/>
              <w:tr2bl w:val="nil"/>
            </w:tcBorders>
            <w:shd w:val="clear" w:color="auto" w:fill="auto"/>
            <w:vAlign w:val="center"/>
          </w:tcPr>
          <w:p w14:paraId="44255A77">
            <w:pPr>
              <w:pStyle w:val="49"/>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14:paraId="385DD0E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1213E6D7">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798661F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0.2</w:t>
            </w:r>
          </w:p>
        </w:tc>
        <w:tc>
          <w:tcPr>
            <w:tcW w:w="279" w:type="pct"/>
            <w:tcBorders>
              <w:tl2br w:val="nil"/>
              <w:tr2bl w:val="nil"/>
            </w:tcBorders>
            <w:shd w:val="clear" w:color="auto" w:fill="auto"/>
            <w:vAlign w:val="center"/>
          </w:tcPr>
          <w:p w14:paraId="7718304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35C54B5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14:paraId="0FB0A41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48</w:t>
            </w:r>
          </w:p>
        </w:tc>
        <w:tc>
          <w:tcPr>
            <w:tcW w:w="279" w:type="pct"/>
            <w:tcBorders>
              <w:tl2br w:val="nil"/>
              <w:tr2bl w:val="nil"/>
            </w:tcBorders>
            <w:shd w:val="clear" w:color="auto" w:fill="auto"/>
            <w:vAlign w:val="center"/>
          </w:tcPr>
          <w:p w14:paraId="1746EC9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4F1510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71" w:type="pct"/>
            <w:tcBorders>
              <w:tl2br w:val="nil"/>
              <w:tr2bl w:val="nil"/>
            </w:tcBorders>
            <w:shd w:val="clear" w:color="auto" w:fill="auto"/>
            <w:noWrap/>
            <w:vAlign w:val="center"/>
          </w:tcPr>
          <w:p w14:paraId="3525015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348" w:type="pct"/>
            <w:vMerge w:val="continue"/>
            <w:tcBorders>
              <w:tl2br w:val="nil"/>
              <w:tr2bl w:val="nil"/>
            </w:tcBorders>
            <w:shd w:val="clear" w:color="auto" w:fill="auto"/>
            <w:vAlign w:val="center"/>
          </w:tcPr>
          <w:p w14:paraId="550EACCD">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14:paraId="75143B4D">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3497BD4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作业人员未进行体检或带病作业</w:t>
            </w:r>
          </w:p>
        </w:tc>
        <w:tc>
          <w:tcPr>
            <w:tcW w:w="556" w:type="pct"/>
            <w:vMerge w:val="continue"/>
            <w:tcBorders>
              <w:tl2br w:val="nil"/>
              <w:tr2bl w:val="nil"/>
            </w:tcBorders>
            <w:shd w:val="clear" w:color="auto" w:fill="auto"/>
            <w:vAlign w:val="center"/>
          </w:tcPr>
          <w:p w14:paraId="3A001771">
            <w:pPr>
              <w:pStyle w:val="49"/>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14:paraId="57E1815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47D026C6">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0B392E9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0.2</w:t>
            </w:r>
          </w:p>
        </w:tc>
        <w:tc>
          <w:tcPr>
            <w:tcW w:w="279" w:type="pct"/>
            <w:tcBorders>
              <w:tl2br w:val="nil"/>
              <w:tr2bl w:val="nil"/>
            </w:tcBorders>
            <w:shd w:val="clear" w:color="auto" w:fill="auto"/>
            <w:vAlign w:val="center"/>
          </w:tcPr>
          <w:p w14:paraId="10FCF11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138A7A9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5EEF394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18</w:t>
            </w:r>
          </w:p>
        </w:tc>
        <w:tc>
          <w:tcPr>
            <w:tcW w:w="279" w:type="pct"/>
            <w:tcBorders>
              <w:tl2br w:val="nil"/>
              <w:tr2bl w:val="nil"/>
            </w:tcBorders>
            <w:shd w:val="clear" w:color="auto" w:fill="auto"/>
            <w:vAlign w:val="center"/>
          </w:tcPr>
          <w:p w14:paraId="0DA6139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245F28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41A9EF6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w:t>
            </w:r>
          </w:p>
        </w:tc>
        <w:tc>
          <w:tcPr>
            <w:tcW w:w="348" w:type="pct"/>
            <w:vMerge w:val="continue"/>
            <w:tcBorders>
              <w:tl2br w:val="nil"/>
              <w:tr2bl w:val="nil"/>
            </w:tcBorders>
            <w:shd w:val="clear" w:color="auto" w:fill="auto"/>
            <w:vAlign w:val="center"/>
          </w:tcPr>
          <w:p w14:paraId="4F9075B5">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14:paraId="34C5EC79">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4878C5D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作业人员进入施工现场未正确使用安全防护用品</w:t>
            </w:r>
          </w:p>
        </w:tc>
        <w:tc>
          <w:tcPr>
            <w:tcW w:w="556" w:type="pct"/>
            <w:vMerge w:val="continue"/>
            <w:tcBorders>
              <w:tl2br w:val="nil"/>
              <w:tr2bl w:val="nil"/>
            </w:tcBorders>
            <w:shd w:val="clear" w:color="auto" w:fill="auto"/>
            <w:vAlign w:val="center"/>
          </w:tcPr>
          <w:p w14:paraId="394A97FB">
            <w:pPr>
              <w:pStyle w:val="49"/>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14:paraId="5546558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56AA9B03">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5A2D73B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1460343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683292B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1212697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90</w:t>
            </w:r>
          </w:p>
        </w:tc>
        <w:tc>
          <w:tcPr>
            <w:tcW w:w="279" w:type="pct"/>
            <w:tcBorders>
              <w:tl2br w:val="nil"/>
              <w:tr2bl w:val="nil"/>
            </w:tcBorders>
            <w:shd w:val="clear" w:color="auto" w:fill="auto"/>
            <w:vAlign w:val="center"/>
          </w:tcPr>
          <w:p w14:paraId="650EF90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14:paraId="515C66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438DE57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5</w:t>
            </w:r>
          </w:p>
        </w:tc>
        <w:tc>
          <w:tcPr>
            <w:tcW w:w="348" w:type="pct"/>
            <w:vMerge w:val="continue"/>
            <w:tcBorders>
              <w:tl2br w:val="nil"/>
              <w:tr2bl w:val="nil"/>
            </w:tcBorders>
            <w:shd w:val="clear" w:color="auto" w:fill="auto"/>
            <w:vAlign w:val="center"/>
          </w:tcPr>
          <w:p w14:paraId="284FECB0">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14:paraId="6EF98C5B">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0FC2702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特种作业人员未持证上岗或证件过期</w:t>
            </w:r>
          </w:p>
        </w:tc>
        <w:tc>
          <w:tcPr>
            <w:tcW w:w="556" w:type="pct"/>
            <w:vMerge w:val="continue"/>
            <w:tcBorders>
              <w:tl2br w:val="nil"/>
              <w:tr2bl w:val="nil"/>
            </w:tcBorders>
            <w:shd w:val="clear" w:color="auto" w:fill="auto"/>
            <w:vAlign w:val="center"/>
          </w:tcPr>
          <w:p w14:paraId="7D5361B9">
            <w:pPr>
              <w:pStyle w:val="49"/>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14:paraId="772BE5A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3D022344">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5AB8979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0.5</w:t>
            </w:r>
          </w:p>
        </w:tc>
        <w:tc>
          <w:tcPr>
            <w:tcW w:w="279" w:type="pct"/>
            <w:tcBorders>
              <w:tl2br w:val="nil"/>
              <w:tr2bl w:val="nil"/>
            </w:tcBorders>
            <w:shd w:val="clear" w:color="auto" w:fill="auto"/>
            <w:vAlign w:val="center"/>
          </w:tcPr>
          <w:p w14:paraId="2EE9B17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0021BFC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297F660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14:paraId="4A74FA6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3FB78F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6A84D66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348" w:type="pct"/>
            <w:vMerge w:val="continue"/>
            <w:tcBorders>
              <w:tl2br w:val="nil"/>
              <w:tr2bl w:val="nil"/>
            </w:tcBorders>
            <w:shd w:val="clear" w:color="auto" w:fill="auto"/>
            <w:vAlign w:val="center"/>
          </w:tcPr>
          <w:p w14:paraId="121945B9">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14:paraId="3D1DB388">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4D8170D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现场场所警戒、封闭不到位</w:t>
            </w:r>
          </w:p>
        </w:tc>
        <w:tc>
          <w:tcPr>
            <w:tcW w:w="556" w:type="pct"/>
            <w:vMerge w:val="continue"/>
            <w:tcBorders>
              <w:tl2br w:val="nil"/>
              <w:tr2bl w:val="nil"/>
            </w:tcBorders>
            <w:shd w:val="clear" w:color="auto" w:fill="auto"/>
            <w:vAlign w:val="center"/>
          </w:tcPr>
          <w:p w14:paraId="48EB0BB7">
            <w:pPr>
              <w:pStyle w:val="49"/>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14:paraId="7D21E1E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7D51145E">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3807B24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1F74BBB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668B806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14:paraId="259F0A3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14:paraId="62D4641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14BB60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3B7AB95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8</w:t>
            </w:r>
          </w:p>
        </w:tc>
        <w:tc>
          <w:tcPr>
            <w:tcW w:w="348" w:type="pct"/>
            <w:vMerge w:val="continue"/>
            <w:tcBorders>
              <w:tl2br w:val="nil"/>
              <w:tr2bl w:val="nil"/>
            </w:tcBorders>
            <w:shd w:val="clear" w:color="auto" w:fill="auto"/>
            <w:vAlign w:val="center"/>
          </w:tcPr>
          <w:p w14:paraId="709CEED8">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14:paraId="24017917">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0D02CE5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未办理危险作业施工许可证</w:t>
            </w:r>
          </w:p>
        </w:tc>
        <w:tc>
          <w:tcPr>
            <w:tcW w:w="556" w:type="pct"/>
            <w:vMerge w:val="continue"/>
            <w:tcBorders>
              <w:tl2br w:val="nil"/>
              <w:tr2bl w:val="nil"/>
            </w:tcBorders>
            <w:shd w:val="clear" w:color="auto" w:fill="auto"/>
            <w:vAlign w:val="center"/>
          </w:tcPr>
          <w:p w14:paraId="5458719D">
            <w:pPr>
              <w:pStyle w:val="49"/>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14:paraId="3199835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1794E7EE">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1B7895D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5258192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319EC5D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14:paraId="6233169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14:paraId="7937DA5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08C16D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40DB430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9</w:t>
            </w:r>
          </w:p>
        </w:tc>
        <w:tc>
          <w:tcPr>
            <w:tcW w:w="348" w:type="pct"/>
            <w:vMerge w:val="continue"/>
            <w:tcBorders>
              <w:tl2br w:val="nil"/>
              <w:tr2bl w:val="nil"/>
            </w:tcBorders>
            <w:shd w:val="clear" w:color="auto" w:fill="auto"/>
            <w:vAlign w:val="center"/>
          </w:tcPr>
          <w:p w14:paraId="5FDDEC3F">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restart"/>
            <w:tcBorders>
              <w:tl2br w:val="nil"/>
              <w:tr2bl w:val="nil"/>
            </w:tcBorders>
            <w:shd w:val="clear" w:color="auto" w:fill="auto"/>
            <w:noWrap/>
            <w:vAlign w:val="center"/>
          </w:tcPr>
          <w:p w14:paraId="5DF7451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塔吊构件运输、转场</w:t>
            </w:r>
          </w:p>
        </w:tc>
        <w:tc>
          <w:tcPr>
            <w:tcW w:w="1667" w:type="pct"/>
            <w:tcBorders>
              <w:tl2br w:val="nil"/>
              <w:tr2bl w:val="nil"/>
            </w:tcBorders>
            <w:shd w:val="clear" w:color="auto" w:fill="auto"/>
            <w:vAlign w:val="center"/>
          </w:tcPr>
          <w:p w14:paraId="35C14B8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司机违规驾驶</w:t>
            </w:r>
          </w:p>
        </w:tc>
        <w:tc>
          <w:tcPr>
            <w:tcW w:w="556" w:type="pct"/>
            <w:tcBorders>
              <w:tl2br w:val="nil"/>
              <w:tr2bl w:val="nil"/>
            </w:tcBorders>
            <w:shd w:val="clear" w:color="auto" w:fill="auto"/>
            <w:vAlign w:val="center"/>
          </w:tcPr>
          <w:p w14:paraId="4E0B32F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机械伤害</w:t>
            </w:r>
          </w:p>
        </w:tc>
        <w:tc>
          <w:tcPr>
            <w:tcW w:w="209" w:type="pct"/>
            <w:tcBorders>
              <w:tl2br w:val="nil"/>
              <w:tr2bl w:val="nil"/>
            </w:tcBorders>
            <w:shd w:val="clear" w:color="auto" w:fill="auto"/>
            <w:vAlign w:val="center"/>
          </w:tcPr>
          <w:p w14:paraId="0A9F263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396FB64E">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2B105F7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1C8AB6D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7A50F38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14:paraId="4D9B6EB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14:paraId="60A5503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5E8828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2F59836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10</w:t>
            </w:r>
          </w:p>
        </w:tc>
        <w:tc>
          <w:tcPr>
            <w:tcW w:w="348" w:type="pct"/>
            <w:vMerge w:val="continue"/>
            <w:tcBorders>
              <w:tl2br w:val="nil"/>
              <w:tr2bl w:val="nil"/>
            </w:tcBorders>
            <w:shd w:val="clear" w:color="auto" w:fill="auto"/>
            <w:vAlign w:val="center"/>
          </w:tcPr>
          <w:p w14:paraId="3F1CE494">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6203DF37">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2FFB082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运输车辆行驶速度过快</w:t>
            </w:r>
          </w:p>
        </w:tc>
        <w:tc>
          <w:tcPr>
            <w:tcW w:w="556" w:type="pct"/>
            <w:tcBorders>
              <w:tl2br w:val="nil"/>
              <w:tr2bl w:val="nil"/>
            </w:tcBorders>
            <w:shd w:val="clear" w:color="auto" w:fill="auto"/>
            <w:vAlign w:val="center"/>
          </w:tcPr>
          <w:p w14:paraId="6E43145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交通事故</w:t>
            </w:r>
          </w:p>
        </w:tc>
        <w:tc>
          <w:tcPr>
            <w:tcW w:w="209" w:type="pct"/>
            <w:tcBorders>
              <w:tl2br w:val="nil"/>
              <w:tr2bl w:val="nil"/>
            </w:tcBorders>
            <w:shd w:val="clear" w:color="auto" w:fill="auto"/>
            <w:vAlign w:val="center"/>
          </w:tcPr>
          <w:p w14:paraId="73CFA76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29F1DCE6">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3E0350B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291A23B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5C18FA8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14:paraId="4BEFA5E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14:paraId="5A0C711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5724F5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267C18F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11</w:t>
            </w:r>
          </w:p>
        </w:tc>
        <w:tc>
          <w:tcPr>
            <w:tcW w:w="348" w:type="pct"/>
            <w:vMerge w:val="continue"/>
            <w:tcBorders>
              <w:tl2br w:val="nil"/>
              <w:tr2bl w:val="nil"/>
            </w:tcBorders>
            <w:shd w:val="clear" w:color="auto" w:fill="auto"/>
            <w:vAlign w:val="center"/>
          </w:tcPr>
          <w:p w14:paraId="72D257B6">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79163F74">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6C06B99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运输车辆超载</w:t>
            </w:r>
          </w:p>
        </w:tc>
        <w:tc>
          <w:tcPr>
            <w:tcW w:w="556" w:type="pct"/>
            <w:tcBorders>
              <w:tl2br w:val="nil"/>
              <w:tr2bl w:val="nil"/>
            </w:tcBorders>
            <w:shd w:val="clear" w:color="auto" w:fill="auto"/>
            <w:vAlign w:val="center"/>
          </w:tcPr>
          <w:p w14:paraId="7015ADA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交通事故</w:t>
            </w:r>
          </w:p>
        </w:tc>
        <w:tc>
          <w:tcPr>
            <w:tcW w:w="209" w:type="pct"/>
            <w:tcBorders>
              <w:tl2br w:val="nil"/>
              <w:tr2bl w:val="nil"/>
            </w:tcBorders>
            <w:shd w:val="clear" w:color="auto" w:fill="auto"/>
            <w:vAlign w:val="center"/>
          </w:tcPr>
          <w:p w14:paraId="25F019B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2E509148">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496D057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2F1C49F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3153999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14:paraId="4630586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14:paraId="0FBA7E3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3E8298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0B26A76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12</w:t>
            </w:r>
          </w:p>
        </w:tc>
        <w:tc>
          <w:tcPr>
            <w:tcW w:w="348" w:type="pct"/>
            <w:vMerge w:val="continue"/>
            <w:tcBorders>
              <w:tl2br w:val="nil"/>
              <w:tr2bl w:val="nil"/>
            </w:tcBorders>
            <w:shd w:val="clear" w:color="auto" w:fill="auto"/>
            <w:vAlign w:val="center"/>
          </w:tcPr>
          <w:p w14:paraId="3C4A299C">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4521E8D6">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35F3BA5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运输车辆急走急停</w:t>
            </w:r>
          </w:p>
        </w:tc>
        <w:tc>
          <w:tcPr>
            <w:tcW w:w="556" w:type="pct"/>
            <w:tcBorders>
              <w:tl2br w:val="nil"/>
              <w:tr2bl w:val="nil"/>
            </w:tcBorders>
            <w:shd w:val="clear" w:color="auto" w:fill="auto"/>
            <w:vAlign w:val="center"/>
          </w:tcPr>
          <w:p w14:paraId="5872C39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物体打击、机械伤害</w:t>
            </w:r>
          </w:p>
        </w:tc>
        <w:tc>
          <w:tcPr>
            <w:tcW w:w="209" w:type="pct"/>
            <w:tcBorders>
              <w:tl2br w:val="nil"/>
              <w:tr2bl w:val="nil"/>
            </w:tcBorders>
            <w:shd w:val="clear" w:color="auto" w:fill="auto"/>
            <w:vAlign w:val="center"/>
          </w:tcPr>
          <w:p w14:paraId="01E107E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2E843D22">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7E67D98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056F40F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10</w:t>
            </w:r>
          </w:p>
        </w:tc>
        <w:tc>
          <w:tcPr>
            <w:tcW w:w="279" w:type="pct"/>
            <w:tcBorders>
              <w:tl2br w:val="nil"/>
              <w:tr2bl w:val="nil"/>
            </w:tcBorders>
            <w:shd w:val="clear" w:color="auto" w:fill="auto"/>
            <w:vAlign w:val="center"/>
          </w:tcPr>
          <w:p w14:paraId="6BAD0E7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14:paraId="2F631AF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30</w:t>
            </w:r>
          </w:p>
        </w:tc>
        <w:tc>
          <w:tcPr>
            <w:tcW w:w="279" w:type="pct"/>
            <w:tcBorders>
              <w:tl2br w:val="nil"/>
              <w:tr2bl w:val="nil"/>
            </w:tcBorders>
            <w:shd w:val="clear" w:color="auto" w:fill="auto"/>
            <w:vAlign w:val="center"/>
          </w:tcPr>
          <w:p w14:paraId="6CCF8A0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2E66FC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6ABCC38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13</w:t>
            </w:r>
          </w:p>
        </w:tc>
        <w:tc>
          <w:tcPr>
            <w:tcW w:w="348" w:type="pct"/>
            <w:vMerge w:val="continue"/>
            <w:tcBorders>
              <w:tl2br w:val="nil"/>
              <w:tr2bl w:val="nil"/>
            </w:tcBorders>
            <w:shd w:val="clear" w:color="auto" w:fill="auto"/>
            <w:vAlign w:val="center"/>
          </w:tcPr>
          <w:p w14:paraId="43043894">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restart"/>
            <w:tcBorders>
              <w:tl2br w:val="nil"/>
              <w:tr2bl w:val="nil"/>
            </w:tcBorders>
            <w:shd w:val="clear" w:color="auto" w:fill="auto"/>
            <w:noWrap/>
            <w:vAlign w:val="center"/>
          </w:tcPr>
          <w:p w14:paraId="105C615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塔吊</w:t>
            </w:r>
            <w:r>
              <w:rPr>
                <w:rStyle w:val="215"/>
                <w:rFonts w:hint="eastAsia" w:cs="宋体"/>
                <w:sz w:val="21"/>
                <w:szCs w:val="21"/>
                <w:lang w:eastAsia="zh-CN"/>
              </w:rPr>
              <w:t>拆除</w:t>
            </w:r>
            <w:r>
              <w:rPr>
                <w:rStyle w:val="215"/>
                <w:rFonts w:hint="eastAsia" w:ascii="宋体" w:hAnsi="宋体" w:eastAsia="宋体" w:cs="宋体"/>
                <w:sz w:val="21"/>
                <w:szCs w:val="21"/>
              </w:rPr>
              <w:t>、拆除</w:t>
            </w:r>
          </w:p>
        </w:tc>
        <w:tc>
          <w:tcPr>
            <w:tcW w:w="1667" w:type="pct"/>
            <w:tcBorders>
              <w:tl2br w:val="nil"/>
              <w:tr2bl w:val="nil"/>
            </w:tcBorders>
            <w:shd w:val="clear" w:color="auto" w:fill="auto"/>
            <w:vAlign w:val="center"/>
          </w:tcPr>
          <w:p w14:paraId="522A78E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塔吊</w:t>
            </w:r>
            <w:r>
              <w:rPr>
                <w:rStyle w:val="215"/>
                <w:rFonts w:hint="eastAsia" w:cs="宋体"/>
                <w:sz w:val="21"/>
                <w:szCs w:val="21"/>
                <w:lang w:eastAsia="zh-CN"/>
              </w:rPr>
              <w:t>拆除</w:t>
            </w:r>
            <w:r>
              <w:rPr>
                <w:rStyle w:val="215"/>
                <w:rFonts w:hint="eastAsia" w:ascii="宋体" w:hAnsi="宋体" w:eastAsia="宋体" w:cs="宋体"/>
                <w:sz w:val="21"/>
                <w:szCs w:val="21"/>
              </w:rPr>
              <w:t>前未对基础位置、标高、尺寸、预埋件进行检查验收。</w:t>
            </w:r>
          </w:p>
        </w:tc>
        <w:tc>
          <w:tcPr>
            <w:tcW w:w="556" w:type="pct"/>
            <w:tcBorders>
              <w:tl2br w:val="nil"/>
              <w:tr2bl w:val="nil"/>
            </w:tcBorders>
            <w:shd w:val="clear" w:color="auto" w:fill="auto"/>
            <w:vAlign w:val="center"/>
          </w:tcPr>
          <w:p w14:paraId="4A818C4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14:paraId="1440663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5CFF78AE">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1493C94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6134406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0312453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14:paraId="1E329A1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14:paraId="118A89F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066C70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59CCA65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14</w:t>
            </w:r>
          </w:p>
        </w:tc>
        <w:tc>
          <w:tcPr>
            <w:tcW w:w="348" w:type="pct"/>
            <w:vMerge w:val="continue"/>
            <w:tcBorders>
              <w:tl2br w:val="nil"/>
              <w:tr2bl w:val="nil"/>
            </w:tcBorders>
            <w:shd w:val="clear" w:color="auto" w:fill="auto"/>
            <w:vAlign w:val="center"/>
          </w:tcPr>
          <w:p w14:paraId="7464D3F2">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4E4F8DB1">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0E5C58E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cs="宋体"/>
                <w:sz w:val="21"/>
                <w:szCs w:val="21"/>
                <w:lang w:eastAsia="zh-CN"/>
              </w:rPr>
              <w:t>拆除</w:t>
            </w:r>
            <w:r>
              <w:rPr>
                <w:rStyle w:val="215"/>
                <w:rFonts w:hint="eastAsia" w:ascii="宋体" w:hAnsi="宋体" w:eastAsia="宋体" w:cs="宋体"/>
                <w:sz w:val="21"/>
                <w:szCs w:val="21"/>
              </w:rPr>
              <w:t>过程中塔身垂直度</w:t>
            </w:r>
          </w:p>
        </w:tc>
        <w:tc>
          <w:tcPr>
            <w:tcW w:w="556" w:type="pct"/>
            <w:tcBorders>
              <w:tl2br w:val="nil"/>
              <w:tr2bl w:val="nil"/>
            </w:tcBorders>
            <w:shd w:val="clear" w:color="auto" w:fill="auto"/>
            <w:vAlign w:val="center"/>
          </w:tcPr>
          <w:p w14:paraId="555B31F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坍塌</w:t>
            </w:r>
          </w:p>
        </w:tc>
        <w:tc>
          <w:tcPr>
            <w:tcW w:w="209" w:type="pct"/>
            <w:tcBorders>
              <w:tl2br w:val="nil"/>
              <w:tr2bl w:val="nil"/>
            </w:tcBorders>
            <w:shd w:val="clear" w:color="auto" w:fill="auto"/>
            <w:vAlign w:val="center"/>
          </w:tcPr>
          <w:p w14:paraId="5B695CCF">
            <w:pPr>
              <w:pStyle w:val="49"/>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14:paraId="59209286">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5F3056E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0.1</w:t>
            </w:r>
          </w:p>
        </w:tc>
        <w:tc>
          <w:tcPr>
            <w:tcW w:w="279" w:type="pct"/>
            <w:tcBorders>
              <w:tl2br w:val="nil"/>
              <w:tr2bl w:val="nil"/>
            </w:tcBorders>
            <w:shd w:val="clear" w:color="auto" w:fill="auto"/>
            <w:vAlign w:val="center"/>
          </w:tcPr>
          <w:p w14:paraId="437A205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10</w:t>
            </w:r>
          </w:p>
        </w:tc>
        <w:tc>
          <w:tcPr>
            <w:tcW w:w="279" w:type="pct"/>
            <w:tcBorders>
              <w:tl2br w:val="nil"/>
              <w:tr2bl w:val="nil"/>
            </w:tcBorders>
            <w:shd w:val="clear" w:color="auto" w:fill="auto"/>
            <w:vAlign w:val="center"/>
          </w:tcPr>
          <w:p w14:paraId="3F5E909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14:paraId="2E6AB68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14:paraId="52B8D60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768482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510137C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348" w:type="pct"/>
            <w:vMerge w:val="continue"/>
            <w:tcBorders>
              <w:tl2br w:val="nil"/>
              <w:tr2bl w:val="nil"/>
            </w:tcBorders>
            <w:shd w:val="clear" w:color="auto" w:fill="auto"/>
            <w:vAlign w:val="center"/>
          </w:tcPr>
          <w:p w14:paraId="197EE447">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152F0DFE">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2E304EA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作业人员高处作业时未系安全带</w:t>
            </w:r>
          </w:p>
        </w:tc>
        <w:tc>
          <w:tcPr>
            <w:tcW w:w="556" w:type="pct"/>
            <w:tcBorders>
              <w:tl2br w:val="nil"/>
              <w:tr2bl w:val="nil"/>
            </w:tcBorders>
            <w:shd w:val="clear" w:color="auto" w:fill="auto"/>
            <w:vAlign w:val="center"/>
          </w:tcPr>
          <w:p w14:paraId="3F3F05E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高处坠落</w:t>
            </w:r>
          </w:p>
        </w:tc>
        <w:tc>
          <w:tcPr>
            <w:tcW w:w="209" w:type="pct"/>
            <w:tcBorders>
              <w:tl2br w:val="nil"/>
              <w:tr2bl w:val="nil"/>
            </w:tcBorders>
            <w:shd w:val="clear" w:color="auto" w:fill="auto"/>
            <w:vAlign w:val="center"/>
          </w:tcPr>
          <w:p w14:paraId="705D0CC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5F06E37C">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6ABEAC3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685089B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14:paraId="0BFA70F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14:paraId="736C5E0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120</w:t>
            </w:r>
          </w:p>
        </w:tc>
        <w:tc>
          <w:tcPr>
            <w:tcW w:w="279" w:type="pct"/>
            <w:tcBorders>
              <w:tl2br w:val="nil"/>
              <w:tr2bl w:val="nil"/>
            </w:tcBorders>
            <w:shd w:val="clear" w:color="auto" w:fill="auto"/>
            <w:vAlign w:val="center"/>
          </w:tcPr>
          <w:p w14:paraId="1B3C59E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14:paraId="22DC67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03E20BD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16</w:t>
            </w:r>
          </w:p>
        </w:tc>
        <w:tc>
          <w:tcPr>
            <w:tcW w:w="348" w:type="pct"/>
            <w:vMerge w:val="continue"/>
            <w:tcBorders>
              <w:tl2br w:val="nil"/>
              <w:tr2bl w:val="nil"/>
            </w:tcBorders>
            <w:shd w:val="clear" w:color="auto" w:fill="auto"/>
            <w:vAlign w:val="center"/>
          </w:tcPr>
          <w:p w14:paraId="2810D020">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74DB121F">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286EEF2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作业人员在起重臂下弦行走时未交替悬挂安全带</w:t>
            </w:r>
          </w:p>
        </w:tc>
        <w:tc>
          <w:tcPr>
            <w:tcW w:w="556" w:type="pct"/>
            <w:tcBorders>
              <w:tl2br w:val="nil"/>
              <w:tr2bl w:val="nil"/>
            </w:tcBorders>
            <w:shd w:val="clear" w:color="auto" w:fill="auto"/>
            <w:vAlign w:val="center"/>
          </w:tcPr>
          <w:p w14:paraId="0E12954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高处坠落</w:t>
            </w:r>
          </w:p>
        </w:tc>
        <w:tc>
          <w:tcPr>
            <w:tcW w:w="209" w:type="pct"/>
            <w:tcBorders>
              <w:tl2br w:val="nil"/>
              <w:tr2bl w:val="nil"/>
            </w:tcBorders>
            <w:shd w:val="clear" w:color="auto" w:fill="auto"/>
            <w:vAlign w:val="center"/>
          </w:tcPr>
          <w:p w14:paraId="3D5980C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613876F9">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2D68316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40A40B0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14:paraId="4D1025D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14:paraId="471DB2A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120</w:t>
            </w:r>
          </w:p>
        </w:tc>
        <w:tc>
          <w:tcPr>
            <w:tcW w:w="279" w:type="pct"/>
            <w:tcBorders>
              <w:tl2br w:val="nil"/>
              <w:tr2bl w:val="nil"/>
            </w:tcBorders>
            <w:shd w:val="clear" w:color="auto" w:fill="auto"/>
            <w:vAlign w:val="center"/>
          </w:tcPr>
          <w:p w14:paraId="0098D14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14:paraId="0F4CC0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7EED99D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17</w:t>
            </w:r>
          </w:p>
        </w:tc>
        <w:tc>
          <w:tcPr>
            <w:tcW w:w="348" w:type="pct"/>
            <w:vMerge w:val="continue"/>
            <w:tcBorders>
              <w:tl2br w:val="nil"/>
              <w:tr2bl w:val="nil"/>
            </w:tcBorders>
            <w:shd w:val="clear" w:color="auto" w:fill="auto"/>
            <w:vAlign w:val="center"/>
          </w:tcPr>
          <w:p w14:paraId="18ACA576">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7D7E4794">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1A82743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作业人员未站位于牢固可靠的地方</w:t>
            </w:r>
          </w:p>
        </w:tc>
        <w:tc>
          <w:tcPr>
            <w:tcW w:w="556" w:type="pct"/>
            <w:tcBorders>
              <w:tl2br w:val="nil"/>
              <w:tr2bl w:val="nil"/>
            </w:tcBorders>
            <w:shd w:val="clear" w:color="auto" w:fill="auto"/>
            <w:vAlign w:val="center"/>
          </w:tcPr>
          <w:p w14:paraId="4BB1F4A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高处坠落</w:t>
            </w:r>
          </w:p>
        </w:tc>
        <w:tc>
          <w:tcPr>
            <w:tcW w:w="209" w:type="pct"/>
            <w:tcBorders>
              <w:tl2br w:val="nil"/>
              <w:tr2bl w:val="nil"/>
            </w:tcBorders>
            <w:shd w:val="clear" w:color="auto" w:fill="auto"/>
            <w:vAlign w:val="center"/>
          </w:tcPr>
          <w:p w14:paraId="745F488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149EC538">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3766CBE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08C9587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14:paraId="4C21359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14:paraId="03483E4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120</w:t>
            </w:r>
          </w:p>
        </w:tc>
        <w:tc>
          <w:tcPr>
            <w:tcW w:w="279" w:type="pct"/>
            <w:tcBorders>
              <w:tl2br w:val="nil"/>
              <w:tr2bl w:val="nil"/>
            </w:tcBorders>
            <w:shd w:val="clear" w:color="auto" w:fill="auto"/>
            <w:vAlign w:val="center"/>
          </w:tcPr>
          <w:p w14:paraId="7F10DE4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14:paraId="741EC8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17D21EE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18</w:t>
            </w:r>
          </w:p>
        </w:tc>
        <w:tc>
          <w:tcPr>
            <w:tcW w:w="348" w:type="pct"/>
            <w:vMerge w:val="continue"/>
            <w:tcBorders>
              <w:tl2br w:val="nil"/>
              <w:tr2bl w:val="nil"/>
            </w:tcBorders>
            <w:shd w:val="clear" w:color="auto" w:fill="auto"/>
            <w:vAlign w:val="center"/>
          </w:tcPr>
          <w:p w14:paraId="52A05CF8">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21B09C0F">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7D78AF9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塔吊构件未按方案和说明书顺序进行</w:t>
            </w:r>
            <w:r>
              <w:rPr>
                <w:rStyle w:val="215"/>
                <w:rFonts w:hint="eastAsia" w:cs="宋体"/>
                <w:sz w:val="21"/>
                <w:szCs w:val="21"/>
                <w:lang w:eastAsia="zh-CN"/>
              </w:rPr>
              <w:t>拆除</w:t>
            </w:r>
            <w:r>
              <w:rPr>
                <w:rStyle w:val="215"/>
                <w:rFonts w:hint="eastAsia" w:ascii="宋体" w:hAnsi="宋体" w:eastAsia="宋体" w:cs="宋体"/>
                <w:sz w:val="21"/>
                <w:szCs w:val="21"/>
              </w:rPr>
              <w:t>或拆除</w:t>
            </w:r>
          </w:p>
        </w:tc>
        <w:tc>
          <w:tcPr>
            <w:tcW w:w="556" w:type="pct"/>
            <w:tcBorders>
              <w:tl2br w:val="nil"/>
              <w:tr2bl w:val="nil"/>
            </w:tcBorders>
            <w:shd w:val="clear" w:color="auto" w:fill="auto"/>
            <w:vAlign w:val="center"/>
          </w:tcPr>
          <w:p w14:paraId="560CB47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倒塌</w:t>
            </w:r>
          </w:p>
        </w:tc>
        <w:tc>
          <w:tcPr>
            <w:tcW w:w="209" w:type="pct"/>
            <w:tcBorders>
              <w:tl2br w:val="nil"/>
              <w:tr2bl w:val="nil"/>
            </w:tcBorders>
            <w:shd w:val="clear" w:color="auto" w:fill="auto"/>
            <w:vAlign w:val="center"/>
          </w:tcPr>
          <w:p w14:paraId="62AECF0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49380BF0">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7CB17DE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48DF8F7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w:t>
            </w:r>
          </w:p>
        </w:tc>
        <w:tc>
          <w:tcPr>
            <w:tcW w:w="279" w:type="pct"/>
            <w:tcBorders>
              <w:tl2br w:val="nil"/>
              <w:tr2bl w:val="nil"/>
            </w:tcBorders>
            <w:shd w:val="clear" w:color="auto" w:fill="auto"/>
            <w:vAlign w:val="center"/>
          </w:tcPr>
          <w:p w14:paraId="6D2569B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14:paraId="3D8985A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80</w:t>
            </w:r>
          </w:p>
        </w:tc>
        <w:tc>
          <w:tcPr>
            <w:tcW w:w="279" w:type="pct"/>
            <w:tcBorders>
              <w:tl2br w:val="nil"/>
              <w:tr2bl w:val="nil"/>
            </w:tcBorders>
            <w:shd w:val="clear" w:color="auto" w:fill="auto"/>
            <w:vAlign w:val="center"/>
          </w:tcPr>
          <w:p w14:paraId="2075AC9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14:paraId="0EC330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613" w:hRule="atLeast"/>
        </w:trPr>
        <w:tc>
          <w:tcPr>
            <w:tcW w:w="271" w:type="pct"/>
            <w:tcBorders>
              <w:tl2br w:val="nil"/>
              <w:tr2bl w:val="nil"/>
            </w:tcBorders>
            <w:shd w:val="clear" w:color="auto" w:fill="auto"/>
            <w:noWrap/>
            <w:vAlign w:val="center"/>
          </w:tcPr>
          <w:p w14:paraId="44E507E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19</w:t>
            </w:r>
          </w:p>
        </w:tc>
        <w:tc>
          <w:tcPr>
            <w:tcW w:w="348" w:type="pct"/>
            <w:vMerge w:val="continue"/>
            <w:tcBorders>
              <w:tl2br w:val="nil"/>
              <w:tr2bl w:val="nil"/>
            </w:tcBorders>
            <w:shd w:val="clear" w:color="auto" w:fill="auto"/>
            <w:vAlign w:val="center"/>
          </w:tcPr>
          <w:p w14:paraId="0785042D">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689C26C6">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09CD78C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变幅钢丝绳及起重钢丝绳未连接牢固</w:t>
            </w:r>
          </w:p>
        </w:tc>
        <w:tc>
          <w:tcPr>
            <w:tcW w:w="556" w:type="pct"/>
            <w:tcBorders>
              <w:tl2br w:val="nil"/>
              <w:tr2bl w:val="nil"/>
            </w:tcBorders>
            <w:shd w:val="clear" w:color="auto" w:fill="auto"/>
            <w:vAlign w:val="center"/>
          </w:tcPr>
          <w:p w14:paraId="3E3C47A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物体打击</w:t>
            </w:r>
          </w:p>
        </w:tc>
        <w:tc>
          <w:tcPr>
            <w:tcW w:w="209" w:type="pct"/>
            <w:tcBorders>
              <w:tl2br w:val="nil"/>
              <w:tr2bl w:val="nil"/>
            </w:tcBorders>
            <w:shd w:val="clear" w:color="auto" w:fill="auto"/>
            <w:vAlign w:val="center"/>
          </w:tcPr>
          <w:p w14:paraId="00783A0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56809E08">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5736925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202562B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147D3A7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14:paraId="1FAFE6E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14:paraId="7D9F710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0D62F1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3" w:hRule="atLeast"/>
        </w:trPr>
        <w:tc>
          <w:tcPr>
            <w:tcW w:w="271" w:type="pct"/>
            <w:tcBorders>
              <w:tl2br w:val="nil"/>
              <w:tr2bl w:val="nil"/>
            </w:tcBorders>
            <w:shd w:val="clear" w:color="auto" w:fill="auto"/>
            <w:noWrap/>
            <w:vAlign w:val="center"/>
          </w:tcPr>
          <w:p w14:paraId="0007F0C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20</w:t>
            </w:r>
          </w:p>
        </w:tc>
        <w:tc>
          <w:tcPr>
            <w:tcW w:w="348" w:type="pct"/>
            <w:vMerge w:val="continue"/>
            <w:tcBorders>
              <w:tl2br w:val="nil"/>
              <w:tr2bl w:val="nil"/>
            </w:tcBorders>
            <w:shd w:val="clear" w:color="auto" w:fill="auto"/>
            <w:vAlign w:val="center"/>
          </w:tcPr>
          <w:p w14:paraId="288F61D4">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159111ED">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16F3808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塔吊构件之间未连接牢固</w:t>
            </w:r>
          </w:p>
        </w:tc>
        <w:tc>
          <w:tcPr>
            <w:tcW w:w="556" w:type="pct"/>
            <w:tcBorders>
              <w:tl2br w:val="nil"/>
              <w:tr2bl w:val="nil"/>
            </w:tcBorders>
            <w:shd w:val="clear" w:color="auto" w:fill="auto"/>
            <w:vAlign w:val="center"/>
          </w:tcPr>
          <w:p w14:paraId="30A90BD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物体打击</w:t>
            </w:r>
          </w:p>
        </w:tc>
        <w:tc>
          <w:tcPr>
            <w:tcW w:w="209" w:type="pct"/>
            <w:tcBorders>
              <w:tl2br w:val="nil"/>
              <w:tr2bl w:val="nil"/>
            </w:tcBorders>
            <w:shd w:val="clear" w:color="auto" w:fill="auto"/>
            <w:vAlign w:val="center"/>
          </w:tcPr>
          <w:p w14:paraId="71C6AA4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48489507">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6FDDBAC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0.1</w:t>
            </w:r>
          </w:p>
        </w:tc>
        <w:tc>
          <w:tcPr>
            <w:tcW w:w="279" w:type="pct"/>
            <w:tcBorders>
              <w:tl2br w:val="nil"/>
              <w:tr2bl w:val="nil"/>
            </w:tcBorders>
            <w:shd w:val="clear" w:color="auto" w:fill="auto"/>
            <w:vAlign w:val="center"/>
          </w:tcPr>
          <w:p w14:paraId="192484D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10</w:t>
            </w:r>
          </w:p>
        </w:tc>
        <w:tc>
          <w:tcPr>
            <w:tcW w:w="279" w:type="pct"/>
            <w:tcBorders>
              <w:tl2br w:val="nil"/>
              <w:tr2bl w:val="nil"/>
            </w:tcBorders>
            <w:shd w:val="clear" w:color="auto" w:fill="auto"/>
            <w:vAlign w:val="center"/>
          </w:tcPr>
          <w:p w14:paraId="3FA0B62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14:paraId="7D12DC2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14:paraId="5E6C26F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7CFC80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3" w:hRule="atLeast"/>
        </w:trPr>
        <w:tc>
          <w:tcPr>
            <w:tcW w:w="271" w:type="pct"/>
            <w:tcBorders>
              <w:tl2br w:val="nil"/>
              <w:tr2bl w:val="nil"/>
            </w:tcBorders>
            <w:shd w:val="clear" w:color="auto" w:fill="auto"/>
            <w:noWrap/>
            <w:vAlign w:val="center"/>
          </w:tcPr>
          <w:p w14:paraId="178120C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21</w:t>
            </w:r>
          </w:p>
        </w:tc>
        <w:tc>
          <w:tcPr>
            <w:tcW w:w="348" w:type="pct"/>
            <w:vMerge w:val="continue"/>
            <w:tcBorders>
              <w:tl2br w:val="nil"/>
              <w:tr2bl w:val="nil"/>
            </w:tcBorders>
            <w:shd w:val="clear" w:color="auto" w:fill="auto"/>
            <w:vAlign w:val="center"/>
          </w:tcPr>
          <w:p w14:paraId="7042C399">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2E0E8469">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72E88F8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高处作业时，作业人员注意力不集中，麻痹大意</w:t>
            </w:r>
          </w:p>
        </w:tc>
        <w:tc>
          <w:tcPr>
            <w:tcW w:w="556" w:type="pct"/>
            <w:tcBorders>
              <w:tl2br w:val="nil"/>
              <w:tr2bl w:val="nil"/>
            </w:tcBorders>
            <w:shd w:val="clear" w:color="auto" w:fill="auto"/>
            <w:vAlign w:val="center"/>
          </w:tcPr>
          <w:p w14:paraId="4C57944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高处坠落</w:t>
            </w:r>
          </w:p>
        </w:tc>
        <w:tc>
          <w:tcPr>
            <w:tcW w:w="209" w:type="pct"/>
            <w:tcBorders>
              <w:tl2br w:val="nil"/>
              <w:tr2bl w:val="nil"/>
            </w:tcBorders>
            <w:shd w:val="clear" w:color="auto" w:fill="auto"/>
            <w:vAlign w:val="center"/>
          </w:tcPr>
          <w:p w14:paraId="1912E4D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410D7BE4">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7FAAD80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73E8A81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14:paraId="47C375B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3559254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14:paraId="71E14DB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342FA8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344F6E5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22</w:t>
            </w:r>
          </w:p>
        </w:tc>
        <w:tc>
          <w:tcPr>
            <w:tcW w:w="348" w:type="pct"/>
            <w:vMerge w:val="continue"/>
            <w:tcBorders>
              <w:tl2br w:val="nil"/>
              <w:tr2bl w:val="nil"/>
            </w:tcBorders>
            <w:shd w:val="clear" w:color="auto" w:fill="auto"/>
            <w:vAlign w:val="center"/>
          </w:tcPr>
          <w:p w14:paraId="041F14F6">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1D454A97">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1B23703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顶升前未检查系统是否完好</w:t>
            </w:r>
          </w:p>
        </w:tc>
        <w:tc>
          <w:tcPr>
            <w:tcW w:w="556" w:type="pct"/>
            <w:tcBorders>
              <w:tl2br w:val="nil"/>
              <w:tr2bl w:val="nil"/>
            </w:tcBorders>
            <w:shd w:val="clear" w:color="auto" w:fill="auto"/>
            <w:vAlign w:val="center"/>
          </w:tcPr>
          <w:p w14:paraId="32187B3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14:paraId="572E239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3D66583E">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2931EAE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0E3F25D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14:paraId="50AA772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14:paraId="43AD036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120</w:t>
            </w:r>
          </w:p>
        </w:tc>
        <w:tc>
          <w:tcPr>
            <w:tcW w:w="279" w:type="pct"/>
            <w:tcBorders>
              <w:tl2br w:val="nil"/>
              <w:tr2bl w:val="nil"/>
            </w:tcBorders>
            <w:shd w:val="clear" w:color="auto" w:fill="auto"/>
            <w:vAlign w:val="center"/>
          </w:tcPr>
          <w:p w14:paraId="508FC2C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14:paraId="1C04B6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1CEE978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23</w:t>
            </w:r>
          </w:p>
        </w:tc>
        <w:tc>
          <w:tcPr>
            <w:tcW w:w="348" w:type="pct"/>
            <w:vMerge w:val="continue"/>
            <w:tcBorders>
              <w:tl2br w:val="nil"/>
              <w:tr2bl w:val="nil"/>
            </w:tcBorders>
            <w:shd w:val="clear" w:color="auto" w:fill="auto"/>
            <w:vAlign w:val="center"/>
          </w:tcPr>
          <w:p w14:paraId="4DDCC56A">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090B11E2">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02F8826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顶升前，塔吊下支座未与爬升架进行连接</w:t>
            </w:r>
          </w:p>
        </w:tc>
        <w:tc>
          <w:tcPr>
            <w:tcW w:w="556" w:type="pct"/>
            <w:tcBorders>
              <w:tl2br w:val="nil"/>
              <w:tr2bl w:val="nil"/>
            </w:tcBorders>
            <w:shd w:val="clear" w:color="auto" w:fill="auto"/>
            <w:vAlign w:val="center"/>
          </w:tcPr>
          <w:p w14:paraId="43BC370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14:paraId="47B0615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6128B127">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1254CAE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1F4BB0B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14:paraId="0940D2C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14:paraId="2F14F2E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120</w:t>
            </w:r>
          </w:p>
        </w:tc>
        <w:tc>
          <w:tcPr>
            <w:tcW w:w="279" w:type="pct"/>
            <w:tcBorders>
              <w:tl2br w:val="nil"/>
              <w:tr2bl w:val="nil"/>
            </w:tcBorders>
            <w:shd w:val="clear" w:color="auto" w:fill="auto"/>
            <w:vAlign w:val="center"/>
          </w:tcPr>
          <w:p w14:paraId="2B1BB35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14:paraId="361464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593A9BB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24</w:t>
            </w:r>
          </w:p>
        </w:tc>
        <w:tc>
          <w:tcPr>
            <w:tcW w:w="348" w:type="pct"/>
            <w:vMerge w:val="continue"/>
            <w:tcBorders>
              <w:tl2br w:val="nil"/>
              <w:tr2bl w:val="nil"/>
            </w:tcBorders>
            <w:shd w:val="clear" w:color="auto" w:fill="auto"/>
            <w:vAlign w:val="center"/>
          </w:tcPr>
          <w:p w14:paraId="77793A78">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0EB9E093">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16526EA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顶升前，未将塔吊进行配平</w:t>
            </w:r>
          </w:p>
        </w:tc>
        <w:tc>
          <w:tcPr>
            <w:tcW w:w="556" w:type="pct"/>
            <w:tcBorders>
              <w:tl2br w:val="nil"/>
              <w:tr2bl w:val="nil"/>
            </w:tcBorders>
            <w:shd w:val="clear" w:color="auto" w:fill="auto"/>
            <w:vAlign w:val="center"/>
          </w:tcPr>
          <w:p w14:paraId="55D73A4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14:paraId="52A68F7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06DB58DB">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5EC1771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6659B24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14:paraId="54EBBAB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14:paraId="01F5499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120</w:t>
            </w:r>
          </w:p>
        </w:tc>
        <w:tc>
          <w:tcPr>
            <w:tcW w:w="279" w:type="pct"/>
            <w:tcBorders>
              <w:tl2br w:val="nil"/>
              <w:tr2bl w:val="nil"/>
            </w:tcBorders>
            <w:shd w:val="clear" w:color="auto" w:fill="auto"/>
            <w:vAlign w:val="center"/>
          </w:tcPr>
          <w:p w14:paraId="378707A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14:paraId="63CFBC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42C4062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25</w:t>
            </w:r>
          </w:p>
        </w:tc>
        <w:tc>
          <w:tcPr>
            <w:tcW w:w="348" w:type="pct"/>
            <w:vMerge w:val="continue"/>
            <w:tcBorders>
              <w:tl2br w:val="nil"/>
              <w:tr2bl w:val="nil"/>
            </w:tcBorders>
            <w:shd w:val="clear" w:color="auto" w:fill="auto"/>
            <w:vAlign w:val="center"/>
          </w:tcPr>
          <w:p w14:paraId="4500A04A">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2F24CCE9">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373633C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顶升过程中，进行起升、回转、变幅等动作</w:t>
            </w:r>
          </w:p>
        </w:tc>
        <w:tc>
          <w:tcPr>
            <w:tcW w:w="556" w:type="pct"/>
            <w:tcBorders>
              <w:tl2br w:val="nil"/>
              <w:tr2bl w:val="nil"/>
            </w:tcBorders>
            <w:shd w:val="clear" w:color="auto" w:fill="auto"/>
            <w:vAlign w:val="center"/>
          </w:tcPr>
          <w:p w14:paraId="700BEAA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14:paraId="1E66ECA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22401FFE">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3DB8BF5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798BC02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14:paraId="719D6A2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14:paraId="54774B0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120</w:t>
            </w:r>
          </w:p>
        </w:tc>
        <w:tc>
          <w:tcPr>
            <w:tcW w:w="279" w:type="pct"/>
            <w:tcBorders>
              <w:tl2br w:val="nil"/>
              <w:tr2bl w:val="nil"/>
            </w:tcBorders>
            <w:shd w:val="clear" w:color="auto" w:fill="auto"/>
            <w:vAlign w:val="center"/>
          </w:tcPr>
          <w:p w14:paraId="7D4B9A6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14:paraId="71CC4F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38C84CF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26</w:t>
            </w:r>
          </w:p>
        </w:tc>
        <w:tc>
          <w:tcPr>
            <w:tcW w:w="348" w:type="pct"/>
            <w:vMerge w:val="continue"/>
            <w:tcBorders>
              <w:tl2br w:val="nil"/>
              <w:tr2bl w:val="nil"/>
            </w:tcBorders>
            <w:shd w:val="clear" w:color="auto" w:fill="auto"/>
            <w:vAlign w:val="center"/>
          </w:tcPr>
          <w:p w14:paraId="61CF4A28">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0E86102A">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2FE26B7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顶升结束后，未将标准节与回转总成进行连接</w:t>
            </w:r>
          </w:p>
        </w:tc>
        <w:tc>
          <w:tcPr>
            <w:tcW w:w="556" w:type="pct"/>
            <w:tcBorders>
              <w:tl2br w:val="nil"/>
              <w:tr2bl w:val="nil"/>
            </w:tcBorders>
            <w:shd w:val="clear" w:color="auto" w:fill="auto"/>
            <w:vAlign w:val="center"/>
          </w:tcPr>
          <w:p w14:paraId="3DE7A03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14:paraId="4A5CFEA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2A38F0AF">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4C090D6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5988620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14:paraId="719ECD1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14:paraId="7ABF0DF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120</w:t>
            </w:r>
          </w:p>
        </w:tc>
        <w:tc>
          <w:tcPr>
            <w:tcW w:w="279" w:type="pct"/>
            <w:tcBorders>
              <w:tl2br w:val="nil"/>
              <w:tr2bl w:val="nil"/>
            </w:tcBorders>
            <w:shd w:val="clear" w:color="auto" w:fill="auto"/>
            <w:vAlign w:val="center"/>
          </w:tcPr>
          <w:p w14:paraId="3C93A22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14:paraId="38ABCC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33C901E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27</w:t>
            </w:r>
          </w:p>
        </w:tc>
        <w:tc>
          <w:tcPr>
            <w:tcW w:w="348" w:type="pct"/>
            <w:vMerge w:val="continue"/>
            <w:tcBorders>
              <w:tl2br w:val="nil"/>
              <w:tr2bl w:val="nil"/>
            </w:tcBorders>
            <w:shd w:val="clear" w:color="auto" w:fill="auto"/>
            <w:vAlign w:val="center"/>
          </w:tcPr>
          <w:p w14:paraId="4EF6DE2A">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5BB4E2E0">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167BE71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拆除作业时，工索具未连接牢固就拆除连接销轴</w:t>
            </w:r>
          </w:p>
        </w:tc>
        <w:tc>
          <w:tcPr>
            <w:tcW w:w="556" w:type="pct"/>
            <w:tcBorders>
              <w:tl2br w:val="nil"/>
              <w:tr2bl w:val="nil"/>
            </w:tcBorders>
            <w:shd w:val="clear" w:color="auto" w:fill="auto"/>
            <w:vAlign w:val="center"/>
          </w:tcPr>
          <w:p w14:paraId="5E12954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物体打击、高处坠落</w:t>
            </w:r>
          </w:p>
        </w:tc>
        <w:tc>
          <w:tcPr>
            <w:tcW w:w="209" w:type="pct"/>
            <w:tcBorders>
              <w:tl2br w:val="nil"/>
              <w:tr2bl w:val="nil"/>
            </w:tcBorders>
            <w:shd w:val="clear" w:color="auto" w:fill="auto"/>
            <w:vAlign w:val="center"/>
          </w:tcPr>
          <w:p w14:paraId="0983FF6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434A35EA">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3208CA1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161A45F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4A72FE8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6FE73EC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90</w:t>
            </w:r>
          </w:p>
        </w:tc>
        <w:tc>
          <w:tcPr>
            <w:tcW w:w="279" w:type="pct"/>
            <w:tcBorders>
              <w:tl2br w:val="nil"/>
              <w:tr2bl w:val="nil"/>
            </w:tcBorders>
            <w:shd w:val="clear" w:color="auto" w:fill="auto"/>
            <w:vAlign w:val="center"/>
          </w:tcPr>
          <w:p w14:paraId="7E3C58E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14:paraId="10BF66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390B7B7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28</w:t>
            </w:r>
          </w:p>
        </w:tc>
        <w:tc>
          <w:tcPr>
            <w:tcW w:w="348" w:type="pct"/>
            <w:vMerge w:val="continue"/>
            <w:tcBorders>
              <w:tl2br w:val="nil"/>
              <w:tr2bl w:val="nil"/>
            </w:tcBorders>
            <w:shd w:val="clear" w:color="auto" w:fill="auto"/>
            <w:vAlign w:val="center"/>
          </w:tcPr>
          <w:p w14:paraId="537CF761">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2509D46C">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4ADF4D4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cs="宋体"/>
                <w:sz w:val="21"/>
                <w:szCs w:val="21"/>
                <w:lang w:eastAsia="zh-CN"/>
              </w:rPr>
              <w:t>拆除</w:t>
            </w:r>
            <w:r>
              <w:rPr>
                <w:rStyle w:val="215"/>
                <w:rFonts w:hint="eastAsia" w:ascii="宋体" w:hAnsi="宋体" w:eastAsia="宋体" w:cs="宋体"/>
                <w:sz w:val="21"/>
                <w:szCs w:val="21"/>
              </w:rPr>
              <w:t>或拆除时塔吊最高处的风速不符合使用说明书的要求</w:t>
            </w:r>
          </w:p>
        </w:tc>
        <w:tc>
          <w:tcPr>
            <w:tcW w:w="556" w:type="pct"/>
            <w:tcBorders>
              <w:tl2br w:val="nil"/>
              <w:tr2bl w:val="nil"/>
            </w:tcBorders>
            <w:shd w:val="clear" w:color="auto" w:fill="auto"/>
            <w:vAlign w:val="center"/>
          </w:tcPr>
          <w:p w14:paraId="296963A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14:paraId="49B721C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2B2E1833">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5E410FB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60F4849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2431E62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14:paraId="5588220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14:paraId="4005429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0571DE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6297D5A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29</w:t>
            </w:r>
          </w:p>
        </w:tc>
        <w:tc>
          <w:tcPr>
            <w:tcW w:w="348" w:type="pct"/>
            <w:vMerge w:val="continue"/>
            <w:tcBorders>
              <w:tl2br w:val="nil"/>
              <w:tr2bl w:val="nil"/>
            </w:tcBorders>
            <w:shd w:val="clear" w:color="auto" w:fill="auto"/>
            <w:vAlign w:val="center"/>
          </w:tcPr>
          <w:p w14:paraId="737B5D6D">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61149D47">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0A4D163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当遇特殊情况，</w:t>
            </w:r>
            <w:r>
              <w:rPr>
                <w:rStyle w:val="215"/>
                <w:rFonts w:hint="eastAsia" w:cs="宋体"/>
                <w:sz w:val="21"/>
                <w:szCs w:val="21"/>
                <w:lang w:eastAsia="zh-CN"/>
              </w:rPr>
              <w:t>拆除</w:t>
            </w:r>
            <w:r>
              <w:rPr>
                <w:rStyle w:val="215"/>
                <w:rFonts w:hint="eastAsia" w:ascii="宋体" w:hAnsi="宋体" w:eastAsia="宋体" w:cs="宋体"/>
                <w:sz w:val="21"/>
                <w:szCs w:val="21"/>
              </w:rPr>
              <w:t>或拆除作业不能连续进行时，没有将已</w:t>
            </w:r>
            <w:r>
              <w:rPr>
                <w:rStyle w:val="215"/>
                <w:rFonts w:hint="eastAsia" w:cs="宋体"/>
                <w:sz w:val="21"/>
                <w:szCs w:val="21"/>
                <w:lang w:eastAsia="zh-CN"/>
              </w:rPr>
              <w:t>拆除</w:t>
            </w:r>
            <w:r>
              <w:rPr>
                <w:rStyle w:val="215"/>
                <w:rFonts w:hint="eastAsia" w:ascii="宋体" w:hAnsi="宋体" w:eastAsia="宋体" w:cs="宋体"/>
                <w:sz w:val="21"/>
                <w:szCs w:val="21"/>
              </w:rPr>
              <w:t>的部位固定牢固，并达到安全状态。</w:t>
            </w:r>
          </w:p>
        </w:tc>
        <w:tc>
          <w:tcPr>
            <w:tcW w:w="556" w:type="pct"/>
            <w:tcBorders>
              <w:tl2br w:val="nil"/>
              <w:tr2bl w:val="nil"/>
            </w:tcBorders>
            <w:shd w:val="clear" w:color="auto" w:fill="auto"/>
            <w:vAlign w:val="center"/>
          </w:tcPr>
          <w:p w14:paraId="3A3BB69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物体打击</w:t>
            </w:r>
          </w:p>
        </w:tc>
        <w:tc>
          <w:tcPr>
            <w:tcW w:w="209" w:type="pct"/>
            <w:tcBorders>
              <w:tl2br w:val="nil"/>
              <w:tr2bl w:val="nil"/>
            </w:tcBorders>
            <w:shd w:val="clear" w:color="auto" w:fill="auto"/>
            <w:vAlign w:val="center"/>
          </w:tcPr>
          <w:p w14:paraId="7611F65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758E7C84">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66DF251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077D45B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2902A2B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14:paraId="76FF89D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14:paraId="00EEB7E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0C17B0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266A937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30</w:t>
            </w:r>
          </w:p>
        </w:tc>
        <w:tc>
          <w:tcPr>
            <w:tcW w:w="348" w:type="pct"/>
            <w:vMerge w:val="continue"/>
            <w:tcBorders>
              <w:tl2br w:val="nil"/>
              <w:tr2bl w:val="nil"/>
            </w:tcBorders>
            <w:shd w:val="clear" w:color="auto" w:fill="auto"/>
            <w:vAlign w:val="center"/>
          </w:tcPr>
          <w:p w14:paraId="76952F7E">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62FF3250">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28A5A8B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塔吊未经第三方检验机构检验合格就投入使用</w:t>
            </w:r>
          </w:p>
        </w:tc>
        <w:tc>
          <w:tcPr>
            <w:tcW w:w="556" w:type="pct"/>
            <w:tcBorders>
              <w:tl2br w:val="nil"/>
              <w:tr2bl w:val="nil"/>
            </w:tcBorders>
            <w:shd w:val="clear" w:color="auto" w:fill="auto"/>
            <w:vAlign w:val="center"/>
          </w:tcPr>
          <w:p w14:paraId="5CADDF7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起重伤害等</w:t>
            </w:r>
          </w:p>
        </w:tc>
        <w:tc>
          <w:tcPr>
            <w:tcW w:w="209" w:type="pct"/>
            <w:tcBorders>
              <w:tl2br w:val="nil"/>
              <w:tr2bl w:val="nil"/>
            </w:tcBorders>
            <w:shd w:val="clear" w:color="auto" w:fill="auto"/>
            <w:vAlign w:val="center"/>
          </w:tcPr>
          <w:p w14:paraId="5C746B6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147928F7">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4F9D158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331BED2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5C937A8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14:paraId="0DCD712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14:paraId="63AD007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67B09E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227D390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31</w:t>
            </w:r>
          </w:p>
        </w:tc>
        <w:tc>
          <w:tcPr>
            <w:tcW w:w="348" w:type="pct"/>
            <w:vMerge w:val="continue"/>
            <w:tcBorders>
              <w:tl2br w:val="nil"/>
              <w:tr2bl w:val="nil"/>
            </w:tcBorders>
            <w:shd w:val="clear" w:color="auto" w:fill="auto"/>
            <w:vAlign w:val="center"/>
          </w:tcPr>
          <w:p w14:paraId="7C78AE55">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5CF9717F">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39E9A16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拆除前塔吊未配平</w:t>
            </w:r>
          </w:p>
        </w:tc>
        <w:tc>
          <w:tcPr>
            <w:tcW w:w="556" w:type="pct"/>
            <w:tcBorders>
              <w:tl2br w:val="nil"/>
              <w:tr2bl w:val="nil"/>
            </w:tcBorders>
            <w:shd w:val="clear" w:color="auto" w:fill="auto"/>
            <w:vAlign w:val="center"/>
          </w:tcPr>
          <w:p w14:paraId="79C0ED9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倒塌</w:t>
            </w:r>
          </w:p>
        </w:tc>
        <w:tc>
          <w:tcPr>
            <w:tcW w:w="209" w:type="pct"/>
            <w:tcBorders>
              <w:tl2br w:val="nil"/>
              <w:tr2bl w:val="nil"/>
            </w:tcBorders>
            <w:shd w:val="clear" w:color="auto" w:fill="auto"/>
            <w:vAlign w:val="center"/>
          </w:tcPr>
          <w:p w14:paraId="1B642D3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072D2F6B">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63AEE44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0A92229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w:t>
            </w:r>
          </w:p>
        </w:tc>
        <w:tc>
          <w:tcPr>
            <w:tcW w:w="279" w:type="pct"/>
            <w:tcBorders>
              <w:tl2br w:val="nil"/>
              <w:tr2bl w:val="nil"/>
            </w:tcBorders>
            <w:shd w:val="clear" w:color="auto" w:fill="auto"/>
            <w:vAlign w:val="center"/>
          </w:tcPr>
          <w:p w14:paraId="0D63436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279" w:type="pct"/>
            <w:tcBorders>
              <w:tl2br w:val="nil"/>
              <w:tr2bl w:val="nil"/>
            </w:tcBorders>
            <w:shd w:val="clear" w:color="auto" w:fill="auto"/>
            <w:vAlign w:val="center"/>
          </w:tcPr>
          <w:p w14:paraId="5511779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80</w:t>
            </w:r>
          </w:p>
        </w:tc>
        <w:tc>
          <w:tcPr>
            <w:tcW w:w="279" w:type="pct"/>
            <w:tcBorders>
              <w:tl2br w:val="nil"/>
              <w:tr2bl w:val="nil"/>
            </w:tcBorders>
            <w:shd w:val="clear" w:color="auto" w:fill="auto"/>
            <w:vAlign w:val="center"/>
          </w:tcPr>
          <w:p w14:paraId="116575A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14:paraId="229DE6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212EABE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32</w:t>
            </w:r>
          </w:p>
        </w:tc>
        <w:tc>
          <w:tcPr>
            <w:tcW w:w="348" w:type="pct"/>
            <w:vMerge w:val="continue"/>
            <w:tcBorders>
              <w:tl2br w:val="nil"/>
              <w:tr2bl w:val="nil"/>
            </w:tcBorders>
            <w:shd w:val="clear" w:color="auto" w:fill="auto"/>
            <w:vAlign w:val="center"/>
          </w:tcPr>
          <w:p w14:paraId="1EE2AD92">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restart"/>
            <w:tcBorders>
              <w:tl2br w:val="nil"/>
              <w:tr2bl w:val="nil"/>
            </w:tcBorders>
            <w:shd w:val="clear" w:color="auto" w:fill="auto"/>
            <w:noWrap/>
            <w:vAlign w:val="center"/>
          </w:tcPr>
          <w:p w14:paraId="37242DE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附墙</w:t>
            </w:r>
            <w:r>
              <w:rPr>
                <w:rStyle w:val="215"/>
                <w:rFonts w:hint="eastAsia" w:cs="宋体"/>
                <w:sz w:val="21"/>
                <w:szCs w:val="21"/>
                <w:lang w:eastAsia="zh-CN"/>
              </w:rPr>
              <w:t>拆除</w:t>
            </w:r>
            <w:r>
              <w:rPr>
                <w:rStyle w:val="215"/>
                <w:rFonts w:hint="eastAsia" w:ascii="宋体" w:hAnsi="宋体" w:eastAsia="宋体" w:cs="宋体"/>
                <w:sz w:val="21"/>
                <w:szCs w:val="21"/>
              </w:rPr>
              <w:t>及拆除</w:t>
            </w:r>
          </w:p>
        </w:tc>
        <w:tc>
          <w:tcPr>
            <w:tcW w:w="1667" w:type="pct"/>
            <w:tcBorders>
              <w:tl2br w:val="nil"/>
              <w:tr2bl w:val="nil"/>
            </w:tcBorders>
            <w:shd w:val="clear" w:color="auto" w:fill="auto"/>
            <w:vAlign w:val="center"/>
          </w:tcPr>
          <w:p w14:paraId="25CC5E5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附墙预埋件</w:t>
            </w:r>
            <w:r>
              <w:rPr>
                <w:rStyle w:val="215"/>
                <w:rFonts w:hint="eastAsia" w:cs="宋体"/>
                <w:sz w:val="21"/>
                <w:szCs w:val="21"/>
                <w:lang w:eastAsia="zh-CN"/>
              </w:rPr>
              <w:t>拆除</w:t>
            </w:r>
            <w:r>
              <w:rPr>
                <w:rStyle w:val="215"/>
                <w:rFonts w:hint="eastAsia" w:ascii="宋体" w:hAnsi="宋体" w:eastAsia="宋体" w:cs="宋体"/>
                <w:sz w:val="21"/>
                <w:szCs w:val="21"/>
              </w:rPr>
              <w:t>定位不准，</w:t>
            </w:r>
            <w:r>
              <w:rPr>
                <w:rStyle w:val="215"/>
                <w:rFonts w:hint="eastAsia" w:cs="宋体"/>
                <w:sz w:val="21"/>
                <w:szCs w:val="21"/>
                <w:lang w:eastAsia="zh-CN"/>
              </w:rPr>
              <w:t>拆除</w:t>
            </w:r>
            <w:r>
              <w:rPr>
                <w:rStyle w:val="215"/>
                <w:rFonts w:hint="eastAsia" w:ascii="宋体" w:hAnsi="宋体" w:eastAsia="宋体" w:cs="宋体"/>
                <w:sz w:val="21"/>
                <w:szCs w:val="21"/>
              </w:rPr>
              <w:t>质量较差</w:t>
            </w:r>
          </w:p>
        </w:tc>
        <w:tc>
          <w:tcPr>
            <w:tcW w:w="556" w:type="pct"/>
            <w:tcBorders>
              <w:tl2br w:val="nil"/>
              <w:tr2bl w:val="nil"/>
            </w:tcBorders>
            <w:shd w:val="clear" w:color="auto" w:fill="auto"/>
            <w:vAlign w:val="center"/>
          </w:tcPr>
          <w:p w14:paraId="4E9C847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坍塌</w:t>
            </w:r>
          </w:p>
        </w:tc>
        <w:tc>
          <w:tcPr>
            <w:tcW w:w="209" w:type="pct"/>
            <w:tcBorders>
              <w:tl2br w:val="nil"/>
              <w:tr2bl w:val="nil"/>
            </w:tcBorders>
            <w:shd w:val="clear" w:color="auto" w:fill="auto"/>
            <w:vAlign w:val="center"/>
          </w:tcPr>
          <w:p w14:paraId="1799DF3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205681E0">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75A220D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02F8327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14:paraId="439588E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0EF6ACF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14:paraId="56B92C6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498F10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107985D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33</w:t>
            </w:r>
          </w:p>
        </w:tc>
        <w:tc>
          <w:tcPr>
            <w:tcW w:w="348" w:type="pct"/>
            <w:vMerge w:val="continue"/>
            <w:tcBorders>
              <w:tl2br w:val="nil"/>
              <w:tr2bl w:val="nil"/>
            </w:tcBorders>
            <w:shd w:val="clear" w:color="auto" w:fill="auto"/>
            <w:vAlign w:val="center"/>
          </w:tcPr>
          <w:p w14:paraId="729A9AD6">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0D2B0E51">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28D5B9E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附墙杆件质量不满足要求，或位置设置不准确</w:t>
            </w:r>
          </w:p>
        </w:tc>
        <w:tc>
          <w:tcPr>
            <w:tcW w:w="556" w:type="pct"/>
            <w:tcBorders>
              <w:tl2br w:val="nil"/>
              <w:tr2bl w:val="nil"/>
            </w:tcBorders>
            <w:shd w:val="clear" w:color="auto" w:fill="auto"/>
            <w:vAlign w:val="center"/>
          </w:tcPr>
          <w:p w14:paraId="0F8E299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坍塌</w:t>
            </w:r>
          </w:p>
        </w:tc>
        <w:tc>
          <w:tcPr>
            <w:tcW w:w="209" w:type="pct"/>
            <w:tcBorders>
              <w:tl2br w:val="nil"/>
              <w:tr2bl w:val="nil"/>
            </w:tcBorders>
            <w:shd w:val="clear" w:color="auto" w:fill="auto"/>
            <w:vAlign w:val="center"/>
          </w:tcPr>
          <w:p w14:paraId="2D40FDB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25ACF17A">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2650FFB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5D8B2F9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14:paraId="508CBDF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3434497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14:paraId="2D28E54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1F1000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215BD1F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34</w:t>
            </w:r>
          </w:p>
        </w:tc>
        <w:tc>
          <w:tcPr>
            <w:tcW w:w="348" w:type="pct"/>
            <w:vMerge w:val="continue"/>
            <w:tcBorders>
              <w:tl2br w:val="nil"/>
              <w:tr2bl w:val="nil"/>
            </w:tcBorders>
            <w:shd w:val="clear" w:color="auto" w:fill="auto"/>
            <w:vAlign w:val="center"/>
          </w:tcPr>
          <w:p w14:paraId="3FC28E4F">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389C7B78">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7F7F6CC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附墙杆件</w:t>
            </w:r>
            <w:r>
              <w:rPr>
                <w:rStyle w:val="215"/>
                <w:rFonts w:hint="eastAsia" w:cs="宋体"/>
                <w:sz w:val="21"/>
                <w:szCs w:val="21"/>
                <w:lang w:eastAsia="zh-CN"/>
              </w:rPr>
              <w:t>拆除</w:t>
            </w:r>
            <w:r>
              <w:rPr>
                <w:rStyle w:val="215"/>
                <w:rFonts w:hint="eastAsia" w:ascii="宋体" w:hAnsi="宋体" w:eastAsia="宋体" w:cs="宋体"/>
                <w:sz w:val="21"/>
                <w:szCs w:val="21"/>
              </w:rPr>
              <w:t>时未按要求设置操作平台或操作平台不满足要求</w:t>
            </w:r>
          </w:p>
        </w:tc>
        <w:tc>
          <w:tcPr>
            <w:tcW w:w="556" w:type="pct"/>
            <w:tcBorders>
              <w:tl2br w:val="nil"/>
              <w:tr2bl w:val="nil"/>
            </w:tcBorders>
            <w:shd w:val="clear" w:color="auto" w:fill="auto"/>
            <w:vAlign w:val="center"/>
          </w:tcPr>
          <w:p w14:paraId="0662A1F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高处坠落</w:t>
            </w:r>
          </w:p>
        </w:tc>
        <w:tc>
          <w:tcPr>
            <w:tcW w:w="209" w:type="pct"/>
            <w:tcBorders>
              <w:tl2br w:val="nil"/>
              <w:tr2bl w:val="nil"/>
            </w:tcBorders>
            <w:shd w:val="clear" w:color="auto" w:fill="auto"/>
            <w:vAlign w:val="center"/>
          </w:tcPr>
          <w:p w14:paraId="6D17102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38B33630">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32DC03B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3632394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095692C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62EC380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90</w:t>
            </w:r>
          </w:p>
        </w:tc>
        <w:tc>
          <w:tcPr>
            <w:tcW w:w="279" w:type="pct"/>
            <w:tcBorders>
              <w:tl2br w:val="nil"/>
              <w:tr2bl w:val="nil"/>
            </w:tcBorders>
            <w:shd w:val="clear" w:color="auto" w:fill="auto"/>
            <w:vAlign w:val="center"/>
          </w:tcPr>
          <w:p w14:paraId="7529E61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14:paraId="684226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1805328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35</w:t>
            </w:r>
          </w:p>
        </w:tc>
        <w:tc>
          <w:tcPr>
            <w:tcW w:w="348" w:type="pct"/>
            <w:vMerge w:val="continue"/>
            <w:tcBorders>
              <w:tl2br w:val="nil"/>
              <w:tr2bl w:val="nil"/>
            </w:tcBorders>
            <w:shd w:val="clear" w:color="auto" w:fill="auto"/>
            <w:vAlign w:val="center"/>
          </w:tcPr>
          <w:p w14:paraId="02AE1B83">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003D4D43">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2CF821F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人员在附墙杆件上进行行走</w:t>
            </w:r>
          </w:p>
        </w:tc>
        <w:tc>
          <w:tcPr>
            <w:tcW w:w="556" w:type="pct"/>
            <w:tcBorders>
              <w:tl2br w:val="nil"/>
              <w:tr2bl w:val="nil"/>
            </w:tcBorders>
            <w:shd w:val="clear" w:color="auto" w:fill="auto"/>
            <w:vAlign w:val="center"/>
          </w:tcPr>
          <w:p w14:paraId="4FAC4E2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高处坠落</w:t>
            </w:r>
          </w:p>
        </w:tc>
        <w:tc>
          <w:tcPr>
            <w:tcW w:w="209" w:type="pct"/>
            <w:tcBorders>
              <w:tl2br w:val="nil"/>
              <w:tr2bl w:val="nil"/>
            </w:tcBorders>
            <w:shd w:val="clear" w:color="auto" w:fill="auto"/>
            <w:vAlign w:val="center"/>
          </w:tcPr>
          <w:p w14:paraId="7465F83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6E6B2205">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42513E6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33785BD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14:paraId="6303C2D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01A357D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14:paraId="61409BD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187739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1E2CE08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36</w:t>
            </w:r>
          </w:p>
        </w:tc>
        <w:tc>
          <w:tcPr>
            <w:tcW w:w="348" w:type="pct"/>
            <w:vMerge w:val="continue"/>
            <w:tcBorders>
              <w:tl2br w:val="nil"/>
              <w:tr2bl w:val="nil"/>
            </w:tcBorders>
            <w:shd w:val="clear" w:color="auto" w:fill="auto"/>
            <w:vAlign w:val="center"/>
          </w:tcPr>
          <w:p w14:paraId="06B058ED">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restart"/>
            <w:tcBorders>
              <w:tl2br w:val="nil"/>
              <w:tr2bl w:val="nil"/>
            </w:tcBorders>
            <w:shd w:val="clear" w:color="auto" w:fill="auto"/>
            <w:noWrap/>
            <w:vAlign w:val="center"/>
          </w:tcPr>
          <w:p w14:paraId="7DD5284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起重作业</w:t>
            </w:r>
          </w:p>
        </w:tc>
        <w:tc>
          <w:tcPr>
            <w:tcW w:w="1667" w:type="pct"/>
            <w:tcBorders>
              <w:tl2br w:val="nil"/>
              <w:tr2bl w:val="nil"/>
            </w:tcBorders>
            <w:shd w:val="clear" w:color="auto" w:fill="auto"/>
            <w:vAlign w:val="center"/>
          </w:tcPr>
          <w:p w14:paraId="615AB45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起吊钢丝绳规格未经验算</w:t>
            </w:r>
          </w:p>
        </w:tc>
        <w:tc>
          <w:tcPr>
            <w:tcW w:w="556" w:type="pct"/>
            <w:tcBorders>
              <w:tl2br w:val="nil"/>
              <w:tr2bl w:val="nil"/>
            </w:tcBorders>
            <w:shd w:val="clear" w:color="auto" w:fill="auto"/>
            <w:vAlign w:val="center"/>
          </w:tcPr>
          <w:p w14:paraId="3634E10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14:paraId="0C10A03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1EBCDC50">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1DA7523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0.5</w:t>
            </w:r>
          </w:p>
        </w:tc>
        <w:tc>
          <w:tcPr>
            <w:tcW w:w="279" w:type="pct"/>
            <w:tcBorders>
              <w:tl2br w:val="nil"/>
              <w:tr2bl w:val="nil"/>
            </w:tcBorders>
            <w:shd w:val="clear" w:color="auto" w:fill="auto"/>
            <w:vAlign w:val="center"/>
          </w:tcPr>
          <w:p w14:paraId="34A28C1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632BF15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504FBF7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14:paraId="127D623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35DD26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3D633EC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37</w:t>
            </w:r>
          </w:p>
        </w:tc>
        <w:tc>
          <w:tcPr>
            <w:tcW w:w="348" w:type="pct"/>
            <w:vMerge w:val="continue"/>
            <w:tcBorders>
              <w:tl2br w:val="nil"/>
              <w:tr2bl w:val="nil"/>
            </w:tcBorders>
            <w:shd w:val="clear" w:color="auto" w:fill="auto"/>
            <w:vAlign w:val="center"/>
          </w:tcPr>
          <w:p w14:paraId="044B23EE">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5C52988D">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59B48A9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吊物吊点设置不合理或不牢固</w:t>
            </w:r>
          </w:p>
        </w:tc>
        <w:tc>
          <w:tcPr>
            <w:tcW w:w="556" w:type="pct"/>
            <w:tcBorders>
              <w:tl2br w:val="nil"/>
              <w:tr2bl w:val="nil"/>
            </w:tcBorders>
            <w:shd w:val="clear" w:color="auto" w:fill="auto"/>
            <w:vAlign w:val="center"/>
          </w:tcPr>
          <w:p w14:paraId="57F7BB8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14:paraId="68D6664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6D226C95">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7D73EEE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0.5</w:t>
            </w:r>
          </w:p>
        </w:tc>
        <w:tc>
          <w:tcPr>
            <w:tcW w:w="279" w:type="pct"/>
            <w:tcBorders>
              <w:tl2br w:val="nil"/>
              <w:tr2bl w:val="nil"/>
            </w:tcBorders>
            <w:shd w:val="clear" w:color="auto" w:fill="auto"/>
            <w:vAlign w:val="center"/>
          </w:tcPr>
          <w:p w14:paraId="79BCB19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70ED01A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6D337A8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14:paraId="15D2577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583791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25A38BE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38</w:t>
            </w:r>
          </w:p>
        </w:tc>
        <w:tc>
          <w:tcPr>
            <w:tcW w:w="348" w:type="pct"/>
            <w:vMerge w:val="continue"/>
            <w:tcBorders>
              <w:tl2br w:val="nil"/>
              <w:tr2bl w:val="nil"/>
            </w:tcBorders>
            <w:shd w:val="clear" w:color="auto" w:fill="auto"/>
            <w:vAlign w:val="center"/>
          </w:tcPr>
          <w:p w14:paraId="5528287B">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2B200FEA">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00C3FCD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起重设备吊钩安全销损坏、吊钩限位器损坏、钢丝绳磨损或连接销轴松动</w:t>
            </w:r>
          </w:p>
        </w:tc>
        <w:tc>
          <w:tcPr>
            <w:tcW w:w="556" w:type="pct"/>
            <w:tcBorders>
              <w:tl2br w:val="nil"/>
              <w:tr2bl w:val="nil"/>
            </w:tcBorders>
            <w:shd w:val="clear" w:color="auto" w:fill="auto"/>
            <w:vAlign w:val="center"/>
          </w:tcPr>
          <w:p w14:paraId="71B6325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14:paraId="5474B49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7F5C89E3">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68AEB66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0.5</w:t>
            </w:r>
          </w:p>
        </w:tc>
        <w:tc>
          <w:tcPr>
            <w:tcW w:w="279" w:type="pct"/>
            <w:tcBorders>
              <w:tl2br w:val="nil"/>
              <w:tr2bl w:val="nil"/>
            </w:tcBorders>
            <w:shd w:val="clear" w:color="auto" w:fill="auto"/>
            <w:vAlign w:val="center"/>
          </w:tcPr>
          <w:p w14:paraId="07D29A2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10285BE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2DD05A0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14:paraId="7731F0D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01AF24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5C18C59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39</w:t>
            </w:r>
          </w:p>
        </w:tc>
        <w:tc>
          <w:tcPr>
            <w:tcW w:w="348" w:type="pct"/>
            <w:vMerge w:val="continue"/>
            <w:tcBorders>
              <w:tl2br w:val="nil"/>
              <w:tr2bl w:val="nil"/>
            </w:tcBorders>
            <w:shd w:val="clear" w:color="auto" w:fill="auto"/>
            <w:vAlign w:val="center"/>
          </w:tcPr>
          <w:p w14:paraId="248261C3">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1A15BD06">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734C8AF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cs="宋体"/>
                <w:sz w:val="21"/>
                <w:szCs w:val="21"/>
                <w:lang w:eastAsia="zh-CN"/>
              </w:rPr>
              <w:t>汽车吊</w:t>
            </w:r>
            <w:r>
              <w:rPr>
                <w:rStyle w:val="215"/>
                <w:rFonts w:hint="eastAsia" w:ascii="宋体" w:hAnsi="宋体" w:eastAsia="宋体" w:cs="宋体"/>
                <w:sz w:val="21"/>
                <w:szCs w:val="21"/>
              </w:rPr>
              <w:t>与汽车吊支腿下方未进行支垫</w:t>
            </w:r>
          </w:p>
        </w:tc>
        <w:tc>
          <w:tcPr>
            <w:tcW w:w="556" w:type="pct"/>
            <w:tcBorders>
              <w:tl2br w:val="nil"/>
              <w:tr2bl w:val="nil"/>
            </w:tcBorders>
            <w:shd w:val="clear" w:color="auto" w:fill="auto"/>
            <w:vAlign w:val="center"/>
          </w:tcPr>
          <w:p w14:paraId="7CD5BC9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14:paraId="167518B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36B19B88">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755A00A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0.5</w:t>
            </w:r>
          </w:p>
        </w:tc>
        <w:tc>
          <w:tcPr>
            <w:tcW w:w="279" w:type="pct"/>
            <w:tcBorders>
              <w:tl2br w:val="nil"/>
              <w:tr2bl w:val="nil"/>
            </w:tcBorders>
            <w:shd w:val="clear" w:color="auto" w:fill="auto"/>
            <w:vAlign w:val="center"/>
          </w:tcPr>
          <w:p w14:paraId="76FA32F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70B8A6A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265473A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14:paraId="623EA57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011E62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35D59A5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40</w:t>
            </w:r>
          </w:p>
        </w:tc>
        <w:tc>
          <w:tcPr>
            <w:tcW w:w="348" w:type="pct"/>
            <w:vMerge w:val="continue"/>
            <w:tcBorders>
              <w:tl2br w:val="nil"/>
              <w:tr2bl w:val="nil"/>
            </w:tcBorders>
            <w:shd w:val="clear" w:color="auto" w:fill="auto"/>
            <w:vAlign w:val="center"/>
          </w:tcPr>
          <w:p w14:paraId="01310C41">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62328B31">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5535CCC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cs="宋体"/>
                <w:sz w:val="21"/>
                <w:szCs w:val="21"/>
                <w:lang w:eastAsia="zh-CN"/>
              </w:rPr>
              <w:t>汽车吊</w:t>
            </w:r>
            <w:r>
              <w:rPr>
                <w:rStyle w:val="215"/>
                <w:rFonts w:hint="eastAsia" w:ascii="宋体" w:hAnsi="宋体" w:eastAsia="宋体" w:cs="宋体"/>
                <w:sz w:val="21"/>
                <w:szCs w:val="21"/>
              </w:rPr>
              <w:t>与汽车吊站位不合理</w:t>
            </w:r>
          </w:p>
        </w:tc>
        <w:tc>
          <w:tcPr>
            <w:tcW w:w="556" w:type="pct"/>
            <w:tcBorders>
              <w:tl2br w:val="nil"/>
              <w:tr2bl w:val="nil"/>
            </w:tcBorders>
            <w:shd w:val="clear" w:color="auto" w:fill="auto"/>
            <w:vAlign w:val="center"/>
          </w:tcPr>
          <w:p w14:paraId="5BF66AB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14:paraId="38ED523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549A2206">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59E50BE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301EA0A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056CDE3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3FE7C17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90</w:t>
            </w:r>
          </w:p>
        </w:tc>
        <w:tc>
          <w:tcPr>
            <w:tcW w:w="279" w:type="pct"/>
            <w:tcBorders>
              <w:tl2br w:val="nil"/>
              <w:tr2bl w:val="nil"/>
            </w:tcBorders>
            <w:shd w:val="clear" w:color="auto" w:fill="auto"/>
            <w:vAlign w:val="center"/>
          </w:tcPr>
          <w:p w14:paraId="685A14A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14:paraId="4DC83D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7782F61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41</w:t>
            </w:r>
          </w:p>
        </w:tc>
        <w:tc>
          <w:tcPr>
            <w:tcW w:w="348" w:type="pct"/>
            <w:vMerge w:val="continue"/>
            <w:tcBorders>
              <w:tl2br w:val="nil"/>
              <w:tr2bl w:val="nil"/>
            </w:tcBorders>
            <w:shd w:val="clear" w:color="auto" w:fill="auto"/>
            <w:vAlign w:val="center"/>
          </w:tcPr>
          <w:p w14:paraId="2F4E68FA">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2B2C0CBD">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546B7C5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起重设备未检验或检验证书过期</w:t>
            </w:r>
          </w:p>
        </w:tc>
        <w:tc>
          <w:tcPr>
            <w:tcW w:w="556" w:type="pct"/>
            <w:tcBorders>
              <w:tl2br w:val="nil"/>
              <w:tr2bl w:val="nil"/>
            </w:tcBorders>
            <w:shd w:val="clear" w:color="auto" w:fill="auto"/>
            <w:vAlign w:val="center"/>
          </w:tcPr>
          <w:p w14:paraId="7F056F2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14:paraId="408DFB6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7D8421B7">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235C3BB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0.5</w:t>
            </w:r>
          </w:p>
        </w:tc>
        <w:tc>
          <w:tcPr>
            <w:tcW w:w="279" w:type="pct"/>
            <w:tcBorders>
              <w:tl2br w:val="nil"/>
              <w:tr2bl w:val="nil"/>
            </w:tcBorders>
            <w:shd w:val="clear" w:color="auto" w:fill="auto"/>
            <w:vAlign w:val="center"/>
          </w:tcPr>
          <w:p w14:paraId="122DF16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2602B52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14:paraId="43CE975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21</w:t>
            </w:r>
          </w:p>
        </w:tc>
        <w:tc>
          <w:tcPr>
            <w:tcW w:w="279" w:type="pct"/>
            <w:tcBorders>
              <w:tl2br w:val="nil"/>
              <w:tr2bl w:val="nil"/>
            </w:tcBorders>
            <w:shd w:val="clear" w:color="auto" w:fill="auto"/>
            <w:vAlign w:val="center"/>
          </w:tcPr>
          <w:p w14:paraId="6598B90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022233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1D40817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348" w:type="pct"/>
            <w:vMerge w:val="continue"/>
            <w:tcBorders>
              <w:tl2br w:val="nil"/>
              <w:tr2bl w:val="nil"/>
            </w:tcBorders>
            <w:shd w:val="clear" w:color="auto" w:fill="auto"/>
            <w:vAlign w:val="center"/>
          </w:tcPr>
          <w:p w14:paraId="3050CFF3">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79AAA222">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2B9066F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起重作业无专人指挥</w:t>
            </w:r>
          </w:p>
        </w:tc>
        <w:tc>
          <w:tcPr>
            <w:tcW w:w="556" w:type="pct"/>
            <w:tcBorders>
              <w:tl2br w:val="nil"/>
              <w:tr2bl w:val="nil"/>
            </w:tcBorders>
            <w:shd w:val="clear" w:color="auto" w:fill="auto"/>
            <w:vAlign w:val="center"/>
          </w:tcPr>
          <w:p w14:paraId="1C4C7F2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起重伤害、物体打击</w:t>
            </w:r>
          </w:p>
        </w:tc>
        <w:tc>
          <w:tcPr>
            <w:tcW w:w="209" w:type="pct"/>
            <w:tcBorders>
              <w:tl2br w:val="nil"/>
              <w:tr2bl w:val="nil"/>
            </w:tcBorders>
            <w:shd w:val="clear" w:color="auto" w:fill="auto"/>
            <w:vAlign w:val="center"/>
          </w:tcPr>
          <w:p w14:paraId="3DB2D97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3B643C54">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362D32A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0.5</w:t>
            </w:r>
          </w:p>
        </w:tc>
        <w:tc>
          <w:tcPr>
            <w:tcW w:w="279" w:type="pct"/>
            <w:tcBorders>
              <w:tl2br w:val="nil"/>
              <w:tr2bl w:val="nil"/>
            </w:tcBorders>
            <w:shd w:val="clear" w:color="auto" w:fill="auto"/>
            <w:vAlign w:val="center"/>
          </w:tcPr>
          <w:p w14:paraId="1066D90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3BD08E5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4EF61AE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14:paraId="5704F16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545BE3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4F7C0D1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348" w:type="pct"/>
            <w:vMerge w:val="continue"/>
            <w:tcBorders>
              <w:tl2br w:val="nil"/>
              <w:tr2bl w:val="nil"/>
            </w:tcBorders>
            <w:shd w:val="clear" w:color="auto" w:fill="auto"/>
            <w:vAlign w:val="center"/>
          </w:tcPr>
          <w:p w14:paraId="674DCE5C">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6944DFA8">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13F02F0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起重指挥员违章指挥</w:t>
            </w:r>
          </w:p>
        </w:tc>
        <w:tc>
          <w:tcPr>
            <w:tcW w:w="556" w:type="pct"/>
            <w:tcBorders>
              <w:tl2br w:val="nil"/>
              <w:tr2bl w:val="nil"/>
            </w:tcBorders>
            <w:shd w:val="clear" w:color="auto" w:fill="auto"/>
            <w:vAlign w:val="center"/>
          </w:tcPr>
          <w:p w14:paraId="150AE5B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14:paraId="184C315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47127CF0">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2F129DE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3666453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0714774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4B79E2F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90</w:t>
            </w:r>
          </w:p>
        </w:tc>
        <w:tc>
          <w:tcPr>
            <w:tcW w:w="279" w:type="pct"/>
            <w:tcBorders>
              <w:tl2br w:val="nil"/>
              <w:tr2bl w:val="nil"/>
            </w:tcBorders>
            <w:shd w:val="clear" w:color="auto" w:fill="auto"/>
            <w:vAlign w:val="center"/>
          </w:tcPr>
          <w:p w14:paraId="6ABC496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14:paraId="5794D4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1EE0E1F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43</w:t>
            </w:r>
          </w:p>
        </w:tc>
        <w:tc>
          <w:tcPr>
            <w:tcW w:w="348" w:type="pct"/>
            <w:vMerge w:val="continue"/>
            <w:tcBorders>
              <w:tl2br w:val="nil"/>
              <w:tr2bl w:val="nil"/>
            </w:tcBorders>
            <w:shd w:val="clear" w:color="auto" w:fill="auto"/>
            <w:vAlign w:val="center"/>
          </w:tcPr>
          <w:p w14:paraId="30C09226">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3CF01242">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462BAC6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起重吊装时未设置溜绳控制构件摆动</w:t>
            </w:r>
          </w:p>
        </w:tc>
        <w:tc>
          <w:tcPr>
            <w:tcW w:w="556" w:type="pct"/>
            <w:tcBorders>
              <w:tl2br w:val="nil"/>
              <w:tr2bl w:val="nil"/>
            </w:tcBorders>
            <w:shd w:val="clear" w:color="auto" w:fill="auto"/>
            <w:vAlign w:val="center"/>
          </w:tcPr>
          <w:p w14:paraId="38FD848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14:paraId="592A839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3276FB4D">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0DA701C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5CD02D0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418004C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35E5CC8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90</w:t>
            </w:r>
          </w:p>
        </w:tc>
        <w:tc>
          <w:tcPr>
            <w:tcW w:w="279" w:type="pct"/>
            <w:tcBorders>
              <w:tl2br w:val="nil"/>
              <w:tr2bl w:val="nil"/>
            </w:tcBorders>
            <w:shd w:val="clear" w:color="auto" w:fill="auto"/>
            <w:vAlign w:val="center"/>
          </w:tcPr>
          <w:p w14:paraId="4614DED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14:paraId="498EF5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1377FB1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44</w:t>
            </w:r>
          </w:p>
        </w:tc>
        <w:tc>
          <w:tcPr>
            <w:tcW w:w="348" w:type="pct"/>
            <w:vMerge w:val="continue"/>
            <w:tcBorders>
              <w:tl2br w:val="nil"/>
              <w:tr2bl w:val="nil"/>
            </w:tcBorders>
            <w:shd w:val="clear" w:color="auto" w:fill="auto"/>
            <w:vAlign w:val="center"/>
          </w:tcPr>
          <w:p w14:paraId="46BBDA33">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070ED629">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3D62773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起重操作人员作业失误</w:t>
            </w:r>
          </w:p>
        </w:tc>
        <w:tc>
          <w:tcPr>
            <w:tcW w:w="556" w:type="pct"/>
            <w:tcBorders>
              <w:tl2br w:val="nil"/>
              <w:tr2bl w:val="nil"/>
            </w:tcBorders>
            <w:shd w:val="clear" w:color="auto" w:fill="auto"/>
            <w:vAlign w:val="center"/>
          </w:tcPr>
          <w:p w14:paraId="52C8C33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14:paraId="161FBEB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4FF0DAEE">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76AEBB0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20662E7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59D4EA6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71B4C9F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90</w:t>
            </w:r>
          </w:p>
        </w:tc>
        <w:tc>
          <w:tcPr>
            <w:tcW w:w="279" w:type="pct"/>
            <w:tcBorders>
              <w:tl2br w:val="nil"/>
              <w:tr2bl w:val="nil"/>
            </w:tcBorders>
            <w:shd w:val="clear" w:color="auto" w:fill="auto"/>
            <w:vAlign w:val="center"/>
          </w:tcPr>
          <w:p w14:paraId="0827492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14:paraId="32B9D6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5C6B9FA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348" w:type="pct"/>
            <w:vMerge w:val="continue"/>
            <w:tcBorders>
              <w:tl2br w:val="nil"/>
              <w:tr2bl w:val="nil"/>
            </w:tcBorders>
            <w:shd w:val="clear" w:color="auto" w:fill="auto"/>
            <w:vAlign w:val="center"/>
          </w:tcPr>
          <w:p w14:paraId="63AB7194">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039BA099">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0830F15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吊物重量不明或未进行试吊就直接吊装</w:t>
            </w:r>
          </w:p>
        </w:tc>
        <w:tc>
          <w:tcPr>
            <w:tcW w:w="556" w:type="pct"/>
            <w:tcBorders>
              <w:tl2br w:val="nil"/>
              <w:tr2bl w:val="nil"/>
            </w:tcBorders>
            <w:shd w:val="clear" w:color="auto" w:fill="auto"/>
            <w:vAlign w:val="center"/>
          </w:tcPr>
          <w:p w14:paraId="3AEA08E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14:paraId="7CDFD4B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6713D567">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6A93741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0.5</w:t>
            </w:r>
          </w:p>
        </w:tc>
        <w:tc>
          <w:tcPr>
            <w:tcW w:w="279" w:type="pct"/>
            <w:tcBorders>
              <w:tl2br w:val="nil"/>
              <w:tr2bl w:val="nil"/>
            </w:tcBorders>
            <w:shd w:val="clear" w:color="auto" w:fill="auto"/>
            <w:vAlign w:val="center"/>
          </w:tcPr>
          <w:p w14:paraId="559D933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1F927D9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758B2D4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14:paraId="1284FA2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1281A1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11F3FE0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46</w:t>
            </w:r>
          </w:p>
        </w:tc>
        <w:tc>
          <w:tcPr>
            <w:tcW w:w="348" w:type="pct"/>
            <w:vMerge w:val="continue"/>
            <w:tcBorders>
              <w:tl2br w:val="nil"/>
              <w:tr2bl w:val="nil"/>
            </w:tcBorders>
            <w:shd w:val="clear" w:color="auto" w:fill="auto"/>
            <w:vAlign w:val="center"/>
          </w:tcPr>
          <w:p w14:paraId="6BC37FA2">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06FC6D05">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0C3F1F9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起重设备超负荷起吊</w:t>
            </w:r>
          </w:p>
        </w:tc>
        <w:tc>
          <w:tcPr>
            <w:tcW w:w="556" w:type="pct"/>
            <w:tcBorders>
              <w:tl2br w:val="nil"/>
              <w:tr2bl w:val="nil"/>
            </w:tcBorders>
            <w:shd w:val="clear" w:color="auto" w:fill="auto"/>
            <w:vAlign w:val="center"/>
          </w:tcPr>
          <w:p w14:paraId="7481091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14:paraId="148D748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6D08D3E2">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10C132F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0.5</w:t>
            </w:r>
          </w:p>
        </w:tc>
        <w:tc>
          <w:tcPr>
            <w:tcW w:w="279" w:type="pct"/>
            <w:tcBorders>
              <w:tl2br w:val="nil"/>
              <w:tr2bl w:val="nil"/>
            </w:tcBorders>
            <w:shd w:val="clear" w:color="auto" w:fill="auto"/>
            <w:vAlign w:val="center"/>
          </w:tcPr>
          <w:p w14:paraId="3424536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77E3307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4C2306E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14:paraId="558F283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736B5B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25A5668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47</w:t>
            </w:r>
          </w:p>
        </w:tc>
        <w:tc>
          <w:tcPr>
            <w:tcW w:w="348" w:type="pct"/>
            <w:vMerge w:val="continue"/>
            <w:tcBorders>
              <w:tl2br w:val="nil"/>
              <w:tr2bl w:val="nil"/>
            </w:tcBorders>
            <w:shd w:val="clear" w:color="auto" w:fill="auto"/>
            <w:vAlign w:val="center"/>
          </w:tcPr>
          <w:p w14:paraId="7CD27042">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2AF13230">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7849B38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起重吊装未设置警戒区，人员在起吊物、臂杆下方停留、作业</w:t>
            </w:r>
          </w:p>
        </w:tc>
        <w:tc>
          <w:tcPr>
            <w:tcW w:w="556" w:type="pct"/>
            <w:tcBorders>
              <w:tl2br w:val="nil"/>
              <w:tr2bl w:val="nil"/>
            </w:tcBorders>
            <w:shd w:val="clear" w:color="auto" w:fill="auto"/>
            <w:vAlign w:val="center"/>
          </w:tcPr>
          <w:p w14:paraId="6B41EF5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起重伤害、物体打击</w:t>
            </w:r>
          </w:p>
        </w:tc>
        <w:tc>
          <w:tcPr>
            <w:tcW w:w="209" w:type="pct"/>
            <w:tcBorders>
              <w:tl2br w:val="nil"/>
              <w:tr2bl w:val="nil"/>
            </w:tcBorders>
            <w:shd w:val="clear" w:color="auto" w:fill="auto"/>
            <w:vAlign w:val="center"/>
          </w:tcPr>
          <w:p w14:paraId="1E9C20B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0D34BA7E">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1A41C75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0.5</w:t>
            </w:r>
          </w:p>
        </w:tc>
        <w:tc>
          <w:tcPr>
            <w:tcW w:w="279" w:type="pct"/>
            <w:tcBorders>
              <w:tl2br w:val="nil"/>
              <w:tr2bl w:val="nil"/>
            </w:tcBorders>
            <w:shd w:val="clear" w:color="auto" w:fill="auto"/>
            <w:vAlign w:val="center"/>
          </w:tcPr>
          <w:p w14:paraId="0B9021D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041CCA4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78D7115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14:paraId="579B195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34A313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371E2D0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48</w:t>
            </w:r>
          </w:p>
        </w:tc>
        <w:tc>
          <w:tcPr>
            <w:tcW w:w="348" w:type="pct"/>
            <w:vMerge w:val="continue"/>
            <w:tcBorders>
              <w:tl2br w:val="nil"/>
              <w:tr2bl w:val="nil"/>
            </w:tcBorders>
            <w:shd w:val="clear" w:color="auto" w:fill="auto"/>
            <w:vAlign w:val="center"/>
          </w:tcPr>
          <w:p w14:paraId="198F8D3E">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noWrap/>
            <w:vAlign w:val="center"/>
          </w:tcPr>
          <w:p w14:paraId="099E3487">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3A0FA31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大雨及六级以上大风等恶劣天气进行吊装作业</w:t>
            </w:r>
          </w:p>
        </w:tc>
        <w:tc>
          <w:tcPr>
            <w:tcW w:w="556" w:type="pct"/>
            <w:tcBorders>
              <w:tl2br w:val="nil"/>
              <w:tr2bl w:val="nil"/>
            </w:tcBorders>
            <w:shd w:val="clear" w:color="auto" w:fill="auto"/>
            <w:vAlign w:val="center"/>
          </w:tcPr>
          <w:p w14:paraId="737F737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起重伤害</w:t>
            </w:r>
          </w:p>
        </w:tc>
        <w:tc>
          <w:tcPr>
            <w:tcW w:w="209" w:type="pct"/>
            <w:tcBorders>
              <w:tl2br w:val="nil"/>
              <w:tr2bl w:val="nil"/>
            </w:tcBorders>
            <w:shd w:val="clear" w:color="auto" w:fill="auto"/>
            <w:vAlign w:val="center"/>
          </w:tcPr>
          <w:p w14:paraId="611687B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758C4F71">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7920153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3</w:t>
            </w:r>
          </w:p>
        </w:tc>
        <w:tc>
          <w:tcPr>
            <w:tcW w:w="279" w:type="pct"/>
            <w:tcBorders>
              <w:tl2br w:val="nil"/>
              <w:tr2bl w:val="nil"/>
            </w:tcBorders>
            <w:shd w:val="clear" w:color="auto" w:fill="auto"/>
            <w:vAlign w:val="center"/>
          </w:tcPr>
          <w:p w14:paraId="7B0AF25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379EEEF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17A7248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14:paraId="1A78D4C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773C3C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4F254DC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49</w:t>
            </w:r>
          </w:p>
        </w:tc>
        <w:tc>
          <w:tcPr>
            <w:tcW w:w="348" w:type="pct"/>
            <w:vMerge w:val="continue"/>
            <w:tcBorders>
              <w:tl2br w:val="nil"/>
              <w:tr2bl w:val="nil"/>
            </w:tcBorders>
            <w:shd w:val="clear" w:color="auto" w:fill="auto"/>
            <w:vAlign w:val="center"/>
          </w:tcPr>
          <w:p w14:paraId="7293B169">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restart"/>
            <w:tcBorders>
              <w:tl2br w:val="nil"/>
              <w:tr2bl w:val="nil"/>
            </w:tcBorders>
            <w:shd w:val="clear" w:color="auto" w:fill="auto"/>
            <w:noWrap/>
            <w:vAlign w:val="center"/>
          </w:tcPr>
          <w:p w14:paraId="4BE38DF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临时用电</w:t>
            </w:r>
          </w:p>
        </w:tc>
        <w:tc>
          <w:tcPr>
            <w:tcW w:w="1667" w:type="pct"/>
            <w:tcBorders>
              <w:tl2br w:val="nil"/>
              <w:tr2bl w:val="nil"/>
            </w:tcBorders>
            <w:shd w:val="clear" w:color="auto" w:fill="auto"/>
            <w:vAlign w:val="center"/>
          </w:tcPr>
          <w:p w14:paraId="35E2C98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配电箱配置不符合要求</w:t>
            </w:r>
          </w:p>
        </w:tc>
        <w:tc>
          <w:tcPr>
            <w:tcW w:w="556" w:type="pct"/>
            <w:vMerge w:val="restart"/>
            <w:tcBorders>
              <w:tl2br w:val="nil"/>
              <w:tr2bl w:val="nil"/>
            </w:tcBorders>
            <w:shd w:val="clear" w:color="auto" w:fill="auto"/>
            <w:vAlign w:val="center"/>
          </w:tcPr>
          <w:p w14:paraId="69691AC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触电</w:t>
            </w:r>
          </w:p>
        </w:tc>
        <w:tc>
          <w:tcPr>
            <w:tcW w:w="209" w:type="pct"/>
            <w:tcBorders>
              <w:tl2br w:val="nil"/>
              <w:tr2bl w:val="nil"/>
            </w:tcBorders>
            <w:shd w:val="clear" w:color="auto" w:fill="auto"/>
            <w:vAlign w:val="center"/>
          </w:tcPr>
          <w:p w14:paraId="7AC3589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06967117">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323C2C5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3950186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36625CE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14:paraId="39E78F4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14:paraId="141DD61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077C53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16A43C3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50</w:t>
            </w:r>
          </w:p>
        </w:tc>
        <w:tc>
          <w:tcPr>
            <w:tcW w:w="348" w:type="pct"/>
            <w:vMerge w:val="continue"/>
            <w:tcBorders>
              <w:tl2br w:val="nil"/>
              <w:tr2bl w:val="nil"/>
            </w:tcBorders>
            <w:shd w:val="clear" w:color="auto" w:fill="auto"/>
            <w:vAlign w:val="center"/>
          </w:tcPr>
          <w:p w14:paraId="311E6DF0">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14:paraId="16A47449">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24A93C1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配电箱固定不牢</w:t>
            </w:r>
          </w:p>
        </w:tc>
        <w:tc>
          <w:tcPr>
            <w:tcW w:w="556" w:type="pct"/>
            <w:vMerge w:val="continue"/>
            <w:tcBorders>
              <w:tl2br w:val="nil"/>
              <w:tr2bl w:val="nil"/>
            </w:tcBorders>
            <w:shd w:val="clear" w:color="auto" w:fill="auto"/>
            <w:vAlign w:val="center"/>
          </w:tcPr>
          <w:p w14:paraId="142DC83D">
            <w:pPr>
              <w:pStyle w:val="49"/>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14:paraId="751EEE0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5F9773B8">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55B113A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3D77FA4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60DEDE5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14:paraId="466B7BC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14:paraId="5D94704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61C902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511BCAF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51</w:t>
            </w:r>
          </w:p>
        </w:tc>
        <w:tc>
          <w:tcPr>
            <w:tcW w:w="348" w:type="pct"/>
            <w:vMerge w:val="continue"/>
            <w:tcBorders>
              <w:tl2br w:val="nil"/>
              <w:tr2bl w:val="nil"/>
            </w:tcBorders>
            <w:shd w:val="clear" w:color="auto" w:fill="auto"/>
            <w:vAlign w:val="center"/>
          </w:tcPr>
          <w:p w14:paraId="65EBBC76">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14:paraId="2BF36E4F">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5263036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配电系统未按“三级配电、二级防护”进行设置</w:t>
            </w:r>
          </w:p>
        </w:tc>
        <w:tc>
          <w:tcPr>
            <w:tcW w:w="556" w:type="pct"/>
            <w:vMerge w:val="continue"/>
            <w:tcBorders>
              <w:tl2br w:val="nil"/>
              <w:tr2bl w:val="nil"/>
            </w:tcBorders>
            <w:shd w:val="clear" w:color="auto" w:fill="auto"/>
            <w:vAlign w:val="center"/>
          </w:tcPr>
          <w:p w14:paraId="6CFBD693">
            <w:pPr>
              <w:pStyle w:val="49"/>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14:paraId="0EFD3AA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36C526D5">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6836F1C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60F2E8A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131BDAC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6D5C6C5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90</w:t>
            </w:r>
          </w:p>
        </w:tc>
        <w:tc>
          <w:tcPr>
            <w:tcW w:w="279" w:type="pct"/>
            <w:tcBorders>
              <w:tl2br w:val="nil"/>
              <w:tr2bl w:val="nil"/>
            </w:tcBorders>
            <w:shd w:val="clear" w:color="auto" w:fill="auto"/>
            <w:vAlign w:val="center"/>
          </w:tcPr>
          <w:p w14:paraId="5E3B77E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14:paraId="2577C5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4D8A66F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52</w:t>
            </w:r>
          </w:p>
        </w:tc>
        <w:tc>
          <w:tcPr>
            <w:tcW w:w="348" w:type="pct"/>
            <w:vMerge w:val="continue"/>
            <w:tcBorders>
              <w:tl2br w:val="nil"/>
              <w:tr2bl w:val="nil"/>
            </w:tcBorders>
            <w:shd w:val="clear" w:color="auto" w:fill="auto"/>
            <w:vAlign w:val="center"/>
          </w:tcPr>
          <w:p w14:paraId="6649B5DA">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14:paraId="5C9EBE6C">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5039DA5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用电设备未做到“一机一闸一漏一箱”</w:t>
            </w:r>
          </w:p>
        </w:tc>
        <w:tc>
          <w:tcPr>
            <w:tcW w:w="556" w:type="pct"/>
            <w:vMerge w:val="continue"/>
            <w:tcBorders>
              <w:tl2br w:val="nil"/>
              <w:tr2bl w:val="nil"/>
            </w:tcBorders>
            <w:shd w:val="clear" w:color="auto" w:fill="auto"/>
            <w:vAlign w:val="center"/>
          </w:tcPr>
          <w:p w14:paraId="5304B60C">
            <w:pPr>
              <w:pStyle w:val="49"/>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14:paraId="570BB3B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7612EF48">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5C0AD0F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7685FFA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7C6C7DD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54DA8FF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90</w:t>
            </w:r>
          </w:p>
        </w:tc>
        <w:tc>
          <w:tcPr>
            <w:tcW w:w="279" w:type="pct"/>
            <w:tcBorders>
              <w:tl2br w:val="nil"/>
              <w:tr2bl w:val="nil"/>
            </w:tcBorders>
            <w:shd w:val="clear" w:color="auto" w:fill="auto"/>
            <w:vAlign w:val="center"/>
          </w:tcPr>
          <w:p w14:paraId="68320AA3">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14:paraId="00F4AE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17DFB36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53</w:t>
            </w:r>
          </w:p>
        </w:tc>
        <w:tc>
          <w:tcPr>
            <w:tcW w:w="348" w:type="pct"/>
            <w:vMerge w:val="continue"/>
            <w:tcBorders>
              <w:tl2br w:val="nil"/>
              <w:tr2bl w:val="nil"/>
            </w:tcBorders>
            <w:shd w:val="clear" w:color="auto" w:fill="auto"/>
            <w:vAlign w:val="center"/>
          </w:tcPr>
          <w:p w14:paraId="46245BC4">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14:paraId="4862BCD1">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1F66B66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非专业电工进行操作</w:t>
            </w:r>
          </w:p>
        </w:tc>
        <w:tc>
          <w:tcPr>
            <w:tcW w:w="556" w:type="pct"/>
            <w:vMerge w:val="continue"/>
            <w:tcBorders>
              <w:tl2br w:val="nil"/>
              <w:tr2bl w:val="nil"/>
            </w:tcBorders>
            <w:shd w:val="clear" w:color="auto" w:fill="auto"/>
            <w:vAlign w:val="center"/>
          </w:tcPr>
          <w:p w14:paraId="371FDBD0">
            <w:pPr>
              <w:pStyle w:val="49"/>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14:paraId="2D62369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3F6EBE85">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4D17AA3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6FED071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3DF7A4C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2B4CCBF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90</w:t>
            </w:r>
          </w:p>
        </w:tc>
        <w:tc>
          <w:tcPr>
            <w:tcW w:w="279" w:type="pct"/>
            <w:tcBorders>
              <w:tl2br w:val="nil"/>
              <w:tr2bl w:val="nil"/>
            </w:tcBorders>
            <w:shd w:val="clear" w:color="auto" w:fill="auto"/>
            <w:vAlign w:val="center"/>
          </w:tcPr>
          <w:p w14:paraId="000DF84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Ⅱ</w:t>
            </w:r>
          </w:p>
        </w:tc>
      </w:tr>
      <w:tr w14:paraId="76EE62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31DDFB4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54</w:t>
            </w:r>
          </w:p>
        </w:tc>
        <w:tc>
          <w:tcPr>
            <w:tcW w:w="348" w:type="pct"/>
            <w:vMerge w:val="continue"/>
            <w:tcBorders>
              <w:tl2br w:val="nil"/>
              <w:tr2bl w:val="nil"/>
            </w:tcBorders>
            <w:shd w:val="clear" w:color="auto" w:fill="auto"/>
            <w:vAlign w:val="center"/>
          </w:tcPr>
          <w:p w14:paraId="3E7CF313">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14:paraId="70B0C1D4">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171F36A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电路配置与用电设备功率不匹配</w:t>
            </w:r>
          </w:p>
        </w:tc>
        <w:tc>
          <w:tcPr>
            <w:tcW w:w="556" w:type="pct"/>
            <w:vMerge w:val="continue"/>
            <w:tcBorders>
              <w:tl2br w:val="nil"/>
              <w:tr2bl w:val="nil"/>
            </w:tcBorders>
            <w:shd w:val="clear" w:color="auto" w:fill="auto"/>
            <w:vAlign w:val="center"/>
          </w:tcPr>
          <w:p w14:paraId="205E5A4C">
            <w:pPr>
              <w:pStyle w:val="49"/>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14:paraId="0B7E306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1ACCE049">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467DE9F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0.5</w:t>
            </w:r>
          </w:p>
        </w:tc>
        <w:tc>
          <w:tcPr>
            <w:tcW w:w="279" w:type="pct"/>
            <w:tcBorders>
              <w:tl2br w:val="nil"/>
              <w:tr2bl w:val="nil"/>
            </w:tcBorders>
            <w:shd w:val="clear" w:color="auto" w:fill="auto"/>
            <w:vAlign w:val="center"/>
          </w:tcPr>
          <w:p w14:paraId="1886394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20A16CA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15</w:t>
            </w:r>
          </w:p>
        </w:tc>
        <w:tc>
          <w:tcPr>
            <w:tcW w:w="279" w:type="pct"/>
            <w:tcBorders>
              <w:tl2br w:val="nil"/>
              <w:tr2bl w:val="nil"/>
            </w:tcBorders>
            <w:shd w:val="clear" w:color="auto" w:fill="auto"/>
            <w:vAlign w:val="center"/>
          </w:tcPr>
          <w:p w14:paraId="31E39ED8">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45</w:t>
            </w:r>
          </w:p>
        </w:tc>
        <w:tc>
          <w:tcPr>
            <w:tcW w:w="279" w:type="pct"/>
            <w:tcBorders>
              <w:tl2br w:val="nil"/>
              <w:tr2bl w:val="nil"/>
            </w:tcBorders>
            <w:shd w:val="clear" w:color="auto" w:fill="auto"/>
            <w:vAlign w:val="center"/>
          </w:tcPr>
          <w:p w14:paraId="08AC263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660CBC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0C2EEA3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55</w:t>
            </w:r>
          </w:p>
        </w:tc>
        <w:tc>
          <w:tcPr>
            <w:tcW w:w="348" w:type="pct"/>
            <w:vMerge w:val="continue"/>
            <w:tcBorders>
              <w:tl2br w:val="nil"/>
              <w:tr2bl w:val="nil"/>
            </w:tcBorders>
            <w:shd w:val="clear" w:color="auto" w:fill="auto"/>
            <w:vAlign w:val="center"/>
          </w:tcPr>
          <w:p w14:paraId="53E5C561">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14:paraId="111A5E9F">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2D6C885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随意拖拽电缆</w:t>
            </w:r>
          </w:p>
        </w:tc>
        <w:tc>
          <w:tcPr>
            <w:tcW w:w="556" w:type="pct"/>
            <w:vMerge w:val="continue"/>
            <w:tcBorders>
              <w:tl2br w:val="nil"/>
              <w:tr2bl w:val="nil"/>
            </w:tcBorders>
            <w:shd w:val="clear" w:color="auto" w:fill="auto"/>
            <w:vAlign w:val="center"/>
          </w:tcPr>
          <w:p w14:paraId="0C2637EE">
            <w:pPr>
              <w:pStyle w:val="49"/>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14:paraId="759C765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0EF11EA7">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7148AFB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393BDC2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6F3B94D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14:paraId="797DBF8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14:paraId="096E143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13EBDF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15CC233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56</w:t>
            </w:r>
          </w:p>
        </w:tc>
        <w:tc>
          <w:tcPr>
            <w:tcW w:w="348" w:type="pct"/>
            <w:vMerge w:val="continue"/>
            <w:tcBorders>
              <w:tl2br w:val="nil"/>
              <w:tr2bl w:val="nil"/>
            </w:tcBorders>
            <w:shd w:val="clear" w:color="auto" w:fill="auto"/>
            <w:vAlign w:val="center"/>
          </w:tcPr>
          <w:p w14:paraId="334260CC">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14:paraId="5147D358">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769DF8A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用电设备雨天未防雨遮盖，雨后未检查就使用</w:t>
            </w:r>
          </w:p>
        </w:tc>
        <w:tc>
          <w:tcPr>
            <w:tcW w:w="556" w:type="pct"/>
            <w:vMerge w:val="continue"/>
            <w:tcBorders>
              <w:tl2br w:val="nil"/>
              <w:tr2bl w:val="nil"/>
            </w:tcBorders>
            <w:shd w:val="clear" w:color="auto" w:fill="auto"/>
            <w:vAlign w:val="center"/>
          </w:tcPr>
          <w:p w14:paraId="2B7F81D2">
            <w:pPr>
              <w:pStyle w:val="49"/>
              <w:kinsoku/>
              <w:overflowPunct/>
              <w:topLinePunct w:val="0"/>
              <w:bidi w:val="0"/>
              <w:spacing w:line="360" w:lineRule="atLeast"/>
              <w:rPr>
                <w:rStyle w:val="215"/>
                <w:rFonts w:hint="eastAsia" w:ascii="宋体" w:hAnsi="宋体" w:eastAsia="宋体" w:cs="宋体"/>
                <w:sz w:val="21"/>
                <w:szCs w:val="21"/>
              </w:rPr>
            </w:pPr>
          </w:p>
        </w:tc>
        <w:tc>
          <w:tcPr>
            <w:tcW w:w="209" w:type="pct"/>
            <w:tcBorders>
              <w:tl2br w:val="nil"/>
              <w:tr2bl w:val="nil"/>
            </w:tcBorders>
            <w:shd w:val="clear" w:color="auto" w:fill="auto"/>
            <w:vAlign w:val="center"/>
          </w:tcPr>
          <w:p w14:paraId="3C9FBE8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3CB0607D">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7730098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6B578CF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535CF72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14:paraId="793028C1">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14:paraId="11CCEFF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5EAB09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11C4477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57</w:t>
            </w:r>
          </w:p>
        </w:tc>
        <w:tc>
          <w:tcPr>
            <w:tcW w:w="348" w:type="pct"/>
            <w:vMerge w:val="continue"/>
            <w:tcBorders>
              <w:tl2br w:val="nil"/>
              <w:tr2bl w:val="nil"/>
            </w:tcBorders>
            <w:shd w:val="clear" w:color="auto" w:fill="auto"/>
            <w:vAlign w:val="center"/>
          </w:tcPr>
          <w:p w14:paraId="686B7B1F">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restart"/>
            <w:tcBorders>
              <w:tl2br w:val="nil"/>
              <w:tr2bl w:val="nil"/>
            </w:tcBorders>
            <w:shd w:val="clear" w:color="auto" w:fill="auto"/>
            <w:vAlign w:val="center"/>
          </w:tcPr>
          <w:p w14:paraId="0B8042C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夜间作业</w:t>
            </w:r>
          </w:p>
        </w:tc>
        <w:tc>
          <w:tcPr>
            <w:tcW w:w="1667" w:type="pct"/>
            <w:tcBorders>
              <w:tl2br w:val="nil"/>
              <w:tr2bl w:val="nil"/>
            </w:tcBorders>
            <w:shd w:val="clear" w:color="auto" w:fill="auto"/>
            <w:vAlign w:val="center"/>
          </w:tcPr>
          <w:p w14:paraId="50B08E2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夜间照明不充足</w:t>
            </w:r>
          </w:p>
        </w:tc>
        <w:tc>
          <w:tcPr>
            <w:tcW w:w="556" w:type="pct"/>
            <w:tcBorders>
              <w:tl2br w:val="nil"/>
              <w:tr2bl w:val="nil"/>
            </w:tcBorders>
            <w:shd w:val="clear" w:color="auto" w:fill="auto"/>
            <w:vAlign w:val="center"/>
          </w:tcPr>
          <w:p w14:paraId="7423C28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高空坠落</w:t>
            </w:r>
          </w:p>
          <w:p w14:paraId="763CE03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物体打击</w:t>
            </w:r>
          </w:p>
        </w:tc>
        <w:tc>
          <w:tcPr>
            <w:tcW w:w="209" w:type="pct"/>
            <w:tcBorders>
              <w:tl2br w:val="nil"/>
              <w:tr2bl w:val="nil"/>
            </w:tcBorders>
            <w:shd w:val="clear" w:color="auto" w:fill="auto"/>
            <w:vAlign w:val="center"/>
          </w:tcPr>
          <w:p w14:paraId="229B234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4DF05B46">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3ECDE29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2F050A8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6D063D3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14:paraId="07FE561E">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14:paraId="2AADDEA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76B1D7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2163438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58</w:t>
            </w:r>
          </w:p>
        </w:tc>
        <w:tc>
          <w:tcPr>
            <w:tcW w:w="348" w:type="pct"/>
            <w:vMerge w:val="continue"/>
            <w:tcBorders>
              <w:tl2br w:val="nil"/>
              <w:tr2bl w:val="nil"/>
            </w:tcBorders>
            <w:shd w:val="clear" w:color="auto" w:fill="auto"/>
            <w:vAlign w:val="center"/>
          </w:tcPr>
          <w:p w14:paraId="1EB1D448">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14:paraId="353815FF">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4C384EDA">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工作人员未按要求穿着反光衣</w:t>
            </w:r>
          </w:p>
        </w:tc>
        <w:tc>
          <w:tcPr>
            <w:tcW w:w="556" w:type="pct"/>
            <w:tcBorders>
              <w:tl2br w:val="nil"/>
              <w:tr2bl w:val="nil"/>
            </w:tcBorders>
            <w:shd w:val="clear" w:color="auto" w:fill="auto"/>
            <w:vAlign w:val="center"/>
          </w:tcPr>
          <w:p w14:paraId="3AAA57B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物体打击</w:t>
            </w:r>
          </w:p>
        </w:tc>
        <w:tc>
          <w:tcPr>
            <w:tcW w:w="209" w:type="pct"/>
            <w:tcBorders>
              <w:tl2br w:val="nil"/>
              <w:tr2bl w:val="nil"/>
            </w:tcBorders>
            <w:shd w:val="clear" w:color="auto" w:fill="auto"/>
            <w:vAlign w:val="center"/>
          </w:tcPr>
          <w:p w14:paraId="6243107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36581010">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3F7AE8C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72583E2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08B6C2A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14:paraId="6923E57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14:paraId="30719C0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55EAB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019EA9E6">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59</w:t>
            </w:r>
          </w:p>
        </w:tc>
        <w:tc>
          <w:tcPr>
            <w:tcW w:w="348" w:type="pct"/>
            <w:vMerge w:val="continue"/>
            <w:tcBorders>
              <w:tl2br w:val="nil"/>
              <w:tr2bl w:val="nil"/>
            </w:tcBorders>
            <w:shd w:val="clear" w:color="auto" w:fill="auto"/>
            <w:vAlign w:val="center"/>
          </w:tcPr>
          <w:p w14:paraId="05E048C2">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14:paraId="0135F2D6">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452A529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未安排专人指挥</w:t>
            </w:r>
          </w:p>
        </w:tc>
        <w:tc>
          <w:tcPr>
            <w:tcW w:w="556" w:type="pct"/>
            <w:tcBorders>
              <w:tl2br w:val="nil"/>
              <w:tr2bl w:val="nil"/>
            </w:tcBorders>
            <w:shd w:val="clear" w:color="auto" w:fill="auto"/>
            <w:vAlign w:val="center"/>
          </w:tcPr>
          <w:p w14:paraId="3959922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物体打击</w:t>
            </w:r>
          </w:p>
          <w:p w14:paraId="5BDCF1F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高空坠落</w:t>
            </w:r>
          </w:p>
        </w:tc>
        <w:tc>
          <w:tcPr>
            <w:tcW w:w="209" w:type="pct"/>
            <w:tcBorders>
              <w:tl2br w:val="nil"/>
              <w:tr2bl w:val="nil"/>
            </w:tcBorders>
            <w:shd w:val="clear" w:color="auto" w:fill="auto"/>
            <w:vAlign w:val="center"/>
          </w:tcPr>
          <w:p w14:paraId="7A7F7DF4">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380796A7">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1458438B">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77B6FF6F">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69C2A88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14:paraId="217E7667">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14:paraId="1669F930">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r w14:paraId="52900C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71" w:type="pct"/>
            <w:tcBorders>
              <w:tl2br w:val="nil"/>
              <w:tr2bl w:val="nil"/>
            </w:tcBorders>
            <w:shd w:val="clear" w:color="auto" w:fill="auto"/>
            <w:noWrap/>
            <w:vAlign w:val="center"/>
          </w:tcPr>
          <w:p w14:paraId="08D8690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60</w:t>
            </w:r>
          </w:p>
        </w:tc>
        <w:tc>
          <w:tcPr>
            <w:tcW w:w="348" w:type="pct"/>
            <w:vMerge w:val="continue"/>
            <w:tcBorders>
              <w:tl2br w:val="nil"/>
              <w:tr2bl w:val="nil"/>
            </w:tcBorders>
            <w:shd w:val="clear" w:color="auto" w:fill="auto"/>
            <w:vAlign w:val="center"/>
          </w:tcPr>
          <w:p w14:paraId="1E5212A4">
            <w:pPr>
              <w:pStyle w:val="49"/>
              <w:kinsoku/>
              <w:overflowPunct/>
              <w:topLinePunct w:val="0"/>
              <w:bidi w:val="0"/>
              <w:spacing w:line="360" w:lineRule="atLeast"/>
              <w:rPr>
                <w:rStyle w:val="215"/>
                <w:rFonts w:hint="eastAsia" w:ascii="宋体" w:hAnsi="宋体" w:eastAsia="宋体" w:cs="宋体"/>
                <w:sz w:val="21"/>
                <w:szCs w:val="21"/>
              </w:rPr>
            </w:pPr>
          </w:p>
        </w:tc>
        <w:tc>
          <w:tcPr>
            <w:tcW w:w="348" w:type="pct"/>
            <w:vMerge w:val="continue"/>
            <w:tcBorders>
              <w:tl2br w:val="nil"/>
              <w:tr2bl w:val="nil"/>
            </w:tcBorders>
            <w:shd w:val="clear" w:color="auto" w:fill="auto"/>
            <w:vAlign w:val="center"/>
          </w:tcPr>
          <w:p w14:paraId="7D81BE80">
            <w:pPr>
              <w:pStyle w:val="49"/>
              <w:kinsoku/>
              <w:overflowPunct/>
              <w:topLinePunct w:val="0"/>
              <w:bidi w:val="0"/>
              <w:spacing w:line="360" w:lineRule="atLeast"/>
              <w:rPr>
                <w:rStyle w:val="215"/>
                <w:rFonts w:hint="eastAsia" w:ascii="宋体" w:hAnsi="宋体" w:eastAsia="宋体" w:cs="宋体"/>
                <w:sz w:val="21"/>
                <w:szCs w:val="21"/>
              </w:rPr>
            </w:pPr>
          </w:p>
        </w:tc>
        <w:tc>
          <w:tcPr>
            <w:tcW w:w="1667" w:type="pct"/>
            <w:tcBorders>
              <w:tl2br w:val="nil"/>
              <w:tr2bl w:val="nil"/>
            </w:tcBorders>
            <w:shd w:val="clear" w:color="auto" w:fill="auto"/>
            <w:vAlign w:val="center"/>
          </w:tcPr>
          <w:p w14:paraId="7BB9854D">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夜间作业施工区域设置标志标牌</w:t>
            </w:r>
          </w:p>
        </w:tc>
        <w:tc>
          <w:tcPr>
            <w:tcW w:w="556" w:type="pct"/>
            <w:tcBorders>
              <w:tl2br w:val="nil"/>
              <w:tr2bl w:val="nil"/>
            </w:tcBorders>
            <w:shd w:val="clear" w:color="auto" w:fill="auto"/>
            <w:vAlign w:val="center"/>
          </w:tcPr>
          <w:p w14:paraId="0BC00739">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其他</w:t>
            </w:r>
          </w:p>
        </w:tc>
        <w:tc>
          <w:tcPr>
            <w:tcW w:w="209" w:type="pct"/>
            <w:tcBorders>
              <w:tl2br w:val="nil"/>
              <w:tr2bl w:val="nil"/>
            </w:tcBorders>
            <w:shd w:val="clear" w:color="auto" w:fill="auto"/>
            <w:vAlign w:val="center"/>
          </w:tcPr>
          <w:p w14:paraId="4FDE2B4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是</w:t>
            </w:r>
          </w:p>
        </w:tc>
        <w:tc>
          <w:tcPr>
            <w:tcW w:w="209" w:type="pct"/>
            <w:tcBorders>
              <w:tl2br w:val="nil"/>
              <w:tr2bl w:val="nil"/>
            </w:tcBorders>
            <w:shd w:val="clear" w:color="auto" w:fill="auto"/>
            <w:vAlign w:val="center"/>
          </w:tcPr>
          <w:p w14:paraId="258EB017">
            <w:pPr>
              <w:pStyle w:val="49"/>
              <w:kinsoku/>
              <w:overflowPunct/>
              <w:topLinePunct w:val="0"/>
              <w:bidi w:val="0"/>
              <w:spacing w:line="360" w:lineRule="atLeast"/>
              <w:rPr>
                <w:rStyle w:val="215"/>
                <w:rFonts w:hint="eastAsia" w:ascii="宋体" w:hAnsi="宋体" w:eastAsia="宋体" w:cs="宋体"/>
                <w:sz w:val="21"/>
                <w:szCs w:val="21"/>
              </w:rPr>
            </w:pPr>
          </w:p>
        </w:tc>
        <w:tc>
          <w:tcPr>
            <w:tcW w:w="279" w:type="pct"/>
            <w:tcBorders>
              <w:tl2br w:val="nil"/>
              <w:tr2bl w:val="nil"/>
            </w:tcBorders>
            <w:shd w:val="clear" w:color="auto" w:fill="auto"/>
            <w:vAlign w:val="center"/>
          </w:tcPr>
          <w:p w14:paraId="664A81F5">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1</w:t>
            </w:r>
          </w:p>
        </w:tc>
        <w:tc>
          <w:tcPr>
            <w:tcW w:w="279" w:type="pct"/>
            <w:tcBorders>
              <w:tl2br w:val="nil"/>
              <w:tr2bl w:val="nil"/>
            </w:tcBorders>
            <w:shd w:val="clear" w:color="auto" w:fill="auto"/>
            <w:vAlign w:val="center"/>
          </w:tcPr>
          <w:p w14:paraId="746533E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6</w:t>
            </w:r>
          </w:p>
        </w:tc>
        <w:tc>
          <w:tcPr>
            <w:tcW w:w="279" w:type="pct"/>
            <w:tcBorders>
              <w:tl2br w:val="nil"/>
              <w:tr2bl w:val="nil"/>
            </w:tcBorders>
            <w:shd w:val="clear" w:color="auto" w:fill="auto"/>
            <w:vAlign w:val="center"/>
          </w:tcPr>
          <w:p w14:paraId="4547182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7</w:t>
            </w:r>
          </w:p>
        </w:tc>
        <w:tc>
          <w:tcPr>
            <w:tcW w:w="279" w:type="pct"/>
            <w:tcBorders>
              <w:tl2br w:val="nil"/>
              <w:tr2bl w:val="nil"/>
            </w:tcBorders>
            <w:shd w:val="clear" w:color="auto" w:fill="auto"/>
            <w:vAlign w:val="center"/>
          </w:tcPr>
          <w:p w14:paraId="74583892">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42</w:t>
            </w:r>
          </w:p>
        </w:tc>
        <w:tc>
          <w:tcPr>
            <w:tcW w:w="279" w:type="pct"/>
            <w:tcBorders>
              <w:tl2br w:val="nil"/>
              <w:tr2bl w:val="nil"/>
            </w:tcBorders>
            <w:shd w:val="clear" w:color="auto" w:fill="auto"/>
            <w:vAlign w:val="center"/>
          </w:tcPr>
          <w:p w14:paraId="1521B07C">
            <w:pPr>
              <w:pStyle w:val="49"/>
              <w:kinsoku/>
              <w:overflowPunct/>
              <w:topLinePunct w:val="0"/>
              <w:bidi w:val="0"/>
              <w:spacing w:line="360" w:lineRule="atLeast"/>
              <w:rPr>
                <w:rStyle w:val="215"/>
                <w:rFonts w:hint="eastAsia" w:ascii="宋体" w:hAnsi="宋体" w:eastAsia="宋体" w:cs="宋体"/>
                <w:sz w:val="21"/>
                <w:szCs w:val="21"/>
              </w:rPr>
            </w:pPr>
            <w:r>
              <w:rPr>
                <w:rStyle w:val="215"/>
                <w:rFonts w:hint="eastAsia" w:ascii="宋体" w:hAnsi="宋体" w:eastAsia="宋体" w:cs="宋体"/>
                <w:sz w:val="21"/>
                <w:szCs w:val="21"/>
              </w:rPr>
              <w:t>Ⅰ</w:t>
            </w:r>
          </w:p>
        </w:tc>
      </w:tr>
    </w:tbl>
    <w:p w14:paraId="3AF4915F">
      <w:pPr>
        <w:pStyle w:val="4"/>
        <w:keepNext w:val="0"/>
        <w:pageBreakBefore w:val="0"/>
        <w:widowControl w:val="0"/>
        <w:numPr>
          <w:ilvl w:val="2"/>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风险分析结论</w:t>
      </w:r>
    </w:p>
    <w:p w14:paraId="5D48A5B9">
      <w:pPr>
        <w:bidi w:val="0"/>
        <w:rPr>
          <w:rFonts w:hint="eastAsia"/>
        </w:rPr>
      </w:pPr>
      <w:r>
        <w:rPr>
          <w:rFonts w:hint="eastAsia"/>
        </w:rPr>
        <w:t>根据塔吊</w:t>
      </w:r>
      <w:r>
        <w:rPr>
          <w:rFonts w:hint="eastAsia"/>
          <w:lang w:eastAsia="zh-CN"/>
        </w:rPr>
        <w:t>拆除</w:t>
      </w:r>
      <w:r>
        <w:rPr>
          <w:rFonts w:hint="eastAsia"/>
        </w:rPr>
        <w:t>施工作业风险LEC法评估结果表，Ⅱ级以上危险有害因素的有18项，主要潜在事故类型：触电、起重伤害、机械伤害、物体打击、高处坠落、倒塌及触电，需要制定针对性安全措施，施工期间，严格落实领导带班制度。</w:t>
      </w:r>
    </w:p>
    <w:p w14:paraId="19BC2AD9">
      <w:pPr>
        <w:pStyle w:val="13"/>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t>表9.1.3</w:t>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显著危害因素清单</w:t>
      </w:r>
    </w:p>
    <w:tbl>
      <w:tblPr>
        <w:tblStyle w:val="4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32"/>
        <w:gridCol w:w="991"/>
        <w:gridCol w:w="1449"/>
        <w:gridCol w:w="6178"/>
        <w:gridCol w:w="1346"/>
        <w:gridCol w:w="991"/>
        <w:gridCol w:w="3200"/>
      </w:tblGrid>
      <w:tr w14:paraId="09F8D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blHeader/>
        </w:trPr>
        <w:tc>
          <w:tcPr>
            <w:tcW w:w="214" w:type="pct"/>
            <w:tcBorders>
              <w:tl2br w:val="nil"/>
              <w:tr2bl w:val="nil"/>
            </w:tcBorders>
            <w:shd w:val="clear" w:color="auto" w:fill="auto"/>
            <w:vAlign w:val="center"/>
          </w:tcPr>
          <w:p w14:paraId="201829E9">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序号</w:t>
            </w:r>
          </w:p>
        </w:tc>
        <w:tc>
          <w:tcPr>
            <w:tcW w:w="335" w:type="pct"/>
            <w:tcBorders>
              <w:tl2br w:val="nil"/>
              <w:tr2bl w:val="nil"/>
            </w:tcBorders>
            <w:shd w:val="clear" w:color="auto" w:fill="auto"/>
            <w:vAlign w:val="center"/>
          </w:tcPr>
          <w:p w14:paraId="00542869">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作业活动单元</w:t>
            </w:r>
          </w:p>
        </w:tc>
        <w:tc>
          <w:tcPr>
            <w:tcW w:w="490" w:type="pct"/>
            <w:tcBorders>
              <w:tl2br w:val="nil"/>
              <w:tr2bl w:val="nil"/>
            </w:tcBorders>
            <w:shd w:val="clear" w:color="auto" w:fill="auto"/>
            <w:vAlign w:val="center"/>
          </w:tcPr>
          <w:p w14:paraId="203F2760">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活动的内容</w:t>
            </w:r>
          </w:p>
        </w:tc>
        <w:tc>
          <w:tcPr>
            <w:tcW w:w="2089" w:type="pct"/>
            <w:tcBorders>
              <w:tl2br w:val="nil"/>
              <w:tr2bl w:val="nil"/>
            </w:tcBorders>
            <w:shd w:val="clear" w:color="auto" w:fill="auto"/>
            <w:vAlign w:val="center"/>
          </w:tcPr>
          <w:p w14:paraId="3C8452D2">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危害因素</w:t>
            </w:r>
          </w:p>
        </w:tc>
        <w:tc>
          <w:tcPr>
            <w:tcW w:w="455" w:type="pct"/>
            <w:tcBorders>
              <w:tl2br w:val="nil"/>
              <w:tr2bl w:val="nil"/>
            </w:tcBorders>
            <w:shd w:val="clear" w:color="auto" w:fill="auto"/>
            <w:vAlign w:val="center"/>
          </w:tcPr>
          <w:p w14:paraId="6D3E3A2E">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潜在事故类型</w:t>
            </w:r>
          </w:p>
        </w:tc>
        <w:tc>
          <w:tcPr>
            <w:tcW w:w="335" w:type="pct"/>
            <w:tcBorders>
              <w:tl2br w:val="nil"/>
              <w:tr2bl w:val="nil"/>
            </w:tcBorders>
            <w:shd w:val="clear" w:color="auto" w:fill="auto"/>
            <w:vAlign w:val="center"/>
          </w:tcPr>
          <w:p w14:paraId="7863AB65">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危害级别</w:t>
            </w:r>
          </w:p>
        </w:tc>
        <w:tc>
          <w:tcPr>
            <w:tcW w:w="1082" w:type="pct"/>
            <w:tcBorders>
              <w:tl2br w:val="nil"/>
              <w:tr2bl w:val="nil"/>
            </w:tcBorders>
            <w:shd w:val="clear" w:color="auto" w:fill="auto"/>
            <w:vAlign w:val="center"/>
          </w:tcPr>
          <w:p w14:paraId="6E6CA249">
            <w:pPr>
              <w:pStyle w:val="49"/>
              <w:kinsoku/>
              <w:overflowPunct/>
              <w:topLinePunct w:val="0"/>
              <w:bidi w:val="0"/>
              <w:spacing w:line="360" w:lineRule="atLeast"/>
              <w:rPr>
                <w:rFonts w:hint="eastAsia" w:ascii="宋体" w:hAnsi="宋体" w:eastAsia="宋体" w:cs="宋体"/>
                <w:b/>
                <w:bCs/>
                <w:sz w:val="21"/>
                <w:szCs w:val="21"/>
              </w:rPr>
            </w:pPr>
            <w:r>
              <w:rPr>
                <w:rFonts w:hint="eastAsia" w:ascii="宋体" w:hAnsi="宋体" w:eastAsia="宋体" w:cs="宋体"/>
                <w:b/>
                <w:bCs/>
                <w:sz w:val="21"/>
                <w:szCs w:val="21"/>
              </w:rPr>
              <w:t>控制措施</w:t>
            </w:r>
          </w:p>
        </w:tc>
      </w:tr>
      <w:tr w14:paraId="57DF93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14:paraId="7F0D4E7A">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w:t>
            </w:r>
          </w:p>
        </w:tc>
        <w:tc>
          <w:tcPr>
            <w:tcW w:w="335" w:type="pct"/>
            <w:tcBorders>
              <w:tl2br w:val="nil"/>
              <w:tr2bl w:val="nil"/>
            </w:tcBorders>
            <w:shd w:val="clear" w:color="auto" w:fill="auto"/>
            <w:vAlign w:val="center"/>
          </w:tcPr>
          <w:p w14:paraId="76E0D1DC">
            <w:pPr>
              <w:pStyle w:val="49"/>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rPr>
              <w:t>塔吊基础及塔吊</w:t>
            </w:r>
            <w:r>
              <w:rPr>
                <w:rFonts w:hint="eastAsia" w:cs="宋体"/>
                <w:sz w:val="21"/>
                <w:szCs w:val="21"/>
                <w:lang w:eastAsia="zh-CN"/>
              </w:rPr>
              <w:t>拆除</w:t>
            </w:r>
          </w:p>
        </w:tc>
        <w:tc>
          <w:tcPr>
            <w:tcW w:w="490" w:type="pct"/>
            <w:tcBorders>
              <w:tl2br w:val="nil"/>
              <w:tr2bl w:val="nil"/>
            </w:tcBorders>
            <w:shd w:val="clear" w:color="auto" w:fill="auto"/>
            <w:vAlign w:val="center"/>
          </w:tcPr>
          <w:p w14:paraId="3A830E9A">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施工准备</w:t>
            </w:r>
          </w:p>
        </w:tc>
        <w:tc>
          <w:tcPr>
            <w:tcW w:w="2089" w:type="pct"/>
            <w:tcBorders>
              <w:tl2br w:val="nil"/>
              <w:tr2bl w:val="nil"/>
            </w:tcBorders>
            <w:shd w:val="clear" w:color="auto" w:fill="auto"/>
            <w:vAlign w:val="center"/>
          </w:tcPr>
          <w:p w14:paraId="784DC56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作业人员进入施工现场未正确使用安全防护用品</w:t>
            </w:r>
          </w:p>
        </w:tc>
        <w:tc>
          <w:tcPr>
            <w:tcW w:w="455" w:type="pct"/>
            <w:tcBorders>
              <w:tl2br w:val="nil"/>
              <w:tr2bl w:val="nil"/>
            </w:tcBorders>
            <w:shd w:val="clear" w:color="auto" w:fill="auto"/>
            <w:vAlign w:val="center"/>
          </w:tcPr>
          <w:p w14:paraId="5582DC8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物体打击</w:t>
            </w:r>
          </w:p>
          <w:p w14:paraId="12390E8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起重伤害</w:t>
            </w:r>
          </w:p>
          <w:p w14:paraId="3B3FE7A4">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高处坠落</w:t>
            </w:r>
          </w:p>
        </w:tc>
        <w:tc>
          <w:tcPr>
            <w:tcW w:w="335" w:type="pct"/>
            <w:tcBorders>
              <w:tl2br w:val="nil"/>
              <w:tr2bl w:val="nil"/>
            </w:tcBorders>
            <w:shd w:val="clear" w:color="auto" w:fill="auto"/>
            <w:vAlign w:val="center"/>
          </w:tcPr>
          <w:p w14:paraId="07526E4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restart"/>
            <w:tcBorders>
              <w:tl2br w:val="nil"/>
              <w:tr2bl w:val="nil"/>
            </w:tcBorders>
            <w:shd w:val="clear" w:color="auto" w:fill="auto"/>
            <w:vAlign w:val="center"/>
          </w:tcPr>
          <w:p w14:paraId="415F65E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加强施工作业人员安全教育，安全人员现场巡查发现未正确使用安全防护用品的立即要求整改</w:t>
            </w:r>
          </w:p>
        </w:tc>
      </w:tr>
      <w:tr w14:paraId="74A0E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14:paraId="3F726E4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w:t>
            </w:r>
          </w:p>
        </w:tc>
        <w:tc>
          <w:tcPr>
            <w:tcW w:w="335" w:type="pct"/>
            <w:tcBorders>
              <w:tl2br w:val="nil"/>
              <w:tr2bl w:val="nil"/>
            </w:tcBorders>
            <w:shd w:val="clear" w:color="auto" w:fill="auto"/>
            <w:vAlign w:val="center"/>
          </w:tcPr>
          <w:p w14:paraId="065B8173">
            <w:pPr>
              <w:pStyle w:val="49"/>
              <w:kinsoku/>
              <w:overflowPunct/>
              <w:topLinePunct w:val="0"/>
              <w:bidi w:val="0"/>
              <w:spacing w:line="360" w:lineRule="atLeast"/>
              <w:rPr>
                <w:rFonts w:hint="eastAsia" w:ascii="宋体" w:hAnsi="宋体" w:eastAsia="宋体" w:cs="宋体"/>
                <w:sz w:val="21"/>
                <w:szCs w:val="21"/>
              </w:rPr>
            </w:pPr>
          </w:p>
        </w:tc>
        <w:tc>
          <w:tcPr>
            <w:tcW w:w="490" w:type="pct"/>
            <w:vMerge w:val="restart"/>
            <w:tcBorders>
              <w:tl2br w:val="nil"/>
              <w:tr2bl w:val="nil"/>
            </w:tcBorders>
            <w:shd w:val="clear" w:color="auto" w:fill="auto"/>
            <w:vAlign w:val="center"/>
          </w:tcPr>
          <w:p w14:paraId="6204A36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塔吊</w:t>
            </w:r>
            <w:r>
              <w:rPr>
                <w:rFonts w:hint="eastAsia" w:cs="宋体"/>
                <w:sz w:val="21"/>
                <w:szCs w:val="21"/>
                <w:lang w:eastAsia="zh-CN"/>
              </w:rPr>
              <w:t>拆除</w:t>
            </w:r>
            <w:r>
              <w:rPr>
                <w:rFonts w:hint="eastAsia" w:ascii="宋体" w:hAnsi="宋体" w:eastAsia="宋体" w:cs="宋体"/>
                <w:sz w:val="21"/>
                <w:szCs w:val="21"/>
              </w:rPr>
              <w:t>、拆除</w:t>
            </w:r>
          </w:p>
        </w:tc>
        <w:tc>
          <w:tcPr>
            <w:tcW w:w="2089" w:type="pct"/>
            <w:tcBorders>
              <w:tl2br w:val="nil"/>
              <w:tr2bl w:val="nil"/>
            </w:tcBorders>
            <w:shd w:val="clear" w:color="auto" w:fill="auto"/>
            <w:vAlign w:val="center"/>
          </w:tcPr>
          <w:p w14:paraId="1F3EB450">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作业人员高处作业时未系安全带</w:t>
            </w:r>
          </w:p>
        </w:tc>
        <w:tc>
          <w:tcPr>
            <w:tcW w:w="455" w:type="pct"/>
            <w:tcBorders>
              <w:tl2br w:val="nil"/>
              <w:tr2bl w:val="nil"/>
            </w:tcBorders>
            <w:shd w:val="clear" w:color="auto" w:fill="auto"/>
            <w:vAlign w:val="center"/>
          </w:tcPr>
          <w:p w14:paraId="469DAA96">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高处坠落</w:t>
            </w:r>
          </w:p>
        </w:tc>
        <w:tc>
          <w:tcPr>
            <w:tcW w:w="335" w:type="pct"/>
            <w:tcBorders>
              <w:tl2br w:val="nil"/>
              <w:tr2bl w:val="nil"/>
            </w:tcBorders>
            <w:shd w:val="clear" w:color="auto" w:fill="auto"/>
            <w:vAlign w:val="center"/>
          </w:tcPr>
          <w:p w14:paraId="02950611">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14:paraId="0A73EACC">
            <w:pPr>
              <w:pStyle w:val="49"/>
              <w:kinsoku/>
              <w:overflowPunct/>
              <w:topLinePunct w:val="0"/>
              <w:bidi w:val="0"/>
              <w:spacing w:line="360" w:lineRule="atLeast"/>
              <w:rPr>
                <w:rFonts w:hint="eastAsia" w:ascii="宋体" w:hAnsi="宋体" w:eastAsia="宋体" w:cs="宋体"/>
                <w:sz w:val="21"/>
                <w:szCs w:val="21"/>
              </w:rPr>
            </w:pPr>
          </w:p>
        </w:tc>
      </w:tr>
      <w:tr w14:paraId="119A37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14:paraId="57CAB15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3</w:t>
            </w:r>
          </w:p>
        </w:tc>
        <w:tc>
          <w:tcPr>
            <w:tcW w:w="335" w:type="pct"/>
            <w:tcBorders>
              <w:tl2br w:val="nil"/>
              <w:tr2bl w:val="nil"/>
            </w:tcBorders>
            <w:shd w:val="clear" w:color="auto" w:fill="auto"/>
            <w:vAlign w:val="center"/>
          </w:tcPr>
          <w:p w14:paraId="2E4B3694">
            <w:pPr>
              <w:pStyle w:val="49"/>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14:paraId="18A8291C">
            <w:pPr>
              <w:pStyle w:val="49"/>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14:paraId="5C78483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作业人员在起重臂下弦行走时未交替悬挂安全带</w:t>
            </w:r>
          </w:p>
        </w:tc>
        <w:tc>
          <w:tcPr>
            <w:tcW w:w="455" w:type="pct"/>
            <w:tcBorders>
              <w:tl2br w:val="nil"/>
              <w:tr2bl w:val="nil"/>
            </w:tcBorders>
            <w:shd w:val="clear" w:color="auto" w:fill="auto"/>
            <w:vAlign w:val="center"/>
          </w:tcPr>
          <w:p w14:paraId="72B934C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高处坠落</w:t>
            </w:r>
          </w:p>
        </w:tc>
        <w:tc>
          <w:tcPr>
            <w:tcW w:w="335" w:type="pct"/>
            <w:tcBorders>
              <w:tl2br w:val="nil"/>
              <w:tr2bl w:val="nil"/>
            </w:tcBorders>
            <w:shd w:val="clear" w:color="auto" w:fill="auto"/>
            <w:vAlign w:val="center"/>
          </w:tcPr>
          <w:p w14:paraId="4B4D2CB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14:paraId="09E643D9">
            <w:pPr>
              <w:pStyle w:val="49"/>
              <w:kinsoku/>
              <w:overflowPunct/>
              <w:topLinePunct w:val="0"/>
              <w:bidi w:val="0"/>
              <w:spacing w:line="360" w:lineRule="atLeast"/>
              <w:rPr>
                <w:rFonts w:hint="eastAsia" w:ascii="宋体" w:hAnsi="宋体" w:eastAsia="宋体" w:cs="宋体"/>
                <w:sz w:val="21"/>
                <w:szCs w:val="21"/>
              </w:rPr>
            </w:pPr>
          </w:p>
        </w:tc>
      </w:tr>
      <w:tr w14:paraId="0A927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14:paraId="36CC7BB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w:t>
            </w:r>
          </w:p>
        </w:tc>
        <w:tc>
          <w:tcPr>
            <w:tcW w:w="335" w:type="pct"/>
            <w:tcBorders>
              <w:tl2br w:val="nil"/>
              <w:tr2bl w:val="nil"/>
            </w:tcBorders>
            <w:shd w:val="clear" w:color="auto" w:fill="auto"/>
            <w:vAlign w:val="center"/>
          </w:tcPr>
          <w:p w14:paraId="3DD4A8F1">
            <w:pPr>
              <w:pStyle w:val="49"/>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14:paraId="12CD9C48">
            <w:pPr>
              <w:pStyle w:val="49"/>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14:paraId="6A39E93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作业人员未站位于牢固可靠的地方</w:t>
            </w:r>
          </w:p>
        </w:tc>
        <w:tc>
          <w:tcPr>
            <w:tcW w:w="455" w:type="pct"/>
            <w:tcBorders>
              <w:tl2br w:val="nil"/>
              <w:tr2bl w:val="nil"/>
            </w:tcBorders>
            <w:shd w:val="clear" w:color="auto" w:fill="auto"/>
            <w:vAlign w:val="center"/>
          </w:tcPr>
          <w:p w14:paraId="4E84589E">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高处坠落</w:t>
            </w:r>
          </w:p>
        </w:tc>
        <w:tc>
          <w:tcPr>
            <w:tcW w:w="335" w:type="pct"/>
            <w:tcBorders>
              <w:tl2br w:val="nil"/>
              <w:tr2bl w:val="nil"/>
            </w:tcBorders>
            <w:shd w:val="clear" w:color="auto" w:fill="auto"/>
            <w:vAlign w:val="center"/>
          </w:tcPr>
          <w:p w14:paraId="51326E65">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14:paraId="70831E32">
            <w:pPr>
              <w:pStyle w:val="49"/>
              <w:kinsoku/>
              <w:overflowPunct/>
              <w:topLinePunct w:val="0"/>
              <w:bidi w:val="0"/>
              <w:spacing w:line="360" w:lineRule="atLeast"/>
              <w:rPr>
                <w:rFonts w:hint="eastAsia" w:ascii="宋体" w:hAnsi="宋体" w:eastAsia="宋体" w:cs="宋体"/>
                <w:sz w:val="21"/>
                <w:szCs w:val="21"/>
              </w:rPr>
            </w:pPr>
          </w:p>
        </w:tc>
      </w:tr>
      <w:tr w14:paraId="614D8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14:paraId="6209DA8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w:t>
            </w:r>
          </w:p>
        </w:tc>
        <w:tc>
          <w:tcPr>
            <w:tcW w:w="335" w:type="pct"/>
            <w:tcBorders>
              <w:tl2br w:val="nil"/>
              <w:tr2bl w:val="nil"/>
            </w:tcBorders>
            <w:shd w:val="clear" w:color="auto" w:fill="auto"/>
            <w:vAlign w:val="center"/>
          </w:tcPr>
          <w:p w14:paraId="60173D21">
            <w:pPr>
              <w:pStyle w:val="49"/>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14:paraId="69C6DAA2">
            <w:pPr>
              <w:pStyle w:val="49"/>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14:paraId="595EAC1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塔吊构件未按方案和说明书顺序进行</w:t>
            </w:r>
            <w:r>
              <w:rPr>
                <w:rFonts w:hint="eastAsia" w:cs="宋体"/>
                <w:sz w:val="21"/>
                <w:szCs w:val="21"/>
                <w:lang w:eastAsia="zh-CN"/>
              </w:rPr>
              <w:t>拆除</w:t>
            </w:r>
            <w:r>
              <w:rPr>
                <w:rFonts w:hint="eastAsia" w:ascii="宋体" w:hAnsi="宋体" w:eastAsia="宋体" w:cs="宋体"/>
                <w:sz w:val="21"/>
                <w:szCs w:val="21"/>
              </w:rPr>
              <w:t>或拆除</w:t>
            </w:r>
          </w:p>
        </w:tc>
        <w:tc>
          <w:tcPr>
            <w:tcW w:w="455" w:type="pct"/>
            <w:tcBorders>
              <w:tl2br w:val="nil"/>
              <w:tr2bl w:val="nil"/>
            </w:tcBorders>
            <w:shd w:val="clear" w:color="auto" w:fill="auto"/>
            <w:vAlign w:val="center"/>
          </w:tcPr>
          <w:p w14:paraId="6C1E2E8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倒塌</w:t>
            </w:r>
          </w:p>
        </w:tc>
        <w:tc>
          <w:tcPr>
            <w:tcW w:w="335" w:type="pct"/>
            <w:tcBorders>
              <w:tl2br w:val="nil"/>
              <w:tr2bl w:val="nil"/>
            </w:tcBorders>
            <w:shd w:val="clear" w:color="auto" w:fill="auto"/>
            <w:vAlign w:val="center"/>
          </w:tcPr>
          <w:p w14:paraId="0D258A6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tcBorders>
              <w:tl2br w:val="nil"/>
              <w:tr2bl w:val="nil"/>
            </w:tcBorders>
            <w:shd w:val="clear" w:color="auto" w:fill="auto"/>
            <w:vAlign w:val="center"/>
          </w:tcPr>
          <w:p w14:paraId="2C6BF95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加强施工安全技术交底教育</w:t>
            </w:r>
          </w:p>
        </w:tc>
      </w:tr>
      <w:tr w14:paraId="673CE0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14:paraId="27A7E3C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6</w:t>
            </w:r>
          </w:p>
        </w:tc>
        <w:tc>
          <w:tcPr>
            <w:tcW w:w="335" w:type="pct"/>
            <w:tcBorders>
              <w:tl2br w:val="nil"/>
              <w:tr2bl w:val="nil"/>
            </w:tcBorders>
            <w:shd w:val="clear" w:color="auto" w:fill="auto"/>
            <w:vAlign w:val="center"/>
          </w:tcPr>
          <w:p w14:paraId="792A341A">
            <w:pPr>
              <w:pStyle w:val="49"/>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14:paraId="1E151A41">
            <w:pPr>
              <w:pStyle w:val="49"/>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14:paraId="3E85B389">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顶升前未检查系统是否完好</w:t>
            </w:r>
          </w:p>
        </w:tc>
        <w:tc>
          <w:tcPr>
            <w:tcW w:w="455" w:type="pct"/>
            <w:tcBorders>
              <w:tl2br w:val="nil"/>
              <w:tr2bl w:val="nil"/>
            </w:tcBorders>
            <w:shd w:val="clear" w:color="auto" w:fill="auto"/>
            <w:vAlign w:val="center"/>
          </w:tcPr>
          <w:p w14:paraId="0ADC8B4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起重伤害</w:t>
            </w:r>
          </w:p>
        </w:tc>
        <w:tc>
          <w:tcPr>
            <w:tcW w:w="335" w:type="pct"/>
            <w:tcBorders>
              <w:tl2br w:val="nil"/>
              <w:tr2bl w:val="nil"/>
            </w:tcBorders>
            <w:shd w:val="clear" w:color="auto" w:fill="auto"/>
            <w:vAlign w:val="center"/>
          </w:tcPr>
          <w:p w14:paraId="24B717C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restart"/>
            <w:tcBorders>
              <w:tl2br w:val="nil"/>
              <w:tr2bl w:val="nil"/>
            </w:tcBorders>
            <w:shd w:val="clear" w:color="auto" w:fill="auto"/>
            <w:vAlign w:val="center"/>
          </w:tcPr>
          <w:p w14:paraId="0DEBCF0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加强施工安全技术交底教育、现场管理人员加强施工现场巡查，发现问题立即整改</w:t>
            </w:r>
          </w:p>
        </w:tc>
      </w:tr>
      <w:tr w14:paraId="3151CF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14:paraId="5F89511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7</w:t>
            </w:r>
          </w:p>
        </w:tc>
        <w:tc>
          <w:tcPr>
            <w:tcW w:w="335" w:type="pct"/>
            <w:tcBorders>
              <w:tl2br w:val="nil"/>
              <w:tr2bl w:val="nil"/>
            </w:tcBorders>
            <w:shd w:val="clear" w:color="auto" w:fill="auto"/>
            <w:vAlign w:val="center"/>
          </w:tcPr>
          <w:p w14:paraId="5924B007">
            <w:pPr>
              <w:pStyle w:val="49"/>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14:paraId="176F5141">
            <w:pPr>
              <w:pStyle w:val="49"/>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14:paraId="2F0A5FF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顶升前，塔吊下支座未与爬升架进行连接</w:t>
            </w:r>
          </w:p>
        </w:tc>
        <w:tc>
          <w:tcPr>
            <w:tcW w:w="455" w:type="pct"/>
            <w:tcBorders>
              <w:tl2br w:val="nil"/>
              <w:tr2bl w:val="nil"/>
            </w:tcBorders>
            <w:shd w:val="clear" w:color="auto" w:fill="auto"/>
            <w:vAlign w:val="center"/>
          </w:tcPr>
          <w:p w14:paraId="15CAE0C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起重伤害</w:t>
            </w:r>
          </w:p>
        </w:tc>
        <w:tc>
          <w:tcPr>
            <w:tcW w:w="335" w:type="pct"/>
            <w:tcBorders>
              <w:tl2br w:val="nil"/>
              <w:tr2bl w:val="nil"/>
            </w:tcBorders>
            <w:shd w:val="clear" w:color="auto" w:fill="auto"/>
            <w:vAlign w:val="center"/>
          </w:tcPr>
          <w:p w14:paraId="307F74E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14:paraId="4DF5DA89">
            <w:pPr>
              <w:pStyle w:val="49"/>
              <w:kinsoku/>
              <w:overflowPunct/>
              <w:topLinePunct w:val="0"/>
              <w:bidi w:val="0"/>
              <w:spacing w:line="360" w:lineRule="atLeast"/>
              <w:rPr>
                <w:rFonts w:hint="eastAsia" w:ascii="宋体" w:hAnsi="宋体" w:eastAsia="宋体" w:cs="宋体"/>
                <w:sz w:val="21"/>
                <w:szCs w:val="21"/>
              </w:rPr>
            </w:pPr>
          </w:p>
        </w:tc>
      </w:tr>
      <w:tr w14:paraId="34FCC6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14:paraId="0CA2B8C0">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8</w:t>
            </w:r>
          </w:p>
        </w:tc>
        <w:tc>
          <w:tcPr>
            <w:tcW w:w="335" w:type="pct"/>
            <w:tcBorders>
              <w:tl2br w:val="nil"/>
              <w:tr2bl w:val="nil"/>
            </w:tcBorders>
            <w:shd w:val="clear" w:color="auto" w:fill="auto"/>
            <w:vAlign w:val="center"/>
          </w:tcPr>
          <w:p w14:paraId="672D9A37">
            <w:pPr>
              <w:pStyle w:val="49"/>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14:paraId="48ECC21D">
            <w:pPr>
              <w:pStyle w:val="49"/>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14:paraId="5C758E2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顶升前，未将塔吊进行配平</w:t>
            </w:r>
          </w:p>
        </w:tc>
        <w:tc>
          <w:tcPr>
            <w:tcW w:w="455" w:type="pct"/>
            <w:tcBorders>
              <w:tl2br w:val="nil"/>
              <w:tr2bl w:val="nil"/>
            </w:tcBorders>
            <w:shd w:val="clear" w:color="auto" w:fill="auto"/>
            <w:vAlign w:val="center"/>
          </w:tcPr>
          <w:p w14:paraId="31E9BA0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起重伤害</w:t>
            </w:r>
          </w:p>
        </w:tc>
        <w:tc>
          <w:tcPr>
            <w:tcW w:w="335" w:type="pct"/>
            <w:tcBorders>
              <w:tl2br w:val="nil"/>
              <w:tr2bl w:val="nil"/>
            </w:tcBorders>
            <w:shd w:val="clear" w:color="auto" w:fill="auto"/>
            <w:vAlign w:val="center"/>
          </w:tcPr>
          <w:p w14:paraId="4BEF4BF0">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14:paraId="43831FA9">
            <w:pPr>
              <w:pStyle w:val="49"/>
              <w:kinsoku/>
              <w:overflowPunct/>
              <w:topLinePunct w:val="0"/>
              <w:bidi w:val="0"/>
              <w:spacing w:line="360" w:lineRule="atLeast"/>
              <w:rPr>
                <w:rFonts w:hint="eastAsia" w:ascii="宋体" w:hAnsi="宋体" w:eastAsia="宋体" w:cs="宋体"/>
                <w:sz w:val="21"/>
                <w:szCs w:val="21"/>
              </w:rPr>
            </w:pPr>
          </w:p>
        </w:tc>
      </w:tr>
      <w:tr w14:paraId="20DB99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14:paraId="1239130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9</w:t>
            </w:r>
          </w:p>
        </w:tc>
        <w:tc>
          <w:tcPr>
            <w:tcW w:w="335" w:type="pct"/>
            <w:tcBorders>
              <w:tl2br w:val="nil"/>
              <w:tr2bl w:val="nil"/>
            </w:tcBorders>
            <w:shd w:val="clear" w:color="auto" w:fill="auto"/>
            <w:vAlign w:val="center"/>
          </w:tcPr>
          <w:p w14:paraId="26F5C4F8">
            <w:pPr>
              <w:pStyle w:val="49"/>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14:paraId="0544D1F3">
            <w:pPr>
              <w:pStyle w:val="49"/>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14:paraId="50CEA2E0">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顶升结束后，未将标准节与回转总成进行连接</w:t>
            </w:r>
          </w:p>
        </w:tc>
        <w:tc>
          <w:tcPr>
            <w:tcW w:w="455" w:type="pct"/>
            <w:tcBorders>
              <w:tl2br w:val="nil"/>
              <w:tr2bl w:val="nil"/>
            </w:tcBorders>
            <w:shd w:val="clear" w:color="auto" w:fill="auto"/>
            <w:vAlign w:val="center"/>
          </w:tcPr>
          <w:p w14:paraId="3D2009CE">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起重伤害</w:t>
            </w:r>
          </w:p>
        </w:tc>
        <w:tc>
          <w:tcPr>
            <w:tcW w:w="335" w:type="pct"/>
            <w:tcBorders>
              <w:tl2br w:val="nil"/>
              <w:tr2bl w:val="nil"/>
            </w:tcBorders>
            <w:shd w:val="clear" w:color="auto" w:fill="auto"/>
            <w:vAlign w:val="center"/>
          </w:tcPr>
          <w:p w14:paraId="4F19668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14:paraId="2AB84D41">
            <w:pPr>
              <w:pStyle w:val="49"/>
              <w:kinsoku/>
              <w:overflowPunct/>
              <w:topLinePunct w:val="0"/>
              <w:bidi w:val="0"/>
              <w:spacing w:line="360" w:lineRule="atLeast"/>
              <w:rPr>
                <w:rFonts w:hint="eastAsia" w:ascii="宋体" w:hAnsi="宋体" w:eastAsia="宋体" w:cs="宋体"/>
                <w:sz w:val="21"/>
                <w:szCs w:val="21"/>
              </w:rPr>
            </w:pPr>
          </w:p>
        </w:tc>
      </w:tr>
      <w:tr w14:paraId="272550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14:paraId="71386F2C">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10</w:t>
            </w:r>
          </w:p>
        </w:tc>
        <w:tc>
          <w:tcPr>
            <w:tcW w:w="335" w:type="pct"/>
            <w:tcBorders>
              <w:tl2br w:val="nil"/>
              <w:tr2bl w:val="nil"/>
            </w:tcBorders>
            <w:shd w:val="clear" w:color="auto" w:fill="auto"/>
            <w:vAlign w:val="center"/>
          </w:tcPr>
          <w:p w14:paraId="34200021">
            <w:pPr>
              <w:pStyle w:val="49"/>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14:paraId="18983975">
            <w:pPr>
              <w:pStyle w:val="49"/>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14:paraId="4C3E645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拆除作业时，工索具未连接牢固就拆除连接销轴</w:t>
            </w:r>
          </w:p>
        </w:tc>
        <w:tc>
          <w:tcPr>
            <w:tcW w:w="455" w:type="pct"/>
            <w:tcBorders>
              <w:tl2br w:val="nil"/>
              <w:tr2bl w:val="nil"/>
            </w:tcBorders>
            <w:shd w:val="clear" w:color="auto" w:fill="auto"/>
            <w:vAlign w:val="center"/>
          </w:tcPr>
          <w:p w14:paraId="2B39DC1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物体打击、高处坠落</w:t>
            </w:r>
          </w:p>
        </w:tc>
        <w:tc>
          <w:tcPr>
            <w:tcW w:w="335" w:type="pct"/>
            <w:tcBorders>
              <w:tl2br w:val="nil"/>
              <w:tr2bl w:val="nil"/>
            </w:tcBorders>
            <w:shd w:val="clear" w:color="auto" w:fill="auto"/>
            <w:vAlign w:val="center"/>
          </w:tcPr>
          <w:p w14:paraId="0F95456C">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14:paraId="21E835A0">
            <w:pPr>
              <w:pStyle w:val="49"/>
              <w:kinsoku/>
              <w:overflowPunct/>
              <w:topLinePunct w:val="0"/>
              <w:bidi w:val="0"/>
              <w:spacing w:line="360" w:lineRule="atLeast"/>
              <w:rPr>
                <w:rFonts w:hint="eastAsia" w:ascii="宋体" w:hAnsi="宋体" w:eastAsia="宋体" w:cs="宋体"/>
                <w:sz w:val="21"/>
                <w:szCs w:val="21"/>
              </w:rPr>
            </w:pPr>
          </w:p>
        </w:tc>
      </w:tr>
      <w:tr w14:paraId="1DCBA9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14:paraId="53CCF66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11</w:t>
            </w:r>
          </w:p>
        </w:tc>
        <w:tc>
          <w:tcPr>
            <w:tcW w:w="335" w:type="pct"/>
            <w:tcBorders>
              <w:tl2br w:val="nil"/>
              <w:tr2bl w:val="nil"/>
            </w:tcBorders>
            <w:shd w:val="clear" w:color="auto" w:fill="auto"/>
            <w:vAlign w:val="center"/>
          </w:tcPr>
          <w:p w14:paraId="28DB3FE3">
            <w:pPr>
              <w:pStyle w:val="49"/>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14:paraId="63BA44AE">
            <w:pPr>
              <w:pStyle w:val="49"/>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14:paraId="21292FF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拆除前塔吊未配平</w:t>
            </w:r>
          </w:p>
        </w:tc>
        <w:tc>
          <w:tcPr>
            <w:tcW w:w="455" w:type="pct"/>
            <w:tcBorders>
              <w:tl2br w:val="nil"/>
              <w:tr2bl w:val="nil"/>
            </w:tcBorders>
            <w:shd w:val="clear" w:color="auto" w:fill="auto"/>
            <w:vAlign w:val="center"/>
          </w:tcPr>
          <w:p w14:paraId="431073CE">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倒塌</w:t>
            </w:r>
          </w:p>
        </w:tc>
        <w:tc>
          <w:tcPr>
            <w:tcW w:w="335" w:type="pct"/>
            <w:tcBorders>
              <w:tl2br w:val="nil"/>
              <w:tr2bl w:val="nil"/>
            </w:tcBorders>
            <w:shd w:val="clear" w:color="auto" w:fill="auto"/>
            <w:vAlign w:val="center"/>
          </w:tcPr>
          <w:p w14:paraId="4DD8BCF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14:paraId="482FBB47">
            <w:pPr>
              <w:pStyle w:val="49"/>
              <w:kinsoku/>
              <w:overflowPunct/>
              <w:topLinePunct w:val="0"/>
              <w:bidi w:val="0"/>
              <w:spacing w:line="360" w:lineRule="atLeast"/>
              <w:rPr>
                <w:rFonts w:hint="eastAsia" w:ascii="宋体" w:hAnsi="宋体" w:eastAsia="宋体" w:cs="宋体"/>
                <w:sz w:val="21"/>
                <w:szCs w:val="21"/>
              </w:rPr>
            </w:pPr>
          </w:p>
        </w:tc>
      </w:tr>
      <w:tr w14:paraId="351603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14:paraId="69145E10">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12</w:t>
            </w:r>
          </w:p>
        </w:tc>
        <w:tc>
          <w:tcPr>
            <w:tcW w:w="335" w:type="pct"/>
            <w:tcBorders>
              <w:tl2br w:val="nil"/>
              <w:tr2bl w:val="nil"/>
            </w:tcBorders>
            <w:shd w:val="clear" w:color="auto" w:fill="auto"/>
            <w:vAlign w:val="center"/>
          </w:tcPr>
          <w:p w14:paraId="77480ECA">
            <w:pPr>
              <w:pStyle w:val="49"/>
              <w:kinsoku/>
              <w:overflowPunct/>
              <w:topLinePunct w:val="0"/>
              <w:bidi w:val="0"/>
              <w:spacing w:line="360" w:lineRule="atLeast"/>
              <w:rPr>
                <w:rFonts w:hint="eastAsia" w:ascii="宋体" w:hAnsi="宋体" w:eastAsia="宋体" w:cs="宋体"/>
                <w:sz w:val="21"/>
                <w:szCs w:val="21"/>
              </w:rPr>
            </w:pPr>
          </w:p>
        </w:tc>
        <w:tc>
          <w:tcPr>
            <w:tcW w:w="490" w:type="pct"/>
            <w:vMerge w:val="restart"/>
            <w:tcBorders>
              <w:tl2br w:val="nil"/>
              <w:tr2bl w:val="nil"/>
            </w:tcBorders>
            <w:shd w:val="clear" w:color="auto" w:fill="auto"/>
            <w:vAlign w:val="center"/>
          </w:tcPr>
          <w:p w14:paraId="00A3E345">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起重作业</w:t>
            </w:r>
          </w:p>
        </w:tc>
        <w:tc>
          <w:tcPr>
            <w:tcW w:w="2089" w:type="pct"/>
            <w:tcBorders>
              <w:tl2br w:val="nil"/>
              <w:tr2bl w:val="nil"/>
            </w:tcBorders>
            <w:shd w:val="clear" w:color="auto" w:fill="auto"/>
            <w:vAlign w:val="center"/>
          </w:tcPr>
          <w:p w14:paraId="25012DEC">
            <w:pPr>
              <w:pStyle w:val="49"/>
              <w:kinsoku/>
              <w:overflowPunct/>
              <w:topLinePunct w:val="0"/>
              <w:bidi w:val="0"/>
              <w:spacing w:line="360" w:lineRule="atLeast"/>
              <w:rPr>
                <w:rFonts w:hint="eastAsia" w:ascii="宋体" w:hAnsi="宋体" w:eastAsia="宋体" w:cs="宋体"/>
                <w:sz w:val="21"/>
                <w:szCs w:val="21"/>
              </w:rPr>
            </w:pPr>
            <w:r>
              <w:rPr>
                <w:rFonts w:hint="eastAsia" w:cs="宋体"/>
                <w:sz w:val="21"/>
                <w:szCs w:val="21"/>
                <w:lang w:eastAsia="zh-CN"/>
              </w:rPr>
              <w:t>汽车吊</w:t>
            </w:r>
            <w:r>
              <w:rPr>
                <w:rFonts w:hint="eastAsia" w:ascii="宋体" w:hAnsi="宋体" w:eastAsia="宋体" w:cs="宋体"/>
                <w:sz w:val="21"/>
                <w:szCs w:val="21"/>
              </w:rPr>
              <w:t>与汽车吊站位不合理</w:t>
            </w:r>
          </w:p>
        </w:tc>
        <w:tc>
          <w:tcPr>
            <w:tcW w:w="455" w:type="pct"/>
            <w:tcBorders>
              <w:tl2br w:val="nil"/>
              <w:tr2bl w:val="nil"/>
            </w:tcBorders>
            <w:shd w:val="clear" w:color="auto" w:fill="auto"/>
            <w:vAlign w:val="center"/>
          </w:tcPr>
          <w:p w14:paraId="676AAE5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起重伤害</w:t>
            </w:r>
          </w:p>
        </w:tc>
        <w:tc>
          <w:tcPr>
            <w:tcW w:w="335" w:type="pct"/>
            <w:tcBorders>
              <w:tl2br w:val="nil"/>
              <w:tr2bl w:val="nil"/>
            </w:tcBorders>
            <w:shd w:val="clear" w:color="auto" w:fill="auto"/>
            <w:vAlign w:val="center"/>
          </w:tcPr>
          <w:p w14:paraId="42088B3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restart"/>
            <w:tcBorders>
              <w:tl2br w:val="nil"/>
              <w:tr2bl w:val="nil"/>
            </w:tcBorders>
            <w:shd w:val="clear" w:color="auto" w:fill="auto"/>
            <w:vAlign w:val="center"/>
          </w:tcPr>
          <w:p w14:paraId="0742FB5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加强施工安全技术交底教育、现场管理人员加强施工现场巡查，发现问题立即整改</w:t>
            </w:r>
          </w:p>
        </w:tc>
      </w:tr>
      <w:tr w14:paraId="70D7C3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14:paraId="256DF515">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13</w:t>
            </w:r>
          </w:p>
        </w:tc>
        <w:tc>
          <w:tcPr>
            <w:tcW w:w="335" w:type="pct"/>
            <w:tcBorders>
              <w:tl2br w:val="nil"/>
              <w:tr2bl w:val="nil"/>
            </w:tcBorders>
            <w:shd w:val="clear" w:color="auto" w:fill="auto"/>
            <w:vAlign w:val="center"/>
          </w:tcPr>
          <w:p w14:paraId="38F3F9CB">
            <w:pPr>
              <w:pStyle w:val="49"/>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14:paraId="2FD26801">
            <w:pPr>
              <w:pStyle w:val="49"/>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14:paraId="501E0361">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起重指挥员违章指挥</w:t>
            </w:r>
          </w:p>
        </w:tc>
        <w:tc>
          <w:tcPr>
            <w:tcW w:w="455" w:type="pct"/>
            <w:tcBorders>
              <w:tl2br w:val="nil"/>
              <w:tr2bl w:val="nil"/>
            </w:tcBorders>
            <w:shd w:val="clear" w:color="auto" w:fill="auto"/>
            <w:vAlign w:val="center"/>
          </w:tcPr>
          <w:p w14:paraId="31635C7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起重伤害</w:t>
            </w:r>
          </w:p>
        </w:tc>
        <w:tc>
          <w:tcPr>
            <w:tcW w:w="335" w:type="pct"/>
            <w:tcBorders>
              <w:tl2br w:val="nil"/>
              <w:tr2bl w:val="nil"/>
            </w:tcBorders>
            <w:shd w:val="clear" w:color="auto" w:fill="auto"/>
            <w:vAlign w:val="center"/>
          </w:tcPr>
          <w:p w14:paraId="6FE9DF4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14:paraId="660C0B8F">
            <w:pPr>
              <w:pStyle w:val="49"/>
              <w:kinsoku/>
              <w:overflowPunct/>
              <w:topLinePunct w:val="0"/>
              <w:bidi w:val="0"/>
              <w:spacing w:line="360" w:lineRule="atLeast"/>
              <w:rPr>
                <w:rFonts w:hint="eastAsia" w:ascii="宋体" w:hAnsi="宋体" w:eastAsia="宋体" w:cs="宋体"/>
                <w:sz w:val="21"/>
                <w:szCs w:val="21"/>
              </w:rPr>
            </w:pPr>
          </w:p>
        </w:tc>
      </w:tr>
      <w:tr w14:paraId="30ED19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14:paraId="1E4DA96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14</w:t>
            </w:r>
          </w:p>
        </w:tc>
        <w:tc>
          <w:tcPr>
            <w:tcW w:w="335" w:type="pct"/>
            <w:tcBorders>
              <w:tl2br w:val="nil"/>
              <w:tr2bl w:val="nil"/>
            </w:tcBorders>
            <w:shd w:val="clear" w:color="auto" w:fill="auto"/>
            <w:vAlign w:val="center"/>
          </w:tcPr>
          <w:p w14:paraId="300F50B5">
            <w:pPr>
              <w:pStyle w:val="49"/>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14:paraId="68ADF436">
            <w:pPr>
              <w:pStyle w:val="49"/>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14:paraId="04DDB60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起重吊装时未设置溜绳控制构件摆动</w:t>
            </w:r>
          </w:p>
        </w:tc>
        <w:tc>
          <w:tcPr>
            <w:tcW w:w="455" w:type="pct"/>
            <w:tcBorders>
              <w:tl2br w:val="nil"/>
              <w:tr2bl w:val="nil"/>
            </w:tcBorders>
            <w:shd w:val="clear" w:color="auto" w:fill="auto"/>
            <w:vAlign w:val="center"/>
          </w:tcPr>
          <w:p w14:paraId="6BA419F5">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起重伤害</w:t>
            </w:r>
          </w:p>
        </w:tc>
        <w:tc>
          <w:tcPr>
            <w:tcW w:w="335" w:type="pct"/>
            <w:tcBorders>
              <w:tl2br w:val="nil"/>
              <w:tr2bl w:val="nil"/>
            </w:tcBorders>
            <w:shd w:val="clear" w:color="auto" w:fill="auto"/>
            <w:vAlign w:val="center"/>
          </w:tcPr>
          <w:p w14:paraId="619680B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14:paraId="15070CD0">
            <w:pPr>
              <w:pStyle w:val="49"/>
              <w:kinsoku/>
              <w:overflowPunct/>
              <w:topLinePunct w:val="0"/>
              <w:bidi w:val="0"/>
              <w:spacing w:line="360" w:lineRule="atLeast"/>
              <w:rPr>
                <w:rFonts w:hint="eastAsia" w:ascii="宋体" w:hAnsi="宋体" w:eastAsia="宋体" w:cs="宋体"/>
                <w:sz w:val="21"/>
                <w:szCs w:val="21"/>
              </w:rPr>
            </w:pPr>
          </w:p>
        </w:tc>
      </w:tr>
      <w:tr w14:paraId="425864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14:paraId="629677A6">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15</w:t>
            </w:r>
          </w:p>
        </w:tc>
        <w:tc>
          <w:tcPr>
            <w:tcW w:w="335" w:type="pct"/>
            <w:tcBorders>
              <w:tl2br w:val="nil"/>
              <w:tr2bl w:val="nil"/>
            </w:tcBorders>
            <w:shd w:val="clear" w:color="auto" w:fill="auto"/>
            <w:vAlign w:val="center"/>
          </w:tcPr>
          <w:p w14:paraId="40936F59">
            <w:pPr>
              <w:pStyle w:val="49"/>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14:paraId="6E32D213">
            <w:pPr>
              <w:pStyle w:val="49"/>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14:paraId="12B93200">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起重操作人员作业失误</w:t>
            </w:r>
          </w:p>
        </w:tc>
        <w:tc>
          <w:tcPr>
            <w:tcW w:w="455" w:type="pct"/>
            <w:tcBorders>
              <w:tl2br w:val="nil"/>
              <w:tr2bl w:val="nil"/>
            </w:tcBorders>
            <w:shd w:val="clear" w:color="auto" w:fill="auto"/>
            <w:vAlign w:val="center"/>
          </w:tcPr>
          <w:p w14:paraId="4F910E5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起重伤害</w:t>
            </w:r>
          </w:p>
        </w:tc>
        <w:tc>
          <w:tcPr>
            <w:tcW w:w="335" w:type="pct"/>
            <w:tcBorders>
              <w:tl2br w:val="nil"/>
              <w:tr2bl w:val="nil"/>
            </w:tcBorders>
            <w:shd w:val="clear" w:color="auto" w:fill="auto"/>
            <w:vAlign w:val="center"/>
          </w:tcPr>
          <w:p w14:paraId="03CE733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14:paraId="48C499C8">
            <w:pPr>
              <w:pStyle w:val="49"/>
              <w:kinsoku/>
              <w:overflowPunct/>
              <w:topLinePunct w:val="0"/>
              <w:bidi w:val="0"/>
              <w:spacing w:line="360" w:lineRule="atLeast"/>
              <w:rPr>
                <w:rFonts w:hint="eastAsia" w:ascii="宋体" w:hAnsi="宋体" w:eastAsia="宋体" w:cs="宋体"/>
                <w:sz w:val="21"/>
                <w:szCs w:val="21"/>
              </w:rPr>
            </w:pPr>
          </w:p>
        </w:tc>
      </w:tr>
      <w:tr w14:paraId="7AC81B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14:paraId="1A0DF87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16</w:t>
            </w:r>
          </w:p>
        </w:tc>
        <w:tc>
          <w:tcPr>
            <w:tcW w:w="335" w:type="pct"/>
            <w:tcBorders>
              <w:tl2br w:val="nil"/>
              <w:tr2bl w:val="nil"/>
            </w:tcBorders>
            <w:shd w:val="clear" w:color="auto" w:fill="auto"/>
            <w:vAlign w:val="center"/>
          </w:tcPr>
          <w:p w14:paraId="55E527C8">
            <w:pPr>
              <w:pStyle w:val="49"/>
              <w:kinsoku/>
              <w:overflowPunct/>
              <w:topLinePunct w:val="0"/>
              <w:bidi w:val="0"/>
              <w:spacing w:line="360" w:lineRule="atLeast"/>
              <w:rPr>
                <w:rFonts w:hint="eastAsia" w:ascii="宋体" w:hAnsi="宋体" w:eastAsia="宋体" w:cs="宋体"/>
                <w:sz w:val="21"/>
                <w:szCs w:val="21"/>
              </w:rPr>
            </w:pPr>
          </w:p>
        </w:tc>
        <w:tc>
          <w:tcPr>
            <w:tcW w:w="490" w:type="pct"/>
            <w:vMerge w:val="restart"/>
            <w:tcBorders>
              <w:tl2br w:val="nil"/>
              <w:tr2bl w:val="nil"/>
            </w:tcBorders>
            <w:shd w:val="clear" w:color="auto" w:fill="auto"/>
            <w:vAlign w:val="center"/>
          </w:tcPr>
          <w:p w14:paraId="1C7F6B4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临时用电</w:t>
            </w:r>
          </w:p>
        </w:tc>
        <w:tc>
          <w:tcPr>
            <w:tcW w:w="2089" w:type="pct"/>
            <w:tcBorders>
              <w:tl2br w:val="nil"/>
              <w:tr2bl w:val="nil"/>
            </w:tcBorders>
            <w:shd w:val="clear" w:color="auto" w:fill="auto"/>
            <w:vAlign w:val="center"/>
          </w:tcPr>
          <w:p w14:paraId="4E93884E">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配电系统未按“三级配电、二级防护”进行设置</w:t>
            </w:r>
          </w:p>
        </w:tc>
        <w:tc>
          <w:tcPr>
            <w:tcW w:w="455" w:type="pct"/>
            <w:tcBorders>
              <w:tl2br w:val="nil"/>
              <w:tr2bl w:val="nil"/>
            </w:tcBorders>
            <w:shd w:val="clear" w:color="auto" w:fill="auto"/>
            <w:vAlign w:val="center"/>
          </w:tcPr>
          <w:p w14:paraId="01F6F20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触电</w:t>
            </w:r>
          </w:p>
        </w:tc>
        <w:tc>
          <w:tcPr>
            <w:tcW w:w="335" w:type="pct"/>
            <w:tcBorders>
              <w:tl2br w:val="nil"/>
              <w:tr2bl w:val="nil"/>
            </w:tcBorders>
            <w:shd w:val="clear" w:color="auto" w:fill="auto"/>
            <w:vAlign w:val="center"/>
          </w:tcPr>
          <w:p w14:paraId="2E09A1E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restart"/>
            <w:tcBorders>
              <w:tl2br w:val="nil"/>
              <w:tr2bl w:val="nil"/>
            </w:tcBorders>
            <w:shd w:val="clear" w:color="auto" w:fill="auto"/>
            <w:vAlign w:val="center"/>
          </w:tcPr>
          <w:p w14:paraId="59F4792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加强施工安全技术交底教育、现场管理人员加强施工现场巡查，发现问题立即整改</w:t>
            </w:r>
          </w:p>
        </w:tc>
      </w:tr>
      <w:tr w14:paraId="11F77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14:paraId="12413F4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17</w:t>
            </w:r>
          </w:p>
        </w:tc>
        <w:tc>
          <w:tcPr>
            <w:tcW w:w="335" w:type="pct"/>
            <w:tcBorders>
              <w:tl2br w:val="nil"/>
              <w:tr2bl w:val="nil"/>
            </w:tcBorders>
            <w:shd w:val="clear" w:color="auto" w:fill="auto"/>
            <w:vAlign w:val="center"/>
          </w:tcPr>
          <w:p w14:paraId="1D9620B9">
            <w:pPr>
              <w:pStyle w:val="49"/>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14:paraId="6B1DAE59">
            <w:pPr>
              <w:pStyle w:val="49"/>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14:paraId="3E4A5D55">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用电设备未做到“一机一闸一漏一箱”</w:t>
            </w:r>
          </w:p>
        </w:tc>
        <w:tc>
          <w:tcPr>
            <w:tcW w:w="455" w:type="pct"/>
            <w:tcBorders>
              <w:tl2br w:val="nil"/>
              <w:tr2bl w:val="nil"/>
            </w:tcBorders>
            <w:shd w:val="clear" w:color="auto" w:fill="auto"/>
            <w:vAlign w:val="center"/>
          </w:tcPr>
          <w:p w14:paraId="1820D13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触电</w:t>
            </w:r>
          </w:p>
        </w:tc>
        <w:tc>
          <w:tcPr>
            <w:tcW w:w="335" w:type="pct"/>
            <w:tcBorders>
              <w:tl2br w:val="nil"/>
              <w:tr2bl w:val="nil"/>
            </w:tcBorders>
            <w:shd w:val="clear" w:color="auto" w:fill="auto"/>
            <w:vAlign w:val="center"/>
          </w:tcPr>
          <w:p w14:paraId="27716EA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14:paraId="35779BE5">
            <w:pPr>
              <w:pStyle w:val="49"/>
              <w:kinsoku/>
              <w:overflowPunct/>
              <w:topLinePunct w:val="0"/>
              <w:bidi w:val="0"/>
              <w:spacing w:line="360" w:lineRule="atLeast"/>
              <w:rPr>
                <w:rFonts w:hint="eastAsia" w:ascii="宋体" w:hAnsi="宋体" w:eastAsia="宋体" w:cs="宋体"/>
                <w:sz w:val="21"/>
                <w:szCs w:val="21"/>
              </w:rPr>
            </w:pPr>
          </w:p>
        </w:tc>
      </w:tr>
      <w:tr w14:paraId="013449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4" w:type="pct"/>
            <w:tcBorders>
              <w:tl2br w:val="nil"/>
              <w:tr2bl w:val="nil"/>
            </w:tcBorders>
            <w:shd w:val="clear" w:color="auto" w:fill="auto"/>
            <w:vAlign w:val="center"/>
          </w:tcPr>
          <w:p w14:paraId="7295ACB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18</w:t>
            </w:r>
          </w:p>
        </w:tc>
        <w:tc>
          <w:tcPr>
            <w:tcW w:w="335" w:type="pct"/>
            <w:tcBorders>
              <w:tl2br w:val="nil"/>
              <w:tr2bl w:val="nil"/>
            </w:tcBorders>
            <w:shd w:val="clear" w:color="auto" w:fill="auto"/>
            <w:vAlign w:val="center"/>
          </w:tcPr>
          <w:p w14:paraId="3CABBEC7">
            <w:pPr>
              <w:pStyle w:val="49"/>
              <w:kinsoku/>
              <w:overflowPunct/>
              <w:topLinePunct w:val="0"/>
              <w:bidi w:val="0"/>
              <w:spacing w:line="360" w:lineRule="atLeast"/>
              <w:rPr>
                <w:rFonts w:hint="eastAsia" w:ascii="宋体" w:hAnsi="宋体" w:eastAsia="宋体" w:cs="宋体"/>
                <w:sz w:val="21"/>
                <w:szCs w:val="21"/>
              </w:rPr>
            </w:pPr>
          </w:p>
        </w:tc>
        <w:tc>
          <w:tcPr>
            <w:tcW w:w="490" w:type="pct"/>
            <w:vMerge w:val="continue"/>
            <w:tcBorders>
              <w:tl2br w:val="nil"/>
              <w:tr2bl w:val="nil"/>
            </w:tcBorders>
            <w:shd w:val="clear" w:color="auto" w:fill="auto"/>
            <w:vAlign w:val="center"/>
          </w:tcPr>
          <w:p w14:paraId="425672FB">
            <w:pPr>
              <w:pStyle w:val="49"/>
              <w:kinsoku/>
              <w:overflowPunct/>
              <w:topLinePunct w:val="0"/>
              <w:bidi w:val="0"/>
              <w:spacing w:line="360" w:lineRule="atLeast"/>
              <w:rPr>
                <w:rFonts w:hint="eastAsia" w:ascii="宋体" w:hAnsi="宋体" w:eastAsia="宋体" w:cs="宋体"/>
                <w:sz w:val="21"/>
                <w:szCs w:val="21"/>
              </w:rPr>
            </w:pPr>
          </w:p>
        </w:tc>
        <w:tc>
          <w:tcPr>
            <w:tcW w:w="2089" w:type="pct"/>
            <w:tcBorders>
              <w:tl2br w:val="nil"/>
              <w:tr2bl w:val="nil"/>
            </w:tcBorders>
            <w:shd w:val="clear" w:color="auto" w:fill="auto"/>
            <w:vAlign w:val="center"/>
          </w:tcPr>
          <w:p w14:paraId="1B4ECE4E">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非专业电工进行操作</w:t>
            </w:r>
          </w:p>
        </w:tc>
        <w:tc>
          <w:tcPr>
            <w:tcW w:w="455" w:type="pct"/>
            <w:tcBorders>
              <w:tl2br w:val="nil"/>
              <w:tr2bl w:val="nil"/>
            </w:tcBorders>
            <w:shd w:val="clear" w:color="auto" w:fill="auto"/>
            <w:vAlign w:val="center"/>
          </w:tcPr>
          <w:p w14:paraId="315A98D4">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触电</w:t>
            </w:r>
          </w:p>
        </w:tc>
        <w:tc>
          <w:tcPr>
            <w:tcW w:w="335" w:type="pct"/>
            <w:tcBorders>
              <w:tl2br w:val="nil"/>
              <w:tr2bl w:val="nil"/>
            </w:tcBorders>
            <w:shd w:val="clear" w:color="auto" w:fill="auto"/>
            <w:vAlign w:val="center"/>
          </w:tcPr>
          <w:p w14:paraId="4FE6E626">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Ⅱ</w:t>
            </w:r>
          </w:p>
        </w:tc>
        <w:tc>
          <w:tcPr>
            <w:tcW w:w="1082" w:type="pct"/>
            <w:vMerge w:val="continue"/>
            <w:tcBorders>
              <w:tl2br w:val="nil"/>
              <w:tr2bl w:val="nil"/>
            </w:tcBorders>
            <w:shd w:val="clear" w:color="auto" w:fill="auto"/>
            <w:vAlign w:val="center"/>
          </w:tcPr>
          <w:p w14:paraId="1B23E3B7">
            <w:pPr>
              <w:pStyle w:val="49"/>
              <w:kinsoku/>
              <w:overflowPunct/>
              <w:topLinePunct w:val="0"/>
              <w:bidi w:val="0"/>
              <w:spacing w:line="360" w:lineRule="atLeast"/>
              <w:rPr>
                <w:rFonts w:hint="eastAsia" w:ascii="宋体" w:hAnsi="宋体" w:eastAsia="宋体" w:cs="宋体"/>
                <w:sz w:val="21"/>
                <w:szCs w:val="21"/>
              </w:rPr>
            </w:pPr>
          </w:p>
        </w:tc>
      </w:tr>
    </w:tbl>
    <w:p w14:paraId="3E409DB5">
      <w:pPr>
        <w:tabs>
          <w:tab w:val="left" w:pos="1870"/>
        </w:tabs>
        <w:kinsoku/>
        <w:overflowPunct/>
        <w:topLinePunct w:val="0"/>
        <w:bidi w:val="0"/>
        <w:spacing w:line="360" w:lineRule="atLeast"/>
        <w:ind w:firstLine="480"/>
        <w:rPr>
          <w:rFonts w:hint="eastAsia" w:ascii="宋体" w:hAnsi="宋体" w:eastAsia="宋体" w:cs="宋体"/>
          <w:sz w:val="21"/>
          <w:szCs w:val="21"/>
        </w:rPr>
        <w:sectPr>
          <w:pgSz w:w="16838" w:h="11906" w:orient="landscape"/>
          <w:pgMar w:top="1134" w:right="850" w:bottom="1134" w:left="1417" w:header="851" w:footer="992" w:gutter="0"/>
          <w:pgBorders>
            <w:top w:val="none" w:sz="0" w:space="0"/>
            <w:left w:val="none" w:sz="0" w:space="0"/>
            <w:bottom w:val="none" w:sz="0" w:space="0"/>
            <w:right w:val="none" w:sz="0" w:space="0"/>
          </w:pgBorders>
          <w:pgNumType w:fmt="decimal"/>
          <w:cols w:space="425" w:num="1"/>
          <w:rtlGutter w:val="0"/>
          <w:docGrid w:type="lines" w:linePitch="326" w:charSpace="0"/>
        </w:sectPr>
      </w:pPr>
    </w:p>
    <w:p w14:paraId="16346426">
      <w:pPr>
        <w:pStyle w:val="3"/>
        <w:keepNext w:val="0"/>
        <w:pageBreakBefore w:val="0"/>
        <w:widowControl w:val="0"/>
        <w:numPr>
          <w:ilvl w:val="1"/>
          <w:numId w:val="1"/>
        </w:numPr>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93" w:name="_Toc23556"/>
      <w:bookmarkStart w:id="94" w:name="_Toc102825399"/>
      <w:bookmarkStart w:id="95" w:name="_Toc121344359"/>
      <w:bookmarkStart w:id="96" w:name="_Toc102481224"/>
      <w:bookmarkStart w:id="97" w:name="_Toc28613977"/>
      <w:bookmarkStart w:id="98" w:name="_Toc40778454"/>
      <w:bookmarkStart w:id="99" w:name="_Toc102481275"/>
      <w:bookmarkStart w:id="100" w:name="_Toc28512"/>
      <w:r>
        <w:rPr>
          <w:rFonts w:hint="eastAsia" w:ascii="宋体" w:hAnsi="宋体" w:eastAsia="宋体" w:cs="宋体"/>
          <w:sz w:val="24"/>
          <w:szCs w:val="24"/>
        </w:rPr>
        <w:t>组织机构</w:t>
      </w:r>
      <w:bookmarkEnd w:id="93"/>
      <w:bookmarkEnd w:id="94"/>
      <w:bookmarkEnd w:id="95"/>
      <w:bookmarkEnd w:id="96"/>
      <w:bookmarkEnd w:id="97"/>
      <w:bookmarkEnd w:id="98"/>
      <w:bookmarkEnd w:id="99"/>
      <w:bookmarkEnd w:id="100"/>
    </w:p>
    <w:p w14:paraId="0D53D859">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项目部成立以项目经理为组长的应急领导小组，建立健全各级安全生产责任制，负责对施工过程中各类突发事件应急响应和组织协调。</w:t>
      </w:r>
    </w:p>
    <w:p w14:paraId="1D1EA7FE">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应急办负责各类应急预案的落实和管理。安监部负责监督、管理项目部现场安全的具体工作。</w:t>
      </w:r>
    </w:p>
    <w:p w14:paraId="04CF882C">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各班组成立由班组长负责的应急小组，落实具体防范措施，做到常备不懈，有条不紊。</w:t>
      </w:r>
    </w:p>
    <w:p w14:paraId="33152438">
      <w:pPr>
        <w:pStyle w:val="4"/>
        <w:keepNext w:val="0"/>
        <w:pageBreakBefore w:val="0"/>
        <w:widowControl w:val="0"/>
        <w:numPr>
          <w:ilvl w:val="2"/>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应急领导小组</w:t>
      </w:r>
    </w:p>
    <w:p w14:paraId="6923041E">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color w:val="auto"/>
          <w:sz w:val="24"/>
          <w:szCs w:val="24"/>
        </w:rPr>
      </w:pPr>
      <w:bookmarkStart w:id="101" w:name="_Hlk65068807"/>
      <w:r>
        <w:rPr>
          <w:rFonts w:hint="eastAsia" w:ascii="宋体" w:hAnsi="宋体" w:eastAsia="宋体" w:cs="宋体"/>
          <w:color w:val="auto"/>
          <w:sz w:val="24"/>
          <w:szCs w:val="24"/>
        </w:rPr>
        <w:t>项目部成立以项目经理为组长，项目其他领导及安全负责人为副组长，各部门负责人</w:t>
      </w:r>
      <w:r>
        <w:rPr>
          <w:rFonts w:hint="eastAsia" w:ascii="宋体" w:hAnsi="宋体" w:eastAsia="宋体" w:cs="宋体"/>
          <w:color w:val="auto"/>
          <w:sz w:val="24"/>
          <w:szCs w:val="24"/>
          <w:lang w:eastAsia="zh-CN"/>
        </w:rPr>
        <w:t>、</w:t>
      </w:r>
      <w:r>
        <w:rPr>
          <w:rFonts w:hint="eastAsia" w:cs="宋体"/>
          <w:color w:val="auto"/>
          <w:sz w:val="24"/>
          <w:szCs w:val="24"/>
          <w:lang w:val="en-US" w:eastAsia="zh-CN"/>
        </w:rPr>
        <w:t>拆除</w:t>
      </w:r>
      <w:r>
        <w:rPr>
          <w:rFonts w:hint="eastAsia" w:ascii="宋体" w:hAnsi="宋体" w:eastAsia="宋体" w:cs="宋体"/>
          <w:color w:val="auto"/>
          <w:sz w:val="24"/>
          <w:szCs w:val="24"/>
          <w:lang w:val="en-US" w:eastAsia="zh-CN"/>
        </w:rPr>
        <w:t>单位负责人</w:t>
      </w:r>
      <w:r>
        <w:rPr>
          <w:rFonts w:hint="eastAsia" w:ascii="宋体" w:hAnsi="宋体" w:eastAsia="宋体" w:cs="宋体"/>
          <w:color w:val="auto"/>
          <w:sz w:val="24"/>
          <w:szCs w:val="24"/>
        </w:rPr>
        <w:t>为组员的应急领导小组，进行事故应急处理。</w:t>
      </w:r>
    </w:p>
    <w:bookmarkEnd w:id="101"/>
    <w:tbl>
      <w:tblPr>
        <w:tblStyle w:val="126"/>
        <w:tblW w:w="4998" w:type="pct"/>
        <w:tblInd w:w="0" w:type="dxa"/>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Layout w:type="autofit"/>
        <w:tblCellMar>
          <w:top w:w="0" w:type="dxa"/>
          <w:left w:w="108" w:type="dxa"/>
          <w:bottom w:w="0" w:type="dxa"/>
          <w:right w:w="108" w:type="dxa"/>
        </w:tblCellMar>
      </w:tblPr>
      <w:tblGrid>
        <w:gridCol w:w="907"/>
        <w:gridCol w:w="1690"/>
        <w:gridCol w:w="1749"/>
        <w:gridCol w:w="1407"/>
        <w:gridCol w:w="2050"/>
        <w:gridCol w:w="2048"/>
      </w:tblGrid>
      <w:tr w14:paraId="17C818B3">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cantSplit/>
          <w:trHeight w:val="90" w:hRule="atLeast"/>
          <w:tblHeader/>
        </w:trPr>
        <w:tc>
          <w:tcPr>
            <w:tcW w:w="236" w:type="pct"/>
            <w:shd w:val="clear" w:color="auto" w:fill="9CC2E5"/>
            <w:vAlign w:val="center"/>
          </w:tcPr>
          <w:p w14:paraId="69C29729">
            <w:pPr>
              <w:widowControl w:val="0"/>
              <w:jc w:val="center"/>
              <w:rPr>
                <w:rFonts w:ascii="Times New Roman" w:hAnsi="Times New Roman" w:eastAsia="宋体" w:cs="Times New Roman"/>
                <w:b/>
                <w:bCs/>
                <w:iCs/>
                <w:sz w:val="21"/>
                <w:szCs w:val="22"/>
                <w:lang w:val="en-US" w:eastAsia="zh-CN" w:bidi="ar-SA"/>
              </w:rPr>
            </w:pPr>
            <w:bookmarkStart w:id="102" w:name="_Hlk110020747"/>
            <w:bookmarkStart w:id="103" w:name="_Toc102481225"/>
            <w:bookmarkStart w:id="104" w:name="_Toc102825400"/>
            <w:bookmarkStart w:id="105" w:name="_Toc9735"/>
            <w:bookmarkStart w:id="106" w:name="_Toc28613979"/>
            <w:bookmarkStart w:id="107" w:name="_Toc40778455"/>
            <w:bookmarkStart w:id="108" w:name="_Toc102481276"/>
            <w:r>
              <w:rPr>
                <w:rFonts w:hint="eastAsia" w:ascii="宋体" w:hAnsi="宋体" w:eastAsia="宋体" w:cs="宋体"/>
                <w:b/>
                <w:bCs w:val="0"/>
                <w:iCs/>
                <w:sz w:val="21"/>
                <w:szCs w:val="22"/>
                <w:lang w:val="en-US" w:eastAsia="zh-CN" w:bidi="ar-SA"/>
              </w:rPr>
              <w:t>序</w:t>
            </w:r>
            <w:r>
              <w:rPr>
                <w:rFonts w:hint="eastAsia" w:ascii="宋体" w:hAnsi="宋体" w:eastAsia="Times New Roman" w:cs="宋体"/>
                <w:b/>
                <w:bCs w:val="0"/>
                <w:iCs/>
                <w:sz w:val="21"/>
                <w:szCs w:val="22"/>
                <w:lang w:val="en-US" w:eastAsia="zh-CN" w:bidi="ar-SA"/>
              </w:rPr>
              <w:t>号</w:t>
            </w:r>
          </w:p>
        </w:tc>
        <w:tc>
          <w:tcPr>
            <w:tcW w:w="1835" w:type="pct"/>
            <w:gridSpan w:val="2"/>
            <w:shd w:val="clear" w:color="auto" w:fill="9CC2E5"/>
            <w:vAlign w:val="center"/>
          </w:tcPr>
          <w:p w14:paraId="407648F0">
            <w:pPr>
              <w:widowControl w:val="0"/>
              <w:jc w:val="center"/>
              <w:rPr>
                <w:rFonts w:ascii="Times New Roman" w:hAnsi="Times New Roman" w:eastAsia="宋体" w:cs="Times New Roman"/>
                <w:b/>
                <w:bCs/>
                <w:iCs/>
                <w:sz w:val="21"/>
                <w:szCs w:val="22"/>
                <w:lang w:val="en-US" w:eastAsia="zh-CN" w:bidi="ar-SA"/>
              </w:rPr>
            </w:pPr>
            <w:r>
              <w:rPr>
                <w:rFonts w:hint="eastAsia" w:ascii="Times New Roman" w:hAnsi="Times New Roman" w:eastAsia="宋体" w:cs="Times New Roman"/>
                <w:b/>
                <w:bCs/>
                <w:iCs/>
                <w:sz w:val="21"/>
                <w:szCs w:val="22"/>
                <w:lang w:val="en-US" w:eastAsia="zh-CN" w:bidi="ar-SA"/>
              </w:rPr>
              <w:t>职务</w:t>
            </w:r>
          </w:p>
        </w:tc>
        <w:tc>
          <w:tcPr>
            <w:tcW w:w="759" w:type="pct"/>
            <w:shd w:val="clear" w:color="auto" w:fill="9CC2E5"/>
            <w:vAlign w:val="center"/>
          </w:tcPr>
          <w:p w14:paraId="1525A88C">
            <w:pPr>
              <w:widowControl w:val="0"/>
              <w:jc w:val="center"/>
              <w:rPr>
                <w:rFonts w:ascii="Times New Roman" w:hAnsi="Times New Roman" w:eastAsia="宋体" w:cs="Times New Roman"/>
                <w:b/>
                <w:bCs/>
                <w:iCs/>
                <w:sz w:val="21"/>
                <w:szCs w:val="22"/>
                <w:lang w:val="en-US" w:eastAsia="zh-CN" w:bidi="ar-SA"/>
              </w:rPr>
            </w:pPr>
            <w:r>
              <w:rPr>
                <w:rFonts w:hint="eastAsia" w:ascii="Times New Roman" w:hAnsi="Times New Roman" w:eastAsia="宋体" w:cs="Times New Roman"/>
                <w:b/>
                <w:bCs/>
                <w:iCs/>
                <w:sz w:val="21"/>
                <w:szCs w:val="22"/>
                <w:lang w:val="en-US" w:eastAsia="zh-CN" w:bidi="ar-SA"/>
              </w:rPr>
              <w:t>姓名</w:t>
            </w:r>
          </w:p>
        </w:tc>
        <w:tc>
          <w:tcPr>
            <w:tcW w:w="1085" w:type="pct"/>
            <w:shd w:val="clear" w:color="auto" w:fill="9CC2E5"/>
            <w:vAlign w:val="center"/>
          </w:tcPr>
          <w:p w14:paraId="12C6C067">
            <w:pPr>
              <w:widowControl w:val="0"/>
              <w:jc w:val="center"/>
              <w:rPr>
                <w:rFonts w:ascii="Times New Roman" w:hAnsi="Times New Roman" w:eastAsia="宋体" w:cs="Times New Roman"/>
                <w:b/>
                <w:bCs/>
                <w:iCs/>
                <w:sz w:val="21"/>
                <w:szCs w:val="22"/>
                <w:lang w:val="en-US" w:eastAsia="zh-CN" w:bidi="ar-SA"/>
              </w:rPr>
            </w:pPr>
            <w:r>
              <w:rPr>
                <w:rFonts w:hint="eastAsia" w:ascii="Times New Roman" w:hAnsi="Times New Roman" w:eastAsia="宋体" w:cs="Times New Roman"/>
                <w:b/>
                <w:bCs/>
                <w:iCs/>
                <w:sz w:val="21"/>
                <w:szCs w:val="22"/>
                <w:lang w:val="en-US" w:eastAsia="zh-CN" w:bidi="ar-SA"/>
              </w:rPr>
              <w:t>电话号码</w:t>
            </w:r>
          </w:p>
        </w:tc>
        <w:tc>
          <w:tcPr>
            <w:tcW w:w="1085" w:type="pct"/>
            <w:shd w:val="clear" w:color="auto" w:fill="9CC2E5"/>
            <w:vAlign w:val="center"/>
          </w:tcPr>
          <w:p w14:paraId="3486FA4A">
            <w:pPr>
              <w:widowControl w:val="0"/>
              <w:jc w:val="center"/>
              <w:rPr>
                <w:rFonts w:ascii="Times New Roman" w:hAnsi="Times New Roman" w:eastAsia="宋体" w:cs="Times New Roman"/>
                <w:b/>
                <w:bCs/>
                <w:iCs/>
                <w:sz w:val="21"/>
                <w:szCs w:val="22"/>
                <w:lang w:val="en-US" w:eastAsia="zh-CN" w:bidi="ar-SA"/>
              </w:rPr>
            </w:pPr>
            <w:r>
              <w:rPr>
                <w:rFonts w:ascii="Times New Roman" w:hAnsi="Times New Roman" w:eastAsia="宋体" w:cs="Times New Roman"/>
                <w:b/>
                <w:bCs/>
                <w:iCs/>
                <w:sz w:val="21"/>
                <w:szCs w:val="22"/>
                <w:lang w:val="en-US" w:eastAsia="zh-CN" w:bidi="ar-SA"/>
              </w:rPr>
              <w:t>工作内容</w:t>
            </w:r>
          </w:p>
        </w:tc>
      </w:tr>
      <w:tr w14:paraId="0E0DF5D7">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14:paraId="456C6464">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val="0"/>
                <w:iCs/>
                <w:sz w:val="21"/>
                <w:szCs w:val="22"/>
                <w:lang w:val="en-US" w:eastAsia="zh-CN" w:bidi="ar-SA"/>
              </w:rPr>
              <w:t>1</w:t>
            </w:r>
          </w:p>
        </w:tc>
        <w:tc>
          <w:tcPr>
            <w:tcW w:w="903" w:type="pct"/>
            <w:vMerge w:val="restart"/>
            <w:shd w:val="clear" w:color="auto" w:fill="BDD6EE"/>
            <w:vAlign w:val="center"/>
          </w:tcPr>
          <w:p w14:paraId="6E447ACD">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一分部</w:t>
            </w:r>
          </w:p>
        </w:tc>
        <w:tc>
          <w:tcPr>
            <w:tcW w:w="933" w:type="pct"/>
            <w:shd w:val="clear" w:color="auto" w:fill="BDD6EE"/>
            <w:vAlign w:val="center"/>
          </w:tcPr>
          <w:p w14:paraId="0056150E">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项目经理</w:t>
            </w:r>
          </w:p>
        </w:tc>
        <w:tc>
          <w:tcPr>
            <w:tcW w:w="759" w:type="pct"/>
            <w:shd w:val="clear" w:color="auto" w:fill="BDD6EE"/>
            <w:vAlign w:val="center"/>
          </w:tcPr>
          <w:p w14:paraId="2D08C473">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倪兵</w:t>
            </w:r>
          </w:p>
        </w:tc>
        <w:tc>
          <w:tcPr>
            <w:tcW w:w="1085" w:type="pct"/>
            <w:shd w:val="clear" w:color="auto" w:fill="BDD6EE"/>
            <w:vAlign w:val="center"/>
          </w:tcPr>
          <w:p w14:paraId="2FF77CFA">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13958500571</w:t>
            </w:r>
          </w:p>
        </w:tc>
        <w:tc>
          <w:tcPr>
            <w:tcW w:w="1085" w:type="pct"/>
            <w:shd w:val="clear" w:color="auto" w:fill="BDD6EE"/>
            <w:vAlign w:val="center"/>
          </w:tcPr>
          <w:p w14:paraId="637F1CD6">
            <w:pPr>
              <w:widowControl w:val="0"/>
              <w:jc w:val="center"/>
              <w:rPr>
                <w:rFonts w:ascii="Times New Roman" w:hAnsi="Times New Roman" w:eastAsia="宋体" w:cs="Times New Roman"/>
                <w:bCs/>
                <w:iCs/>
                <w:sz w:val="21"/>
                <w:szCs w:val="22"/>
                <w:lang w:val="en-US" w:eastAsia="zh-CN" w:bidi="ar-SA"/>
              </w:rPr>
            </w:pPr>
          </w:p>
        </w:tc>
      </w:tr>
      <w:tr w14:paraId="577081FD">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053A61F3">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val="0"/>
                <w:iCs/>
                <w:sz w:val="21"/>
                <w:szCs w:val="22"/>
                <w:lang w:val="en-US" w:eastAsia="zh-CN" w:bidi="ar-SA"/>
              </w:rPr>
              <w:t>2</w:t>
            </w:r>
          </w:p>
        </w:tc>
        <w:tc>
          <w:tcPr>
            <w:tcW w:w="903" w:type="pct"/>
            <w:vMerge w:val="continue"/>
            <w:shd w:val="clear" w:color="auto" w:fill="BDD6EE"/>
            <w:vAlign w:val="center"/>
          </w:tcPr>
          <w:p w14:paraId="75362C51">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32123CA5">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项目技术负责人</w:t>
            </w:r>
          </w:p>
        </w:tc>
        <w:tc>
          <w:tcPr>
            <w:tcW w:w="759" w:type="pct"/>
            <w:shd w:val="clear" w:color="auto" w:fill="BDD6EE"/>
            <w:vAlign w:val="center"/>
          </w:tcPr>
          <w:p w14:paraId="1E062AB3">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赵超</w:t>
            </w:r>
          </w:p>
        </w:tc>
        <w:tc>
          <w:tcPr>
            <w:tcW w:w="1085" w:type="pct"/>
            <w:shd w:val="clear" w:color="auto" w:fill="BDD6EE"/>
            <w:vAlign w:val="center"/>
          </w:tcPr>
          <w:p w14:paraId="62210F8C">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18171030099</w:t>
            </w:r>
          </w:p>
        </w:tc>
        <w:tc>
          <w:tcPr>
            <w:tcW w:w="1085" w:type="pct"/>
            <w:shd w:val="clear" w:color="auto" w:fill="BDD6EE"/>
            <w:vAlign w:val="center"/>
          </w:tcPr>
          <w:p w14:paraId="787BDBC0">
            <w:pPr>
              <w:widowControl w:val="0"/>
              <w:jc w:val="center"/>
              <w:rPr>
                <w:rFonts w:ascii="Times New Roman" w:hAnsi="Times New Roman" w:eastAsia="宋体" w:cs="Times New Roman"/>
                <w:bCs/>
                <w:iCs/>
                <w:sz w:val="21"/>
                <w:szCs w:val="22"/>
                <w:lang w:val="en-US" w:eastAsia="zh-CN" w:bidi="ar-SA"/>
              </w:rPr>
            </w:pPr>
          </w:p>
        </w:tc>
      </w:tr>
      <w:tr w14:paraId="14396175">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0996A45C">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3</w:t>
            </w:r>
          </w:p>
        </w:tc>
        <w:tc>
          <w:tcPr>
            <w:tcW w:w="903" w:type="pct"/>
            <w:vMerge w:val="continue"/>
            <w:shd w:val="clear" w:color="auto" w:fill="BDD6EE"/>
            <w:vAlign w:val="center"/>
          </w:tcPr>
          <w:p w14:paraId="2339007D">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020B9CA1">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生产副经理</w:t>
            </w:r>
          </w:p>
        </w:tc>
        <w:tc>
          <w:tcPr>
            <w:tcW w:w="759" w:type="pct"/>
            <w:shd w:val="clear" w:color="auto" w:fill="BDD6EE"/>
            <w:vAlign w:val="center"/>
          </w:tcPr>
          <w:p w14:paraId="51B61DE9">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董泊宁</w:t>
            </w:r>
          </w:p>
        </w:tc>
        <w:tc>
          <w:tcPr>
            <w:tcW w:w="1085" w:type="pct"/>
            <w:shd w:val="clear" w:color="auto" w:fill="BDD6EE"/>
            <w:vAlign w:val="center"/>
          </w:tcPr>
          <w:p w14:paraId="2559DFB8">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18020117430</w:t>
            </w:r>
          </w:p>
        </w:tc>
        <w:tc>
          <w:tcPr>
            <w:tcW w:w="1085" w:type="pct"/>
            <w:shd w:val="clear" w:color="auto" w:fill="BDD6EE"/>
            <w:vAlign w:val="center"/>
          </w:tcPr>
          <w:p w14:paraId="257CE12D">
            <w:pPr>
              <w:widowControl w:val="0"/>
              <w:jc w:val="center"/>
              <w:rPr>
                <w:rFonts w:ascii="Times New Roman" w:hAnsi="Times New Roman" w:eastAsia="宋体" w:cs="Times New Roman"/>
                <w:bCs/>
                <w:iCs/>
                <w:sz w:val="21"/>
                <w:szCs w:val="22"/>
                <w:lang w:val="en-US" w:eastAsia="zh-CN" w:bidi="ar-SA"/>
              </w:rPr>
            </w:pPr>
          </w:p>
        </w:tc>
      </w:tr>
      <w:tr w14:paraId="55695FFB">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0BE70455">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4</w:t>
            </w:r>
          </w:p>
        </w:tc>
        <w:tc>
          <w:tcPr>
            <w:tcW w:w="903" w:type="pct"/>
            <w:vMerge w:val="continue"/>
            <w:shd w:val="clear" w:color="auto" w:fill="BDD6EE"/>
            <w:vAlign w:val="center"/>
          </w:tcPr>
          <w:p w14:paraId="3424691C">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74B4CFB7">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安全总监</w:t>
            </w:r>
          </w:p>
        </w:tc>
        <w:tc>
          <w:tcPr>
            <w:tcW w:w="759" w:type="pct"/>
            <w:shd w:val="clear" w:color="auto" w:fill="BDD6EE"/>
            <w:vAlign w:val="center"/>
          </w:tcPr>
          <w:p w14:paraId="7ACA0EA7">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邵威</w:t>
            </w:r>
          </w:p>
        </w:tc>
        <w:tc>
          <w:tcPr>
            <w:tcW w:w="1085" w:type="pct"/>
            <w:shd w:val="clear" w:color="auto" w:fill="BDD6EE"/>
            <w:vAlign w:val="center"/>
          </w:tcPr>
          <w:p w14:paraId="58767A0C">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18867931625</w:t>
            </w:r>
          </w:p>
        </w:tc>
        <w:tc>
          <w:tcPr>
            <w:tcW w:w="1085" w:type="pct"/>
            <w:shd w:val="clear" w:color="auto" w:fill="BDD6EE"/>
            <w:vAlign w:val="center"/>
          </w:tcPr>
          <w:p w14:paraId="6BA6C443">
            <w:pPr>
              <w:widowControl w:val="0"/>
              <w:jc w:val="center"/>
              <w:rPr>
                <w:rFonts w:ascii="Times New Roman" w:hAnsi="Times New Roman" w:eastAsia="宋体" w:cs="Times New Roman"/>
                <w:bCs/>
                <w:iCs/>
                <w:sz w:val="21"/>
                <w:szCs w:val="22"/>
                <w:lang w:val="en-US" w:eastAsia="zh-CN" w:bidi="ar-SA"/>
              </w:rPr>
            </w:pPr>
          </w:p>
        </w:tc>
      </w:tr>
      <w:tr w14:paraId="6319AA69">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559DC8A5">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5</w:t>
            </w:r>
          </w:p>
        </w:tc>
        <w:tc>
          <w:tcPr>
            <w:tcW w:w="903" w:type="pct"/>
            <w:vMerge w:val="continue"/>
            <w:shd w:val="clear" w:color="auto" w:fill="BDD6EE"/>
            <w:vAlign w:val="center"/>
          </w:tcPr>
          <w:p w14:paraId="0AB38752">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0BB7B7E0">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副总工</w:t>
            </w:r>
          </w:p>
        </w:tc>
        <w:tc>
          <w:tcPr>
            <w:tcW w:w="759" w:type="pct"/>
            <w:shd w:val="clear" w:color="auto" w:fill="BDD6EE"/>
            <w:vAlign w:val="center"/>
          </w:tcPr>
          <w:p w14:paraId="44CF468E">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宋体" w:cs="宋体"/>
                <w:bCs/>
                <w:iCs/>
                <w:sz w:val="21"/>
                <w:szCs w:val="22"/>
                <w:lang w:val="en-US" w:eastAsia="zh-CN" w:bidi="ar-SA"/>
              </w:rPr>
              <w:t>李道伟</w:t>
            </w:r>
          </w:p>
        </w:tc>
        <w:tc>
          <w:tcPr>
            <w:tcW w:w="1085" w:type="pct"/>
            <w:shd w:val="clear" w:color="auto" w:fill="BDD6EE"/>
            <w:vAlign w:val="center"/>
          </w:tcPr>
          <w:p w14:paraId="54FB5053">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13866177365</w:t>
            </w:r>
          </w:p>
        </w:tc>
        <w:tc>
          <w:tcPr>
            <w:tcW w:w="1085" w:type="pct"/>
            <w:shd w:val="clear" w:color="auto" w:fill="BDD6EE"/>
            <w:vAlign w:val="center"/>
          </w:tcPr>
          <w:p w14:paraId="03A216B5">
            <w:pPr>
              <w:widowControl w:val="0"/>
              <w:jc w:val="center"/>
              <w:rPr>
                <w:rFonts w:ascii="Times New Roman" w:hAnsi="Times New Roman" w:eastAsia="宋体" w:cs="Times New Roman"/>
                <w:bCs/>
                <w:iCs/>
                <w:sz w:val="21"/>
                <w:szCs w:val="22"/>
                <w:lang w:val="en-US" w:eastAsia="zh-CN" w:bidi="ar-SA"/>
              </w:rPr>
            </w:pPr>
          </w:p>
        </w:tc>
      </w:tr>
      <w:tr w14:paraId="7BF2DB02">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4BD839AE">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6</w:t>
            </w:r>
          </w:p>
        </w:tc>
        <w:tc>
          <w:tcPr>
            <w:tcW w:w="903" w:type="pct"/>
            <w:vMerge w:val="continue"/>
            <w:shd w:val="clear" w:color="auto" w:fill="BDD6EE"/>
            <w:vAlign w:val="center"/>
          </w:tcPr>
          <w:p w14:paraId="6DB67314">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016129BC">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工程部部长</w:t>
            </w:r>
          </w:p>
        </w:tc>
        <w:tc>
          <w:tcPr>
            <w:tcW w:w="759" w:type="pct"/>
            <w:shd w:val="clear" w:color="auto" w:fill="BDD6EE"/>
            <w:vAlign w:val="center"/>
          </w:tcPr>
          <w:p w14:paraId="68B3F0FE">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王传发</w:t>
            </w:r>
          </w:p>
        </w:tc>
        <w:tc>
          <w:tcPr>
            <w:tcW w:w="1085" w:type="pct"/>
            <w:shd w:val="clear" w:color="auto" w:fill="BDD6EE"/>
            <w:vAlign w:val="center"/>
          </w:tcPr>
          <w:p w14:paraId="32CF6DDA">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15057489351</w:t>
            </w:r>
          </w:p>
        </w:tc>
        <w:tc>
          <w:tcPr>
            <w:tcW w:w="1085" w:type="pct"/>
            <w:shd w:val="clear" w:color="auto" w:fill="BDD6EE"/>
            <w:vAlign w:val="center"/>
          </w:tcPr>
          <w:p w14:paraId="389D8824">
            <w:pPr>
              <w:widowControl w:val="0"/>
              <w:jc w:val="center"/>
              <w:rPr>
                <w:rFonts w:ascii="Times New Roman" w:hAnsi="Times New Roman" w:eastAsia="宋体" w:cs="Times New Roman"/>
                <w:bCs/>
                <w:iCs/>
                <w:sz w:val="21"/>
                <w:szCs w:val="22"/>
                <w:lang w:val="en-US" w:eastAsia="zh-CN" w:bidi="ar-SA"/>
              </w:rPr>
            </w:pPr>
          </w:p>
        </w:tc>
      </w:tr>
      <w:tr w14:paraId="4DA89F84">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14:paraId="6D7E3111">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7</w:t>
            </w:r>
          </w:p>
        </w:tc>
        <w:tc>
          <w:tcPr>
            <w:tcW w:w="903" w:type="pct"/>
            <w:vMerge w:val="continue"/>
            <w:shd w:val="clear" w:color="auto" w:fill="BDD6EE"/>
            <w:vAlign w:val="center"/>
          </w:tcPr>
          <w:p w14:paraId="14A0A7E4">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15CAD3D2">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质检部部长</w:t>
            </w:r>
          </w:p>
        </w:tc>
        <w:tc>
          <w:tcPr>
            <w:tcW w:w="759" w:type="pct"/>
            <w:shd w:val="clear" w:color="auto" w:fill="BDD6EE"/>
            <w:vAlign w:val="center"/>
          </w:tcPr>
          <w:p w14:paraId="39B5757A">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朱黄林</w:t>
            </w:r>
          </w:p>
        </w:tc>
        <w:tc>
          <w:tcPr>
            <w:tcW w:w="1085" w:type="pct"/>
            <w:shd w:val="clear" w:color="auto" w:fill="BDD6EE"/>
            <w:vAlign w:val="center"/>
          </w:tcPr>
          <w:p w14:paraId="310A2D51">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18756052928</w:t>
            </w:r>
          </w:p>
        </w:tc>
        <w:tc>
          <w:tcPr>
            <w:tcW w:w="1085" w:type="pct"/>
            <w:shd w:val="clear" w:color="auto" w:fill="BDD6EE"/>
            <w:vAlign w:val="center"/>
          </w:tcPr>
          <w:p w14:paraId="65CB5C1B">
            <w:pPr>
              <w:widowControl w:val="0"/>
              <w:jc w:val="center"/>
              <w:rPr>
                <w:rFonts w:ascii="Times New Roman" w:hAnsi="Times New Roman" w:eastAsia="宋体" w:cs="Times New Roman"/>
                <w:bCs/>
                <w:iCs/>
                <w:sz w:val="21"/>
                <w:szCs w:val="22"/>
                <w:lang w:val="en-US" w:eastAsia="zh-CN" w:bidi="ar-SA"/>
              </w:rPr>
            </w:pPr>
          </w:p>
        </w:tc>
      </w:tr>
      <w:tr w14:paraId="55C376AE">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6F306A31">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8</w:t>
            </w:r>
          </w:p>
        </w:tc>
        <w:tc>
          <w:tcPr>
            <w:tcW w:w="903" w:type="pct"/>
            <w:vMerge w:val="continue"/>
            <w:shd w:val="clear" w:color="auto" w:fill="BDD6EE"/>
            <w:vAlign w:val="center"/>
          </w:tcPr>
          <w:p w14:paraId="0837FDAB">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555F07E5">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测量部部长</w:t>
            </w:r>
          </w:p>
        </w:tc>
        <w:tc>
          <w:tcPr>
            <w:tcW w:w="759" w:type="pct"/>
            <w:shd w:val="clear" w:color="auto" w:fill="BDD6EE"/>
            <w:vAlign w:val="center"/>
          </w:tcPr>
          <w:p w14:paraId="4A945837">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谢振说</w:t>
            </w:r>
          </w:p>
        </w:tc>
        <w:tc>
          <w:tcPr>
            <w:tcW w:w="1085" w:type="pct"/>
            <w:shd w:val="clear" w:color="auto" w:fill="BDD6EE"/>
            <w:vAlign w:val="center"/>
          </w:tcPr>
          <w:p w14:paraId="4FA6E994">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18757742885</w:t>
            </w:r>
          </w:p>
        </w:tc>
        <w:tc>
          <w:tcPr>
            <w:tcW w:w="1085" w:type="pct"/>
            <w:shd w:val="clear" w:color="auto" w:fill="BDD6EE"/>
            <w:vAlign w:val="center"/>
          </w:tcPr>
          <w:p w14:paraId="54F22C0C">
            <w:pPr>
              <w:widowControl w:val="0"/>
              <w:jc w:val="center"/>
              <w:rPr>
                <w:rFonts w:ascii="Times New Roman" w:hAnsi="Times New Roman" w:eastAsia="宋体" w:cs="Times New Roman"/>
                <w:bCs/>
                <w:iCs/>
                <w:sz w:val="21"/>
                <w:szCs w:val="22"/>
                <w:lang w:val="en-US" w:eastAsia="zh-CN" w:bidi="ar-SA"/>
              </w:rPr>
            </w:pPr>
          </w:p>
        </w:tc>
      </w:tr>
      <w:tr w14:paraId="3126A1B6">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392A37A4">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9</w:t>
            </w:r>
          </w:p>
        </w:tc>
        <w:tc>
          <w:tcPr>
            <w:tcW w:w="903" w:type="pct"/>
            <w:vMerge w:val="continue"/>
            <w:shd w:val="clear" w:color="auto" w:fill="BDD6EE"/>
            <w:vAlign w:val="center"/>
          </w:tcPr>
          <w:p w14:paraId="7A386592">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32FC2368">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合同部部长</w:t>
            </w:r>
          </w:p>
        </w:tc>
        <w:tc>
          <w:tcPr>
            <w:tcW w:w="759" w:type="pct"/>
            <w:shd w:val="clear" w:color="auto" w:fill="BDD6EE"/>
            <w:vAlign w:val="center"/>
          </w:tcPr>
          <w:p w14:paraId="170BF92F">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郑晓轶</w:t>
            </w:r>
          </w:p>
        </w:tc>
        <w:tc>
          <w:tcPr>
            <w:tcW w:w="1085" w:type="pct"/>
            <w:shd w:val="clear" w:color="auto" w:fill="BDD6EE"/>
            <w:vAlign w:val="center"/>
          </w:tcPr>
          <w:p w14:paraId="17DA3BA1">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15676149857</w:t>
            </w:r>
          </w:p>
        </w:tc>
        <w:tc>
          <w:tcPr>
            <w:tcW w:w="1085" w:type="pct"/>
            <w:shd w:val="clear" w:color="auto" w:fill="BDD6EE"/>
            <w:vAlign w:val="center"/>
          </w:tcPr>
          <w:p w14:paraId="49D267E7">
            <w:pPr>
              <w:widowControl w:val="0"/>
              <w:jc w:val="center"/>
              <w:rPr>
                <w:rFonts w:ascii="Times New Roman" w:hAnsi="Times New Roman" w:eastAsia="宋体" w:cs="Times New Roman"/>
                <w:bCs/>
                <w:iCs/>
                <w:sz w:val="21"/>
                <w:szCs w:val="22"/>
                <w:lang w:val="en-US" w:eastAsia="zh-CN" w:bidi="ar-SA"/>
              </w:rPr>
            </w:pPr>
          </w:p>
        </w:tc>
      </w:tr>
      <w:tr w14:paraId="1FBC88DB">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29EED679">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10</w:t>
            </w:r>
          </w:p>
        </w:tc>
        <w:tc>
          <w:tcPr>
            <w:tcW w:w="903" w:type="pct"/>
            <w:vMerge w:val="continue"/>
            <w:shd w:val="clear" w:color="auto" w:fill="BDD6EE"/>
            <w:vAlign w:val="center"/>
          </w:tcPr>
          <w:p w14:paraId="0E94145F">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42778F09">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机料部部长</w:t>
            </w:r>
          </w:p>
        </w:tc>
        <w:tc>
          <w:tcPr>
            <w:tcW w:w="759" w:type="pct"/>
            <w:shd w:val="clear" w:color="auto" w:fill="BDD6EE"/>
            <w:vAlign w:val="center"/>
          </w:tcPr>
          <w:p w14:paraId="19E241D7">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朱遂</w:t>
            </w:r>
          </w:p>
        </w:tc>
        <w:tc>
          <w:tcPr>
            <w:tcW w:w="1085" w:type="pct"/>
            <w:shd w:val="clear" w:color="auto" w:fill="BDD6EE"/>
            <w:vAlign w:val="center"/>
          </w:tcPr>
          <w:p w14:paraId="323B143D">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17338926820</w:t>
            </w:r>
          </w:p>
        </w:tc>
        <w:tc>
          <w:tcPr>
            <w:tcW w:w="1085" w:type="pct"/>
            <w:shd w:val="clear" w:color="auto" w:fill="BDD6EE"/>
            <w:vAlign w:val="center"/>
          </w:tcPr>
          <w:p w14:paraId="10482EED">
            <w:pPr>
              <w:widowControl w:val="0"/>
              <w:jc w:val="center"/>
              <w:rPr>
                <w:rFonts w:ascii="Times New Roman" w:hAnsi="Times New Roman" w:eastAsia="宋体" w:cs="Times New Roman"/>
                <w:bCs/>
                <w:iCs/>
                <w:sz w:val="21"/>
                <w:szCs w:val="22"/>
                <w:lang w:val="en-US" w:eastAsia="zh-CN" w:bidi="ar-SA"/>
              </w:rPr>
            </w:pPr>
          </w:p>
        </w:tc>
      </w:tr>
      <w:tr w14:paraId="7C3A2470">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289443F5">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11</w:t>
            </w:r>
          </w:p>
        </w:tc>
        <w:tc>
          <w:tcPr>
            <w:tcW w:w="903" w:type="pct"/>
            <w:vMerge w:val="continue"/>
            <w:shd w:val="clear" w:color="auto" w:fill="BDD6EE"/>
            <w:vAlign w:val="center"/>
          </w:tcPr>
          <w:p w14:paraId="38E23FF2">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5CA923D9">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财务部部长</w:t>
            </w:r>
          </w:p>
        </w:tc>
        <w:tc>
          <w:tcPr>
            <w:tcW w:w="759" w:type="pct"/>
            <w:shd w:val="clear" w:color="auto" w:fill="BDD6EE"/>
            <w:vAlign w:val="center"/>
          </w:tcPr>
          <w:p w14:paraId="7DC54774">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赵俊武</w:t>
            </w:r>
          </w:p>
        </w:tc>
        <w:tc>
          <w:tcPr>
            <w:tcW w:w="1085" w:type="pct"/>
            <w:shd w:val="clear" w:color="auto" w:fill="BDD6EE"/>
            <w:vAlign w:val="center"/>
          </w:tcPr>
          <w:p w14:paraId="4EDDD940">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13588261016</w:t>
            </w:r>
          </w:p>
        </w:tc>
        <w:tc>
          <w:tcPr>
            <w:tcW w:w="1085" w:type="pct"/>
            <w:shd w:val="clear" w:color="auto" w:fill="BDD6EE"/>
            <w:vAlign w:val="center"/>
          </w:tcPr>
          <w:p w14:paraId="65A58E63">
            <w:pPr>
              <w:widowControl w:val="0"/>
              <w:jc w:val="center"/>
              <w:rPr>
                <w:rFonts w:ascii="Times New Roman" w:hAnsi="Times New Roman" w:eastAsia="宋体" w:cs="Times New Roman"/>
                <w:bCs/>
                <w:iCs/>
                <w:sz w:val="21"/>
                <w:szCs w:val="22"/>
                <w:lang w:val="en-US" w:eastAsia="zh-CN" w:bidi="ar-SA"/>
              </w:rPr>
            </w:pPr>
          </w:p>
        </w:tc>
      </w:tr>
      <w:tr w14:paraId="42B3CAD2">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77C837BB">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12</w:t>
            </w:r>
          </w:p>
        </w:tc>
        <w:tc>
          <w:tcPr>
            <w:tcW w:w="903" w:type="pct"/>
            <w:vMerge w:val="continue"/>
            <w:shd w:val="clear" w:color="auto" w:fill="BDD6EE"/>
            <w:vAlign w:val="center"/>
          </w:tcPr>
          <w:p w14:paraId="677F77B0">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78F717CF">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试验室主任</w:t>
            </w:r>
          </w:p>
        </w:tc>
        <w:tc>
          <w:tcPr>
            <w:tcW w:w="759" w:type="pct"/>
            <w:shd w:val="clear" w:color="auto" w:fill="BDD6EE"/>
            <w:vAlign w:val="center"/>
          </w:tcPr>
          <w:p w14:paraId="6E64D145">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袁卫平</w:t>
            </w:r>
          </w:p>
        </w:tc>
        <w:tc>
          <w:tcPr>
            <w:tcW w:w="1085" w:type="pct"/>
            <w:shd w:val="clear" w:color="auto" w:fill="BDD6EE"/>
            <w:vAlign w:val="center"/>
          </w:tcPr>
          <w:p w14:paraId="51FDE49F">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15996832107</w:t>
            </w:r>
          </w:p>
        </w:tc>
        <w:tc>
          <w:tcPr>
            <w:tcW w:w="1085" w:type="pct"/>
            <w:shd w:val="clear" w:color="auto" w:fill="BDD6EE"/>
            <w:vAlign w:val="center"/>
          </w:tcPr>
          <w:p w14:paraId="7294D195">
            <w:pPr>
              <w:widowControl w:val="0"/>
              <w:jc w:val="center"/>
              <w:rPr>
                <w:rFonts w:ascii="Times New Roman" w:hAnsi="Times New Roman" w:eastAsia="宋体" w:cs="Times New Roman"/>
                <w:bCs/>
                <w:iCs/>
                <w:sz w:val="21"/>
                <w:szCs w:val="22"/>
                <w:lang w:val="en-US" w:eastAsia="zh-CN" w:bidi="ar-SA"/>
              </w:rPr>
            </w:pPr>
          </w:p>
        </w:tc>
      </w:tr>
      <w:tr w14:paraId="1B88A180">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559F49D8">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13</w:t>
            </w:r>
          </w:p>
        </w:tc>
        <w:tc>
          <w:tcPr>
            <w:tcW w:w="903" w:type="pct"/>
            <w:vMerge w:val="continue"/>
            <w:shd w:val="clear" w:color="auto" w:fill="BDD6EE"/>
            <w:vAlign w:val="center"/>
          </w:tcPr>
          <w:p w14:paraId="168E4373">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79F92276">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综合办主任</w:t>
            </w:r>
          </w:p>
        </w:tc>
        <w:tc>
          <w:tcPr>
            <w:tcW w:w="759" w:type="pct"/>
            <w:shd w:val="clear" w:color="auto" w:fill="BDD6EE"/>
            <w:vAlign w:val="center"/>
          </w:tcPr>
          <w:p w14:paraId="0DC2034A">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杨发明</w:t>
            </w:r>
          </w:p>
        </w:tc>
        <w:tc>
          <w:tcPr>
            <w:tcW w:w="1085" w:type="pct"/>
            <w:shd w:val="clear" w:color="auto" w:fill="BDD6EE"/>
            <w:vAlign w:val="center"/>
          </w:tcPr>
          <w:p w14:paraId="0ABA5EC9">
            <w:pPr>
              <w:widowControl w:val="0"/>
              <w:jc w:val="center"/>
              <w:rPr>
                <w:rFonts w:ascii="Times New Roman" w:hAnsi="Times New Roman" w:eastAsia="Times New Roman"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15355439177</w:t>
            </w:r>
          </w:p>
        </w:tc>
        <w:tc>
          <w:tcPr>
            <w:tcW w:w="1085" w:type="pct"/>
            <w:shd w:val="clear" w:color="auto" w:fill="BDD6EE"/>
            <w:vAlign w:val="center"/>
          </w:tcPr>
          <w:p w14:paraId="0016580E">
            <w:pPr>
              <w:widowControl w:val="0"/>
              <w:jc w:val="center"/>
              <w:rPr>
                <w:rFonts w:ascii="Times New Roman" w:hAnsi="Times New Roman" w:eastAsia="宋体" w:cs="Times New Roman"/>
                <w:bCs/>
                <w:iCs/>
                <w:sz w:val="21"/>
                <w:szCs w:val="22"/>
                <w:lang w:val="en-US" w:eastAsia="zh-CN" w:bidi="ar-SA"/>
              </w:rPr>
            </w:pPr>
          </w:p>
        </w:tc>
      </w:tr>
      <w:tr w14:paraId="2CF3DA3C">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517472AD">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14</w:t>
            </w:r>
          </w:p>
        </w:tc>
        <w:tc>
          <w:tcPr>
            <w:tcW w:w="903" w:type="pct"/>
            <w:vMerge w:val="restart"/>
            <w:shd w:val="clear" w:color="auto" w:fill="BDD6EE"/>
            <w:vAlign w:val="center"/>
          </w:tcPr>
          <w:p w14:paraId="675E64F1">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二分部</w:t>
            </w:r>
          </w:p>
        </w:tc>
        <w:tc>
          <w:tcPr>
            <w:tcW w:w="933" w:type="pct"/>
            <w:shd w:val="clear" w:color="auto" w:fill="BDD6EE"/>
            <w:vAlign w:val="center"/>
          </w:tcPr>
          <w:p w14:paraId="6A5042A3">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常务副经理</w:t>
            </w:r>
          </w:p>
        </w:tc>
        <w:tc>
          <w:tcPr>
            <w:tcW w:w="759" w:type="pct"/>
            <w:shd w:val="clear" w:color="auto" w:fill="BDD6EE"/>
            <w:vAlign w:val="center"/>
          </w:tcPr>
          <w:p w14:paraId="2BE0C95E">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肖冰</w:t>
            </w:r>
          </w:p>
        </w:tc>
        <w:tc>
          <w:tcPr>
            <w:tcW w:w="1085" w:type="pct"/>
            <w:shd w:val="clear" w:color="auto" w:fill="BDD6EE"/>
            <w:vAlign w:val="center"/>
          </w:tcPr>
          <w:p w14:paraId="7B585860">
            <w:pPr>
              <w:widowControl w:val="0"/>
              <w:jc w:val="center"/>
              <w:rPr>
                <w:rFonts w:ascii="Times New Roman" w:hAnsi="Times New Roman" w:eastAsia="Times New Roman"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18679669600</w:t>
            </w:r>
          </w:p>
        </w:tc>
        <w:tc>
          <w:tcPr>
            <w:tcW w:w="1085" w:type="pct"/>
            <w:shd w:val="clear" w:color="auto" w:fill="BDD6EE"/>
            <w:vAlign w:val="center"/>
          </w:tcPr>
          <w:p w14:paraId="6D4E891B">
            <w:pPr>
              <w:widowControl w:val="0"/>
              <w:jc w:val="center"/>
              <w:rPr>
                <w:rFonts w:ascii="Times New Roman" w:hAnsi="Times New Roman" w:eastAsia="宋体" w:cs="Times New Roman"/>
                <w:bCs/>
                <w:iCs/>
                <w:sz w:val="21"/>
                <w:szCs w:val="22"/>
                <w:lang w:val="en-US" w:eastAsia="zh-CN" w:bidi="ar-SA"/>
              </w:rPr>
            </w:pPr>
          </w:p>
        </w:tc>
      </w:tr>
      <w:tr w14:paraId="3393D128">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13C13D14">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15</w:t>
            </w:r>
          </w:p>
        </w:tc>
        <w:tc>
          <w:tcPr>
            <w:tcW w:w="903" w:type="pct"/>
            <w:vMerge w:val="continue"/>
            <w:shd w:val="clear" w:color="auto" w:fill="BDD6EE"/>
            <w:vAlign w:val="center"/>
          </w:tcPr>
          <w:p w14:paraId="2E08491C">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68B05F5B">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桥梁负责人</w:t>
            </w:r>
          </w:p>
        </w:tc>
        <w:tc>
          <w:tcPr>
            <w:tcW w:w="759" w:type="pct"/>
            <w:shd w:val="clear" w:color="auto" w:fill="BDD6EE"/>
            <w:vAlign w:val="center"/>
          </w:tcPr>
          <w:p w14:paraId="7F594585">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刘盼</w:t>
            </w:r>
          </w:p>
        </w:tc>
        <w:tc>
          <w:tcPr>
            <w:tcW w:w="1085" w:type="pct"/>
            <w:shd w:val="clear" w:color="auto" w:fill="BDD6EE"/>
            <w:vAlign w:val="center"/>
          </w:tcPr>
          <w:p w14:paraId="1EF0C866">
            <w:pPr>
              <w:widowControl w:val="0"/>
              <w:jc w:val="center"/>
              <w:rPr>
                <w:rFonts w:ascii="Times New Roman" w:hAnsi="Times New Roman" w:eastAsia="Times New Roman"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18876699584</w:t>
            </w:r>
          </w:p>
        </w:tc>
        <w:tc>
          <w:tcPr>
            <w:tcW w:w="1085" w:type="pct"/>
            <w:shd w:val="clear" w:color="auto" w:fill="BDD6EE"/>
            <w:vAlign w:val="center"/>
          </w:tcPr>
          <w:p w14:paraId="6690D9F8">
            <w:pPr>
              <w:widowControl w:val="0"/>
              <w:jc w:val="center"/>
              <w:rPr>
                <w:rFonts w:ascii="Times New Roman" w:hAnsi="Times New Roman" w:eastAsia="宋体" w:cs="Times New Roman"/>
                <w:bCs/>
                <w:iCs/>
                <w:sz w:val="21"/>
                <w:szCs w:val="22"/>
                <w:lang w:val="en-US" w:eastAsia="zh-CN" w:bidi="ar-SA"/>
              </w:rPr>
            </w:pPr>
          </w:p>
        </w:tc>
      </w:tr>
      <w:tr w14:paraId="35CBA4F7">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682CFFCB">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16</w:t>
            </w:r>
          </w:p>
        </w:tc>
        <w:tc>
          <w:tcPr>
            <w:tcW w:w="903" w:type="pct"/>
            <w:vMerge w:val="continue"/>
            <w:shd w:val="clear" w:color="auto" w:fill="BDD6EE"/>
            <w:vAlign w:val="center"/>
          </w:tcPr>
          <w:p w14:paraId="6B42076F">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7E2618ED">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安全总监</w:t>
            </w:r>
          </w:p>
        </w:tc>
        <w:tc>
          <w:tcPr>
            <w:tcW w:w="759" w:type="pct"/>
            <w:shd w:val="clear" w:color="auto" w:fill="BDD6EE"/>
            <w:vAlign w:val="center"/>
          </w:tcPr>
          <w:p w14:paraId="6BE2AB71">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王瑜</w:t>
            </w:r>
          </w:p>
        </w:tc>
        <w:tc>
          <w:tcPr>
            <w:tcW w:w="1085" w:type="pct"/>
            <w:shd w:val="clear" w:color="auto" w:fill="BDD6EE"/>
            <w:vAlign w:val="center"/>
          </w:tcPr>
          <w:p w14:paraId="3C228E0F">
            <w:pPr>
              <w:widowControl w:val="0"/>
              <w:jc w:val="center"/>
              <w:rPr>
                <w:rFonts w:ascii="Times New Roman" w:hAnsi="Times New Roman" w:eastAsia="Times New Roman"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19106865569</w:t>
            </w:r>
          </w:p>
        </w:tc>
        <w:tc>
          <w:tcPr>
            <w:tcW w:w="1085" w:type="pct"/>
            <w:shd w:val="clear" w:color="auto" w:fill="BDD6EE"/>
            <w:vAlign w:val="center"/>
          </w:tcPr>
          <w:p w14:paraId="67E8F146">
            <w:pPr>
              <w:widowControl w:val="0"/>
              <w:jc w:val="center"/>
              <w:rPr>
                <w:rFonts w:ascii="Times New Roman" w:hAnsi="Times New Roman" w:eastAsia="宋体" w:cs="Times New Roman"/>
                <w:bCs/>
                <w:iCs/>
                <w:sz w:val="21"/>
                <w:szCs w:val="22"/>
                <w:lang w:val="en-US" w:eastAsia="zh-CN" w:bidi="ar-SA"/>
              </w:rPr>
            </w:pPr>
          </w:p>
        </w:tc>
      </w:tr>
      <w:tr w14:paraId="13E4A839">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0B723466">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17</w:t>
            </w:r>
          </w:p>
        </w:tc>
        <w:tc>
          <w:tcPr>
            <w:tcW w:w="903" w:type="pct"/>
            <w:vMerge w:val="continue"/>
            <w:shd w:val="clear" w:color="auto" w:fill="BDD6EE"/>
            <w:vAlign w:val="center"/>
          </w:tcPr>
          <w:p w14:paraId="26FEDF62">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0E8D515D">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副经理</w:t>
            </w:r>
          </w:p>
        </w:tc>
        <w:tc>
          <w:tcPr>
            <w:tcW w:w="759" w:type="pct"/>
            <w:shd w:val="clear" w:color="auto" w:fill="BDD6EE"/>
            <w:vAlign w:val="center"/>
          </w:tcPr>
          <w:p w14:paraId="3AEF232E">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欧阳孝桂</w:t>
            </w:r>
          </w:p>
        </w:tc>
        <w:tc>
          <w:tcPr>
            <w:tcW w:w="1085" w:type="pct"/>
            <w:shd w:val="clear" w:color="auto" w:fill="BDD6EE"/>
            <w:vAlign w:val="center"/>
          </w:tcPr>
          <w:p w14:paraId="17B45610">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18175844740</w:t>
            </w:r>
          </w:p>
        </w:tc>
        <w:tc>
          <w:tcPr>
            <w:tcW w:w="1085" w:type="pct"/>
            <w:shd w:val="clear" w:color="auto" w:fill="BDD6EE"/>
            <w:vAlign w:val="center"/>
          </w:tcPr>
          <w:p w14:paraId="0B812CA1">
            <w:pPr>
              <w:widowControl w:val="0"/>
              <w:jc w:val="center"/>
              <w:rPr>
                <w:rFonts w:ascii="Times New Roman" w:hAnsi="Times New Roman" w:eastAsia="宋体" w:cs="Times New Roman"/>
                <w:bCs/>
                <w:iCs/>
                <w:sz w:val="21"/>
                <w:szCs w:val="22"/>
                <w:lang w:val="en-US" w:eastAsia="zh-CN" w:bidi="ar-SA"/>
              </w:rPr>
            </w:pPr>
          </w:p>
        </w:tc>
      </w:tr>
      <w:tr w14:paraId="615E62AB">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06633E0D">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18</w:t>
            </w:r>
          </w:p>
        </w:tc>
        <w:tc>
          <w:tcPr>
            <w:tcW w:w="903" w:type="pct"/>
            <w:vMerge w:val="continue"/>
            <w:shd w:val="clear" w:color="auto" w:fill="BDD6EE"/>
            <w:vAlign w:val="center"/>
          </w:tcPr>
          <w:p w14:paraId="07E2B7F7">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57688AC9">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副经理</w:t>
            </w:r>
          </w:p>
        </w:tc>
        <w:tc>
          <w:tcPr>
            <w:tcW w:w="759" w:type="pct"/>
            <w:shd w:val="clear" w:color="auto" w:fill="BDD6EE"/>
            <w:vAlign w:val="center"/>
          </w:tcPr>
          <w:p w14:paraId="7751BFC0">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庞令</w:t>
            </w:r>
          </w:p>
        </w:tc>
        <w:tc>
          <w:tcPr>
            <w:tcW w:w="1085" w:type="pct"/>
            <w:shd w:val="clear" w:color="auto" w:fill="BDD6EE"/>
            <w:vAlign w:val="center"/>
          </w:tcPr>
          <w:p w14:paraId="5BFB7E3E">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18817006177</w:t>
            </w:r>
          </w:p>
        </w:tc>
        <w:tc>
          <w:tcPr>
            <w:tcW w:w="1085" w:type="pct"/>
            <w:shd w:val="clear" w:color="auto" w:fill="BDD6EE"/>
            <w:vAlign w:val="center"/>
          </w:tcPr>
          <w:p w14:paraId="037649E7">
            <w:pPr>
              <w:widowControl w:val="0"/>
              <w:jc w:val="center"/>
              <w:rPr>
                <w:rFonts w:ascii="Times New Roman" w:hAnsi="Times New Roman" w:eastAsia="宋体" w:cs="Times New Roman"/>
                <w:bCs/>
                <w:iCs/>
                <w:sz w:val="21"/>
                <w:szCs w:val="22"/>
                <w:lang w:val="en-US" w:eastAsia="zh-CN" w:bidi="ar-SA"/>
              </w:rPr>
            </w:pPr>
          </w:p>
        </w:tc>
      </w:tr>
      <w:tr w14:paraId="21030A98">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6E5499CF">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19</w:t>
            </w:r>
          </w:p>
        </w:tc>
        <w:tc>
          <w:tcPr>
            <w:tcW w:w="903" w:type="pct"/>
            <w:vMerge w:val="continue"/>
            <w:shd w:val="clear" w:color="auto" w:fill="BDD6EE"/>
            <w:vAlign w:val="center"/>
          </w:tcPr>
          <w:p w14:paraId="76B8EBF9">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72BDD554">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技术部部长</w:t>
            </w:r>
          </w:p>
        </w:tc>
        <w:tc>
          <w:tcPr>
            <w:tcW w:w="759" w:type="pct"/>
            <w:shd w:val="clear" w:color="auto" w:fill="BDD6EE"/>
            <w:vAlign w:val="center"/>
          </w:tcPr>
          <w:p w14:paraId="4FD8210E">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张学伟</w:t>
            </w:r>
          </w:p>
        </w:tc>
        <w:tc>
          <w:tcPr>
            <w:tcW w:w="1085" w:type="pct"/>
            <w:shd w:val="clear" w:color="auto" w:fill="BDD6EE"/>
            <w:vAlign w:val="center"/>
          </w:tcPr>
          <w:p w14:paraId="18BDBDE7">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13016485367</w:t>
            </w:r>
          </w:p>
        </w:tc>
        <w:tc>
          <w:tcPr>
            <w:tcW w:w="1085" w:type="pct"/>
            <w:shd w:val="clear" w:color="auto" w:fill="BDD6EE"/>
            <w:vAlign w:val="center"/>
          </w:tcPr>
          <w:p w14:paraId="4F2D5687">
            <w:pPr>
              <w:widowControl w:val="0"/>
              <w:jc w:val="center"/>
              <w:rPr>
                <w:rFonts w:ascii="Times New Roman" w:hAnsi="Times New Roman" w:eastAsia="宋体" w:cs="Times New Roman"/>
                <w:bCs/>
                <w:iCs/>
                <w:sz w:val="21"/>
                <w:szCs w:val="22"/>
                <w:lang w:val="en-US" w:eastAsia="zh-CN" w:bidi="ar-SA"/>
              </w:rPr>
            </w:pPr>
          </w:p>
        </w:tc>
      </w:tr>
      <w:tr w14:paraId="78F02943">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04D21E45">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20</w:t>
            </w:r>
          </w:p>
        </w:tc>
        <w:tc>
          <w:tcPr>
            <w:tcW w:w="903" w:type="pct"/>
            <w:vMerge w:val="continue"/>
            <w:shd w:val="clear" w:color="auto" w:fill="BDD6EE"/>
            <w:vAlign w:val="center"/>
          </w:tcPr>
          <w:p w14:paraId="3B9B1A82">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66F12E97">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财务部部长</w:t>
            </w:r>
          </w:p>
        </w:tc>
        <w:tc>
          <w:tcPr>
            <w:tcW w:w="759" w:type="pct"/>
            <w:shd w:val="clear" w:color="auto" w:fill="BDD6EE"/>
            <w:vAlign w:val="center"/>
          </w:tcPr>
          <w:p w14:paraId="7E3C261C">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陈慰贤</w:t>
            </w:r>
          </w:p>
        </w:tc>
        <w:tc>
          <w:tcPr>
            <w:tcW w:w="1085" w:type="pct"/>
            <w:shd w:val="clear" w:color="auto" w:fill="BDD6EE"/>
            <w:vAlign w:val="center"/>
          </w:tcPr>
          <w:p w14:paraId="003EBB1C">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18982453272</w:t>
            </w:r>
          </w:p>
        </w:tc>
        <w:tc>
          <w:tcPr>
            <w:tcW w:w="1085" w:type="pct"/>
            <w:shd w:val="clear" w:color="auto" w:fill="BDD6EE"/>
            <w:vAlign w:val="center"/>
          </w:tcPr>
          <w:p w14:paraId="4B4FA48B">
            <w:pPr>
              <w:widowControl w:val="0"/>
              <w:jc w:val="center"/>
              <w:rPr>
                <w:rFonts w:ascii="Times New Roman" w:hAnsi="Times New Roman" w:eastAsia="宋体" w:cs="Times New Roman"/>
                <w:bCs/>
                <w:iCs/>
                <w:sz w:val="21"/>
                <w:szCs w:val="22"/>
                <w:lang w:val="en-US" w:eastAsia="zh-CN" w:bidi="ar-SA"/>
              </w:rPr>
            </w:pPr>
          </w:p>
        </w:tc>
      </w:tr>
      <w:tr w14:paraId="71DFDAE6">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1735DB2F">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21</w:t>
            </w:r>
          </w:p>
        </w:tc>
        <w:tc>
          <w:tcPr>
            <w:tcW w:w="903" w:type="pct"/>
            <w:vMerge w:val="continue"/>
            <w:shd w:val="clear" w:color="auto" w:fill="BDD6EE"/>
            <w:vAlign w:val="center"/>
          </w:tcPr>
          <w:p w14:paraId="1095CA99">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7DCC6E04">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质检部部长</w:t>
            </w:r>
          </w:p>
        </w:tc>
        <w:tc>
          <w:tcPr>
            <w:tcW w:w="759" w:type="pct"/>
            <w:shd w:val="clear" w:color="auto" w:fill="BDD6EE"/>
            <w:vAlign w:val="center"/>
          </w:tcPr>
          <w:p w14:paraId="1592A94F">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于全志</w:t>
            </w:r>
          </w:p>
        </w:tc>
        <w:tc>
          <w:tcPr>
            <w:tcW w:w="1085" w:type="pct"/>
            <w:shd w:val="clear" w:color="auto" w:fill="BDD6EE"/>
            <w:vAlign w:val="center"/>
          </w:tcPr>
          <w:p w14:paraId="7F880CDF">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15184241298</w:t>
            </w:r>
          </w:p>
        </w:tc>
        <w:tc>
          <w:tcPr>
            <w:tcW w:w="1085" w:type="pct"/>
            <w:shd w:val="clear" w:color="auto" w:fill="BDD6EE"/>
            <w:vAlign w:val="center"/>
          </w:tcPr>
          <w:p w14:paraId="64F33E4E">
            <w:pPr>
              <w:widowControl w:val="0"/>
              <w:jc w:val="center"/>
              <w:rPr>
                <w:rFonts w:ascii="Times New Roman" w:hAnsi="Times New Roman" w:eastAsia="宋体" w:cs="Times New Roman"/>
                <w:bCs/>
                <w:iCs/>
                <w:sz w:val="21"/>
                <w:szCs w:val="22"/>
                <w:lang w:val="en-US" w:eastAsia="zh-CN" w:bidi="ar-SA"/>
              </w:rPr>
            </w:pPr>
          </w:p>
        </w:tc>
      </w:tr>
      <w:tr w14:paraId="3362ACF7">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14:paraId="07F0BF1F">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22</w:t>
            </w:r>
          </w:p>
        </w:tc>
        <w:tc>
          <w:tcPr>
            <w:tcW w:w="903" w:type="pct"/>
            <w:vMerge w:val="continue"/>
            <w:shd w:val="clear" w:color="auto" w:fill="BDD6EE"/>
            <w:vAlign w:val="center"/>
          </w:tcPr>
          <w:p w14:paraId="5A4E970C">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308E6E06">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安全环保部部长</w:t>
            </w:r>
          </w:p>
        </w:tc>
        <w:tc>
          <w:tcPr>
            <w:tcW w:w="759" w:type="pct"/>
            <w:shd w:val="clear" w:color="auto" w:fill="BDD6EE"/>
            <w:vAlign w:val="center"/>
          </w:tcPr>
          <w:p w14:paraId="614B7DB9">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刘旭东</w:t>
            </w:r>
          </w:p>
        </w:tc>
        <w:tc>
          <w:tcPr>
            <w:tcW w:w="1085" w:type="pct"/>
            <w:shd w:val="clear" w:color="auto" w:fill="BDD6EE"/>
            <w:vAlign w:val="center"/>
          </w:tcPr>
          <w:p w14:paraId="5B72B9D7">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15135228642</w:t>
            </w:r>
          </w:p>
        </w:tc>
        <w:tc>
          <w:tcPr>
            <w:tcW w:w="1085" w:type="pct"/>
            <w:shd w:val="clear" w:color="auto" w:fill="BDD6EE"/>
            <w:vAlign w:val="center"/>
          </w:tcPr>
          <w:p w14:paraId="5FEDCA9F">
            <w:pPr>
              <w:widowControl w:val="0"/>
              <w:jc w:val="center"/>
              <w:rPr>
                <w:rFonts w:ascii="Times New Roman" w:hAnsi="Times New Roman" w:eastAsia="宋体" w:cs="Times New Roman"/>
                <w:bCs/>
                <w:iCs/>
                <w:sz w:val="21"/>
                <w:szCs w:val="22"/>
                <w:lang w:val="en-US" w:eastAsia="zh-CN" w:bidi="ar-SA"/>
              </w:rPr>
            </w:pPr>
          </w:p>
        </w:tc>
      </w:tr>
      <w:tr w14:paraId="091BA5F1">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0F244136">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23</w:t>
            </w:r>
          </w:p>
        </w:tc>
        <w:tc>
          <w:tcPr>
            <w:tcW w:w="903" w:type="pct"/>
            <w:vMerge w:val="continue"/>
            <w:shd w:val="clear" w:color="auto" w:fill="BDD6EE"/>
            <w:vAlign w:val="center"/>
          </w:tcPr>
          <w:p w14:paraId="7643BECF">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0F50C0F8">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测量部部长</w:t>
            </w:r>
          </w:p>
        </w:tc>
        <w:tc>
          <w:tcPr>
            <w:tcW w:w="759" w:type="pct"/>
            <w:shd w:val="clear" w:color="auto" w:fill="BDD6EE"/>
            <w:vAlign w:val="center"/>
          </w:tcPr>
          <w:p w14:paraId="65699C10">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张林华</w:t>
            </w:r>
          </w:p>
        </w:tc>
        <w:tc>
          <w:tcPr>
            <w:tcW w:w="1085" w:type="pct"/>
            <w:shd w:val="clear" w:color="auto" w:fill="BDD6EE"/>
            <w:vAlign w:val="center"/>
          </w:tcPr>
          <w:p w14:paraId="4116636B">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18434164658</w:t>
            </w:r>
          </w:p>
        </w:tc>
        <w:tc>
          <w:tcPr>
            <w:tcW w:w="1085" w:type="pct"/>
            <w:shd w:val="clear" w:color="auto" w:fill="BDD6EE"/>
            <w:vAlign w:val="center"/>
          </w:tcPr>
          <w:p w14:paraId="4F27B770">
            <w:pPr>
              <w:widowControl w:val="0"/>
              <w:jc w:val="center"/>
              <w:rPr>
                <w:rFonts w:ascii="Times New Roman" w:hAnsi="Times New Roman" w:eastAsia="宋体" w:cs="Times New Roman"/>
                <w:bCs/>
                <w:iCs/>
                <w:sz w:val="21"/>
                <w:szCs w:val="22"/>
                <w:lang w:val="en-US" w:eastAsia="zh-CN" w:bidi="ar-SA"/>
              </w:rPr>
            </w:pPr>
          </w:p>
        </w:tc>
      </w:tr>
      <w:bookmarkEnd w:id="102"/>
      <w:tr w14:paraId="2126F2CA">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1A609F01">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24</w:t>
            </w:r>
          </w:p>
        </w:tc>
        <w:tc>
          <w:tcPr>
            <w:tcW w:w="903" w:type="pct"/>
            <w:vMerge w:val="continue"/>
            <w:shd w:val="clear" w:color="auto" w:fill="BDD6EE"/>
            <w:vAlign w:val="center"/>
          </w:tcPr>
          <w:p w14:paraId="295D6558">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02DBB8C5">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合约部部长</w:t>
            </w:r>
          </w:p>
        </w:tc>
        <w:tc>
          <w:tcPr>
            <w:tcW w:w="759" w:type="pct"/>
            <w:shd w:val="clear" w:color="auto" w:fill="BDD6EE"/>
            <w:vAlign w:val="center"/>
          </w:tcPr>
          <w:p w14:paraId="424EA5D9">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刘齐</w:t>
            </w:r>
          </w:p>
        </w:tc>
        <w:tc>
          <w:tcPr>
            <w:tcW w:w="1085" w:type="pct"/>
            <w:shd w:val="clear" w:color="auto" w:fill="BDD6EE"/>
            <w:vAlign w:val="center"/>
          </w:tcPr>
          <w:p w14:paraId="012718E8">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13970458997</w:t>
            </w:r>
          </w:p>
        </w:tc>
        <w:tc>
          <w:tcPr>
            <w:tcW w:w="1085" w:type="pct"/>
            <w:shd w:val="clear" w:color="auto" w:fill="BDD6EE"/>
            <w:vAlign w:val="center"/>
          </w:tcPr>
          <w:p w14:paraId="1DDCABD1">
            <w:pPr>
              <w:widowControl w:val="0"/>
              <w:jc w:val="center"/>
              <w:rPr>
                <w:rFonts w:ascii="Times New Roman" w:hAnsi="Times New Roman" w:eastAsia="宋体" w:cs="Times New Roman"/>
                <w:bCs/>
                <w:iCs/>
                <w:sz w:val="21"/>
                <w:szCs w:val="22"/>
                <w:lang w:val="en-US" w:eastAsia="zh-CN" w:bidi="ar-SA"/>
              </w:rPr>
            </w:pPr>
          </w:p>
        </w:tc>
      </w:tr>
      <w:tr w14:paraId="5BFE5127">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19659DA2">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25</w:t>
            </w:r>
          </w:p>
        </w:tc>
        <w:tc>
          <w:tcPr>
            <w:tcW w:w="903" w:type="pct"/>
            <w:vMerge w:val="continue"/>
            <w:shd w:val="clear" w:color="auto" w:fill="BDD6EE"/>
            <w:vAlign w:val="center"/>
          </w:tcPr>
          <w:p w14:paraId="35A96832">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1BA4BA8B">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物资部部长</w:t>
            </w:r>
          </w:p>
        </w:tc>
        <w:tc>
          <w:tcPr>
            <w:tcW w:w="759" w:type="pct"/>
            <w:shd w:val="clear" w:color="auto" w:fill="BDD6EE"/>
            <w:vAlign w:val="center"/>
          </w:tcPr>
          <w:p w14:paraId="1E47AB1D">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李科</w:t>
            </w:r>
          </w:p>
        </w:tc>
        <w:tc>
          <w:tcPr>
            <w:tcW w:w="1085" w:type="pct"/>
            <w:shd w:val="clear" w:color="auto" w:fill="BDD6EE"/>
            <w:vAlign w:val="center"/>
          </w:tcPr>
          <w:p w14:paraId="3A2F67D8">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17602636886</w:t>
            </w:r>
          </w:p>
        </w:tc>
        <w:tc>
          <w:tcPr>
            <w:tcW w:w="1085" w:type="pct"/>
            <w:shd w:val="clear" w:color="auto" w:fill="BDD6EE"/>
            <w:vAlign w:val="center"/>
          </w:tcPr>
          <w:p w14:paraId="3556192C">
            <w:pPr>
              <w:widowControl w:val="0"/>
              <w:jc w:val="center"/>
              <w:rPr>
                <w:rFonts w:ascii="Times New Roman" w:hAnsi="Times New Roman" w:eastAsia="宋体" w:cs="Times New Roman"/>
                <w:bCs/>
                <w:iCs/>
                <w:sz w:val="21"/>
                <w:szCs w:val="22"/>
                <w:lang w:val="en-US" w:eastAsia="zh-CN" w:bidi="ar-SA"/>
              </w:rPr>
            </w:pPr>
          </w:p>
        </w:tc>
      </w:tr>
      <w:tr w14:paraId="271E2F4D">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14:paraId="3E13DFDA">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26</w:t>
            </w:r>
          </w:p>
        </w:tc>
        <w:tc>
          <w:tcPr>
            <w:tcW w:w="903" w:type="pct"/>
            <w:vMerge w:val="continue"/>
            <w:shd w:val="clear" w:color="auto" w:fill="BDD6EE"/>
            <w:vAlign w:val="center"/>
          </w:tcPr>
          <w:p w14:paraId="5FB44C38">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684B32FE">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试验室主任</w:t>
            </w:r>
          </w:p>
        </w:tc>
        <w:tc>
          <w:tcPr>
            <w:tcW w:w="759" w:type="pct"/>
            <w:shd w:val="clear" w:color="auto" w:fill="BDD6EE"/>
            <w:vAlign w:val="center"/>
          </w:tcPr>
          <w:p w14:paraId="578769E5">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王佳龙</w:t>
            </w:r>
          </w:p>
        </w:tc>
        <w:tc>
          <w:tcPr>
            <w:tcW w:w="1085" w:type="pct"/>
            <w:shd w:val="clear" w:color="auto" w:fill="BDD6EE"/>
            <w:vAlign w:val="center"/>
          </w:tcPr>
          <w:p w14:paraId="2F1A6379">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18785745749</w:t>
            </w:r>
          </w:p>
        </w:tc>
        <w:tc>
          <w:tcPr>
            <w:tcW w:w="1085" w:type="pct"/>
            <w:shd w:val="clear" w:color="auto" w:fill="BDD6EE"/>
            <w:vAlign w:val="center"/>
          </w:tcPr>
          <w:p w14:paraId="3823E060">
            <w:pPr>
              <w:widowControl w:val="0"/>
              <w:jc w:val="center"/>
              <w:rPr>
                <w:rFonts w:ascii="Times New Roman" w:hAnsi="Times New Roman" w:eastAsia="宋体" w:cs="Times New Roman"/>
                <w:bCs/>
                <w:iCs/>
                <w:sz w:val="21"/>
                <w:szCs w:val="22"/>
                <w:lang w:val="en-US" w:eastAsia="zh-CN" w:bidi="ar-SA"/>
              </w:rPr>
            </w:pPr>
          </w:p>
        </w:tc>
      </w:tr>
      <w:tr w14:paraId="30A9771F">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6C71F981">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27</w:t>
            </w:r>
          </w:p>
        </w:tc>
        <w:tc>
          <w:tcPr>
            <w:tcW w:w="903" w:type="pct"/>
            <w:vMerge w:val="continue"/>
            <w:shd w:val="clear" w:color="auto" w:fill="BDD6EE"/>
            <w:vAlign w:val="center"/>
          </w:tcPr>
          <w:p w14:paraId="576B3A8C">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4CACA763">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综合办主任</w:t>
            </w:r>
          </w:p>
        </w:tc>
        <w:tc>
          <w:tcPr>
            <w:tcW w:w="759" w:type="pct"/>
            <w:shd w:val="clear" w:color="auto" w:fill="BDD6EE"/>
            <w:vAlign w:val="center"/>
          </w:tcPr>
          <w:p w14:paraId="4841E997">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毛文峰</w:t>
            </w:r>
          </w:p>
        </w:tc>
        <w:tc>
          <w:tcPr>
            <w:tcW w:w="1085" w:type="pct"/>
            <w:shd w:val="clear" w:color="auto" w:fill="BDD6EE"/>
            <w:vAlign w:val="center"/>
          </w:tcPr>
          <w:p w14:paraId="1DEE8199">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15707303737</w:t>
            </w:r>
          </w:p>
        </w:tc>
        <w:tc>
          <w:tcPr>
            <w:tcW w:w="1085" w:type="pct"/>
            <w:shd w:val="clear" w:color="auto" w:fill="BDD6EE"/>
            <w:vAlign w:val="center"/>
          </w:tcPr>
          <w:p w14:paraId="1A8CFBF0">
            <w:pPr>
              <w:widowControl w:val="0"/>
              <w:jc w:val="center"/>
              <w:rPr>
                <w:rFonts w:ascii="Times New Roman" w:hAnsi="Times New Roman" w:eastAsia="宋体" w:cs="Times New Roman"/>
                <w:bCs/>
                <w:iCs/>
                <w:sz w:val="21"/>
                <w:szCs w:val="22"/>
                <w:lang w:val="en-US" w:eastAsia="zh-CN" w:bidi="ar-SA"/>
              </w:rPr>
            </w:pPr>
          </w:p>
        </w:tc>
      </w:tr>
    </w:tbl>
    <w:p w14:paraId="1DC4727B">
      <w:pPr>
        <w:pStyle w:val="4"/>
        <w:keepNext w:val="0"/>
        <w:pageBreakBefore w:val="0"/>
        <w:widowControl w:val="0"/>
        <w:numPr>
          <w:ilvl w:val="2"/>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应急领导小组办公室</w:t>
      </w:r>
    </w:p>
    <w:p w14:paraId="327B3440">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应急救援领导小组下设办公室，办公室设在安监部，由安监部长任办公室主任。应急领导小组办公室办负责各类应急预案的落实和管理。安监部负责监督、管理项目部现场安全的具体工作。</w:t>
      </w:r>
    </w:p>
    <w:p w14:paraId="384809EB">
      <w:pPr>
        <w:pStyle w:val="4"/>
        <w:keepNext w:val="0"/>
        <w:pageBreakBefore w:val="0"/>
        <w:widowControl w:val="0"/>
        <w:numPr>
          <w:ilvl w:val="2"/>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bookmarkStart w:id="109" w:name="_Toc26421"/>
      <w:bookmarkStart w:id="110" w:name="_Toc11976"/>
      <w:bookmarkStart w:id="111" w:name="_Toc5984"/>
      <w:bookmarkStart w:id="112" w:name="_Toc16016"/>
      <w:bookmarkStart w:id="113" w:name="_Toc14014"/>
      <w:bookmarkStart w:id="114" w:name="_Toc7193"/>
      <w:r>
        <w:rPr>
          <w:rFonts w:hint="eastAsia" w:ascii="宋体" w:hAnsi="宋体" w:eastAsia="宋体" w:cs="宋体"/>
          <w:sz w:val="24"/>
          <w:szCs w:val="24"/>
        </w:rPr>
        <w:t>应急救援职责</w:t>
      </w:r>
      <w:bookmarkEnd w:id="109"/>
      <w:bookmarkEnd w:id="110"/>
      <w:bookmarkEnd w:id="111"/>
      <w:bookmarkEnd w:id="112"/>
      <w:bookmarkEnd w:id="113"/>
      <w:bookmarkEnd w:id="114"/>
    </w:p>
    <w:p w14:paraId="09007491">
      <w:pPr>
        <w:numPr>
          <w:ilvl w:val="0"/>
          <w:numId w:val="43"/>
        </w:numPr>
        <w:bidi w:val="0"/>
        <w:ind w:left="425" w:leftChars="0" w:hanging="425" w:firstLineChars="0"/>
        <w:rPr>
          <w:rFonts w:hint="eastAsia"/>
        </w:rPr>
      </w:pPr>
      <w:r>
        <w:rPr>
          <w:rFonts w:hint="eastAsia"/>
        </w:rPr>
        <w:t>组长为事故应急处理小组总指挥，负责应急预案的启动实施，小组人员分工必要时向上级单位请示启动上级部门应急预案等。</w:t>
      </w:r>
    </w:p>
    <w:p w14:paraId="21C73233">
      <w:pPr>
        <w:numPr>
          <w:ilvl w:val="0"/>
          <w:numId w:val="43"/>
        </w:numPr>
        <w:bidi w:val="0"/>
        <w:ind w:left="425" w:leftChars="0" w:hanging="425" w:firstLineChars="0"/>
        <w:rPr>
          <w:rFonts w:hint="eastAsia"/>
        </w:rPr>
      </w:pPr>
      <w:r>
        <w:rPr>
          <w:rFonts w:hint="eastAsia"/>
        </w:rPr>
        <w:t>副组长协助组长工作，在组长不在场的情况下行使组长职责，具体负责应急抢险抢救过程的组织和协调以及事后恢复生产。</w:t>
      </w:r>
    </w:p>
    <w:p w14:paraId="4F984EA3">
      <w:pPr>
        <w:numPr>
          <w:ilvl w:val="0"/>
          <w:numId w:val="43"/>
        </w:numPr>
        <w:bidi w:val="0"/>
        <w:ind w:left="425" w:leftChars="0" w:hanging="425" w:firstLineChars="0"/>
        <w:rPr>
          <w:rFonts w:hint="eastAsia"/>
        </w:rPr>
      </w:pPr>
      <w:r>
        <w:rPr>
          <w:rFonts w:hint="eastAsia"/>
        </w:rPr>
        <w:t>在事故处理过程中，各成员必须无条件服从组长或副组长的安排，积极协助事故应急的处理。应急处理领导小组成员的手机要24小时开通，并向全体员工公布，具体如下表所示：</w:t>
      </w:r>
    </w:p>
    <w:p w14:paraId="678AFAB6">
      <w:pPr>
        <w:pStyle w:val="13"/>
        <w:keepNext w:val="0"/>
        <w:pageBreakBefore w:val="0"/>
        <w:widowControl w:val="0"/>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115" w:name="_Ref67579035"/>
      <w:bookmarkStart w:id="116" w:name="_Hlk101683358"/>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9.2.3</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bookmarkEnd w:id="115"/>
      <w:r>
        <w:rPr>
          <w:rFonts w:hint="eastAsia" w:ascii="宋体" w:hAnsi="宋体" w:eastAsia="宋体" w:cs="宋体"/>
          <w:sz w:val="24"/>
          <w:szCs w:val="24"/>
        </w:rPr>
        <w:t>应急救援领导小组职责表</w:t>
      </w:r>
    </w:p>
    <w:bookmarkEnd w:id="116"/>
    <w:tbl>
      <w:tblPr>
        <w:tblStyle w:val="68"/>
        <w:tblpPr w:leftFromText="180" w:rightFromText="180" w:vertAnchor="text" w:horzAnchor="margin" w:tblpXSpec="center" w:tblpY="16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942"/>
        <w:gridCol w:w="2210"/>
        <w:gridCol w:w="5307"/>
        <w:gridCol w:w="1396"/>
      </w:tblGrid>
      <w:tr w14:paraId="6EF706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70" w:hRule="atLeast"/>
          <w:tblHeader/>
          <w:jc w:val="center"/>
        </w:trPr>
        <w:tc>
          <w:tcPr>
            <w:tcW w:w="478" w:type="pct"/>
            <w:tcBorders>
              <w:tl2br w:val="nil"/>
              <w:tr2bl w:val="nil"/>
            </w:tcBorders>
            <w:shd w:val="clear" w:color="auto" w:fill="auto"/>
            <w:vAlign w:val="center"/>
          </w:tcPr>
          <w:p w14:paraId="39CAEDCD">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序号</w:t>
            </w:r>
          </w:p>
        </w:tc>
        <w:tc>
          <w:tcPr>
            <w:tcW w:w="1121" w:type="pct"/>
            <w:tcBorders>
              <w:tl2br w:val="nil"/>
              <w:tr2bl w:val="nil"/>
            </w:tcBorders>
            <w:shd w:val="clear" w:color="auto" w:fill="auto"/>
            <w:vAlign w:val="center"/>
          </w:tcPr>
          <w:p w14:paraId="1C3498BA">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姓名</w:t>
            </w:r>
          </w:p>
        </w:tc>
        <w:tc>
          <w:tcPr>
            <w:tcW w:w="2692" w:type="pct"/>
            <w:tcBorders>
              <w:tl2br w:val="nil"/>
              <w:tr2bl w:val="nil"/>
            </w:tcBorders>
            <w:shd w:val="clear" w:color="auto" w:fill="auto"/>
            <w:vAlign w:val="center"/>
          </w:tcPr>
          <w:p w14:paraId="478B62C3">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部门/职务</w:t>
            </w:r>
          </w:p>
        </w:tc>
        <w:tc>
          <w:tcPr>
            <w:tcW w:w="708" w:type="pct"/>
            <w:tcBorders>
              <w:tl2br w:val="nil"/>
              <w:tr2bl w:val="nil"/>
            </w:tcBorders>
            <w:shd w:val="clear" w:color="auto" w:fill="auto"/>
            <w:vAlign w:val="center"/>
          </w:tcPr>
          <w:p w14:paraId="6701E5F5">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备注</w:t>
            </w:r>
          </w:p>
        </w:tc>
      </w:tr>
      <w:tr w14:paraId="379DE0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70" w:hRule="atLeast"/>
          <w:jc w:val="center"/>
        </w:trPr>
        <w:tc>
          <w:tcPr>
            <w:tcW w:w="478" w:type="pct"/>
            <w:tcBorders>
              <w:tl2br w:val="nil"/>
              <w:tr2bl w:val="nil"/>
            </w:tcBorders>
            <w:shd w:val="clear" w:color="auto" w:fill="auto"/>
            <w:vAlign w:val="center"/>
          </w:tcPr>
          <w:p w14:paraId="44CDDE73">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1121" w:type="pct"/>
            <w:tcBorders>
              <w:tl2br w:val="nil"/>
              <w:tr2bl w:val="nil"/>
            </w:tcBorders>
            <w:shd w:val="clear" w:color="auto" w:fill="auto"/>
            <w:vAlign w:val="center"/>
          </w:tcPr>
          <w:p w14:paraId="235A4AB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项目经理</w:t>
            </w:r>
          </w:p>
        </w:tc>
        <w:tc>
          <w:tcPr>
            <w:tcW w:w="2692" w:type="pct"/>
            <w:tcBorders>
              <w:tl2br w:val="nil"/>
              <w:tr2bl w:val="nil"/>
            </w:tcBorders>
            <w:shd w:val="clear" w:color="auto" w:fill="auto"/>
            <w:vAlign w:val="center"/>
          </w:tcPr>
          <w:p w14:paraId="39CF09A4">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负责全面工作、制定应急方案</w:t>
            </w:r>
          </w:p>
        </w:tc>
        <w:tc>
          <w:tcPr>
            <w:tcW w:w="708" w:type="pct"/>
            <w:tcBorders>
              <w:tl2br w:val="nil"/>
              <w:tr2bl w:val="nil"/>
            </w:tcBorders>
            <w:shd w:val="clear" w:color="auto" w:fill="auto"/>
            <w:vAlign w:val="center"/>
          </w:tcPr>
          <w:p w14:paraId="15062F4C">
            <w:pPr>
              <w:pStyle w:val="49"/>
              <w:kinsoku/>
              <w:overflowPunct/>
              <w:topLinePunct w:val="0"/>
              <w:bidi w:val="0"/>
              <w:spacing w:line="360" w:lineRule="atLeast"/>
              <w:rPr>
                <w:rFonts w:hint="eastAsia" w:ascii="宋体" w:hAnsi="宋体" w:eastAsia="宋体" w:cs="宋体"/>
                <w:sz w:val="21"/>
                <w:szCs w:val="21"/>
              </w:rPr>
            </w:pPr>
          </w:p>
        </w:tc>
      </w:tr>
      <w:tr w14:paraId="7AB5B9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70" w:hRule="atLeast"/>
          <w:jc w:val="center"/>
        </w:trPr>
        <w:tc>
          <w:tcPr>
            <w:tcW w:w="478" w:type="pct"/>
            <w:tcBorders>
              <w:tl2br w:val="nil"/>
              <w:tr2bl w:val="nil"/>
            </w:tcBorders>
            <w:shd w:val="clear" w:color="auto" w:fill="auto"/>
            <w:vAlign w:val="center"/>
          </w:tcPr>
          <w:p w14:paraId="42019F71">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2</w:t>
            </w:r>
          </w:p>
        </w:tc>
        <w:tc>
          <w:tcPr>
            <w:tcW w:w="1121" w:type="pct"/>
            <w:tcBorders>
              <w:tl2br w:val="nil"/>
              <w:tr2bl w:val="nil"/>
            </w:tcBorders>
            <w:shd w:val="clear" w:color="auto" w:fill="auto"/>
            <w:vAlign w:val="center"/>
          </w:tcPr>
          <w:p w14:paraId="44205B1C">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项目书记</w:t>
            </w:r>
          </w:p>
        </w:tc>
        <w:tc>
          <w:tcPr>
            <w:tcW w:w="2692" w:type="pct"/>
            <w:vMerge w:val="restart"/>
            <w:tcBorders>
              <w:tl2br w:val="nil"/>
              <w:tr2bl w:val="nil"/>
            </w:tcBorders>
            <w:shd w:val="clear" w:color="auto" w:fill="auto"/>
            <w:vAlign w:val="center"/>
          </w:tcPr>
          <w:p w14:paraId="72C366D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在各自职责范围内负责项目部应急管理</w:t>
            </w:r>
          </w:p>
        </w:tc>
        <w:tc>
          <w:tcPr>
            <w:tcW w:w="708" w:type="pct"/>
            <w:tcBorders>
              <w:tl2br w:val="nil"/>
              <w:tr2bl w:val="nil"/>
            </w:tcBorders>
            <w:shd w:val="clear" w:color="auto" w:fill="auto"/>
            <w:vAlign w:val="center"/>
          </w:tcPr>
          <w:p w14:paraId="668C34D1">
            <w:pPr>
              <w:pStyle w:val="49"/>
              <w:kinsoku/>
              <w:overflowPunct/>
              <w:topLinePunct w:val="0"/>
              <w:bidi w:val="0"/>
              <w:spacing w:line="360" w:lineRule="atLeast"/>
              <w:rPr>
                <w:rFonts w:hint="eastAsia" w:ascii="宋体" w:hAnsi="宋体" w:eastAsia="宋体" w:cs="宋体"/>
                <w:sz w:val="21"/>
                <w:szCs w:val="21"/>
              </w:rPr>
            </w:pPr>
          </w:p>
        </w:tc>
      </w:tr>
      <w:tr w14:paraId="488EEA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70" w:hRule="atLeast"/>
          <w:jc w:val="center"/>
        </w:trPr>
        <w:tc>
          <w:tcPr>
            <w:tcW w:w="478" w:type="pct"/>
            <w:tcBorders>
              <w:tl2br w:val="nil"/>
              <w:tr2bl w:val="nil"/>
            </w:tcBorders>
            <w:shd w:val="clear" w:color="auto" w:fill="auto"/>
            <w:vAlign w:val="center"/>
          </w:tcPr>
          <w:p w14:paraId="3560D6FF">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3</w:t>
            </w:r>
          </w:p>
        </w:tc>
        <w:tc>
          <w:tcPr>
            <w:tcW w:w="1121" w:type="pct"/>
            <w:tcBorders>
              <w:tl2br w:val="nil"/>
              <w:tr2bl w:val="nil"/>
            </w:tcBorders>
            <w:shd w:val="clear" w:color="auto" w:fill="auto"/>
            <w:vAlign w:val="center"/>
          </w:tcPr>
          <w:p w14:paraId="4039BFC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项目副经理</w:t>
            </w:r>
          </w:p>
        </w:tc>
        <w:tc>
          <w:tcPr>
            <w:tcW w:w="2692" w:type="pct"/>
            <w:vMerge w:val="continue"/>
            <w:tcBorders>
              <w:tl2br w:val="nil"/>
              <w:tr2bl w:val="nil"/>
            </w:tcBorders>
            <w:shd w:val="clear" w:color="auto" w:fill="auto"/>
            <w:vAlign w:val="center"/>
          </w:tcPr>
          <w:p w14:paraId="65898417">
            <w:pPr>
              <w:pStyle w:val="49"/>
              <w:kinsoku/>
              <w:overflowPunct/>
              <w:topLinePunct w:val="0"/>
              <w:bidi w:val="0"/>
              <w:spacing w:line="360" w:lineRule="atLeast"/>
              <w:rPr>
                <w:rFonts w:hint="eastAsia" w:ascii="宋体" w:hAnsi="宋体" w:eastAsia="宋体" w:cs="宋体"/>
                <w:sz w:val="21"/>
                <w:szCs w:val="21"/>
              </w:rPr>
            </w:pPr>
          </w:p>
        </w:tc>
        <w:tc>
          <w:tcPr>
            <w:tcW w:w="708" w:type="pct"/>
            <w:tcBorders>
              <w:tl2br w:val="nil"/>
              <w:tr2bl w:val="nil"/>
            </w:tcBorders>
            <w:shd w:val="clear" w:color="auto" w:fill="auto"/>
            <w:vAlign w:val="center"/>
          </w:tcPr>
          <w:p w14:paraId="51217D1B">
            <w:pPr>
              <w:pStyle w:val="49"/>
              <w:kinsoku/>
              <w:overflowPunct/>
              <w:topLinePunct w:val="0"/>
              <w:bidi w:val="0"/>
              <w:spacing w:line="360" w:lineRule="atLeast"/>
              <w:rPr>
                <w:rFonts w:hint="eastAsia" w:ascii="宋体" w:hAnsi="宋体" w:eastAsia="宋体" w:cs="宋体"/>
                <w:sz w:val="21"/>
                <w:szCs w:val="21"/>
              </w:rPr>
            </w:pPr>
          </w:p>
        </w:tc>
      </w:tr>
      <w:tr w14:paraId="6170D1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70" w:hRule="atLeast"/>
          <w:jc w:val="center"/>
        </w:trPr>
        <w:tc>
          <w:tcPr>
            <w:tcW w:w="478" w:type="pct"/>
            <w:tcBorders>
              <w:tl2br w:val="nil"/>
              <w:tr2bl w:val="nil"/>
            </w:tcBorders>
            <w:shd w:val="clear" w:color="auto" w:fill="auto"/>
            <w:vAlign w:val="center"/>
          </w:tcPr>
          <w:p w14:paraId="53847E41">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4</w:t>
            </w:r>
          </w:p>
        </w:tc>
        <w:tc>
          <w:tcPr>
            <w:tcW w:w="1121" w:type="pct"/>
            <w:tcBorders>
              <w:tl2br w:val="nil"/>
              <w:tr2bl w:val="nil"/>
            </w:tcBorders>
            <w:shd w:val="clear" w:color="auto" w:fill="auto"/>
            <w:vAlign w:val="center"/>
          </w:tcPr>
          <w:p w14:paraId="55BF4B5E">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安全总监</w:t>
            </w:r>
          </w:p>
        </w:tc>
        <w:tc>
          <w:tcPr>
            <w:tcW w:w="2692" w:type="pct"/>
            <w:vMerge w:val="continue"/>
            <w:tcBorders>
              <w:tl2br w:val="nil"/>
              <w:tr2bl w:val="nil"/>
            </w:tcBorders>
            <w:shd w:val="clear" w:color="auto" w:fill="auto"/>
            <w:vAlign w:val="center"/>
          </w:tcPr>
          <w:p w14:paraId="0B5D37C8">
            <w:pPr>
              <w:pStyle w:val="49"/>
              <w:kinsoku/>
              <w:overflowPunct/>
              <w:topLinePunct w:val="0"/>
              <w:bidi w:val="0"/>
              <w:spacing w:line="360" w:lineRule="atLeast"/>
              <w:rPr>
                <w:rFonts w:hint="eastAsia" w:ascii="宋体" w:hAnsi="宋体" w:eastAsia="宋体" w:cs="宋体"/>
                <w:sz w:val="21"/>
                <w:szCs w:val="21"/>
              </w:rPr>
            </w:pPr>
          </w:p>
        </w:tc>
        <w:tc>
          <w:tcPr>
            <w:tcW w:w="708" w:type="pct"/>
            <w:tcBorders>
              <w:tl2br w:val="nil"/>
              <w:tr2bl w:val="nil"/>
            </w:tcBorders>
            <w:shd w:val="clear" w:color="auto" w:fill="auto"/>
            <w:vAlign w:val="center"/>
          </w:tcPr>
          <w:p w14:paraId="7C8FD8D3">
            <w:pPr>
              <w:pStyle w:val="49"/>
              <w:kinsoku/>
              <w:overflowPunct/>
              <w:topLinePunct w:val="0"/>
              <w:bidi w:val="0"/>
              <w:spacing w:line="360" w:lineRule="atLeast"/>
              <w:rPr>
                <w:rFonts w:hint="eastAsia" w:ascii="宋体" w:hAnsi="宋体" w:eastAsia="宋体" w:cs="宋体"/>
                <w:sz w:val="21"/>
                <w:szCs w:val="21"/>
              </w:rPr>
            </w:pPr>
          </w:p>
        </w:tc>
      </w:tr>
      <w:tr w14:paraId="7CFF4F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70" w:hRule="atLeast"/>
          <w:jc w:val="center"/>
        </w:trPr>
        <w:tc>
          <w:tcPr>
            <w:tcW w:w="478" w:type="pct"/>
            <w:tcBorders>
              <w:tl2br w:val="nil"/>
              <w:tr2bl w:val="nil"/>
            </w:tcBorders>
            <w:shd w:val="clear" w:color="auto" w:fill="auto"/>
            <w:vAlign w:val="center"/>
          </w:tcPr>
          <w:p w14:paraId="05E58350">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5</w:t>
            </w:r>
          </w:p>
        </w:tc>
        <w:tc>
          <w:tcPr>
            <w:tcW w:w="1121" w:type="pct"/>
            <w:tcBorders>
              <w:tl2br w:val="nil"/>
              <w:tr2bl w:val="nil"/>
            </w:tcBorders>
            <w:shd w:val="clear" w:color="auto" w:fill="auto"/>
            <w:vAlign w:val="center"/>
          </w:tcPr>
          <w:p w14:paraId="2A66D9A1">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项目总工</w:t>
            </w:r>
          </w:p>
        </w:tc>
        <w:tc>
          <w:tcPr>
            <w:tcW w:w="2692" w:type="pct"/>
            <w:vMerge w:val="continue"/>
            <w:tcBorders>
              <w:tl2br w:val="nil"/>
              <w:tr2bl w:val="nil"/>
            </w:tcBorders>
            <w:shd w:val="clear" w:color="auto" w:fill="auto"/>
            <w:vAlign w:val="center"/>
          </w:tcPr>
          <w:p w14:paraId="01F361FC">
            <w:pPr>
              <w:pStyle w:val="49"/>
              <w:kinsoku/>
              <w:overflowPunct/>
              <w:topLinePunct w:val="0"/>
              <w:bidi w:val="0"/>
              <w:spacing w:line="360" w:lineRule="atLeast"/>
              <w:rPr>
                <w:rFonts w:hint="eastAsia" w:ascii="宋体" w:hAnsi="宋体" w:eastAsia="宋体" w:cs="宋体"/>
                <w:sz w:val="21"/>
                <w:szCs w:val="21"/>
              </w:rPr>
            </w:pPr>
          </w:p>
        </w:tc>
        <w:tc>
          <w:tcPr>
            <w:tcW w:w="708" w:type="pct"/>
            <w:tcBorders>
              <w:tl2br w:val="nil"/>
              <w:tr2bl w:val="nil"/>
            </w:tcBorders>
            <w:shd w:val="clear" w:color="auto" w:fill="auto"/>
            <w:vAlign w:val="center"/>
          </w:tcPr>
          <w:p w14:paraId="531B4D67">
            <w:pPr>
              <w:pStyle w:val="49"/>
              <w:kinsoku/>
              <w:overflowPunct/>
              <w:topLinePunct w:val="0"/>
              <w:bidi w:val="0"/>
              <w:spacing w:line="360" w:lineRule="atLeast"/>
              <w:rPr>
                <w:rFonts w:hint="eastAsia" w:ascii="宋体" w:hAnsi="宋体" w:eastAsia="宋体" w:cs="宋体"/>
                <w:sz w:val="21"/>
                <w:szCs w:val="21"/>
              </w:rPr>
            </w:pPr>
          </w:p>
        </w:tc>
      </w:tr>
      <w:tr w14:paraId="663F1E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478" w:type="pct"/>
            <w:tcBorders>
              <w:tl2br w:val="nil"/>
              <w:tr2bl w:val="nil"/>
            </w:tcBorders>
            <w:shd w:val="clear" w:color="auto" w:fill="auto"/>
            <w:vAlign w:val="center"/>
          </w:tcPr>
          <w:p w14:paraId="30EE601D">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6</w:t>
            </w:r>
          </w:p>
        </w:tc>
        <w:tc>
          <w:tcPr>
            <w:tcW w:w="1121" w:type="pct"/>
            <w:tcBorders>
              <w:tl2br w:val="nil"/>
              <w:tr2bl w:val="nil"/>
            </w:tcBorders>
            <w:shd w:val="clear" w:color="auto" w:fill="auto"/>
            <w:vAlign w:val="center"/>
          </w:tcPr>
          <w:p w14:paraId="464E348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物资部</w:t>
            </w:r>
          </w:p>
        </w:tc>
        <w:tc>
          <w:tcPr>
            <w:tcW w:w="2692" w:type="pct"/>
            <w:vMerge w:val="restart"/>
            <w:tcBorders>
              <w:tl2br w:val="nil"/>
              <w:tr2bl w:val="nil"/>
            </w:tcBorders>
            <w:shd w:val="clear" w:color="auto" w:fill="auto"/>
            <w:vAlign w:val="center"/>
          </w:tcPr>
          <w:p w14:paraId="62C7D1F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召集人员，联络有关部门提供应急资金、物资支持</w:t>
            </w:r>
          </w:p>
        </w:tc>
        <w:tc>
          <w:tcPr>
            <w:tcW w:w="708" w:type="pct"/>
            <w:tcBorders>
              <w:tl2br w:val="nil"/>
              <w:tr2bl w:val="nil"/>
            </w:tcBorders>
            <w:shd w:val="clear" w:color="auto" w:fill="auto"/>
            <w:vAlign w:val="center"/>
          </w:tcPr>
          <w:p w14:paraId="5EC31A37">
            <w:pPr>
              <w:pStyle w:val="49"/>
              <w:kinsoku/>
              <w:overflowPunct/>
              <w:topLinePunct w:val="0"/>
              <w:bidi w:val="0"/>
              <w:spacing w:line="360" w:lineRule="atLeast"/>
              <w:rPr>
                <w:rFonts w:hint="eastAsia" w:ascii="宋体" w:hAnsi="宋体" w:eastAsia="宋体" w:cs="宋体"/>
                <w:sz w:val="21"/>
                <w:szCs w:val="21"/>
              </w:rPr>
            </w:pPr>
          </w:p>
        </w:tc>
      </w:tr>
      <w:tr w14:paraId="3BFDB2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70" w:hRule="atLeast"/>
          <w:jc w:val="center"/>
        </w:trPr>
        <w:tc>
          <w:tcPr>
            <w:tcW w:w="478" w:type="pct"/>
            <w:tcBorders>
              <w:tl2br w:val="nil"/>
              <w:tr2bl w:val="nil"/>
            </w:tcBorders>
            <w:shd w:val="clear" w:color="auto" w:fill="auto"/>
            <w:vAlign w:val="center"/>
          </w:tcPr>
          <w:p w14:paraId="3E254D6F">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7</w:t>
            </w:r>
          </w:p>
        </w:tc>
        <w:tc>
          <w:tcPr>
            <w:tcW w:w="1121" w:type="pct"/>
            <w:tcBorders>
              <w:tl2br w:val="nil"/>
              <w:tr2bl w:val="nil"/>
            </w:tcBorders>
            <w:shd w:val="clear" w:color="auto" w:fill="auto"/>
            <w:vAlign w:val="center"/>
          </w:tcPr>
          <w:p w14:paraId="39E73AE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综合办公室</w:t>
            </w:r>
          </w:p>
        </w:tc>
        <w:tc>
          <w:tcPr>
            <w:tcW w:w="2692" w:type="pct"/>
            <w:vMerge w:val="continue"/>
            <w:tcBorders>
              <w:tl2br w:val="nil"/>
              <w:tr2bl w:val="nil"/>
            </w:tcBorders>
            <w:shd w:val="clear" w:color="auto" w:fill="auto"/>
            <w:vAlign w:val="center"/>
          </w:tcPr>
          <w:p w14:paraId="2ECA441F">
            <w:pPr>
              <w:pStyle w:val="49"/>
              <w:kinsoku/>
              <w:overflowPunct/>
              <w:topLinePunct w:val="0"/>
              <w:bidi w:val="0"/>
              <w:spacing w:line="360" w:lineRule="atLeast"/>
              <w:rPr>
                <w:rFonts w:hint="eastAsia" w:ascii="宋体" w:hAnsi="宋体" w:eastAsia="宋体" w:cs="宋体"/>
                <w:sz w:val="21"/>
                <w:szCs w:val="21"/>
              </w:rPr>
            </w:pPr>
          </w:p>
        </w:tc>
        <w:tc>
          <w:tcPr>
            <w:tcW w:w="708" w:type="pct"/>
            <w:tcBorders>
              <w:tl2br w:val="nil"/>
              <w:tr2bl w:val="nil"/>
            </w:tcBorders>
            <w:shd w:val="clear" w:color="auto" w:fill="auto"/>
            <w:vAlign w:val="center"/>
          </w:tcPr>
          <w:p w14:paraId="203415AB">
            <w:pPr>
              <w:pStyle w:val="49"/>
              <w:kinsoku/>
              <w:overflowPunct/>
              <w:topLinePunct w:val="0"/>
              <w:bidi w:val="0"/>
              <w:spacing w:line="360" w:lineRule="atLeast"/>
              <w:rPr>
                <w:rFonts w:hint="eastAsia" w:ascii="宋体" w:hAnsi="宋体" w:eastAsia="宋体" w:cs="宋体"/>
                <w:sz w:val="21"/>
                <w:szCs w:val="21"/>
              </w:rPr>
            </w:pPr>
          </w:p>
        </w:tc>
      </w:tr>
      <w:tr w14:paraId="671661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70" w:hRule="atLeast"/>
          <w:jc w:val="center"/>
        </w:trPr>
        <w:tc>
          <w:tcPr>
            <w:tcW w:w="478" w:type="pct"/>
            <w:tcBorders>
              <w:tl2br w:val="nil"/>
              <w:tr2bl w:val="nil"/>
            </w:tcBorders>
            <w:shd w:val="clear" w:color="auto" w:fill="auto"/>
            <w:vAlign w:val="center"/>
          </w:tcPr>
          <w:p w14:paraId="24A7B1AD">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8</w:t>
            </w:r>
          </w:p>
        </w:tc>
        <w:tc>
          <w:tcPr>
            <w:tcW w:w="1121" w:type="pct"/>
            <w:tcBorders>
              <w:tl2br w:val="nil"/>
              <w:tr2bl w:val="nil"/>
            </w:tcBorders>
            <w:shd w:val="clear" w:color="auto" w:fill="auto"/>
            <w:vAlign w:val="center"/>
          </w:tcPr>
          <w:p w14:paraId="3FEE507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工程部</w:t>
            </w:r>
          </w:p>
        </w:tc>
        <w:tc>
          <w:tcPr>
            <w:tcW w:w="2692" w:type="pct"/>
            <w:tcBorders>
              <w:tl2br w:val="nil"/>
              <w:tr2bl w:val="nil"/>
            </w:tcBorders>
            <w:shd w:val="clear" w:color="auto" w:fill="auto"/>
            <w:vAlign w:val="center"/>
          </w:tcPr>
          <w:p w14:paraId="7CC2778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确定临时处置方案，组织伤员送医救治</w:t>
            </w:r>
          </w:p>
        </w:tc>
        <w:tc>
          <w:tcPr>
            <w:tcW w:w="708" w:type="pct"/>
            <w:tcBorders>
              <w:tl2br w:val="nil"/>
              <w:tr2bl w:val="nil"/>
            </w:tcBorders>
            <w:shd w:val="clear" w:color="auto" w:fill="auto"/>
            <w:vAlign w:val="center"/>
          </w:tcPr>
          <w:p w14:paraId="7E116A1A">
            <w:pPr>
              <w:pStyle w:val="49"/>
              <w:kinsoku/>
              <w:overflowPunct/>
              <w:topLinePunct w:val="0"/>
              <w:bidi w:val="0"/>
              <w:spacing w:line="360" w:lineRule="atLeast"/>
              <w:rPr>
                <w:rFonts w:hint="eastAsia" w:ascii="宋体" w:hAnsi="宋体" w:eastAsia="宋体" w:cs="宋体"/>
                <w:sz w:val="21"/>
                <w:szCs w:val="21"/>
              </w:rPr>
            </w:pPr>
          </w:p>
        </w:tc>
      </w:tr>
      <w:tr w14:paraId="61EF71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70" w:hRule="atLeast"/>
          <w:jc w:val="center"/>
        </w:trPr>
        <w:tc>
          <w:tcPr>
            <w:tcW w:w="478" w:type="pct"/>
            <w:tcBorders>
              <w:tl2br w:val="nil"/>
              <w:tr2bl w:val="nil"/>
            </w:tcBorders>
            <w:shd w:val="clear" w:color="auto" w:fill="auto"/>
            <w:vAlign w:val="center"/>
          </w:tcPr>
          <w:p w14:paraId="53438C7F">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9</w:t>
            </w:r>
          </w:p>
        </w:tc>
        <w:tc>
          <w:tcPr>
            <w:tcW w:w="1121" w:type="pct"/>
            <w:tcBorders>
              <w:tl2br w:val="nil"/>
              <w:tr2bl w:val="nil"/>
            </w:tcBorders>
            <w:shd w:val="clear" w:color="auto" w:fill="auto"/>
            <w:vAlign w:val="center"/>
          </w:tcPr>
          <w:p w14:paraId="4221D565">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设备部</w:t>
            </w:r>
          </w:p>
        </w:tc>
        <w:tc>
          <w:tcPr>
            <w:tcW w:w="2692" w:type="pct"/>
            <w:tcBorders>
              <w:tl2br w:val="nil"/>
              <w:tr2bl w:val="nil"/>
            </w:tcBorders>
            <w:shd w:val="clear" w:color="auto" w:fill="auto"/>
            <w:vAlign w:val="center"/>
          </w:tcPr>
          <w:p w14:paraId="74FD13D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组织设备抢险方案的实施，在需要设备辅助救援时，联络相关设备</w:t>
            </w:r>
          </w:p>
        </w:tc>
        <w:tc>
          <w:tcPr>
            <w:tcW w:w="708" w:type="pct"/>
            <w:tcBorders>
              <w:tl2br w:val="nil"/>
              <w:tr2bl w:val="nil"/>
            </w:tcBorders>
            <w:shd w:val="clear" w:color="auto" w:fill="auto"/>
            <w:vAlign w:val="center"/>
          </w:tcPr>
          <w:p w14:paraId="3D67D766">
            <w:pPr>
              <w:pStyle w:val="49"/>
              <w:kinsoku/>
              <w:overflowPunct/>
              <w:topLinePunct w:val="0"/>
              <w:bidi w:val="0"/>
              <w:spacing w:line="360" w:lineRule="atLeast"/>
              <w:rPr>
                <w:rFonts w:hint="eastAsia" w:ascii="宋体" w:hAnsi="宋体" w:eastAsia="宋体" w:cs="宋体"/>
                <w:sz w:val="21"/>
                <w:szCs w:val="21"/>
              </w:rPr>
            </w:pPr>
          </w:p>
        </w:tc>
      </w:tr>
      <w:tr w14:paraId="160982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70" w:hRule="atLeast"/>
          <w:jc w:val="center"/>
        </w:trPr>
        <w:tc>
          <w:tcPr>
            <w:tcW w:w="478" w:type="pct"/>
            <w:tcBorders>
              <w:tl2br w:val="nil"/>
              <w:tr2bl w:val="nil"/>
            </w:tcBorders>
            <w:shd w:val="clear" w:color="auto" w:fill="auto"/>
            <w:vAlign w:val="center"/>
          </w:tcPr>
          <w:p w14:paraId="006119D7">
            <w:pPr>
              <w:pStyle w:val="49"/>
              <w:kinsoku/>
              <w:overflowPunct/>
              <w:topLinePunct w:val="0"/>
              <w:bidi w:val="0"/>
              <w:spacing w:line="360" w:lineRule="atLeast"/>
              <w:rPr>
                <w:rFonts w:hint="eastAsia" w:ascii="宋体" w:hAnsi="宋体" w:eastAsia="宋体" w:cs="宋体"/>
                <w:b w:val="0"/>
                <w:i w:val="0"/>
                <w:sz w:val="21"/>
                <w:szCs w:val="21"/>
                <w:lang w:eastAsia="zh-CN"/>
              </w:rPr>
            </w:pPr>
            <w:r>
              <w:rPr>
                <w:rFonts w:hint="eastAsia" w:ascii="宋体" w:hAnsi="宋体" w:eastAsia="宋体" w:cs="宋体"/>
                <w:b w:val="0"/>
                <w:i w:val="0"/>
                <w:sz w:val="21"/>
                <w:szCs w:val="21"/>
              </w:rPr>
              <w:t>1</w:t>
            </w:r>
            <w:r>
              <w:rPr>
                <w:rFonts w:hint="eastAsia" w:ascii="宋体" w:hAnsi="宋体" w:eastAsia="宋体" w:cs="宋体"/>
                <w:b w:val="0"/>
                <w:i w:val="0"/>
                <w:sz w:val="21"/>
                <w:szCs w:val="21"/>
                <w:lang w:val="en-US" w:eastAsia="zh-CN"/>
              </w:rPr>
              <w:t>0</w:t>
            </w:r>
          </w:p>
        </w:tc>
        <w:tc>
          <w:tcPr>
            <w:tcW w:w="1121" w:type="pct"/>
            <w:tcBorders>
              <w:tl2br w:val="nil"/>
              <w:tr2bl w:val="nil"/>
            </w:tcBorders>
            <w:shd w:val="clear" w:color="auto" w:fill="auto"/>
            <w:vAlign w:val="center"/>
          </w:tcPr>
          <w:p w14:paraId="1F4CA9E6">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安监部</w:t>
            </w:r>
          </w:p>
        </w:tc>
        <w:tc>
          <w:tcPr>
            <w:tcW w:w="2692" w:type="pct"/>
            <w:tcBorders>
              <w:tl2br w:val="nil"/>
              <w:tr2bl w:val="nil"/>
            </w:tcBorders>
            <w:shd w:val="clear" w:color="auto" w:fill="auto"/>
            <w:vAlign w:val="center"/>
          </w:tcPr>
          <w:p w14:paraId="5B227771">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组织疏散、撤离、危险区域内的人员、物资；严格控制进出人员及车辆，维护现场治安</w:t>
            </w:r>
          </w:p>
        </w:tc>
        <w:tc>
          <w:tcPr>
            <w:tcW w:w="708" w:type="pct"/>
            <w:tcBorders>
              <w:tl2br w:val="nil"/>
              <w:tr2bl w:val="nil"/>
            </w:tcBorders>
            <w:shd w:val="clear" w:color="auto" w:fill="auto"/>
            <w:vAlign w:val="center"/>
          </w:tcPr>
          <w:p w14:paraId="5AB0B8E4">
            <w:pPr>
              <w:pStyle w:val="49"/>
              <w:kinsoku/>
              <w:overflowPunct/>
              <w:topLinePunct w:val="0"/>
              <w:bidi w:val="0"/>
              <w:spacing w:line="360" w:lineRule="atLeast"/>
              <w:rPr>
                <w:rFonts w:hint="eastAsia" w:ascii="宋体" w:hAnsi="宋体" w:eastAsia="宋体" w:cs="宋体"/>
                <w:sz w:val="21"/>
                <w:szCs w:val="21"/>
              </w:rPr>
            </w:pPr>
          </w:p>
        </w:tc>
      </w:tr>
      <w:tr w14:paraId="00D49F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70" w:hRule="atLeast"/>
          <w:jc w:val="center"/>
        </w:trPr>
        <w:tc>
          <w:tcPr>
            <w:tcW w:w="478" w:type="pct"/>
            <w:tcBorders>
              <w:tl2br w:val="nil"/>
              <w:tr2bl w:val="nil"/>
            </w:tcBorders>
            <w:shd w:val="clear" w:color="auto" w:fill="auto"/>
            <w:vAlign w:val="center"/>
          </w:tcPr>
          <w:p w14:paraId="28925047">
            <w:pPr>
              <w:pStyle w:val="49"/>
              <w:kinsoku/>
              <w:overflowPunct/>
              <w:topLinePunct w:val="0"/>
              <w:bidi w:val="0"/>
              <w:spacing w:line="360" w:lineRule="atLeast"/>
              <w:rPr>
                <w:rFonts w:hint="eastAsia" w:ascii="宋体" w:hAnsi="宋体" w:eastAsia="宋体" w:cs="宋体"/>
                <w:b w:val="0"/>
                <w:i w:val="0"/>
                <w:sz w:val="21"/>
                <w:szCs w:val="21"/>
                <w:lang w:eastAsia="zh-CN"/>
              </w:rPr>
            </w:pPr>
            <w:r>
              <w:rPr>
                <w:rFonts w:hint="eastAsia" w:ascii="宋体" w:hAnsi="宋体" w:eastAsia="宋体" w:cs="宋体"/>
                <w:b w:val="0"/>
                <w:i w:val="0"/>
                <w:sz w:val="21"/>
                <w:szCs w:val="21"/>
              </w:rPr>
              <w:t>1</w:t>
            </w:r>
            <w:r>
              <w:rPr>
                <w:rFonts w:hint="eastAsia" w:ascii="宋体" w:hAnsi="宋体" w:eastAsia="宋体" w:cs="宋体"/>
                <w:b w:val="0"/>
                <w:i w:val="0"/>
                <w:sz w:val="21"/>
                <w:szCs w:val="21"/>
                <w:lang w:val="en-US" w:eastAsia="zh-CN"/>
              </w:rPr>
              <w:t>1</w:t>
            </w:r>
          </w:p>
        </w:tc>
        <w:tc>
          <w:tcPr>
            <w:tcW w:w="1121" w:type="pct"/>
            <w:tcBorders>
              <w:tl2br w:val="nil"/>
              <w:tr2bl w:val="nil"/>
            </w:tcBorders>
            <w:shd w:val="clear" w:color="auto" w:fill="auto"/>
            <w:vAlign w:val="center"/>
          </w:tcPr>
          <w:p w14:paraId="434AD8A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合同部</w:t>
            </w:r>
          </w:p>
        </w:tc>
        <w:tc>
          <w:tcPr>
            <w:tcW w:w="2692" w:type="pct"/>
            <w:vMerge w:val="restart"/>
            <w:tcBorders>
              <w:tl2br w:val="nil"/>
              <w:tr2bl w:val="nil"/>
            </w:tcBorders>
            <w:shd w:val="clear" w:color="auto" w:fill="auto"/>
            <w:vAlign w:val="center"/>
          </w:tcPr>
          <w:p w14:paraId="5F8266F0">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负责伤亡人员身份确认，联络家属，事后处理，将事故处理动态上报项目</w:t>
            </w:r>
          </w:p>
        </w:tc>
        <w:tc>
          <w:tcPr>
            <w:tcW w:w="708" w:type="pct"/>
            <w:tcBorders>
              <w:tl2br w:val="nil"/>
              <w:tr2bl w:val="nil"/>
            </w:tcBorders>
            <w:shd w:val="clear" w:color="auto" w:fill="auto"/>
            <w:vAlign w:val="center"/>
          </w:tcPr>
          <w:p w14:paraId="520DE97C">
            <w:pPr>
              <w:pStyle w:val="49"/>
              <w:kinsoku/>
              <w:overflowPunct/>
              <w:topLinePunct w:val="0"/>
              <w:bidi w:val="0"/>
              <w:spacing w:line="360" w:lineRule="atLeast"/>
              <w:rPr>
                <w:rFonts w:hint="eastAsia" w:ascii="宋体" w:hAnsi="宋体" w:eastAsia="宋体" w:cs="宋体"/>
                <w:sz w:val="21"/>
                <w:szCs w:val="21"/>
              </w:rPr>
            </w:pPr>
          </w:p>
        </w:tc>
      </w:tr>
      <w:tr w14:paraId="5C7D28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370" w:hRule="atLeast"/>
          <w:jc w:val="center"/>
        </w:trPr>
        <w:tc>
          <w:tcPr>
            <w:tcW w:w="478" w:type="pct"/>
            <w:tcBorders>
              <w:tl2br w:val="nil"/>
              <w:tr2bl w:val="nil"/>
            </w:tcBorders>
            <w:shd w:val="clear" w:color="auto" w:fill="auto"/>
            <w:vAlign w:val="center"/>
          </w:tcPr>
          <w:p w14:paraId="25F9A399">
            <w:pPr>
              <w:pStyle w:val="49"/>
              <w:kinsoku/>
              <w:overflowPunct/>
              <w:topLinePunct w:val="0"/>
              <w:bidi w:val="0"/>
              <w:spacing w:line="360" w:lineRule="atLeast"/>
              <w:rPr>
                <w:rFonts w:hint="eastAsia" w:ascii="宋体" w:hAnsi="宋体" w:eastAsia="宋体" w:cs="宋体"/>
                <w:b w:val="0"/>
                <w:i w:val="0"/>
                <w:sz w:val="21"/>
                <w:szCs w:val="21"/>
                <w:lang w:eastAsia="zh-CN"/>
              </w:rPr>
            </w:pPr>
            <w:r>
              <w:rPr>
                <w:rFonts w:hint="eastAsia" w:ascii="宋体" w:hAnsi="宋体" w:eastAsia="宋体" w:cs="宋体"/>
                <w:b w:val="0"/>
                <w:i w:val="0"/>
                <w:sz w:val="21"/>
                <w:szCs w:val="21"/>
              </w:rPr>
              <w:t>1</w:t>
            </w:r>
            <w:r>
              <w:rPr>
                <w:rFonts w:hint="eastAsia" w:ascii="宋体" w:hAnsi="宋体" w:eastAsia="宋体" w:cs="宋体"/>
                <w:b w:val="0"/>
                <w:i w:val="0"/>
                <w:sz w:val="21"/>
                <w:szCs w:val="21"/>
                <w:lang w:val="en-US" w:eastAsia="zh-CN"/>
              </w:rPr>
              <w:t>2</w:t>
            </w:r>
          </w:p>
        </w:tc>
        <w:tc>
          <w:tcPr>
            <w:tcW w:w="1121" w:type="pct"/>
            <w:tcBorders>
              <w:tl2br w:val="nil"/>
              <w:tr2bl w:val="nil"/>
            </w:tcBorders>
            <w:shd w:val="clear" w:color="auto" w:fill="auto"/>
            <w:vAlign w:val="center"/>
          </w:tcPr>
          <w:p w14:paraId="161E58B9">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财务部</w:t>
            </w:r>
          </w:p>
        </w:tc>
        <w:tc>
          <w:tcPr>
            <w:tcW w:w="2692" w:type="pct"/>
            <w:vMerge w:val="continue"/>
            <w:tcBorders>
              <w:tl2br w:val="nil"/>
              <w:tr2bl w:val="nil"/>
            </w:tcBorders>
            <w:shd w:val="clear" w:color="auto" w:fill="auto"/>
            <w:vAlign w:val="center"/>
          </w:tcPr>
          <w:p w14:paraId="1284ABC9">
            <w:pPr>
              <w:pStyle w:val="49"/>
              <w:kinsoku/>
              <w:overflowPunct/>
              <w:topLinePunct w:val="0"/>
              <w:bidi w:val="0"/>
              <w:spacing w:line="360" w:lineRule="atLeast"/>
              <w:rPr>
                <w:rFonts w:hint="eastAsia" w:ascii="宋体" w:hAnsi="宋体" w:eastAsia="宋体" w:cs="宋体"/>
                <w:sz w:val="21"/>
                <w:szCs w:val="21"/>
              </w:rPr>
            </w:pPr>
          </w:p>
        </w:tc>
        <w:tc>
          <w:tcPr>
            <w:tcW w:w="708" w:type="pct"/>
            <w:tcBorders>
              <w:tl2br w:val="nil"/>
              <w:tr2bl w:val="nil"/>
            </w:tcBorders>
            <w:shd w:val="clear" w:color="auto" w:fill="auto"/>
            <w:vAlign w:val="center"/>
          </w:tcPr>
          <w:p w14:paraId="5FD20C33">
            <w:pPr>
              <w:pStyle w:val="49"/>
              <w:kinsoku/>
              <w:overflowPunct/>
              <w:topLinePunct w:val="0"/>
              <w:bidi w:val="0"/>
              <w:spacing w:line="360" w:lineRule="atLeast"/>
              <w:rPr>
                <w:rFonts w:hint="eastAsia" w:ascii="宋体" w:hAnsi="宋体" w:eastAsia="宋体" w:cs="宋体"/>
                <w:sz w:val="21"/>
                <w:szCs w:val="21"/>
              </w:rPr>
            </w:pPr>
          </w:p>
        </w:tc>
      </w:tr>
    </w:tbl>
    <w:p w14:paraId="5D63AFB1">
      <w:pPr>
        <w:pStyle w:val="3"/>
        <w:keepNext w:val="0"/>
        <w:pageBreakBefore w:val="0"/>
        <w:widowControl w:val="0"/>
        <w:numPr>
          <w:ilvl w:val="1"/>
          <w:numId w:val="1"/>
        </w:numPr>
        <w:kinsoku/>
        <w:wordWrap/>
        <w:overflowPunct/>
        <w:topLinePunct w:val="0"/>
        <w:autoSpaceDE/>
        <w:autoSpaceDN/>
        <w:bidi w:val="0"/>
        <w:adjustRightInd/>
        <w:snapToGrid/>
        <w:spacing w:before="120" w:beforeLines="50" w:line="480" w:lineRule="atLeast"/>
        <w:textAlignment w:val="auto"/>
        <w:rPr>
          <w:rFonts w:hint="eastAsia" w:ascii="宋体" w:hAnsi="宋体" w:eastAsia="宋体" w:cs="宋体"/>
          <w:sz w:val="24"/>
          <w:szCs w:val="24"/>
        </w:rPr>
      </w:pPr>
      <w:bookmarkStart w:id="117" w:name="_Toc121344360"/>
      <w:bookmarkStart w:id="118" w:name="_Toc23373"/>
      <w:r>
        <w:rPr>
          <w:rFonts w:hint="eastAsia" w:ascii="宋体" w:hAnsi="宋体" w:eastAsia="宋体" w:cs="宋体"/>
          <w:sz w:val="24"/>
          <w:szCs w:val="24"/>
        </w:rPr>
        <w:t>处置流程</w:t>
      </w:r>
      <w:bookmarkEnd w:id="103"/>
      <w:bookmarkEnd w:id="104"/>
      <w:bookmarkEnd w:id="105"/>
      <w:bookmarkEnd w:id="106"/>
      <w:bookmarkEnd w:id="107"/>
      <w:bookmarkEnd w:id="108"/>
      <w:bookmarkEnd w:id="117"/>
      <w:bookmarkEnd w:id="118"/>
    </w:p>
    <w:p w14:paraId="43BFA0C8">
      <w:pPr>
        <w:pStyle w:val="4"/>
        <w:keepNext w:val="0"/>
        <w:pageBreakBefore w:val="0"/>
        <w:widowControl w:val="0"/>
        <w:numPr>
          <w:ilvl w:val="2"/>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应急响应程序</w:t>
      </w:r>
    </w:p>
    <w:p w14:paraId="6B315EB5">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事故应急救援系统的应急响应程序按照过程可分为接警、响应级别的确定、应急启动、救援行动、应急恢复和应急结束等几个过程。</w:t>
      </w:r>
    </w:p>
    <w:p w14:paraId="2812404B">
      <w:pPr>
        <w:numPr>
          <w:ilvl w:val="0"/>
          <w:numId w:val="44"/>
        </w:numPr>
        <w:bidi w:val="0"/>
        <w:ind w:left="425" w:leftChars="0" w:hanging="425" w:firstLineChars="0"/>
        <w:rPr>
          <w:rFonts w:hint="eastAsia"/>
        </w:rPr>
      </w:pPr>
      <w:r>
        <w:rPr>
          <w:rFonts w:hint="eastAsia"/>
        </w:rPr>
        <w:tab/>
      </w:r>
      <w:r>
        <w:rPr>
          <w:rFonts w:hint="eastAsia"/>
        </w:rPr>
        <w:t>三级响应。事故事件类别为：一般等级以下事故。应急救援及处置由项目部主导和具体实施，所属分公司协助处理。</w:t>
      </w:r>
    </w:p>
    <w:p w14:paraId="52C2DBC1">
      <w:pPr>
        <w:numPr>
          <w:ilvl w:val="0"/>
          <w:numId w:val="44"/>
        </w:numPr>
        <w:bidi w:val="0"/>
        <w:ind w:left="425" w:leftChars="0" w:hanging="425" w:firstLineChars="0"/>
        <w:rPr>
          <w:rFonts w:hint="eastAsia"/>
        </w:rPr>
      </w:pPr>
      <w:r>
        <w:rPr>
          <w:rFonts w:hint="eastAsia"/>
        </w:rPr>
        <w:t>二级紧急情况。事故事件类别为：发生重伤事故或者可能造成较大伤害和影响的事故，且事态得以控制，不会造成严重社会影响。应急救援及处置协调由分公司主导，局综合协调，项目部具体实施。</w:t>
      </w:r>
    </w:p>
    <w:p w14:paraId="5038DCE5">
      <w:pPr>
        <w:numPr>
          <w:ilvl w:val="0"/>
          <w:numId w:val="44"/>
        </w:numPr>
        <w:bidi w:val="0"/>
        <w:ind w:left="425" w:leftChars="0" w:hanging="425" w:firstLineChars="0"/>
        <w:rPr>
          <w:rFonts w:hint="eastAsia"/>
        </w:rPr>
      </w:pPr>
      <w:r>
        <w:rPr>
          <w:rFonts w:hint="eastAsia"/>
        </w:rPr>
        <w:tab/>
      </w:r>
      <w:r>
        <w:rPr>
          <w:rFonts w:hint="eastAsia"/>
        </w:rPr>
        <w:t>一级紧急情况。事故事件类别为：发生较大及以上等级生产安全事故；发生一般等级生产安全事故，但可能造成进一步损失或严重社会影响。应急救援及处置协调由总公司主导，分公司配合，项目部具体实施。</w:t>
      </w:r>
    </w:p>
    <w:p w14:paraId="4B129522">
      <w:pPr>
        <w:pStyle w:val="4"/>
        <w:keepNext w:val="0"/>
        <w:pageBreakBefore w:val="0"/>
        <w:widowControl w:val="0"/>
        <w:numPr>
          <w:ilvl w:val="2"/>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应急处置程序</w:t>
      </w:r>
    </w:p>
    <w:p w14:paraId="79331C27">
      <w:pPr>
        <w:keepNext w:val="0"/>
        <w:pageBreakBefore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1"/>
          <w:szCs w:val="21"/>
        </w:rPr>
      </w:pPr>
      <w:r>
        <w:rPr>
          <w:rFonts w:hint="eastAsia" w:ascii="宋体" w:hAnsi="宋体" w:eastAsia="宋体" w:cs="宋体"/>
          <w:sz w:val="24"/>
          <w:szCs w:val="24"/>
        </w:rPr>
        <w:t>施工过程中事故发生，应急处置流程见下图：</w:t>
      </w:r>
    </w:p>
    <w:p w14:paraId="03BE3182">
      <w:pPr>
        <w:kinsoku/>
        <w:overflowPunct/>
        <w:topLinePunct w:val="0"/>
        <w:bidi w:val="0"/>
        <w:spacing w:line="360" w:lineRule="atLeast"/>
        <w:ind w:firstLine="480"/>
        <w:jc w:val="center"/>
        <w:rPr>
          <w:rFonts w:hint="eastAsia" w:ascii="宋体" w:hAnsi="宋体" w:eastAsia="宋体" w:cs="宋体"/>
          <w:sz w:val="21"/>
          <w:szCs w:val="21"/>
        </w:rPr>
      </w:pPr>
      <w:r>
        <w:rPr>
          <w:rFonts w:hint="eastAsia" w:ascii="宋体" w:hAnsi="宋体" w:eastAsia="宋体" w:cs="宋体"/>
          <w:sz w:val="21"/>
          <w:szCs w:val="21"/>
        </w:rPr>
        <w:pict>
          <v:shape id="_x0000_i1025" o:spt="75" type="#_x0000_t75" style="height:317.45pt;width:366.25pt;" filled="f" o:preferrelative="t" stroked="f" coordsize="21600,21600">
            <v:path/>
            <v:fill on="f" focussize="0,0"/>
            <v:stroke on="f"/>
            <v:imagedata r:id="rId48" o:title=""/>
            <o:lock v:ext="edit" aspectratio="f"/>
            <w10:wrap type="none"/>
            <w10:anchorlock/>
          </v:shape>
        </w:pict>
      </w:r>
    </w:p>
    <w:p w14:paraId="23E7906B">
      <w:pPr>
        <w:pStyle w:val="13"/>
        <w:keepNext w:val="0"/>
        <w:pageBreakBefore w:val="0"/>
        <w:kinsoku/>
        <w:wordWrap/>
        <w:overflowPunct/>
        <w:topLinePunct w:val="0"/>
        <w:autoSpaceDE/>
        <w:autoSpaceDN/>
        <w:bidi w:val="0"/>
        <w:spacing w:line="480" w:lineRule="atLeast"/>
        <w:textAlignment w:val="auto"/>
        <w:rPr>
          <w:rFonts w:hint="eastAsia" w:ascii="宋体" w:hAnsi="宋体" w:eastAsia="宋体" w:cs="宋体"/>
          <w:sz w:val="24"/>
          <w:szCs w:val="24"/>
        </w:rPr>
      </w:pPr>
      <w:r>
        <w:rPr>
          <w:rFonts w:hint="eastAsia" w:ascii="宋体" w:hAnsi="宋体" w:eastAsia="宋体" w:cs="宋体"/>
          <w:sz w:val="24"/>
          <w:szCs w:val="24"/>
        </w:rPr>
        <w:t>图</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3\s</w:instrText>
      </w:r>
      <w:r>
        <w:rPr>
          <w:rFonts w:hint="eastAsia" w:ascii="宋体" w:hAnsi="宋体" w:eastAsia="宋体" w:cs="宋体"/>
          <w:sz w:val="24"/>
          <w:szCs w:val="24"/>
        </w:rPr>
        <w:fldChar w:fldCharType="separate"/>
      </w:r>
      <w:r>
        <w:rPr>
          <w:rFonts w:hint="eastAsia" w:ascii="宋体" w:hAnsi="宋体" w:eastAsia="宋体" w:cs="宋体"/>
          <w:sz w:val="24"/>
          <w:szCs w:val="24"/>
        </w:rPr>
        <w:t>9.3.2</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SEQ图\*ARABIC\s 3</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事故应急处置流程</w:t>
      </w:r>
    </w:p>
    <w:p w14:paraId="6026AC9E">
      <w:pPr>
        <w:pStyle w:val="4"/>
        <w:keepNext w:val="0"/>
        <w:pageBreakBefore w:val="0"/>
        <w:numPr>
          <w:ilvl w:val="2"/>
          <w:numId w:val="1"/>
        </w:numPr>
        <w:kinsoku/>
        <w:wordWrap/>
        <w:overflowPunct/>
        <w:topLinePunct w:val="0"/>
        <w:autoSpaceDE/>
        <w:autoSpaceDN/>
        <w:bidi w:val="0"/>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事故报告及内容</w:t>
      </w:r>
    </w:p>
    <w:p w14:paraId="6F1AAA3D">
      <w:pPr>
        <w:bidi w:val="0"/>
        <w:rPr>
          <w:rFonts w:hint="eastAsia"/>
        </w:rPr>
      </w:pPr>
      <w:r>
        <w:rPr>
          <w:rFonts w:hint="eastAsia"/>
        </w:rPr>
        <w:t>安全事故或突发事件发生后，事故发现人应立即报告现场负责人，现场负责人向项目经理报告；现场负责人接报后，应第一时间启动现场处置方案，采取紧急措施抢救伤亡人员，控制事故，防止扩大；项目经理接报后，应当及时根据事故或突发事件情况，决定是否启动专项应急预案，并根据情况，决定是否请求外部协助。内部报告程序可越级报告，第一时间接报人要同时告知以上相关人员。</w:t>
      </w:r>
    </w:p>
    <w:p w14:paraId="512F72F1">
      <w:pPr>
        <w:bidi w:val="0"/>
        <w:rPr>
          <w:rFonts w:hint="eastAsia"/>
        </w:rPr>
      </w:pPr>
      <w:r>
        <w:rPr>
          <w:rFonts w:hint="eastAsia"/>
        </w:rPr>
        <w:t>项目应急救援领导小组仔细了解事故情况，迅速确定事故书面简报材料。自接到事故报告半小时内同时向监理单位、建设单位及分公司安监部门负责人及当地安全生产监管部门报告。外部报告程序由项目部统一报告，不得越级。</w:t>
      </w:r>
    </w:p>
    <w:p w14:paraId="02F62E9E">
      <w:pPr>
        <w:bidi w:val="0"/>
        <w:rPr>
          <w:rFonts w:hint="eastAsia"/>
        </w:rPr>
      </w:pPr>
      <w:r>
        <w:rPr>
          <w:rFonts w:hint="eastAsia"/>
        </w:rPr>
        <w:t>生产安全事故报告内容包括：</w:t>
      </w:r>
    </w:p>
    <w:p w14:paraId="26E78E3B">
      <w:pPr>
        <w:numPr>
          <w:ilvl w:val="0"/>
          <w:numId w:val="45"/>
        </w:numPr>
        <w:bidi w:val="0"/>
        <w:ind w:left="425" w:leftChars="0" w:hanging="425" w:firstLineChars="0"/>
        <w:rPr>
          <w:rFonts w:hint="eastAsia"/>
        </w:rPr>
      </w:pPr>
      <w:r>
        <w:rPr>
          <w:rFonts w:hint="eastAsia"/>
        </w:rPr>
        <w:t>事故发生单位概况；</w:t>
      </w:r>
    </w:p>
    <w:p w14:paraId="746EA07E">
      <w:pPr>
        <w:numPr>
          <w:ilvl w:val="0"/>
          <w:numId w:val="45"/>
        </w:numPr>
        <w:bidi w:val="0"/>
        <w:ind w:left="425" w:leftChars="0" w:hanging="425" w:firstLineChars="0"/>
        <w:rPr>
          <w:rFonts w:hint="eastAsia"/>
        </w:rPr>
      </w:pPr>
      <w:r>
        <w:rPr>
          <w:rFonts w:hint="eastAsia"/>
        </w:rPr>
        <w:t>事故发生的时间、地点以及事故现场情况；</w:t>
      </w:r>
    </w:p>
    <w:p w14:paraId="41DDED9C">
      <w:pPr>
        <w:numPr>
          <w:ilvl w:val="0"/>
          <w:numId w:val="45"/>
        </w:numPr>
        <w:bidi w:val="0"/>
        <w:ind w:left="425" w:leftChars="0" w:hanging="425" w:firstLineChars="0"/>
        <w:rPr>
          <w:rFonts w:hint="eastAsia"/>
        </w:rPr>
      </w:pPr>
      <w:r>
        <w:rPr>
          <w:rFonts w:hint="eastAsia"/>
        </w:rPr>
        <w:t>事故的简要经过；</w:t>
      </w:r>
    </w:p>
    <w:p w14:paraId="3B07044C">
      <w:pPr>
        <w:numPr>
          <w:ilvl w:val="0"/>
          <w:numId w:val="45"/>
        </w:numPr>
        <w:bidi w:val="0"/>
        <w:ind w:left="425" w:leftChars="0" w:hanging="425" w:firstLineChars="0"/>
        <w:rPr>
          <w:rFonts w:hint="eastAsia"/>
        </w:rPr>
      </w:pPr>
      <w:r>
        <w:rPr>
          <w:rFonts w:hint="eastAsia"/>
        </w:rPr>
        <w:t>事故已经造成或者可能造成的伤亡人数和初步估计的直接经济损失；</w:t>
      </w:r>
    </w:p>
    <w:p w14:paraId="2EC9FAC7">
      <w:pPr>
        <w:numPr>
          <w:ilvl w:val="0"/>
          <w:numId w:val="45"/>
        </w:numPr>
        <w:bidi w:val="0"/>
        <w:ind w:left="425" w:leftChars="0" w:hanging="425" w:firstLineChars="0"/>
        <w:rPr>
          <w:rFonts w:hint="eastAsia"/>
        </w:rPr>
      </w:pPr>
      <w:r>
        <w:rPr>
          <w:rFonts w:hint="eastAsia"/>
        </w:rPr>
        <w:t>已经采取的措施；</w:t>
      </w:r>
    </w:p>
    <w:p w14:paraId="63B5F263">
      <w:pPr>
        <w:numPr>
          <w:ilvl w:val="0"/>
          <w:numId w:val="45"/>
        </w:numPr>
        <w:bidi w:val="0"/>
        <w:ind w:left="425" w:leftChars="0" w:hanging="425" w:firstLineChars="0"/>
        <w:rPr>
          <w:rFonts w:hint="eastAsia"/>
        </w:rPr>
      </w:pPr>
      <w:r>
        <w:rPr>
          <w:rFonts w:hint="eastAsia"/>
        </w:rPr>
        <w:t>其他应当报告的情况。</w:t>
      </w:r>
    </w:p>
    <w:p w14:paraId="43BFBD71">
      <w:pPr>
        <w:pStyle w:val="3"/>
        <w:keepNext w:val="0"/>
        <w:pageBreakBefore w:val="0"/>
        <w:numPr>
          <w:ilvl w:val="1"/>
          <w:numId w:val="1"/>
        </w:numPr>
        <w:kinsoku/>
        <w:wordWrap/>
        <w:overflowPunct/>
        <w:topLinePunct w:val="0"/>
        <w:autoSpaceDE/>
        <w:autoSpaceDN/>
        <w:bidi w:val="0"/>
        <w:spacing w:line="480" w:lineRule="atLeast"/>
        <w:textAlignment w:val="auto"/>
        <w:rPr>
          <w:rFonts w:hint="eastAsia" w:ascii="宋体" w:hAnsi="宋体" w:eastAsia="宋体" w:cs="宋体"/>
          <w:sz w:val="24"/>
          <w:szCs w:val="24"/>
        </w:rPr>
      </w:pPr>
      <w:bookmarkStart w:id="119" w:name="_Toc22714"/>
      <w:bookmarkStart w:id="120" w:name="_Toc102825401"/>
      <w:bookmarkStart w:id="121" w:name="_Toc40778456"/>
      <w:bookmarkStart w:id="122" w:name="_Toc121344361"/>
      <w:bookmarkStart w:id="123" w:name="_Toc102481226"/>
      <w:bookmarkStart w:id="124" w:name="_Toc102481277"/>
      <w:bookmarkStart w:id="125" w:name="_Toc501"/>
      <w:r>
        <w:rPr>
          <w:rFonts w:hint="eastAsia" w:ascii="宋体" w:hAnsi="宋体" w:eastAsia="宋体" w:cs="宋体"/>
          <w:sz w:val="24"/>
          <w:szCs w:val="24"/>
        </w:rPr>
        <w:t>应急处置措施</w:t>
      </w:r>
      <w:bookmarkEnd w:id="119"/>
      <w:bookmarkEnd w:id="120"/>
      <w:bookmarkEnd w:id="121"/>
      <w:bookmarkEnd w:id="122"/>
      <w:bookmarkEnd w:id="123"/>
      <w:bookmarkEnd w:id="124"/>
      <w:bookmarkEnd w:id="125"/>
    </w:p>
    <w:p w14:paraId="1BCE63D8">
      <w:pPr>
        <w:pStyle w:val="4"/>
        <w:keepNext w:val="0"/>
        <w:pageBreakBefore w:val="0"/>
        <w:numPr>
          <w:ilvl w:val="2"/>
          <w:numId w:val="1"/>
        </w:numPr>
        <w:kinsoku/>
        <w:wordWrap/>
        <w:overflowPunct/>
        <w:topLinePunct w:val="0"/>
        <w:autoSpaceDE/>
        <w:autoSpaceDN/>
        <w:bidi w:val="0"/>
        <w:spacing w:line="480" w:lineRule="atLeast"/>
        <w:ind w:left="0" w:firstLine="0"/>
        <w:textAlignment w:val="auto"/>
        <w:rPr>
          <w:rFonts w:hint="eastAsia" w:ascii="宋体" w:hAnsi="宋体" w:eastAsia="宋体" w:cs="宋体"/>
          <w:sz w:val="24"/>
          <w:szCs w:val="24"/>
        </w:rPr>
      </w:pPr>
      <w:bookmarkStart w:id="126" w:name="_Toc113272900"/>
      <w:bookmarkStart w:id="127" w:name="_Toc113274132"/>
      <w:r>
        <w:rPr>
          <w:rFonts w:hint="eastAsia" w:ascii="宋体" w:hAnsi="宋体" w:eastAsia="宋体" w:cs="宋体"/>
          <w:sz w:val="24"/>
          <w:szCs w:val="24"/>
        </w:rPr>
        <w:t>高处坠落应急处置措施</w:t>
      </w:r>
      <w:bookmarkEnd w:id="126"/>
      <w:bookmarkEnd w:id="127"/>
    </w:p>
    <w:p w14:paraId="606C259E">
      <w:pPr>
        <w:numPr>
          <w:ilvl w:val="0"/>
          <w:numId w:val="46"/>
        </w:numPr>
        <w:bidi w:val="0"/>
        <w:ind w:left="425" w:leftChars="0" w:hanging="425" w:firstLineChars="0"/>
        <w:rPr>
          <w:rFonts w:hint="eastAsia"/>
        </w:rPr>
      </w:pPr>
      <w:r>
        <w:rPr>
          <w:rFonts w:hint="eastAsia"/>
        </w:rPr>
        <w:t>发生高处坠落事故，应马上组织抢救伤者，首先观察伤者的受伤情况、部位、伤害性质，如伤员发生休克，应先去除伤员身上的用具和口袋中的硬物。遇呼吸、心跳停止者，应立即进行人工呼吸，胸外心脏挤压。处于休克状态的伤员要让其安静、保暖、平卧、少动，并将下肢抬高约20度，尽快送医院进行抢救治疗。应采用担架或硬质木板搬运和转送伤员，避免颈部和躯干前屈或扭转，使脊柱伸直，绝对禁止一个抬肩一个抬腿的搬法，以免造成截瘫。</w:t>
      </w:r>
    </w:p>
    <w:p w14:paraId="7C1DB691">
      <w:pPr>
        <w:numPr>
          <w:ilvl w:val="0"/>
          <w:numId w:val="46"/>
        </w:numPr>
        <w:bidi w:val="0"/>
        <w:ind w:left="425" w:leftChars="0" w:hanging="425" w:firstLineChars="0"/>
        <w:rPr>
          <w:rFonts w:hint="eastAsia"/>
        </w:rPr>
      </w:pPr>
      <w:r>
        <w:rPr>
          <w:rFonts w:hint="eastAsia"/>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医院治疗。</w:t>
      </w:r>
    </w:p>
    <w:p w14:paraId="03BB6300">
      <w:pPr>
        <w:numPr>
          <w:ilvl w:val="0"/>
          <w:numId w:val="46"/>
        </w:numPr>
        <w:bidi w:val="0"/>
        <w:ind w:left="425" w:leftChars="0" w:hanging="425" w:firstLineChars="0"/>
        <w:rPr>
          <w:rFonts w:hint="eastAsia"/>
        </w:rPr>
      </w:pPr>
      <w:r>
        <w:rPr>
          <w:rFonts w:hint="eastAsia"/>
        </w:rPr>
        <w:t>颌面部伤员首先应保持呼吸道畅通，清除移位的组织碎片、血凝块、口腔分泌物等，同时松解伤员的颈、胸部纽扣。</w:t>
      </w:r>
    </w:p>
    <w:p w14:paraId="2206FFB2">
      <w:pPr>
        <w:numPr>
          <w:ilvl w:val="0"/>
          <w:numId w:val="46"/>
        </w:numPr>
        <w:bidi w:val="0"/>
        <w:ind w:left="425" w:leftChars="0" w:hanging="425" w:firstLineChars="0"/>
        <w:rPr>
          <w:rFonts w:hint="eastAsia"/>
        </w:rPr>
      </w:pPr>
      <w:r>
        <w:rPr>
          <w:rFonts w:hint="eastAsia"/>
        </w:rPr>
        <w:t>发现脊椎受伤者，创伤处用消毒的纱布或清洁布等覆盖伤口，用绷带或布条包扎。搬运时，将伤者平卧放在担架或硬板上，以免受伤的脊椎移位、断裂造成截瘫，甚至死亡。抢救脊椎受伤者，搬运过程严禁只抬伤者的两肩与两腿或单肩背运。</w:t>
      </w:r>
    </w:p>
    <w:p w14:paraId="758F0A09">
      <w:pPr>
        <w:numPr>
          <w:ilvl w:val="0"/>
          <w:numId w:val="46"/>
        </w:numPr>
        <w:bidi w:val="0"/>
        <w:ind w:left="425" w:leftChars="0" w:hanging="425" w:firstLineChars="0"/>
        <w:rPr>
          <w:rFonts w:hint="eastAsia"/>
        </w:rPr>
      </w:pPr>
      <w:r>
        <w:rPr>
          <w:rFonts w:hint="eastAsia"/>
        </w:rPr>
        <w:t>发现伤者手足骨折，不要盲目搬动伤者。应在骨折部位用夹板把受伤位置临时固定，使断端不再移位或刺伤肌肉、神经或血管。固定方法：以固定骨折处上下关节为原则，可就地取材，用木板、竹片等。</w:t>
      </w:r>
    </w:p>
    <w:p w14:paraId="7B7F3F21">
      <w:pPr>
        <w:numPr>
          <w:ilvl w:val="0"/>
          <w:numId w:val="46"/>
        </w:numPr>
        <w:bidi w:val="0"/>
        <w:ind w:left="425" w:leftChars="0" w:hanging="425" w:firstLineChars="0"/>
        <w:rPr>
          <w:rFonts w:hint="eastAsia"/>
        </w:rPr>
      </w:pPr>
      <w:r>
        <w:rPr>
          <w:rFonts w:hint="eastAsia"/>
        </w:rPr>
        <w:t>复合伤要求平仰卧位，保持呼吸道畅通，解开衣领扣。</w:t>
      </w:r>
    </w:p>
    <w:p w14:paraId="366DB8B5">
      <w:pPr>
        <w:numPr>
          <w:ilvl w:val="0"/>
          <w:numId w:val="46"/>
        </w:numPr>
        <w:bidi w:val="0"/>
        <w:ind w:left="425" w:leftChars="0" w:hanging="425" w:firstLineChars="0"/>
        <w:rPr>
          <w:rFonts w:hint="eastAsia"/>
        </w:rPr>
      </w:pPr>
      <w:r>
        <w:rPr>
          <w:rFonts w:hint="eastAsia"/>
        </w:rPr>
        <w:t>遇有创伤性出血的伤员，应迅速包扎止血，使伤员保持在头低脚高的卧位，并注意保暖。及时把伤者送往邻近医院抢救，运送途中应尽量减少颠簸。同时，密切注意伤者的呼吸、脉搏、血压及伤口的情况。</w:t>
      </w:r>
    </w:p>
    <w:p w14:paraId="0D8D0099">
      <w:pPr>
        <w:numPr>
          <w:ilvl w:val="0"/>
          <w:numId w:val="46"/>
        </w:numPr>
        <w:bidi w:val="0"/>
        <w:ind w:left="425" w:leftChars="0" w:hanging="425" w:firstLineChars="0"/>
        <w:rPr>
          <w:rFonts w:hint="eastAsia"/>
        </w:rPr>
      </w:pPr>
      <w:r>
        <w:rPr>
          <w:rFonts w:hint="eastAsia"/>
        </w:rPr>
        <w:t>配合上级主管部门和调查组开展调查处理，并做好伤员及家属善后工作。</w:t>
      </w:r>
    </w:p>
    <w:p w14:paraId="5473B58E">
      <w:pPr>
        <w:pStyle w:val="4"/>
        <w:keepNext w:val="0"/>
        <w:pageBreakBefore w:val="0"/>
        <w:numPr>
          <w:ilvl w:val="2"/>
          <w:numId w:val="1"/>
        </w:numPr>
        <w:kinsoku/>
        <w:wordWrap/>
        <w:overflowPunct/>
        <w:topLinePunct w:val="0"/>
        <w:autoSpaceDE/>
        <w:autoSpaceDN/>
        <w:bidi w:val="0"/>
        <w:spacing w:line="480" w:lineRule="atLeast"/>
        <w:ind w:left="0" w:firstLine="0"/>
        <w:textAlignment w:val="auto"/>
        <w:rPr>
          <w:rFonts w:hint="eastAsia" w:ascii="宋体" w:hAnsi="宋体" w:eastAsia="宋体" w:cs="宋体"/>
          <w:sz w:val="24"/>
          <w:szCs w:val="24"/>
        </w:rPr>
      </w:pPr>
      <w:bookmarkStart w:id="128" w:name="_Toc113272901"/>
      <w:bookmarkStart w:id="129" w:name="_Toc113274133"/>
      <w:r>
        <w:rPr>
          <w:rFonts w:hint="eastAsia" w:ascii="宋体" w:hAnsi="宋体" w:eastAsia="宋体" w:cs="宋体"/>
          <w:sz w:val="24"/>
          <w:szCs w:val="24"/>
        </w:rPr>
        <w:t>物体打击应急处置措施</w:t>
      </w:r>
      <w:bookmarkEnd w:id="128"/>
      <w:bookmarkEnd w:id="129"/>
    </w:p>
    <w:p w14:paraId="12BB70FC">
      <w:pPr>
        <w:numPr>
          <w:ilvl w:val="0"/>
          <w:numId w:val="47"/>
        </w:numPr>
        <w:bidi w:val="0"/>
        <w:ind w:left="425" w:leftChars="0" w:hanging="425" w:firstLineChars="0"/>
        <w:rPr>
          <w:rFonts w:hint="eastAsia"/>
        </w:rPr>
      </w:pPr>
      <w:r>
        <w:rPr>
          <w:rFonts w:hint="eastAsia"/>
        </w:rPr>
        <w:t>当发生物体打击事故时，根据现场和受伤者的伤情的具体情况，立即打“120”急救电话，详细报告事故发生地址、人员受伤的情况和可能需要配合救援的设备。</w:t>
      </w:r>
    </w:p>
    <w:p w14:paraId="68D50629">
      <w:pPr>
        <w:numPr>
          <w:ilvl w:val="0"/>
          <w:numId w:val="47"/>
        </w:numPr>
        <w:bidi w:val="0"/>
        <w:ind w:left="425" w:leftChars="0" w:hanging="425" w:firstLineChars="0"/>
        <w:rPr>
          <w:rFonts w:hint="eastAsia"/>
        </w:rPr>
      </w:pPr>
      <w:r>
        <w:rPr>
          <w:rFonts w:hint="eastAsia"/>
        </w:rPr>
        <w:t>在急救中心专业人员未到达之前，应根据事故现场的整体情况、位置和伤者的伤情、部位，在排除人为加重伤者伤情的情况下，立即组织人员进行抢救。</w:t>
      </w:r>
    </w:p>
    <w:p w14:paraId="6BB5950B">
      <w:pPr>
        <w:numPr>
          <w:ilvl w:val="0"/>
          <w:numId w:val="47"/>
        </w:numPr>
        <w:bidi w:val="0"/>
        <w:ind w:left="425" w:leftChars="0" w:hanging="425" w:firstLineChars="0"/>
        <w:rPr>
          <w:rFonts w:hint="eastAsia"/>
        </w:rPr>
      </w:pPr>
      <w:r>
        <w:rPr>
          <w:rFonts w:hint="eastAsia"/>
        </w:rPr>
        <w:t>抢救前首先观察伤者的受伤情况、部位、伤害性质，如伤者发生休克，应先处理休克。遇呼吸、心跳停止者，应当进行人工呼吸，胸外心脏挤压（但必须注意骨折的部位）。处于休克状态的伤员要让其安静、保暖、平卧、少动，并将下肢抬高约20度左右，尽快送医院进行抢救治疗。</w:t>
      </w:r>
    </w:p>
    <w:p w14:paraId="3404F78A">
      <w:pPr>
        <w:numPr>
          <w:ilvl w:val="0"/>
          <w:numId w:val="47"/>
        </w:numPr>
        <w:bidi w:val="0"/>
        <w:ind w:left="425" w:leftChars="0" w:hanging="425" w:firstLineChars="0"/>
        <w:rPr>
          <w:rFonts w:hint="eastAsia"/>
        </w:rPr>
      </w:pPr>
      <w:r>
        <w:rPr>
          <w:rFonts w:hint="eastAsia"/>
        </w:rPr>
        <w:t>出现颅脑外伤，必须维持呼吸道通畅。昏迷者应平卧，面部转向一侧，以防舌根下坠或分泌物、呕吐物吸入，发生喉阻塞。有骨折者，应初步固定后再搬运。偶有凹陷骨折、严重的颅底骨折及严重的脑损伤症状出现，创伤处用消毒的纱布或清洁布等覆盖伤口，用绷带或布条包扎后，及时送就近有条件的医院治疗。</w:t>
      </w:r>
    </w:p>
    <w:p w14:paraId="0C611735">
      <w:pPr>
        <w:numPr>
          <w:ilvl w:val="0"/>
          <w:numId w:val="47"/>
        </w:numPr>
        <w:bidi w:val="0"/>
        <w:ind w:left="425" w:leftChars="0" w:hanging="425" w:firstLineChars="0"/>
        <w:rPr>
          <w:rFonts w:hint="eastAsia"/>
        </w:rPr>
      </w:pPr>
      <w:r>
        <w:rPr>
          <w:rFonts w:hint="eastAsia"/>
        </w:rPr>
        <w:t>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w:t>
      </w:r>
    </w:p>
    <w:p w14:paraId="43655429">
      <w:pPr>
        <w:numPr>
          <w:ilvl w:val="0"/>
          <w:numId w:val="47"/>
        </w:numPr>
        <w:bidi w:val="0"/>
        <w:ind w:left="425" w:leftChars="0" w:hanging="425" w:firstLineChars="0"/>
        <w:rPr>
          <w:rFonts w:hint="eastAsia"/>
        </w:rPr>
      </w:pPr>
      <w:r>
        <w:rPr>
          <w:rFonts w:hint="eastAsia"/>
        </w:rPr>
        <w:t>发现伤者手足骨折或其他部位骨折的，不要盲目搬动伤者，应在骨折部位用夹板临时固定，使断端不再移位或刺伤肌肉、神经或血管。</w:t>
      </w:r>
    </w:p>
    <w:p w14:paraId="0A6F19E6">
      <w:pPr>
        <w:numPr>
          <w:ilvl w:val="0"/>
          <w:numId w:val="47"/>
        </w:numPr>
        <w:bidi w:val="0"/>
        <w:ind w:left="425" w:leftChars="0" w:hanging="425" w:firstLineChars="0"/>
        <w:rPr>
          <w:rFonts w:hint="eastAsia"/>
        </w:rPr>
      </w:pPr>
      <w:r>
        <w:rPr>
          <w:rFonts w:hint="eastAsia"/>
        </w:rPr>
        <w:t>遇有创伤性出血的伤员，应迅速包扎止血，使伤员保持头低脚高的卧位，并注意保暖；若伤员有断肢情况发生应尽早用干净的干布（灭菌敷料）包裹装入塑料袋内，随伤员一起转送。</w:t>
      </w:r>
    </w:p>
    <w:p w14:paraId="5F779C3F">
      <w:pPr>
        <w:numPr>
          <w:ilvl w:val="0"/>
          <w:numId w:val="47"/>
        </w:numPr>
        <w:bidi w:val="0"/>
        <w:ind w:left="425" w:leftChars="0" w:hanging="425" w:firstLineChars="0"/>
        <w:rPr>
          <w:rFonts w:hint="eastAsia"/>
        </w:rPr>
      </w:pPr>
      <w:r>
        <w:rPr>
          <w:rFonts w:hint="eastAsia"/>
        </w:rPr>
        <w:t>在施救的同时应尽快送往就近医院；伤者送往医院抢救时，途中尽量减少颠簸，同时，密切注意伤者的呼吸、脉搏、血压及伤口的情况。</w:t>
      </w:r>
    </w:p>
    <w:p w14:paraId="342E11D9">
      <w:pPr>
        <w:numPr>
          <w:ilvl w:val="0"/>
          <w:numId w:val="47"/>
        </w:numPr>
        <w:bidi w:val="0"/>
        <w:ind w:left="425" w:leftChars="0" w:hanging="425" w:firstLineChars="0"/>
        <w:rPr>
          <w:rFonts w:hint="eastAsia"/>
        </w:rPr>
      </w:pPr>
      <w:r>
        <w:rPr>
          <w:rFonts w:hint="eastAsia"/>
        </w:rPr>
        <w:t>如因长方形构件（钢管）打击（压倒）致伤，要根据现场的实际情况迅速调动起重机、手提点工具等机械设备配合施救。</w:t>
      </w:r>
    </w:p>
    <w:p w14:paraId="18CD4422">
      <w:pPr>
        <w:numPr>
          <w:ilvl w:val="0"/>
          <w:numId w:val="47"/>
        </w:numPr>
        <w:bidi w:val="0"/>
        <w:ind w:left="425" w:leftChars="0" w:hanging="425" w:firstLineChars="0"/>
        <w:rPr>
          <w:rFonts w:hint="eastAsia"/>
        </w:rPr>
      </w:pPr>
      <w:r>
        <w:rPr>
          <w:rFonts w:hint="eastAsia"/>
        </w:rPr>
        <w:t>现场应急指挥小组在抢救伤员的同时，应安排人员维护现场秩序，保护事故现场，并根据事态，迅速调动人员、设备进行现场救援，并做好现场警戒工作，以防事态扩大，同时向上级汇报。当现场救援力量控制不了现场事态的发展，应立即启动上一级应急响应，并根据实际情况借助于社会救援力量。现场应急救援指挥人员应充分听取专家和专业救援人员的意见，做好救援人员、设备、物资、器材的统一调配。</w:t>
      </w:r>
    </w:p>
    <w:p w14:paraId="53A9E2F3">
      <w:pPr>
        <w:pStyle w:val="4"/>
        <w:keepNext w:val="0"/>
        <w:pageBreakBefore w:val="0"/>
        <w:numPr>
          <w:ilvl w:val="2"/>
          <w:numId w:val="1"/>
        </w:numPr>
        <w:kinsoku/>
        <w:wordWrap/>
        <w:overflowPunct/>
        <w:topLinePunct w:val="0"/>
        <w:autoSpaceDE/>
        <w:autoSpaceDN/>
        <w:bidi w:val="0"/>
        <w:spacing w:line="480" w:lineRule="atLeast"/>
        <w:ind w:left="0" w:firstLine="0"/>
        <w:textAlignment w:val="auto"/>
        <w:rPr>
          <w:rFonts w:hint="eastAsia" w:ascii="宋体" w:hAnsi="宋体" w:eastAsia="宋体" w:cs="宋体"/>
          <w:sz w:val="24"/>
          <w:szCs w:val="24"/>
        </w:rPr>
      </w:pPr>
      <w:bookmarkStart w:id="130" w:name="_Toc113272902"/>
      <w:bookmarkStart w:id="131" w:name="_Toc113274134"/>
      <w:r>
        <w:rPr>
          <w:rFonts w:hint="eastAsia" w:ascii="宋体" w:hAnsi="宋体" w:eastAsia="宋体" w:cs="宋体"/>
          <w:sz w:val="24"/>
          <w:szCs w:val="24"/>
        </w:rPr>
        <w:t>起重伤害应急处置措施</w:t>
      </w:r>
      <w:bookmarkEnd w:id="130"/>
      <w:bookmarkEnd w:id="131"/>
    </w:p>
    <w:p w14:paraId="7F6A3DEB">
      <w:pPr>
        <w:numPr>
          <w:ilvl w:val="0"/>
          <w:numId w:val="48"/>
        </w:numPr>
        <w:bidi w:val="0"/>
        <w:ind w:left="425" w:leftChars="0" w:hanging="425" w:firstLineChars="0"/>
        <w:rPr>
          <w:rFonts w:hint="eastAsia"/>
        </w:rPr>
      </w:pPr>
      <w:r>
        <w:rPr>
          <w:rFonts w:hint="eastAsia"/>
        </w:rPr>
        <w:t>起重伤害事故目击者应高声呼救，并立即向安全人员报告，各单位其他管理人员也都有认真接收报告和向上级反映事故情况的责任。</w:t>
      </w:r>
    </w:p>
    <w:p w14:paraId="26109355">
      <w:pPr>
        <w:numPr>
          <w:ilvl w:val="0"/>
          <w:numId w:val="48"/>
        </w:numPr>
        <w:bidi w:val="0"/>
        <w:ind w:left="425" w:leftChars="0" w:hanging="425" w:firstLineChars="0"/>
        <w:rPr>
          <w:rFonts w:hint="eastAsia"/>
        </w:rPr>
      </w:pPr>
      <w:r>
        <w:rPr>
          <w:rFonts w:hint="eastAsia"/>
        </w:rPr>
        <w:t>事故发生后，应立即向当地救援机构、公安部门求援。</w:t>
      </w:r>
    </w:p>
    <w:p w14:paraId="68ABDE1A">
      <w:pPr>
        <w:numPr>
          <w:ilvl w:val="0"/>
          <w:numId w:val="48"/>
        </w:numPr>
        <w:bidi w:val="0"/>
        <w:ind w:left="425" w:leftChars="0" w:hanging="425" w:firstLineChars="0"/>
        <w:rPr>
          <w:rFonts w:hint="eastAsia"/>
        </w:rPr>
      </w:pPr>
      <w:r>
        <w:rPr>
          <w:rFonts w:hint="eastAsia"/>
        </w:rPr>
        <w:t>安全人员应准确判断事故影响范围，协调各组之间的工作，派专人进行检查，确定抢救方案，保证事故现场相对安全和稳定时，抢救队员才可进入现场抢救受伤人员。</w:t>
      </w:r>
    </w:p>
    <w:p w14:paraId="65BF15EA">
      <w:pPr>
        <w:numPr>
          <w:ilvl w:val="0"/>
          <w:numId w:val="48"/>
        </w:numPr>
        <w:bidi w:val="0"/>
        <w:ind w:left="425" w:leftChars="0" w:hanging="425" w:firstLineChars="0"/>
        <w:rPr>
          <w:rFonts w:hint="eastAsia"/>
        </w:rPr>
      </w:pPr>
      <w:r>
        <w:rPr>
          <w:rFonts w:hint="eastAsia"/>
        </w:rPr>
        <w:t>安全人员与当地医院立即取得联系，利用现场车辆火速把伤者送往附近医院救治，但对伤势严重者应注意搬运方法，不得由此加重伤者伤情；在急救医疗机构人员赶到前抢险救护组应对受伤者进行必要的救助，根据伤情对伤者进行分类处理，处理的原则是先重后轻、先急后缓、先近后远。</w:t>
      </w:r>
    </w:p>
    <w:p w14:paraId="531A72A0">
      <w:pPr>
        <w:numPr>
          <w:ilvl w:val="0"/>
          <w:numId w:val="48"/>
        </w:numPr>
        <w:bidi w:val="0"/>
        <w:ind w:left="425" w:leftChars="0" w:hanging="425" w:firstLineChars="0"/>
        <w:rPr>
          <w:rFonts w:hint="eastAsia"/>
        </w:rPr>
      </w:pPr>
      <w:r>
        <w:rPr>
          <w:rFonts w:hint="eastAsia"/>
        </w:rPr>
        <w:t>安全人员做好应急状态下现场所有设施和物资的安全，支援和保障现场抢救组的工作，负责事故现场的保护，并检查事故现场有无其它安全隐患。</w:t>
      </w:r>
    </w:p>
    <w:p w14:paraId="1FE24A11">
      <w:pPr>
        <w:pStyle w:val="4"/>
        <w:keepNext w:val="0"/>
        <w:pageBreakBefore w:val="0"/>
        <w:numPr>
          <w:ilvl w:val="2"/>
          <w:numId w:val="1"/>
        </w:numPr>
        <w:kinsoku/>
        <w:wordWrap/>
        <w:overflowPunct/>
        <w:topLinePunct w:val="0"/>
        <w:autoSpaceDE/>
        <w:autoSpaceDN/>
        <w:bidi w:val="0"/>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触电事故应急处置措施</w:t>
      </w:r>
    </w:p>
    <w:p w14:paraId="155F2B17">
      <w:pPr>
        <w:numPr>
          <w:ilvl w:val="0"/>
          <w:numId w:val="49"/>
        </w:numPr>
        <w:bidi w:val="0"/>
        <w:ind w:left="425" w:leftChars="0" w:hanging="425" w:firstLineChars="0"/>
        <w:rPr>
          <w:rFonts w:hint="eastAsia"/>
        </w:rPr>
      </w:pPr>
      <w:r>
        <w:rPr>
          <w:rFonts w:hint="eastAsia"/>
        </w:rPr>
        <w:t>首先要根据现场情况，使触电者迅速脱离电源，越快越好。</w:t>
      </w:r>
    </w:p>
    <w:p w14:paraId="0AB22CCC">
      <w:pPr>
        <w:numPr>
          <w:ilvl w:val="0"/>
          <w:numId w:val="49"/>
        </w:numPr>
        <w:bidi w:val="0"/>
        <w:ind w:left="425" w:leftChars="0" w:hanging="425" w:firstLineChars="0"/>
        <w:rPr>
          <w:rFonts w:hint="eastAsia"/>
        </w:rPr>
      </w:pPr>
      <w:r>
        <w:rPr>
          <w:rFonts w:hint="eastAsia"/>
        </w:rPr>
        <w:t>触电者未脱离电源前，救护人员不准直接用手触及伤员，防止再次触电。</w:t>
      </w:r>
    </w:p>
    <w:p w14:paraId="3D5CCF70">
      <w:pPr>
        <w:numPr>
          <w:ilvl w:val="0"/>
          <w:numId w:val="49"/>
        </w:numPr>
        <w:bidi w:val="0"/>
        <w:ind w:left="425" w:leftChars="0" w:hanging="425" w:firstLineChars="0"/>
        <w:rPr>
          <w:rFonts w:hint="eastAsia"/>
        </w:rPr>
      </w:pPr>
      <w:r>
        <w:rPr>
          <w:rFonts w:hint="eastAsia"/>
        </w:rPr>
        <w:t>触电为低压时，救护人员应设法迅速切断电源，拉开电源开关或刀闸，拔除电源插头等；或使用绝缘工具、干燥的木棒、木板、绳索等不导电的东西解脱触电者；或抓住触电者干燥而不贴身的衣服，将其拖开，不得碰到金属物体和触电者的裸露身躯；也可戴绝缘手套或将手用干燥衣物等包起绝缘后解脱触电者；救护人员也可站在绝缘垫上或干木板上，绝缘自己进行救护。为使触电者与导电体解脱，最好用一只手进行。如果电流通过触电者入地，并且触电者紧握电线，可设法用干木板塞到身下，与地隔离，也可用干木把斧子或有绝缘柄的钳子等将电线剪断。剪断电线要分相，一根一根地剪断，并尽可能站在绝缘物体或干木板上。</w:t>
      </w:r>
    </w:p>
    <w:p w14:paraId="58995AF0">
      <w:pPr>
        <w:numPr>
          <w:ilvl w:val="0"/>
          <w:numId w:val="49"/>
        </w:numPr>
        <w:bidi w:val="0"/>
        <w:ind w:left="425" w:leftChars="0" w:hanging="425" w:firstLineChars="0"/>
        <w:rPr>
          <w:rFonts w:hint="eastAsia"/>
        </w:rPr>
      </w:pPr>
      <w:r>
        <w:rPr>
          <w:rFonts w:hint="eastAsia"/>
        </w:rPr>
        <w:t>如触电为高压时，救护人员应迅速切断电源，或用适合该电压等级的绝缘工具（戴绝缘手套、穿绝缘靴并用绝缘棒）解脱触电者。只有在确证线路已经无电，才可在触电者离开触电导线后，立即就地进行急救。救护人员在抢救过程中应注意保持自身与周围带电部分的安全距离。</w:t>
      </w:r>
    </w:p>
    <w:p w14:paraId="43AA791C">
      <w:pPr>
        <w:numPr>
          <w:ilvl w:val="0"/>
          <w:numId w:val="49"/>
        </w:numPr>
        <w:bidi w:val="0"/>
        <w:ind w:left="425" w:leftChars="0" w:hanging="425" w:firstLineChars="0"/>
        <w:rPr>
          <w:rFonts w:hint="eastAsia"/>
        </w:rPr>
      </w:pPr>
      <w:r>
        <w:rPr>
          <w:rFonts w:hint="eastAsia"/>
        </w:rPr>
        <w:t>救护触电伤员切除电源时，有时会同时使照明失电，应事故照明、应急灯等临时照明，新照明要符合使用场所防火、防爆要求，但不能因此延误切除电源和进行急救。</w:t>
      </w:r>
    </w:p>
    <w:p w14:paraId="549FDFE6">
      <w:pPr>
        <w:numPr>
          <w:ilvl w:val="0"/>
          <w:numId w:val="49"/>
        </w:numPr>
        <w:bidi w:val="0"/>
        <w:ind w:left="425" w:leftChars="0" w:hanging="425" w:firstLineChars="0"/>
        <w:rPr>
          <w:rFonts w:hint="eastAsia"/>
        </w:rPr>
      </w:pPr>
      <w:r>
        <w:rPr>
          <w:rFonts w:hint="eastAsia"/>
        </w:rPr>
        <w:t>伤员脱离电源后，如神志清醒，应使其就地躺平，严密观察，暂时不要站立或走动；如神志不清，应就地仰面躺平，且确保气道通畅，并用5s时间用看、听、试的方法检查受伤情况，看受伤部位，听心跳，试脉搏，呼叫伤员或轻拍其肩部，以判定伤员是否意识丧失，禁止摇动伤员头部呼叫伤员。</w:t>
      </w:r>
    </w:p>
    <w:p w14:paraId="46333B72">
      <w:pPr>
        <w:numPr>
          <w:ilvl w:val="0"/>
          <w:numId w:val="49"/>
        </w:numPr>
        <w:bidi w:val="0"/>
        <w:ind w:left="425" w:leftChars="0" w:hanging="425" w:firstLineChars="0"/>
        <w:rPr>
          <w:rFonts w:hint="eastAsia"/>
        </w:rPr>
      </w:pPr>
      <w:r>
        <w:rPr>
          <w:rFonts w:hint="eastAsia"/>
        </w:rPr>
        <w:t>需要抢救的伤员，应立即就地坚持正确抢救。</w:t>
      </w:r>
    </w:p>
    <w:p w14:paraId="18C9D20B">
      <w:pPr>
        <w:pStyle w:val="4"/>
        <w:keepNext w:val="0"/>
        <w:pageBreakBefore w:val="0"/>
        <w:numPr>
          <w:ilvl w:val="2"/>
          <w:numId w:val="1"/>
        </w:numPr>
        <w:kinsoku/>
        <w:wordWrap/>
        <w:overflowPunct/>
        <w:topLinePunct w:val="0"/>
        <w:autoSpaceDE/>
        <w:autoSpaceDN/>
        <w:bidi w:val="0"/>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机械伤害应急处置措施</w:t>
      </w:r>
    </w:p>
    <w:p w14:paraId="3F4D0668">
      <w:pPr>
        <w:keepNext w:val="0"/>
        <w:pageBreakBefore w:val="0"/>
        <w:kinsoku/>
        <w:wordWrap/>
        <w:overflowPunct/>
        <w:topLinePunct w:val="0"/>
        <w:autoSpaceDE/>
        <w:autoSpaceDN/>
        <w:bidi w:val="0"/>
        <w:spacing w:line="480" w:lineRule="atLeast"/>
        <w:ind w:firstLine="48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当施工人员发生机械伤害事故时，迅速确定事故发生的准确位置、可能波及的范围、设备损坏的程度、人员伤亡等情况，观察伤者的受伤情况、部位、伤害性质，急救人员应尽快赶往出事地点。</w:t>
      </w:r>
    </w:p>
    <w:p w14:paraId="258E87E0">
      <w:pPr>
        <w:pStyle w:val="5"/>
        <w:bidi w:val="0"/>
        <w:rPr>
          <w:rFonts w:hint="eastAsia" w:ascii="宋体" w:hAnsi="宋体" w:eastAsia="宋体" w:cs="宋体"/>
        </w:rPr>
      </w:pPr>
      <w:r>
        <w:rPr>
          <w:rFonts w:hint="eastAsia" w:ascii="宋体" w:hAnsi="宋体" w:eastAsia="宋体" w:cs="宋体"/>
        </w:rPr>
        <w:t>休克、昏迷急救</w:t>
      </w:r>
    </w:p>
    <w:p w14:paraId="2A2D4F09">
      <w:pPr>
        <w:keepNext w:val="0"/>
        <w:pageBreakBefore w:val="0"/>
        <w:kinsoku/>
        <w:wordWrap/>
        <w:overflowPunct/>
        <w:topLinePunct w:val="0"/>
        <w:autoSpaceDE/>
        <w:autoSpaceDN/>
        <w:bidi w:val="0"/>
        <w:spacing w:line="480" w:lineRule="atLeast"/>
        <w:ind w:firstLine="48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让休克者平卧、不用枕头，腿部抬高30度。若属于心源性休克同时伴有心力衰竭、气急，不能平卧时，可采用半卧，注意保暖和安静，尽量不要搬动，如必须搬动时，动作要轻。</w:t>
      </w:r>
    </w:p>
    <w:p w14:paraId="1ECA2BE4">
      <w:pPr>
        <w:pStyle w:val="5"/>
        <w:bidi w:val="0"/>
        <w:rPr>
          <w:rFonts w:hint="eastAsia" w:ascii="宋体" w:hAnsi="宋体" w:eastAsia="宋体" w:cs="宋体"/>
        </w:rPr>
      </w:pPr>
      <w:r>
        <w:rPr>
          <w:rFonts w:hint="eastAsia" w:ascii="宋体" w:hAnsi="宋体" w:eastAsia="宋体" w:cs="宋体"/>
        </w:rPr>
        <w:t>骨折急救</w:t>
      </w:r>
    </w:p>
    <w:p w14:paraId="6E6E1613">
      <w:pPr>
        <w:numPr>
          <w:ilvl w:val="0"/>
          <w:numId w:val="50"/>
        </w:numPr>
        <w:bidi w:val="0"/>
        <w:ind w:left="425" w:leftChars="0" w:hanging="425" w:firstLineChars="0"/>
        <w:rPr>
          <w:rFonts w:hint="eastAsia"/>
        </w:rPr>
      </w:pPr>
      <w:r>
        <w:rPr>
          <w:rFonts w:hint="eastAsia"/>
        </w:rPr>
        <w:t>固定断骨的材料可就地取材，如棍、木板、拐杖、硬纸板等都可作为固定材料，长短要以能固定住骨折处上下两个关节或不使断骨错动为准。</w:t>
      </w:r>
    </w:p>
    <w:p w14:paraId="36634F55">
      <w:pPr>
        <w:numPr>
          <w:ilvl w:val="0"/>
          <w:numId w:val="50"/>
        </w:numPr>
        <w:bidi w:val="0"/>
        <w:ind w:left="425" w:leftChars="0" w:hanging="425" w:firstLineChars="0"/>
        <w:rPr>
          <w:rFonts w:hint="eastAsia"/>
        </w:rPr>
      </w:pPr>
      <w:r>
        <w:rPr>
          <w:rFonts w:hint="eastAsia"/>
        </w:rPr>
        <w:t>脊柱骨折或颈部骨折时，除非是特殊情况如室内失火，否则应让伤者留在原地，等待携有医疗器材的医护人员来搬动。</w:t>
      </w:r>
    </w:p>
    <w:p w14:paraId="0B7D36C4">
      <w:pPr>
        <w:numPr>
          <w:ilvl w:val="0"/>
          <w:numId w:val="50"/>
        </w:numPr>
        <w:bidi w:val="0"/>
        <w:ind w:left="425" w:leftChars="0" w:hanging="425" w:firstLineChars="0"/>
        <w:rPr>
          <w:rFonts w:hint="eastAsia"/>
        </w:rPr>
      </w:pPr>
      <w:r>
        <w:rPr>
          <w:rFonts w:hint="eastAsia"/>
        </w:rPr>
        <w:t>抬运伤者，从地上抬起时，要多人同时缓缓用力平托；运送时，必须用木板或硬材料，不能用布担架或绳床。木板上可垫棉被，但不能用枕头，颈椎骨骨折伤者的头须放正，两旁用沙袋将头夹住，不能让头随便晃动。</w:t>
      </w:r>
    </w:p>
    <w:p w14:paraId="441F9AB3">
      <w:pPr>
        <w:pStyle w:val="5"/>
        <w:bidi w:val="0"/>
        <w:rPr>
          <w:rFonts w:hint="eastAsia" w:ascii="宋体" w:hAnsi="宋体" w:eastAsia="宋体" w:cs="宋体"/>
        </w:rPr>
      </w:pPr>
      <w:r>
        <w:rPr>
          <w:rFonts w:hint="eastAsia" w:ascii="宋体" w:hAnsi="宋体" w:eastAsia="宋体" w:cs="宋体"/>
        </w:rPr>
        <w:t>严重出血的急救</w:t>
      </w:r>
    </w:p>
    <w:p w14:paraId="6EB24D2B">
      <w:pPr>
        <w:numPr>
          <w:ilvl w:val="0"/>
          <w:numId w:val="51"/>
        </w:numPr>
        <w:bidi w:val="0"/>
        <w:ind w:left="425" w:leftChars="0" w:hanging="425" w:firstLineChars="0"/>
        <w:rPr>
          <w:rFonts w:hint="eastAsia"/>
        </w:rPr>
      </w:pPr>
      <w:r>
        <w:rPr>
          <w:rFonts w:hint="eastAsia"/>
        </w:rPr>
        <w:t>一般止血法：一般伤口小的出血，先用生理盐水涂上红汞药水，然后盖上消毒纱布，用绷带较紧地包扎。</w:t>
      </w:r>
    </w:p>
    <w:p w14:paraId="12609080">
      <w:pPr>
        <w:numPr>
          <w:ilvl w:val="0"/>
          <w:numId w:val="51"/>
        </w:numPr>
        <w:bidi w:val="0"/>
        <w:ind w:left="425" w:leftChars="0" w:hanging="425" w:firstLineChars="0"/>
        <w:rPr>
          <w:rFonts w:hint="eastAsia"/>
        </w:rPr>
      </w:pPr>
      <w:r>
        <w:rPr>
          <w:rFonts w:hint="eastAsia"/>
        </w:rPr>
        <w:t>严重出血时，应使用压迫带止血法。这是一种最基本、最常用，也是最有效的止血方法。适用于头、颈、四肢动脉大血管出血的临时止血。即用手指或手掌用力压住比伤口靠近心脏更近部位的动脉跳动处（止血点）。只要位置找得准，这种方法能马上起到止血作用。</w:t>
      </w:r>
    </w:p>
    <w:p w14:paraId="2D2DD7DB">
      <w:pPr>
        <w:pStyle w:val="5"/>
        <w:bidi w:val="0"/>
        <w:rPr>
          <w:rFonts w:hint="eastAsia" w:ascii="宋体" w:hAnsi="宋体" w:eastAsia="宋体" w:cs="宋体"/>
          <w:sz w:val="24"/>
          <w:szCs w:val="24"/>
        </w:rPr>
      </w:pPr>
      <w:r>
        <w:rPr>
          <w:rFonts w:hint="eastAsia" w:ascii="宋体" w:hAnsi="宋体" w:eastAsia="宋体" w:cs="宋体"/>
          <w:color w:val="000000" w:themeColor="text1"/>
          <w:sz w:val="24"/>
          <w:szCs w:val="24"/>
          <w14:textFill>
            <w14:solidFill>
              <w14:schemeClr w14:val="tx1"/>
            </w14:solidFill>
          </w14:textFill>
        </w:rPr>
        <w:t>肢体切断断肢(指)后，有时即刻造成伤者因流血或疼</w:t>
      </w:r>
      <w:r>
        <w:rPr>
          <w:rFonts w:hint="eastAsia" w:ascii="宋体" w:hAnsi="宋体" w:eastAsia="宋体" w:cs="宋体"/>
          <w:sz w:val="24"/>
          <w:szCs w:val="24"/>
        </w:rPr>
        <w:t>痛而发生休克，所以应设法首先止血，防止伤员休克。其急救要点为：</w:t>
      </w:r>
    </w:p>
    <w:p w14:paraId="1AC88B7B">
      <w:pPr>
        <w:numPr>
          <w:ilvl w:val="0"/>
          <w:numId w:val="52"/>
        </w:numPr>
        <w:bidi w:val="0"/>
        <w:ind w:left="425" w:leftChars="0" w:hanging="425" w:firstLineChars="0"/>
        <w:rPr>
          <w:rFonts w:hint="eastAsia"/>
        </w:rPr>
      </w:pPr>
      <w:r>
        <w:rPr>
          <w:rFonts w:hint="eastAsia"/>
        </w:rPr>
        <w:t>让伤者躺下，用一块纱布或清洁布块(如翻出干净手帕的内面)，放在断肢伤口上，再用绷带固定位置。如果找不到绷带，也可用围巾包扎。</w:t>
      </w:r>
    </w:p>
    <w:p w14:paraId="3419BA0A">
      <w:pPr>
        <w:numPr>
          <w:ilvl w:val="0"/>
          <w:numId w:val="52"/>
        </w:numPr>
        <w:bidi w:val="0"/>
        <w:ind w:left="425" w:leftChars="0" w:hanging="425" w:firstLineChars="0"/>
        <w:rPr>
          <w:rFonts w:hint="eastAsia"/>
        </w:rPr>
      </w:pPr>
      <w:r>
        <w:rPr>
          <w:rFonts w:hint="eastAsia"/>
        </w:rPr>
        <w:t>如是手臂切断，用绷带把断臂挂在胸前，固定位置；若是一条腿断了，则与另一条腿扎在一起。</w:t>
      </w:r>
    </w:p>
    <w:p w14:paraId="748FA412">
      <w:pPr>
        <w:numPr>
          <w:ilvl w:val="0"/>
          <w:numId w:val="52"/>
        </w:numPr>
        <w:bidi w:val="0"/>
        <w:ind w:left="425" w:leftChars="0" w:hanging="425" w:firstLineChars="0"/>
        <w:rPr>
          <w:rFonts w:hint="eastAsia"/>
        </w:rPr>
      </w:pPr>
      <w:r>
        <w:rPr>
          <w:rFonts w:hint="eastAsia"/>
        </w:rPr>
        <w:t>料理好伤者后，设法找回断肢。倘若离断的伤肢(指)仍在机器中，千万不能将肢体强行拉出，或将机器倒开(转)，以免增加损伤的机会。正确的方法应是拆开机器后取出。</w:t>
      </w:r>
    </w:p>
    <w:p w14:paraId="5220DE30">
      <w:pPr>
        <w:numPr>
          <w:ilvl w:val="0"/>
          <w:numId w:val="52"/>
        </w:numPr>
        <w:bidi w:val="0"/>
        <w:ind w:left="425" w:leftChars="0" w:hanging="425" w:firstLineChars="0"/>
        <w:rPr>
          <w:rFonts w:hint="eastAsia"/>
        </w:rPr>
      </w:pPr>
      <w:r>
        <w:rPr>
          <w:rFonts w:hint="eastAsia"/>
        </w:rPr>
        <w:t>取下断落的肢(指)体后，立即用无菌纱布或干净布片包扎，然后放入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w:t>
      </w:r>
    </w:p>
    <w:p w14:paraId="2EDDCD48">
      <w:pPr>
        <w:numPr>
          <w:ilvl w:val="0"/>
          <w:numId w:val="52"/>
        </w:numPr>
        <w:bidi w:val="0"/>
        <w:ind w:left="425" w:leftChars="0" w:hanging="425" w:firstLineChars="0"/>
        <w:rPr>
          <w:rFonts w:hint="eastAsia"/>
        </w:rPr>
      </w:pPr>
      <w:r>
        <w:rPr>
          <w:rFonts w:hint="eastAsia"/>
        </w:rPr>
        <w:t>离断后的伤肢，如有少许皮肤或其他肌腱相连，不能将其离断，应放在夹板或阔竹片上，然后包扎，立即送到医院作紧急处理。</w:t>
      </w:r>
    </w:p>
    <w:p w14:paraId="7FAA73F2">
      <w:pPr>
        <w:numPr>
          <w:ilvl w:val="0"/>
          <w:numId w:val="52"/>
        </w:numPr>
        <w:bidi w:val="0"/>
        <w:ind w:left="425" w:leftChars="0" w:hanging="425" w:firstLineChars="0"/>
        <w:rPr>
          <w:rFonts w:hint="eastAsia"/>
        </w:rPr>
      </w:pPr>
      <w:r>
        <w:rPr>
          <w:rFonts w:hint="eastAsia"/>
        </w:rPr>
        <w:t>严禁在离断伤肢(指)的断端涂抹各种药物及药水(包括消毒剂)，更不能涂抹牙膏、灶灰之类试图止血。</w:t>
      </w:r>
    </w:p>
    <w:p w14:paraId="01A1314D">
      <w:pPr>
        <w:pStyle w:val="5"/>
        <w:bidi w:val="0"/>
        <w:rPr>
          <w:rFonts w:hint="eastAsia" w:ascii="宋体" w:hAnsi="宋体" w:eastAsia="宋体" w:cs="宋体"/>
        </w:rPr>
      </w:pPr>
      <w:r>
        <w:rPr>
          <w:rFonts w:hint="eastAsia" w:ascii="宋体" w:hAnsi="宋体" w:eastAsia="宋体" w:cs="宋体"/>
        </w:rPr>
        <w:t>一般性外伤</w:t>
      </w:r>
    </w:p>
    <w:p w14:paraId="3D814259">
      <w:pPr>
        <w:numPr>
          <w:ilvl w:val="0"/>
          <w:numId w:val="53"/>
        </w:numPr>
        <w:bidi w:val="0"/>
        <w:ind w:left="425" w:leftChars="0" w:hanging="425" w:firstLineChars="0"/>
        <w:rPr>
          <w:rFonts w:hint="eastAsia"/>
        </w:rPr>
      </w:pPr>
      <w:r>
        <w:rPr>
          <w:rFonts w:hint="eastAsia"/>
        </w:rPr>
        <w:t>视伤情送往医院，防止破伤风。</w:t>
      </w:r>
    </w:p>
    <w:p w14:paraId="6BB27DF5">
      <w:pPr>
        <w:numPr>
          <w:ilvl w:val="0"/>
          <w:numId w:val="53"/>
        </w:numPr>
        <w:bidi w:val="0"/>
        <w:ind w:left="425" w:leftChars="0" w:hanging="425" w:firstLineChars="0"/>
        <w:rPr>
          <w:rFonts w:hint="eastAsia"/>
        </w:rPr>
      </w:pPr>
      <w:r>
        <w:rPr>
          <w:rFonts w:hint="eastAsia"/>
        </w:rPr>
        <w:t>轻微内伤，送医院检查。</w:t>
      </w:r>
    </w:p>
    <w:p w14:paraId="33A40062">
      <w:pPr>
        <w:pStyle w:val="4"/>
        <w:keepNext w:val="0"/>
        <w:pageBreakBefore w:val="0"/>
        <w:numPr>
          <w:ilvl w:val="2"/>
          <w:numId w:val="1"/>
        </w:numPr>
        <w:kinsoku/>
        <w:wordWrap/>
        <w:overflowPunct/>
        <w:topLinePunct w:val="0"/>
        <w:autoSpaceDE/>
        <w:autoSpaceDN/>
        <w:bidi w:val="0"/>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交通事故应急处置措施</w:t>
      </w:r>
    </w:p>
    <w:p w14:paraId="563DBD9F">
      <w:pPr>
        <w:numPr>
          <w:ilvl w:val="0"/>
          <w:numId w:val="54"/>
        </w:numPr>
        <w:bidi w:val="0"/>
        <w:ind w:left="425" w:leftChars="0" w:hanging="425" w:firstLineChars="0"/>
        <w:rPr>
          <w:rFonts w:hint="eastAsia"/>
        </w:rPr>
      </w:pPr>
      <w:r>
        <w:rPr>
          <w:rFonts w:hint="eastAsia"/>
        </w:rPr>
        <w:t>发生车辆伤害事故，驾驶员立即停车，拉紧手制动，关闭钥匙，开启双闪警示灯；</w:t>
      </w:r>
    </w:p>
    <w:p w14:paraId="2318A8D8">
      <w:pPr>
        <w:numPr>
          <w:ilvl w:val="0"/>
          <w:numId w:val="54"/>
        </w:numPr>
        <w:bidi w:val="0"/>
        <w:ind w:left="425" w:leftChars="0" w:hanging="425" w:firstLineChars="0"/>
        <w:rPr>
          <w:rFonts w:hint="eastAsia"/>
        </w:rPr>
      </w:pPr>
      <w:r>
        <w:rPr>
          <w:rFonts w:hint="eastAsia"/>
        </w:rPr>
        <w:t>进入现场处置人员必须经过应急救援培训和安全知识培训；事故造成人身伤亡的，驾驶员和乘车人员应当立即抢救受伤人员，伤势严重立即送往医院，并通知医院做好抢救准备；</w:t>
      </w:r>
    </w:p>
    <w:p w14:paraId="3D8567F4">
      <w:pPr>
        <w:numPr>
          <w:ilvl w:val="0"/>
          <w:numId w:val="54"/>
        </w:numPr>
        <w:bidi w:val="0"/>
        <w:ind w:left="425" w:leftChars="0" w:hanging="425" w:firstLineChars="0"/>
        <w:rPr>
          <w:rFonts w:hint="eastAsia"/>
        </w:rPr>
      </w:pPr>
      <w:r>
        <w:rPr>
          <w:rFonts w:hint="eastAsia"/>
        </w:rPr>
        <w:t>事故造成车辆燃烧时，应迅速确认火源，火灾初期立即灭火，并做好预防爆炸的安全措施；</w:t>
      </w:r>
    </w:p>
    <w:p w14:paraId="3CF3AAAE">
      <w:pPr>
        <w:numPr>
          <w:ilvl w:val="0"/>
          <w:numId w:val="54"/>
        </w:numPr>
        <w:bidi w:val="0"/>
        <w:ind w:left="425" w:leftChars="0" w:hanging="425" w:firstLineChars="0"/>
        <w:rPr>
          <w:rFonts w:hint="eastAsia"/>
        </w:rPr>
      </w:pPr>
      <w:r>
        <w:rPr>
          <w:rFonts w:hint="eastAsia"/>
        </w:rPr>
        <w:t>使用各类灭火器材灭火。</w:t>
      </w:r>
    </w:p>
    <w:p w14:paraId="6FD7EA0C">
      <w:pPr>
        <w:pStyle w:val="3"/>
        <w:keepNext w:val="0"/>
        <w:pageBreakBefore w:val="0"/>
        <w:numPr>
          <w:ilvl w:val="1"/>
          <w:numId w:val="1"/>
        </w:numPr>
        <w:kinsoku/>
        <w:wordWrap/>
        <w:overflowPunct/>
        <w:topLinePunct w:val="0"/>
        <w:autoSpaceDE/>
        <w:autoSpaceDN/>
        <w:bidi w:val="0"/>
        <w:spacing w:line="480" w:lineRule="atLeast"/>
        <w:textAlignment w:val="auto"/>
        <w:rPr>
          <w:rFonts w:hint="eastAsia" w:ascii="宋体" w:hAnsi="宋体" w:eastAsia="宋体" w:cs="宋体"/>
          <w:sz w:val="24"/>
          <w:szCs w:val="24"/>
        </w:rPr>
      </w:pPr>
      <w:bookmarkStart w:id="132" w:name="_Toc102481278"/>
      <w:bookmarkStart w:id="133" w:name="_Toc102825402"/>
      <w:bookmarkStart w:id="134" w:name="_Toc40778457"/>
      <w:bookmarkStart w:id="135" w:name="_Toc102481227"/>
      <w:bookmarkStart w:id="136" w:name="_Toc121344362"/>
      <w:bookmarkStart w:id="137" w:name="_Toc4255"/>
      <w:bookmarkStart w:id="138" w:name="_Toc29796"/>
      <w:r>
        <w:rPr>
          <w:rFonts w:hint="eastAsia" w:ascii="宋体" w:hAnsi="宋体" w:eastAsia="宋体" w:cs="宋体"/>
          <w:sz w:val="24"/>
          <w:szCs w:val="24"/>
        </w:rPr>
        <w:t>应急车辆、物资及设备</w:t>
      </w:r>
      <w:bookmarkEnd w:id="132"/>
      <w:bookmarkEnd w:id="133"/>
      <w:bookmarkEnd w:id="134"/>
      <w:bookmarkEnd w:id="135"/>
      <w:bookmarkEnd w:id="136"/>
      <w:bookmarkEnd w:id="137"/>
      <w:bookmarkEnd w:id="138"/>
    </w:p>
    <w:p w14:paraId="1AE0739D">
      <w:pPr>
        <w:bidi w:val="0"/>
        <w:rPr>
          <w:rFonts w:hint="eastAsia"/>
        </w:rPr>
      </w:pPr>
      <w:r>
        <w:rPr>
          <w:rFonts w:hint="eastAsia"/>
        </w:rPr>
        <w:t>应急资源的准备是应急救援工作的重要保障，项目部根据潜在事故性质和后果分析，配备足量应急救援中所需的救援机械和设备、交通工具、医疗设备和药品、生活保障物资。详见</w:t>
      </w:r>
      <w:r>
        <w:rPr>
          <w:rFonts w:hint="eastAsia"/>
        </w:rPr>
        <w:fldChar w:fldCharType="begin"/>
      </w:r>
      <w:r>
        <w:rPr>
          <w:rFonts w:hint="eastAsia"/>
        </w:rPr>
        <w:instrText xml:space="preserve">REF_Ref114664593\h</w:instrText>
      </w:r>
      <w:r>
        <w:rPr>
          <w:rFonts w:hint="eastAsia"/>
        </w:rPr>
        <w:fldChar w:fldCharType="separate"/>
      </w:r>
      <w:r>
        <w:rPr>
          <w:rFonts w:hint="eastAsia"/>
        </w:rPr>
        <w:t>表9.5</w:t>
      </w:r>
      <w:r>
        <w:rPr>
          <w:rFonts w:hint="eastAsia"/>
          <w:lang w:eastAsia="zh-CN"/>
        </w:rPr>
        <w:t>-</w:t>
      </w:r>
      <w:r>
        <w:rPr>
          <w:rFonts w:hint="eastAsia"/>
        </w:rPr>
        <w:t>1</w:t>
      </w:r>
      <w:r>
        <w:rPr>
          <w:rFonts w:hint="eastAsia"/>
        </w:rPr>
        <w:fldChar w:fldCharType="end"/>
      </w:r>
      <w:r>
        <w:rPr>
          <w:rFonts w:hint="eastAsia"/>
        </w:rPr>
        <w:t>、</w:t>
      </w:r>
      <w:r>
        <w:rPr>
          <w:rFonts w:hint="eastAsia"/>
        </w:rPr>
        <w:fldChar w:fldCharType="begin"/>
      </w:r>
      <w:r>
        <w:rPr>
          <w:rFonts w:hint="eastAsia"/>
        </w:rPr>
        <w:instrText xml:space="preserve">REF_Ref114664595\h</w:instrText>
      </w:r>
      <w:r>
        <w:rPr>
          <w:rFonts w:hint="eastAsia"/>
        </w:rPr>
        <w:fldChar w:fldCharType="separate"/>
      </w:r>
      <w:r>
        <w:rPr>
          <w:rFonts w:hint="eastAsia"/>
        </w:rPr>
        <w:t>表9.5</w:t>
      </w:r>
      <w:r>
        <w:rPr>
          <w:rFonts w:hint="eastAsia"/>
          <w:lang w:eastAsia="zh-CN"/>
        </w:rPr>
        <w:t>-</w:t>
      </w:r>
      <w:r>
        <w:rPr>
          <w:rFonts w:hint="eastAsia"/>
        </w:rPr>
        <w:t>2</w:t>
      </w:r>
      <w:r>
        <w:rPr>
          <w:rFonts w:hint="eastAsia"/>
        </w:rPr>
        <w:fldChar w:fldCharType="end"/>
      </w:r>
      <w:r>
        <w:rPr>
          <w:rFonts w:hint="eastAsia"/>
        </w:rPr>
        <w:t>。</w:t>
      </w:r>
    </w:p>
    <w:p w14:paraId="59359110">
      <w:pPr>
        <w:pStyle w:val="13"/>
        <w:keepNext w:val="0"/>
        <w:pageBreakBefore w:val="0"/>
        <w:kinsoku/>
        <w:wordWrap/>
        <w:overflowPunct/>
        <w:topLinePunct w:val="0"/>
        <w:autoSpaceDE/>
        <w:autoSpaceDN/>
        <w:bidi w:val="0"/>
        <w:spacing w:line="480" w:lineRule="atLeast"/>
        <w:textAlignment w:val="auto"/>
        <w:rPr>
          <w:rFonts w:hint="eastAsia" w:ascii="宋体" w:hAnsi="宋体" w:eastAsia="宋体" w:cs="宋体"/>
          <w:sz w:val="24"/>
          <w:szCs w:val="24"/>
        </w:rPr>
      </w:pPr>
      <w:bookmarkStart w:id="139" w:name="_Ref114664593"/>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2\s</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SEQ表_\*ARABIC\s 2</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bookmarkEnd w:id="139"/>
      <w:r>
        <w:rPr>
          <w:rFonts w:hint="eastAsia" w:ascii="宋体" w:hAnsi="宋体" w:eastAsia="宋体" w:cs="宋体"/>
          <w:sz w:val="24"/>
          <w:szCs w:val="24"/>
        </w:rPr>
        <w:t>项目部应急车辆</w:t>
      </w:r>
    </w:p>
    <w:tbl>
      <w:tblPr>
        <w:tblStyle w:val="6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1641"/>
        <w:gridCol w:w="1642"/>
        <w:gridCol w:w="1642"/>
        <w:gridCol w:w="1642"/>
        <w:gridCol w:w="1644"/>
        <w:gridCol w:w="1644"/>
      </w:tblGrid>
      <w:tr w14:paraId="0D6FC8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833" w:type="pct"/>
            <w:tcBorders>
              <w:tl2br w:val="nil"/>
              <w:tr2bl w:val="nil"/>
            </w:tcBorders>
            <w:shd w:val="clear" w:color="auto" w:fill="auto"/>
            <w:vAlign w:val="center"/>
          </w:tcPr>
          <w:p w14:paraId="42C51113">
            <w:pPr>
              <w:pStyle w:val="49"/>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编号</w:t>
            </w:r>
          </w:p>
        </w:tc>
        <w:tc>
          <w:tcPr>
            <w:tcW w:w="833" w:type="pct"/>
            <w:tcBorders>
              <w:tl2br w:val="nil"/>
              <w:tr2bl w:val="nil"/>
            </w:tcBorders>
            <w:shd w:val="clear" w:color="auto" w:fill="auto"/>
            <w:vAlign w:val="center"/>
          </w:tcPr>
          <w:p w14:paraId="57FABBB9">
            <w:pPr>
              <w:pStyle w:val="49"/>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设备名称</w:t>
            </w:r>
          </w:p>
        </w:tc>
        <w:tc>
          <w:tcPr>
            <w:tcW w:w="833" w:type="pct"/>
            <w:tcBorders>
              <w:tl2br w:val="nil"/>
              <w:tr2bl w:val="nil"/>
            </w:tcBorders>
            <w:shd w:val="clear" w:color="auto" w:fill="auto"/>
            <w:vAlign w:val="center"/>
          </w:tcPr>
          <w:p w14:paraId="2361D69E">
            <w:pPr>
              <w:pStyle w:val="49"/>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单位</w:t>
            </w:r>
          </w:p>
        </w:tc>
        <w:tc>
          <w:tcPr>
            <w:tcW w:w="833" w:type="pct"/>
            <w:tcBorders>
              <w:tl2br w:val="nil"/>
              <w:tr2bl w:val="nil"/>
            </w:tcBorders>
            <w:shd w:val="clear" w:color="auto" w:fill="auto"/>
            <w:vAlign w:val="center"/>
          </w:tcPr>
          <w:p w14:paraId="22B3B7E2">
            <w:pPr>
              <w:pStyle w:val="49"/>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投入数量</w:t>
            </w:r>
          </w:p>
        </w:tc>
        <w:tc>
          <w:tcPr>
            <w:tcW w:w="834" w:type="pct"/>
            <w:tcBorders>
              <w:tl2br w:val="nil"/>
              <w:tr2bl w:val="nil"/>
            </w:tcBorders>
            <w:shd w:val="clear" w:color="auto" w:fill="auto"/>
            <w:vAlign w:val="center"/>
          </w:tcPr>
          <w:p w14:paraId="25E169A3">
            <w:pPr>
              <w:pStyle w:val="49"/>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性能</w:t>
            </w:r>
          </w:p>
        </w:tc>
        <w:tc>
          <w:tcPr>
            <w:tcW w:w="834" w:type="pct"/>
            <w:tcBorders>
              <w:tl2br w:val="nil"/>
              <w:tr2bl w:val="nil"/>
            </w:tcBorders>
            <w:shd w:val="clear" w:color="auto" w:fill="auto"/>
            <w:vAlign w:val="center"/>
          </w:tcPr>
          <w:p w14:paraId="001E0BF7">
            <w:pPr>
              <w:pStyle w:val="49"/>
              <w:kinsoku/>
              <w:overflowPunct/>
              <w:topLinePunct w:val="0"/>
              <w:bidi w:val="0"/>
              <w:spacing w:line="360" w:lineRule="atLeast"/>
              <w:rPr>
                <w:rFonts w:hint="eastAsia" w:ascii="宋体" w:hAnsi="宋体" w:eastAsia="宋体" w:cs="宋体"/>
                <w:b/>
                <w:i w:val="0"/>
                <w:sz w:val="21"/>
                <w:szCs w:val="21"/>
              </w:rPr>
            </w:pPr>
            <w:r>
              <w:rPr>
                <w:rFonts w:hint="eastAsia" w:ascii="宋体" w:hAnsi="宋体" w:eastAsia="宋体" w:cs="宋体"/>
                <w:b/>
                <w:i w:val="0"/>
                <w:sz w:val="21"/>
                <w:szCs w:val="21"/>
              </w:rPr>
              <w:t>存放地点</w:t>
            </w:r>
          </w:p>
        </w:tc>
      </w:tr>
      <w:tr w14:paraId="20AF0A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833" w:type="pct"/>
            <w:tcBorders>
              <w:tl2br w:val="nil"/>
              <w:tr2bl w:val="nil"/>
            </w:tcBorders>
            <w:shd w:val="clear" w:color="auto" w:fill="auto"/>
            <w:vAlign w:val="center"/>
          </w:tcPr>
          <w:p w14:paraId="773CAE57">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833" w:type="pct"/>
            <w:tcBorders>
              <w:tl2br w:val="nil"/>
              <w:tr2bl w:val="nil"/>
            </w:tcBorders>
            <w:shd w:val="clear" w:color="auto" w:fill="auto"/>
            <w:vAlign w:val="center"/>
          </w:tcPr>
          <w:p w14:paraId="409BD8C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轿车</w:t>
            </w:r>
          </w:p>
        </w:tc>
        <w:tc>
          <w:tcPr>
            <w:tcW w:w="833" w:type="pct"/>
            <w:tcBorders>
              <w:tl2br w:val="nil"/>
              <w:tr2bl w:val="nil"/>
            </w:tcBorders>
            <w:shd w:val="clear" w:color="auto" w:fill="auto"/>
            <w:vAlign w:val="center"/>
          </w:tcPr>
          <w:p w14:paraId="74FAF130">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台</w:t>
            </w:r>
          </w:p>
        </w:tc>
        <w:tc>
          <w:tcPr>
            <w:tcW w:w="833" w:type="pct"/>
            <w:tcBorders>
              <w:tl2br w:val="nil"/>
              <w:tr2bl w:val="nil"/>
            </w:tcBorders>
            <w:shd w:val="clear" w:color="auto" w:fill="auto"/>
            <w:vAlign w:val="center"/>
          </w:tcPr>
          <w:p w14:paraId="490F677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w:t>
            </w:r>
          </w:p>
        </w:tc>
        <w:tc>
          <w:tcPr>
            <w:tcW w:w="834" w:type="pct"/>
            <w:tcBorders>
              <w:tl2br w:val="nil"/>
              <w:tr2bl w:val="nil"/>
            </w:tcBorders>
            <w:shd w:val="clear" w:color="auto" w:fill="auto"/>
            <w:vAlign w:val="center"/>
          </w:tcPr>
          <w:p w14:paraId="7FFCACC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834" w:type="pct"/>
            <w:tcBorders>
              <w:tl2br w:val="nil"/>
              <w:tr2bl w:val="nil"/>
            </w:tcBorders>
            <w:shd w:val="clear" w:color="auto" w:fill="auto"/>
            <w:vAlign w:val="center"/>
          </w:tcPr>
          <w:p w14:paraId="011A94D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r w14:paraId="16F1DB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833" w:type="pct"/>
            <w:tcBorders>
              <w:tl2br w:val="nil"/>
              <w:tr2bl w:val="nil"/>
            </w:tcBorders>
            <w:shd w:val="clear" w:color="auto" w:fill="auto"/>
            <w:vAlign w:val="center"/>
          </w:tcPr>
          <w:p w14:paraId="6024AC3C">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2</w:t>
            </w:r>
          </w:p>
        </w:tc>
        <w:tc>
          <w:tcPr>
            <w:tcW w:w="833" w:type="pct"/>
            <w:tcBorders>
              <w:tl2br w:val="nil"/>
              <w:tr2bl w:val="nil"/>
            </w:tcBorders>
            <w:shd w:val="clear" w:color="auto" w:fill="auto"/>
            <w:vAlign w:val="center"/>
          </w:tcPr>
          <w:p w14:paraId="0C23A84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皮卡车</w:t>
            </w:r>
          </w:p>
        </w:tc>
        <w:tc>
          <w:tcPr>
            <w:tcW w:w="833" w:type="pct"/>
            <w:tcBorders>
              <w:tl2br w:val="nil"/>
              <w:tr2bl w:val="nil"/>
            </w:tcBorders>
            <w:shd w:val="clear" w:color="auto" w:fill="auto"/>
            <w:vAlign w:val="center"/>
          </w:tcPr>
          <w:p w14:paraId="414DA55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台</w:t>
            </w:r>
          </w:p>
        </w:tc>
        <w:tc>
          <w:tcPr>
            <w:tcW w:w="833" w:type="pct"/>
            <w:tcBorders>
              <w:tl2br w:val="nil"/>
              <w:tr2bl w:val="nil"/>
            </w:tcBorders>
            <w:shd w:val="clear" w:color="auto" w:fill="auto"/>
            <w:vAlign w:val="center"/>
          </w:tcPr>
          <w:p w14:paraId="16F2C70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w:t>
            </w:r>
          </w:p>
        </w:tc>
        <w:tc>
          <w:tcPr>
            <w:tcW w:w="834" w:type="pct"/>
            <w:tcBorders>
              <w:tl2br w:val="nil"/>
              <w:tr2bl w:val="nil"/>
            </w:tcBorders>
            <w:shd w:val="clear" w:color="auto" w:fill="auto"/>
            <w:vAlign w:val="center"/>
          </w:tcPr>
          <w:p w14:paraId="6969DB04">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834" w:type="pct"/>
            <w:tcBorders>
              <w:tl2br w:val="nil"/>
              <w:tr2bl w:val="nil"/>
            </w:tcBorders>
            <w:shd w:val="clear" w:color="auto" w:fill="auto"/>
            <w:vAlign w:val="center"/>
          </w:tcPr>
          <w:p w14:paraId="1D8E05D2">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bl>
    <w:p w14:paraId="081B3E6D">
      <w:pPr>
        <w:pStyle w:val="13"/>
        <w:kinsoku/>
        <w:overflowPunct/>
        <w:topLinePunct w:val="0"/>
        <w:bidi w:val="0"/>
        <w:spacing w:before="120" w:beforeLines="50" w:line="360" w:lineRule="atLeast"/>
        <w:rPr>
          <w:rFonts w:hint="eastAsia" w:ascii="宋体" w:hAnsi="宋体" w:eastAsia="宋体" w:cs="宋体"/>
          <w:sz w:val="24"/>
          <w:szCs w:val="24"/>
        </w:rPr>
      </w:pPr>
      <w:bookmarkStart w:id="140" w:name="_Ref114664595"/>
      <w:r>
        <w:rPr>
          <w:rFonts w:hint="eastAsia" w:ascii="宋体" w:hAnsi="宋体" w:eastAsia="宋体" w:cs="宋体"/>
          <w:sz w:val="24"/>
          <w:szCs w:val="24"/>
        </w:rPr>
        <w:t>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STYLEREF 2\s</w:instrText>
      </w:r>
      <w:r>
        <w:rPr>
          <w:rFonts w:hint="eastAsia" w:ascii="宋体" w:hAnsi="宋体" w:eastAsia="宋体" w:cs="宋体"/>
          <w:sz w:val="24"/>
          <w:szCs w:val="24"/>
        </w:rPr>
        <w:fldChar w:fldCharType="separate"/>
      </w:r>
      <w:r>
        <w:rPr>
          <w:rFonts w:hint="eastAsia" w:ascii="宋体" w:hAnsi="宋体" w:eastAsia="宋体" w:cs="宋体"/>
          <w:sz w:val="24"/>
          <w:szCs w:val="24"/>
        </w:rPr>
        <w:t>9.5</w:t>
      </w:r>
      <w:r>
        <w:rPr>
          <w:rFonts w:hint="eastAsia" w:ascii="宋体" w:hAnsi="宋体" w:eastAsia="宋体" w:cs="宋体"/>
          <w:sz w:val="24"/>
          <w:szCs w:val="24"/>
        </w:rPr>
        <w:fldChar w:fldCharType="end"/>
      </w:r>
      <w:r>
        <w:rPr>
          <w:rFonts w:hint="eastAsia" w:ascii="宋体" w:hAnsi="宋体" w:cs="宋体"/>
          <w:sz w:val="24"/>
          <w:szCs w:val="24"/>
          <w:lang w:eastAsia="zh-CN"/>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SEQ表_\*ARABIC\s 2</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bookmarkEnd w:id="140"/>
      <w:r>
        <w:rPr>
          <w:rFonts w:hint="eastAsia" w:ascii="宋体" w:hAnsi="宋体" w:eastAsia="宋体" w:cs="宋体"/>
          <w:sz w:val="24"/>
          <w:szCs w:val="24"/>
        </w:rPr>
        <w:t>应急设备、物资保障</w:t>
      </w:r>
    </w:p>
    <w:tbl>
      <w:tblPr>
        <w:tblStyle w:val="68"/>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725"/>
        <w:gridCol w:w="4795"/>
        <w:gridCol w:w="725"/>
        <w:gridCol w:w="1204"/>
        <w:gridCol w:w="1203"/>
        <w:gridCol w:w="1203"/>
      </w:tblGrid>
      <w:tr w14:paraId="0AE6AA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blHeader/>
        </w:trPr>
        <w:tc>
          <w:tcPr>
            <w:tcW w:w="368" w:type="pct"/>
            <w:tcBorders>
              <w:tl2br w:val="nil"/>
              <w:tr2bl w:val="nil"/>
            </w:tcBorders>
            <w:shd w:val="clear" w:color="auto" w:fill="auto"/>
            <w:vAlign w:val="center"/>
          </w:tcPr>
          <w:p w14:paraId="17469BD0">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编号</w:t>
            </w:r>
          </w:p>
        </w:tc>
        <w:tc>
          <w:tcPr>
            <w:tcW w:w="2433" w:type="pct"/>
            <w:tcBorders>
              <w:tl2br w:val="nil"/>
              <w:tr2bl w:val="nil"/>
            </w:tcBorders>
            <w:shd w:val="clear" w:color="auto" w:fill="auto"/>
            <w:vAlign w:val="center"/>
          </w:tcPr>
          <w:p w14:paraId="61B2BED4">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设备名称</w:t>
            </w:r>
          </w:p>
        </w:tc>
        <w:tc>
          <w:tcPr>
            <w:tcW w:w="368" w:type="pct"/>
            <w:tcBorders>
              <w:tl2br w:val="nil"/>
              <w:tr2bl w:val="nil"/>
            </w:tcBorders>
            <w:shd w:val="clear" w:color="auto" w:fill="auto"/>
            <w:vAlign w:val="center"/>
          </w:tcPr>
          <w:p w14:paraId="567F5B55">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单位</w:t>
            </w:r>
          </w:p>
        </w:tc>
        <w:tc>
          <w:tcPr>
            <w:tcW w:w="611" w:type="pct"/>
            <w:tcBorders>
              <w:tl2br w:val="nil"/>
              <w:tr2bl w:val="nil"/>
            </w:tcBorders>
            <w:shd w:val="clear" w:color="auto" w:fill="auto"/>
            <w:vAlign w:val="center"/>
          </w:tcPr>
          <w:p w14:paraId="20C49903">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投入数量</w:t>
            </w:r>
          </w:p>
        </w:tc>
        <w:tc>
          <w:tcPr>
            <w:tcW w:w="610" w:type="pct"/>
            <w:tcBorders>
              <w:tl2br w:val="nil"/>
              <w:tr2bl w:val="nil"/>
            </w:tcBorders>
            <w:shd w:val="clear" w:color="auto" w:fill="auto"/>
            <w:vAlign w:val="center"/>
          </w:tcPr>
          <w:p w14:paraId="6253C685">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性能</w:t>
            </w:r>
          </w:p>
        </w:tc>
        <w:tc>
          <w:tcPr>
            <w:tcW w:w="610" w:type="pct"/>
            <w:tcBorders>
              <w:tl2br w:val="nil"/>
              <w:tr2bl w:val="nil"/>
            </w:tcBorders>
            <w:shd w:val="clear" w:color="auto" w:fill="auto"/>
            <w:vAlign w:val="center"/>
          </w:tcPr>
          <w:p w14:paraId="5661E89E">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i w:val="0"/>
                <w:sz w:val="21"/>
                <w:szCs w:val="21"/>
              </w:rPr>
              <w:t>存放地点</w:t>
            </w:r>
          </w:p>
        </w:tc>
      </w:tr>
      <w:tr w14:paraId="5B0E55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tcBorders>
              <w:tl2br w:val="nil"/>
              <w:tr2bl w:val="nil"/>
            </w:tcBorders>
            <w:shd w:val="clear" w:color="auto" w:fill="auto"/>
            <w:vAlign w:val="center"/>
          </w:tcPr>
          <w:p w14:paraId="16D9E6C8">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1</w:t>
            </w:r>
          </w:p>
        </w:tc>
        <w:tc>
          <w:tcPr>
            <w:tcW w:w="2433" w:type="pct"/>
            <w:tcBorders>
              <w:tl2br w:val="nil"/>
              <w:tr2bl w:val="nil"/>
            </w:tcBorders>
            <w:shd w:val="clear" w:color="auto" w:fill="auto"/>
            <w:vAlign w:val="center"/>
          </w:tcPr>
          <w:p w14:paraId="6C94FFF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挖掘机</w:t>
            </w:r>
          </w:p>
        </w:tc>
        <w:tc>
          <w:tcPr>
            <w:tcW w:w="368" w:type="pct"/>
            <w:tcBorders>
              <w:tl2br w:val="nil"/>
              <w:tr2bl w:val="nil"/>
            </w:tcBorders>
            <w:shd w:val="clear" w:color="auto" w:fill="auto"/>
            <w:vAlign w:val="center"/>
          </w:tcPr>
          <w:p w14:paraId="0306628C">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台</w:t>
            </w:r>
          </w:p>
        </w:tc>
        <w:tc>
          <w:tcPr>
            <w:tcW w:w="611" w:type="pct"/>
            <w:tcBorders>
              <w:tl2br w:val="nil"/>
              <w:tr2bl w:val="nil"/>
            </w:tcBorders>
            <w:shd w:val="clear" w:color="auto" w:fill="auto"/>
            <w:vAlign w:val="center"/>
          </w:tcPr>
          <w:p w14:paraId="7ADAA02E">
            <w:pPr>
              <w:pStyle w:val="49"/>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c>
          <w:tcPr>
            <w:tcW w:w="610" w:type="pct"/>
            <w:tcBorders>
              <w:tl2br w:val="nil"/>
              <w:tr2bl w:val="nil"/>
            </w:tcBorders>
            <w:shd w:val="clear" w:color="auto" w:fill="auto"/>
            <w:vAlign w:val="center"/>
          </w:tcPr>
          <w:p w14:paraId="2DE90D3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610" w:type="pct"/>
            <w:tcBorders>
              <w:tl2br w:val="nil"/>
              <w:tr2bl w:val="nil"/>
            </w:tcBorders>
            <w:shd w:val="clear" w:color="auto" w:fill="auto"/>
            <w:vAlign w:val="center"/>
          </w:tcPr>
          <w:p w14:paraId="5D129DF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r w14:paraId="05AA94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368" w:type="pct"/>
            <w:tcBorders>
              <w:tl2br w:val="nil"/>
              <w:tr2bl w:val="nil"/>
            </w:tcBorders>
            <w:shd w:val="clear" w:color="auto" w:fill="auto"/>
            <w:vAlign w:val="center"/>
          </w:tcPr>
          <w:p w14:paraId="5E212D88">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2</w:t>
            </w:r>
          </w:p>
        </w:tc>
        <w:tc>
          <w:tcPr>
            <w:tcW w:w="2433" w:type="pct"/>
            <w:tcBorders>
              <w:tl2br w:val="nil"/>
              <w:tr2bl w:val="nil"/>
            </w:tcBorders>
            <w:shd w:val="clear" w:color="auto" w:fill="auto"/>
            <w:vAlign w:val="center"/>
          </w:tcPr>
          <w:p w14:paraId="3543A7C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50t汽车吊</w:t>
            </w:r>
          </w:p>
        </w:tc>
        <w:tc>
          <w:tcPr>
            <w:tcW w:w="368" w:type="pct"/>
            <w:tcBorders>
              <w:tl2br w:val="nil"/>
              <w:tr2bl w:val="nil"/>
            </w:tcBorders>
            <w:shd w:val="clear" w:color="auto" w:fill="auto"/>
            <w:vAlign w:val="center"/>
          </w:tcPr>
          <w:p w14:paraId="2321C085">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台</w:t>
            </w:r>
          </w:p>
        </w:tc>
        <w:tc>
          <w:tcPr>
            <w:tcW w:w="611" w:type="pct"/>
            <w:tcBorders>
              <w:tl2br w:val="nil"/>
              <w:tr2bl w:val="nil"/>
            </w:tcBorders>
            <w:shd w:val="clear" w:color="auto" w:fill="auto"/>
            <w:vAlign w:val="center"/>
          </w:tcPr>
          <w:p w14:paraId="0B06DBE0">
            <w:pPr>
              <w:pStyle w:val="49"/>
              <w:kinsoku/>
              <w:overflowPunct/>
              <w:topLinePunct w:val="0"/>
              <w:bidi w:val="0"/>
              <w:spacing w:line="360" w:lineRule="atLeast"/>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p>
        </w:tc>
        <w:tc>
          <w:tcPr>
            <w:tcW w:w="610" w:type="pct"/>
            <w:tcBorders>
              <w:tl2br w:val="nil"/>
              <w:tr2bl w:val="nil"/>
            </w:tcBorders>
            <w:shd w:val="clear" w:color="auto" w:fill="auto"/>
            <w:vAlign w:val="center"/>
          </w:tcPr>
          <w:p w14:paraId="05C7F66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610" w:type="pct"/>
            <w:tcBorders>
              <w:tl2br w:val="nil"/>
              <w:tr2bl w:val="nil"/>
            </w:tcBorders>
            <w:shd w:val="clear" w:color="auto" w:fill="auto"/>
            <w:vAlign w:val="center"/>
          </w:tcPr>
          <w:p w14:paraId="29306C01">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r w14:paraId="55DE5C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tcBorders>
              <w:tl2br w:val="nil"/>
              <w:tr2bl w:val="nil"/>
            </w:tcBorders>
            <w:shd w:val="clear" w:color="auto" w:fill="auto"/>
            <w:vAlign w:val="center"/>
          </w:tcPr>
          <w:p w14:paraId="09414BE1">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3</w:t>
            </w:r>
          </w:p>
        </w:tc>
        <w:tc>
          <w:tcPr>
            <w:tcW w:w="2433" w:type="pct"/>
            <w:tcBorders>
              <w:tl2br w:val="nil"/>
              <w:tr2bl w:val="nil"/>
            </w:tcBorders>
            <w:shd w:val="clear" w:color="auto" w:fill="auto"/>
            <w:vAlign w:val="center"/>
          </w:tcPr>
          <w:p w14:paraId="634A6F2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400KW发电机</w:t>
            </w:r>
          </w:p>
        </w:tc>
        <w:tc>
          <w:tcPr>
            <w:tcW w:w="368" w:type="pct"/>
            <w:tcBorders>
              <w:tl2br w:val="nil"/>
              <w:tr2bl w:val="nil"/>
            </w:tcBorders>
            <w:shd w:val="clear" w:color="auto" w:fill="auto"/>
            <w:vAlign w:val="center"/>
          </w:tcPr>
          <w:p w14:paraId="481FA66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台</w:t>
            </w:r>
          </w:p>
        </w:tc>
        <w:tc>
          <w:tcPr>
            <w:tcW w:w="611" w:type="pct"/>
            <w:tcBorders>
              <w:tl2br w:val="nil"/>
              <w:tr2bl w:val="nil"/>
            </w:tcBorders>
            <w:shd w:val="clear" w:color="auto" w:fill="auto"/>
            <w:vAlign w:val="center"/>
          </w:tcPr>
          <w:p w14:paraId="707CC1F1">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w:t>
            </w:r>
          </w:p>
        </w:tc>
        <w:tc>
          <w:tcPr>
            <w:tcW w:w="610" w:type="pct"/>
            <w:tcBorders>
              <w:tl2br w:val="nil"/>
              <w:tr2bl w:val="nil"/>
            </w:tcBorders>
            <w:shd w:val="clear" w:color="auto" w:fill="auto"/>
            <w:vAlign w:val="center"/>
          </w:tcPr>
          <w:p w14:paraId="3AE1495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610" w:type="pct"/>
            <w:tcBorders>
              <w:tl2br w:val="nil"/>
              <w:tr2bl w:val="nil"/>
            </w:tcBorders>
            <w:shd w:val="clear" w:color="auto" w:fill="auto"/>
            <w:vAlign w:val="center"/>
          </w:tcPr>
          <w:p w14:paraId="205EA9C3">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r w14:paraId="7DFEC5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368" w:type="pct"/>
            <w:tcBorders>
              <w:tl2br w:val="nil"/>
              <w:tr2bl w:val="nil"/>
            </w:tcBorders>
            <w:shd w:val="clear" w:color="auto" w:fill="auto"/>
            <w:vAlign w:val="center"/>
          </w:tcPr>
          <w:p w14:paraId="475F2C86">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4</w:t>
            </w:r>
          </w:p>
        </w:tc>
        <w:tc>
          <w:tcPr>
            <w:tcW w:w="2433" w:type="pct"/>
            <w:tcBorders>
              <w:tl2br w:val="nil"/>
              <w:tr2bl w:val="nil"/>
            </w:tcBorders>
            <w:shd w:val="clear" w:color="auto" w:fill="auto"/>
            <w:vAlign w:val="center"/>
          </w:tcPr>
          <w:p w14:paraId="6FF746AA">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铁锹</w:t>
            </w:r>
          </w:p>
        </w:tc>
        <w:tc>
          <w:tcPr>
            <w:tcW w:w="368" w:type="pct"/>
            <w:tcBorders>
              <w:tl2br w:val="nil"/>
              <w:tr2bl w:val="nil"/>
            </w:tcBorders>
            <w:shd w:val="clear" w:color="auto" w:fill="auto"/>
            <w:vAlign w:val="center"/>
          </w:tcPr>
          <w:p w14:paraId="65F0633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把</w:t>
            </w:r>
          </w:p>
        </w:tc>
        <w:tc>
          <w:tcPr>
            <w:tcW w:w="611" w:type="pct"/>
            <w:tcBorders>
              <w:tl2br w:val="nil"/>
              <w:tr2bl w:val="nil"/>
            </w:tcBorders>
            <w:shd w:val="clear" w:color="auto" w:fill="auto"/>
            <w:vAlign w:val="center"/>
          </w:tcPr>
          <w:p w14:paraId="76651FD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20</w:t>
            </w:r>
          </w:p>
        </w:tc>
        <w:tc>
          <w:tcPr>
            <w:tcW w:w="610" w:type="pct"/>
            <w:tcBorders>
              <w:tl2br w:val="nil"/>
              <w:tr2bl w:val="nil"/>
            </w:tcBorders>
            <w:shd w:val="clear" w:color="auto" w:fill="auto"/>
            <w:vAlign w:val="center"/>
          </w:tcPr>
          <w:p w14:paraId="204001CE">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610" w:type="pct"/>
            <w:tcBorders>
              <w:tl2br w:val="nil"/>
              <w:tr2bl w:val="nil"/>
            </w:tcBorders>
            <w:shd w:val="clear" w:color="auto" w:fill="auto"/>
            <w:vAlign w:val="center"/>
          </w:tcPr>
          <w:p w14:paraId="40C3C60C">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r w14:paraId="75AED7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368" w:type="pct"/>
            <w:tcBorders>
              <w:tl2br w:val="nil"/>
              <w:tr2bl w:val="nil"/>
            </w:tcBorders>
            <w:shd w:val="clear" w:color="auto" w:fill="auto"/>
            <w:vAlign w:val="center"/>
          </w:tcPr>
          <w:p w14:paraId="76209A01">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5</w:t>
            </w:r>
          </w:p>
        </w:tc>
        <w:tc>
          <w:tcPr>
            <w:tcW w:w="2433" w:type="pct"/>
            <w:tcBorders>
              <w:tl2br w:val="nil"/>
              <w:tr2bl w:val="nil"/>
            </w:tcBorders>
            <w:shd w:val="clear" w:color="auto" w:fill="auto"/>
            <w:vAlign w:val="center"/>
          </w:tcPr>
          <w:p w14:paraId="40458D96">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编织袋</w:t>
            </w:r>
          </w:p>
        </w:tc>
        <w:tc>
          <w:tcPr>
            <w:tcW w:w="368" w:type="pct"/>
            <w:tcBorders>
              <w:tl2br w:val="nil"/>
              <w:tr2bl w:val="nil"/>
            </w:tcBorders>
            <w:shd w:val="clear" w:color="auto" w:fill="auto"/>
            <w:vAlign w:val="center"/>
          </w:tcPr>
          <w:p w14:paraId="359FE1E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个</w:t>
            </w:r>
          </w:p>
        </w:tc>
        <w:tc>
          <w:tcPr>
            <w:tcW w:w="611" w:type="pct"/>
            <w:tcBorders>
              <w:tl2br w:val="nil"/>
              <w:tr2bl w:val="nil"/>
            </w:tcBorders>
            <w:shd w:val="clear" w:color="auto" w:fill="auto"/>
            <w:vAlign w:val="center"/>
          </w:tcPr>
          <w:p w14:paraId="63669177">
            <w:pPr>
              <w:pStyle w:val="49"/>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p>
        </w:tc>
        <w:tc>
          <w:tcPr>
            <w:tcW w:w="610" w:type="pct"/>
            <w:tcBorders>
              <w:tl2br w:val="nil"/>
              <w:tr2bl w:val="nil"/>
            </w:tcBorders>
            <w:shd w:val="clear" w:color="auto" w:fill="auto"/>
            <w:vAlign w:val="center"/>
          </w:tcPr>
          <w:p w14:paraId="1F31632A">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610" w:type="pct"/>
            <w:tcBorders>
              <w:tl2br w:val="nil"/>
              <w:tr2bl w:val="nil"/>
            </w:tcBorders>
            <w:shd w:val="clear" w:color="auto" w:fill="auto"/>
            <w:vAlign w:val="center"/>
          </w:tcPr>
          <w:p w14:paraId="7A6C91E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r w14:paraId="0267E8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tcBorders>
              <w:tl2br w:val="nil"/>
              <w:tr2bl w:val="nil"/>
            </w:tcBorders>
            <w:shd w:val="clear" w:color="auto" w:fill="auto"/>
            <w:vAlign w:val="center"/>
          </w:tcPr>
          <w:p w14:paraId="1B880CA7">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6</w:t>
            </w:r>
          </w:p>
        </w:tc>
        <w:tc>
          <w:tcPr>
            <w:tcW w:w="2433" w:type="pct"/>
            <w:tcBorders>
              <w:tl2br w:val="nil"/>
              <w:tr2bl w:val="nil"/>
            </w:tcBorders>
            <w:shd w:val="clear" w:color="auto" w:fill="auto"/>
            <w:vAlign w:val="center"/>
          </w:tcPr>
          <w:p w14:paraId="5510EA0E">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灭火器</w:t>
            </w:r>
          </w:p>
        </w:tc>
        <w:tc>
          <w:tcPr>
            <w:tcW w:w="368" w:type="pct"/>
            <w:tcBorders>
              <w:tl2br w:val="nil"/>
              <w:tr2bl w:val="nil"/>
            </w:tcBorders>
            <w:shd w:val="clear" w:color="auto" w:fill="auto"/>
            <w:vAlign w:val="center"/>
          </w:tcPr>
          <w:p w14:paraId="33D918EE">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瓶</w:t>
            </w:r>
          </w:p>
        </w:tc>
        <w:tc>
          <w:tcPr>
            <w:tcW w:w="611" w:type="pct"/>
            <w:tcBorders>
              <w:tl2br w:val="nil"/>
              <w:tr2bl w:val="nil"/>
            </w:tcBorders>
            <w:shd w:val="clear" w:color="auto" w:fill="auto"/>
            <w:vAlign w:val="center"/>
          </w:tcPr>
          <w:p w14:paraId="5F869211">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10</w:t>
            </w:r>
          </w:p>
        </w:tc>
        <w:tc>
          <w:tcPr>
            <w:tcW w:w="610" w:type="pct"/>
            <w:tcBorders>
              <w:tl2br w:val="nil"/>
              <w:tr2bl w:val="nil"/>
            </w:tcBorders>
            <w:shd w:val="clear" w:color="auto" w:fill="auto"/>
            <w:vAlign w:val="center"/>
          </w:tcPr>
          <w:p w14:paraId="710A4621">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610" w:type="pct"/>
            <w:tcBorders>
              <w:tl2br w:val="nil"/>
              <w:tr2bl w:val="nil"/>
            </w:tcBorders>
            <w:shd w:val="clear" w:color="auto" w:fill="auto"/>
            <w:vAlign w:val="center"/>
          </w:tcPr>
          <w:p w14:paraId="4C305B81">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r w14:paraId="4DB185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tcBorders>
              <w:tl2br w:val="nil"/>
              <w:tr2bl w:val="nil"/>
            </w:tcBorders>
            <w:shd w:val="clear" w:color="auto" w:fill="auto"/>
            <w:vAlign w:val="center"/>
          </w:tcPr>
          <w:p w14:paraId="3E25E247">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7</w:t>
            </w:r>
          </w:p>
        </w:tc>
        <w:tc>
          <w:tcPr>
            <w:tcW w:w="2433" w:type="pct"/>
            <w:tcBorders>
              <w:tl2br w:val="nil"/>
              <w:tr2bl w:val="nil"/>
            </w:tcBorders>
            <w:shd w:val="clear" w:color="auto" w:fill="auto"/>
            <w:vAlign w:val="center"/>
          </w:tcPr>
          <w:p w14:paraId="6E736F19">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手电筒</w:t>
            </w:r>
          </w:p>
        </w:tc>
        <w:tc>
          <w:tcPr>
            <w:tcW w:w="368" w:type="pct"/>
            <w:tcBorders>
              <w:tl2br w:val="nil"/>
              <w:tr2bl w:val="nil"/>
            </w:tcBorders>
            <w:shd w:val="clear" w:color="auto" w:fill="auto"/>
            <w:vAlign w:val="center"/>
          </w:tcPr>
          <w:p w14:paraId="4F041DF8">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个</w:t>
            </w:r>
          </w:p>
        </w:tc>
        <w:tc>
          <w:tcPr>
            <w:tcW w:w="611" w:type="pct"/>
            <w:tcBorders>
              <w:tl2br w:val="nil"/>
              <w:tr2bl w:val="nil"/>
            </w:tcBorders>
            <w:shd w:val="clear" w:color="auto" w:fill="auto"/>
            <w:vAlign w:val="center"/>
          </w:tcPr>
          <w:p w14:paraId="560E384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10</w:t>
            </w:r>
          </w:p>
        </w:tc>
        <w:tc>
          <w:tcPr>
            <w:tcW w:w="610" w:type="pct"/>
            <w:tcBorders>
              <w:tl2br w:val="nil"/>
              <w:tr2bl w:val="nil"/>
            </w:tcBorders>
            <w:shd w:val="clear" w:color="auto" w:fill="auto"/>
            <w:vAlign w:val="center"/>
          </w:tcPr>
          <w:p w14:paraId="31AE5A1E">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610" w:type="pct"/>
            <w:tcBorders>
              <w:tl2br w:val="nil"/>
              <w:tr2bl w:val="nil"/>
            </w:tcBorders>
            <w:shd w:val="clear" w:color="auto" w:fill="auto"/>
            <w:vAlign w:val="center"/>
          </w:tcPr>
          <w:p w14:paraId="33FD908A">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r w14:paraId="7C0A09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tcBorders>
              <w:tl2br w:val="nil"/>
              <w:tr2bl w:val="nil"/>
            </w:tcBorders>
            <w:shd w:val="clear" w:color="auto" w:fill="auto"/>
            <w:vAlign w:val="center"/>
          </w:tcPr>
          <w:p w14:paraId="27CD2359">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8</w:t>
            </w:r>
          </w:p>
        </w:tc>
        <w:tc>
          <w:tcPr>
            <w:tcW w:w="2433" w:type="pct"/>
            <w:tcBorders>
              <w:tl2br w:val="nil"/>
              <w:tr2bl w:val="nil"/>
            </w:tcBorders>
            <w:shd w:val="clear" w:color="auto" w:fill="auto"/>
            <w:vAlign w:val="center"/>
          </w:tcPr>
          <w:p w14:paraId="7A80212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指挥车辆</w:t>
            </w:r>
          </w:p>
        </w:tc>
        <w:tc>
          <w:tcPr>
            <w:tcW w:w="368" w:type="pct"/>
            <w:tcBorders>
              <w:tl2br w:val="nil"/>
              <w:tr2bl w:val="nil"/>
            </w:tcBorders>
            <w:shd w:val="clear" w:color="auto" w:fill="auto"/>
            <w:vAlign w:val="center"/>
          </w:tcPr>
          <w:p w14:paraId="2844A41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台</w:t>
            </w:r>
          </w:p>
        </w:tc>
        <w:tc>
          <w:tcPr>
            <w:tcW w:w="611" w:type="pct"/>
            <w:tcBorders>
              <w:tl2br w:val="nil"/>
              <w:tr2bl w:val="nil"/>
            </w:tcBorders>
            <w:shd w:val="clear" w:color="auto" w:fill="auto"/>
            <w:vAlign w:val="center"/>
          </w:tcPr>
          <w:p w14:paraId="7CC01A1A">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1</w:t>
            </w:r>
          </w:p>
        </w:tc>
        <w:tc>
          <w:tcPr>
            <w:tcW w:w="610" w:type="pct"/>
            <w:tcBorders>
              <w:tl2br w:val="nil"/>
              <w:tr2bl w:val="nil"/>
            </w:tcBorders>
            <w:shd w:val="clear" w:color="auto" w:fill="auto"/>
            <w:vAlign w:val="center"/>
          </w:tcPr>
          <w:p w14:paraId="2DC8ED1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610" w:type="pct"/>
            <w:tcBorders>
              <w:tl2br w:val="nil"/>
              <w:tr2bl w:val="nil"/>
            </w:tcBorders>
            <w:shd w:val="clear" w:color="auto" w:fill="auto"/>
            <w:vAlign w:val="center"/>
          </w:tcPr>
          <w:p w14:paraId="24D5D4EF">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r w14:paraId="1444B9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tcBorders>
              <w:tl2br w:val="nil"/>
              <w:tr2bl w:val="nil"/>
            </w:tcBorders>
            <w:shd w:val="clear" w:color="auto" w:fill="auto"/>
            <w:vAlign w:val="center"/>
          </w:tcPr>
          <w:p w14:paraId="22565AE1">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9</w:t>
            </w:r>
          </w:p>
        </w:tc>
        <w:tc>
          <w:tcPr>
            <w:tcW w:w="2433" w:type="pct"/>
            <w:tcBorders>
              <w:tl2br w:val="nil"/>
              <w:tr2bl w:val="nil"/>
            </w:tcBorders>
            <w:shd w:val="clear" w:color="auto" w:fill="auto"/>
            <w:vAlign w:val="center"/>
          </w:tcPr>
          <w:p w14:paraId="42D7326D">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对讲机</w:t>
            </w:r>
          </w:p>
        </w:tc>
        <w:tc>
          <w:tcPr>
            <w:tcW w:w="368" w:type="pct"/>
            <w:tcBorders>
              <w:tl2br w:val="nil"/>
              <w:tr2bl w:val="nil"/>
            </w:tcBorders>
            <w:shd w:val="clear" w:color="auto" w:fill="auto"/>
            <w:vAlign w:val="center"/>
          </w:tcPr>
          <w:p w14:paraId="11E369A9">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台</w:t>
            </w:r>
          </w:p>
        </w:tc>
        <w:tc>
          <w:tcPr>
            <w:tcW w:w="611" w:type="pct"/>
            <w:tcBorders>
              <w:tl2br w:val="nil"/>
              <w:tr2bl w:val="nil"/>
            </w:tcBorders>
            <w:shd w:val="clear" w:color="auto" w:fill="auto"/>
            <w:vAlign w:val="center"/>
          </w:tcPr>
          <w:p w14:paraId="2E15D40A">
            <w:pPr>
              <w:pStyle w:val="49"/>
              <w:kinsoku/>
              <w:overflowPunct/>
              <w:topLinePunct w:val="0"/>
              <w:bidi w:val="0"/>
              <w:spacing w:line="360" w:lineRule="atLeas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610" w:type="pct"/>
            <w:tcBorders>
              <w:tl2br w:val="nil"/>
              <w:tr2bl w:val="nil"/>
            </w:tcBorders>
            <w:shd w:val="clear" w:color="auto" w:fill="auto"/>
            <w:vAlign w:val="center"/>
          </w:tcPr>
          <w:p w14:paraId="2F8413D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610" w:type="pct"/>
            <w:tcBorders>
              <w:tl2br w:val="nil"/>
              <w:tr2bl w:val="nil"/>
            </w:tcBorders>
            <w:shd w:val="clear" w:color="auto" w:fill="auto"/>
            <w:vAlign w:val="center"/>
          </w:tcPr>
          <w:p w14:paraId="0C7F777C">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r w14:paraId="33B385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68" w:type="pct"/>
            <w:tcBorders>
              <w:tl2br w:val="nil"/>
              <w:tr2bl w:val="nil"/>
            </w:tcBorders>
            <w:shd w:val="clear" w:color="auto" w:fill="auto"/>
            <w:vAlign w:val="center"/>
          </w:tcPr>
          <w:p w14:paraId="7194D5B1">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10</w:t>
            </w:r>
          </w:p>
        </w:tc>
        <w:tc>
          <w:tcPr>
            <w:tcW w:w="2433" w:type="pct"/>
            <w:tcBorders>
              <w:tl2br w:val="nil"/>
              <w:tr2bl w:val="nil"/>
            </w:tcBorders>
            <w:shd w:val="clear" w:color="auto" w:fill="auto"/>
            <w:vAlign w:val="center"/>
          </w:tcPr>
          <w:p w14:paraId="31ACB7C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装备器材（仓库内备有安全帽、安全带、切</w:t>
            </w:r>
          </w:p>
          <w:p w14:paraId="6AC7626C">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割机、气焊设备、小型电动工具、一般五金</w:t>
            </w:r>
          </w:p>
          <w:p w14:paraId="0510BC29">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工具、雨衣、雨靴、手电筒、撬棍等）</w:t>
            </w:r>
          </w:p>
        </w:tc>
        <w:tc>
          <w:tcPr>
            <w:tcW w:w="368" w:type="pct"/>
            <w:tcBorders>
              <w:tl2br w:val="nil"/>
              <w:tr2bl w:val="nil"/>
            </w:tcBorders>
            <w:shd w:val="clear" w:color="auto" w:fill="auto"/>
            <w:vAlign w:val="center"/>
          </w:tcPr>
          <w:p w14:paraId="439D0933">
            <w:pPr>
              <w:pStyle w:val="49"/>
              <w:kinsoku/>
              <w:overflowPunct/>
              <w:topLinePunct w:val="0"/>
              <w:bidi w:val="0"/>
              <w:spacing w:line="360" w:lineRule="atLeast"/>
              <w:rPr>
                <w:rFonts w:hint="eastAsia" w:ascii="宋体" w:hAnsi="宋体" w:eastAsia="宋体" w:cs="宋体"/>
                <w:sz w:val="21"/>
                <w:szCs w:val="21"/>
              </w:rPr>
            </w:pPr>
          </w:p>
        </w:tc>
        <w:tc>
          <w:tcPr>
            <w:tcW w:w="611" w:type="pct"/>
            <w:tcBorders>
              <w:tl2br w:val="nil"/>
              <w:tr2bl w:val="nil"/>
            </w:tcBorders>
            <w:shd w:val="clear" w:color="auto" w:fill="auto"/>
            <w:vAlign w:val="center"/>
          </w:tcPr>
          <w:p w14:paraId="1AD95626">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数量满足</w:t>
            </w:r>
          </w:p>
        </w:tc>
        <w:tc>
          <w:tcPr>
            <w:tcW w:w="610" w:type="pct"/>
            <w:tcBorders>
              <w:tl2br w:val="nil"/>
              <w:tr2bl w:val="nil"/>
            </w:tcBorders>
            <w:shd w:val="clear" w:color="auto" w:fill="auto"/>
            <w:vAlign w:val="center"/>
          </w:tcPr>
          <w:p w14:paraId="3E09FF9A">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610" w:type="pct"/>
            <w:tcBorders>
              <w:tl2br w:val="nil"/>
              <w:tr2bl w:val="nil"/>
            </w:tcBorders>
            <w:shd w:val="clear" w:color="auto" w:fill="auto"/>
            <w:vAlign w:val="center"/>
          </w:tcPr>
          <w:p w14:paraId="2DCA0815">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r w14:paraId="464F0A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auto"/>
          <w:tblCellMar>
            <w:top w:w="0" w:type="dxa"/>
            <w:left w:w="108" w:type="dxa"/>
            <w:bottom w:w="0" w:type="dxa"/>
            <w:right w:w="108" w:type="dxa"/>
          </w:tblCellMar>
        </w:tblPrEx>
        <w:trPr>
          <w:trHeight w:val="454" w:hRule="atLeast"/>
        </w:trPr>
        <w:tc>
          <w:tcPr>
            <w:tcW w:w="368" w:type="pct"/>
            <w:tcBorders>
              <w:tl2br w:val="nil"/>
              <w:tr2bl w:val="nil"/>
            </w:tcBorders>
            <w:shd w:val="clear" w:color="auto" w:fill="auto"/>
            <w:vAlign w:val="center"/>
          </w:tcPr>
          <w:p w14:paraId="1A7D8A4A">
            <w:pPr>
              <w:pStyle w:val="49"/>
              <w:kinsoku/>
              <w:overflowPunct/>
              <w:topLinePunct w:val="0"/>
              <w:bidi w:val="0"/>
              <w:spacing w:line="360" w:lineRule="atLeast"/>
              <w:rPr>
                <w:rFonts w:hint="eastAsia" w:ascii="宋体" w:hAnsi="宋体" w:eastAsia="宋体" w:cs="宋体"/>
                <w:b w:val="0"/>
                <w:i w:val="0"/>
                <w:sz w:val="21"/>
                <w:szCs w:val="21"/>
              </w:rPr>
            </w:pPr>
            <w:r>
              <w:rPr>
                <w:rFonts w:hint="eastAsia" w:ascii="宋体" w:hAnsi="宋体" w:eastAsia="宋体" w:cs="宋体"/>
                <w:b w:val="0"/>
                <w:i w:val="0"/>
                <w:sz w:val="21"/>
                <w:szCs w:val="21"/>
              </w:rPr>
              <w:t>11</w:t>
            </w:r>
          </w:p>
        </w:tc>
        <w:tc>
          <w:tcPr>
            <w:tcW w:w="2433" w:type="pct"/>
            <w:tcBorders>
              <w:tl2br w:val="nil"/>
              <w:tr2bl w:val="nil"/>
            </w:tcBorders>
            <w:shd w:val="clear" w:color="auto" w:fill="auto"/>
            <w:vAlign w:val="center"/>
          </w:tcPr>
          <w:p w14:paraId="2FE64F01">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医疗器材（应急药品、氧气袋、担架等）</w:t>
            </w:r>
          </w:p>
        </w:tc>
        <w:tc>
          <w:tcPr>
            <w:tcW w:w="368" w:type="pct"/>
            <w:tcBorders>
              <w:tl2br w:val="nil"/>
              <w:tr2bl w:val="nil"/>
            </w:tcBorders>
            <w:shd w:val="clear" w:color="auto" w:fill="auto"/>
            <w:vAlign w:val="center"/>
          </w:tcPr>
          <w:p w14:paraId="48945ED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套</w:t>
            </w:r>
          </w:p>
        </w:tc>
        <w:tc>
          <w:tcPr>
            <w:tcW w:w="611" w:type="pct"/>
            <w:tcBorders>
              <w:tl2br w:val="nil"/>
              <w:tr2bl w:val="nil"/>
            </w:tcBorders>
            <w:shd w:val="clear" w:color="auto" w:fill="auto"/>
            <w:vAlign w:val="center"/>
          </w:tcPr>
          <w:p w14:paraId="3E3E294B">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4</w:t>
            </w:r>
          </w:p>
        </w:tc>
        <w:tc>
          <w:tcPr>
            <w:tcW w:w="610" w:type="pct"/>
            <w:tcBorders>
              <w:tl2br w:val="nil"/>
              <w:tr2bl w:val="nil"/>
            </w:tcBorders>
            <w:shd w:val="clear" w:color="auto" w:fill="auto"/>
            <w:vAlign w:val="center"/>
          </w:tcPr>
          <w:p w14:paraId="71A45F0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优良</w:t>
            </w:r>
          </w:p>
        </w:tc>
        <w:tc>
          <w:tcPr>
            <w:tcW w:w="610" w:type="pct"/>
            <w:tcBorders>
              <w:tl2br w:val="nil"/>
              <w:tr2bl w:val="nil"/>
            </w:tcBorders>
            <w:shd w:val="clear" w:color="auto" w:fill="auto"/>
            <w:vAlign w:val="center"/>
          </w:tcPr>
          <w:p w14:paraId="0FA2B2E7">
            <w:pPr>
              <w:pStyle w:val="49"/>
              <w:kinsoku/>
              <w:overflowPunct/>
              <w:topLinePunct w:val="0"/>
              <w:bidi w:val="0"/>
              <w:spacing w:line="360" w:lineRule="atLeast"/>
              <w:rPr>
                <w:rFonts w:hint="eastAsia" w:ascii="宋体" w:hAnsi="宋体" w:eastAsia="宋体" w:cs="宋体"/>
                <w:sz w:val="21"/>
                <w:szCs w:val="21"/>
              </w:rPr>
            </w:pPr>
            <w:r>
              <w:rPr>
                <w:rFonts w:hint="eastAsia" w:ascii="宋体" w:hAnsi="宋体" w:eastAsia="宋体" w:cs="宋体"/>
                <w:sz w:val="21"/>
                <w:szCs w:val="21"/>
              </w:rPr>
              <w:t>项目部</w:t>
            </w:r>
          </w:p>
        </w:tc>
      </w:tr>
    </w:tbl>
    <w:p w14:paraId="4AD49205">
      <w:pPr>
        <w:pStyle w:val="3"/>
        <w:keepNext w:val="0"/>
        <w:pageBreakBefore w:val="0"/>
        <w:widowControl w:val="0"/>
        <w:numPr>
          <w:ilvl w:val="1"/>
          <w:numId w:val="1"/>
        </w:numPr>
        <w:kinsoku/>
        <w:wordWrap/>
        <w:overflowPunct/>
        <w:topLinePunct w:val="0"/>
        <w:autoSpaceDE/>
        <w:autoSpaceDN/>
        <w:bidi w:val="0"/>
        <w:adjustRightInd/>
        <w:snapToGrid/>
        <w:spacing w:before="120" w:beforeLines="50" w:line="480" w:lineRule="atLeast"/>
        <w:textAlignment w:val="auto"/>
        <w:rPr>
          <w:rFonts w:hint="eastAsia" w:ascii="宋体" w:hAnsi="宋体" w:eastAsia="宋体" w:cs="宋体"/>
          <w:sz w:val="24"/>
          <w:szCs w:val="24"/>
        </w:rPr>
      </w:pPr>
      <w:bookmarkStart w:id="141" w:name="_Toc102481279"/>
      <w:bookmarkStart w:id="142" w:name="_Toc102825403"/>
      <w:bookmarkStart w:id="143" w:name="_Toc40778458"/>
      <w:bookmarkStart w:id="144" w:name="_Toc77771648"/>
      <w:bookmarkStart w:id="145" w:name="_Toc12896"/>
      <w:bookmarkStart w:id="146" w:name="_Toc121344363"/>
      <w:bookmarkStart w:id="147" w:name="_Toc102481228"/>
      <w:bookmarkStart w:id="148" w:name="_Toc14547"/>
      <w:bookmarkStart w:id="149" w:name="_Toc1146"/>
      <w:bookmarkStart w:id="150" w:name="_Toc40778459"/>
      <w:r>
        <w:rPr>
          <w:rFonts w:hint="eastAsia" w:ascii="宋体" w:hAnsi="宋体" w:eastAsia="宋体" w:cs="宋体"/>
          <w:sz w:val="24"/>
          <w:szCs w:val="24"/>
        </w:rPr>
        <w:t>应急医院及线路图</w:t>
      </w:r>
      <w:bookmarkEnd w:id="141"/>
      <w:bookmarkEnd w:id="142"/>
      <w:bookmarkEnd w:id="143"/>
      <w:bookmarkEnd w:id="144"/>
      <w:bookmarkEnd w:id="145"/>
      <w:bookmarkEnd w:id="146"/>
      <w:bookmarkEnd w:id="147"/>
      <w:bookmarkEnd w:id="148"/>
    </w:p>
    <w:p w14:paraId="1E4EE82D">
      <w:pPr>
        <w:bidi w:val="0"/>
        <w:rPr>
          <w:rFonts w:hint="eastAsia"/>
        </w:rPr>
      </w:pPr>
      <w:bookmarkStart w:id="151" w:name="_Toc102481280"/>
      <w:bookmarkStart w:id="152" w:name="_Toc121344364"/>
      <w:bookmarkStart w:id="153" w:name="_Toc102825404"/>
      <w:bookmarkStart w:id="154" w:name="_Toc102481229"/>
      <w:r>
        <w:rPr>
          <w:rFonts w:hint="eastAsia"/>
        </w:rPr>
        <w:t>地方应急部门联系北仑区第三人民医院。如发生人员伤亡事故，应急小组根据伤情及时联络医疗机构并在第一时间将受伤人员送往</w:t>
      </w:r>
      <w:r>
        <w:rPr>
          <w:rFonts w:hint="eastAsia"/>
          <w:lang w:val="en-US" w:eastAsia="zh-CN"/>
        </w:rPr>
        <w:t>医院</w:t>
      </w:r>
      <w:r>
        <w:rPr>
          <w:rFonts w:hint="eastAsia"/>
        </w:rPr>
        <w:t>。</w:t>
      </w:r>
    </w:p>
    <w:p w14:paraId="3DF8FA1C">
      <w:pPr>
        <w:bidi w:val="0"/>
        <w:rPr>
          <w:rFonts w:hint="default"/>
        </w:rPr>
      </w:pPr>
      <w:r>
        <w:rPr>
          <w:rFonts w:hint="eastAsia"/>
        </w:rPr>
        <w:t>救援线路：</w:t>
      </w:r>
      <w:r>
        <w:rPr>
          <w:rFonts w:hint="eastAsia"/>
          <w:lang w:val="en-US" w:eastAsia="zh-CN"/>
        </w:rPr>
        <w:t>从</w:t>
      </w:r>
      <w:r>
        <w:rPr>
          <w:rFonts w:hint="eastAsia"/>
        </w:rPr>
        <w:t>施工便道</w:t>
      </w:r>
      <w:r>
        <w:rPr>
          <w:rFonts w:hint="default"/>
          <w:lang w:val="en-US" w:eastAsia="zh-CN"/>
        </w:rPr>
        <w:t>进入江滨支路，行驶1.5公里</w:t>
      </w:r>
      <w:r>
        <w:rPr>
          <w:rFonts w:hint="eastAsia"/>
          <w:lang w:val="en-US" w:eastAsia="zh-CN"/>
        </w:rPr>
        <w:t>；</w:t>
      </w:r>
      <w:r>
        <w:rPr>
          <w:rFonts w:hint="default"/>
        </w:rPr>
        <w:drawing>
          <wp:inline distT="0" distB="0" distL="114300" distR="114300">
            <wp:extent cx="9525" cy="9525"/>
            <wp:effectExtent l="0" t="0" r="0" b="0"/>
            <wp:docPr id="127" name="图片 64" descr="IMG_256">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64" descr="IMG_256"/>
                    <pic:cNvPicPr>
                      <a:picLocks noChangeAspect="1"/>
                    </pic:cNvPicPr>
                  </pic:nvPicPr>
                  <pic:blipFill>
                    <a:blip r:embed="rId50"/>
                    <a:stretch>
                      <a:fillRect/>
                    </a:stretch>
                  </pic:blipFill>
                  <pic:spPr>
                    <a:xfrm>
                      <a:off x="0" y="0"/>
                      <a:ext cx="9525" cy="9525"/>
                    </a:xfrm>
                    <a:prstGeom prst="rect">
                      <a:avLst/>
                    </a:prstGeom>
                    <a:noFill/>
                    <a:ln w="9525">
                      <a:noFill/>
                    </a:ln>
                  </pic:spPr>
                </pic:pic>
              </a:graphicData>
            </a:graphic>
          </wp:inline>
        </w:drawing>
      </w:r>
      <w:r>
        <w:rPr>
          <w:rFonts w:hint="default"/>
          <w:lang w:val="en-US" w:eastAsia="zh-CN"/>
        </w:rPr>
        <w:t>请直行，进入金鸡路，行驶50米</w:t>
      </w:r>
      <w:r>
        <w:rPr>
          <w:rFonts w:hint="eastAsia"/>
          <w:lang w:val="en-US" w:eastAsia="zh-CN"/>
        </w:rPr>
        <w:t>；</w:t>
      </w:r>
      <w:r>
        <w:rPr>
          <w:rFonts w:hint="default"/>
          <w:lang w:val="en-US" w:eastAsia="zh-CN"/>
        </w:rPr>
        <w:t>右转，进入江滨路，行驶1.2公里</w:t>
      </w:r>
      <w:r>
        <w:rPr>
          <w:rFonts w:hint="eastAsia"/>
          <w:lang w:val="en-US" w:eastAsia="zh-CN"/>
        </w:rPr>
        <w:t>；</w:t>
      </w:r>
      <w:r>
        <w:rPr>
          <w:rFonts w:hint="default"/>
          <w:lang w:val="en-US" w:eastAsia="zh-CN"/>
        </w:rPr>
        <w:t>右转，进入江南东路，行驶1.2公里</w:t>
      </w:r>
      <w:r>
        <w:rPr>
          <w:rFonts w:hint="eastAsia"/>
          <w:lang w:val="en-US" w:eastAsia="zh-CN"/>
        </w:rPr>
        <w:t>；</w:t>
      </w:r>
      <w:r>
        <w:rPr>
          <w:rFonts w:hint="default"/>
          <w:lang w:val="en-US" w:eastAsia="zh-CN"/>
        </w:rPr>
        <w:t>右转，从江南东路到北仑区第三人民医院，行驶20米</w:t>
      </w:r>
      <w:r>
        <w:rPr>
          <w:rFonts w:hint="eastAsia"/>
          <w:lang w:val="en-US" w:eastAsia="zh-CN"/>
        </w:rPr>
        <w:t>；</w:t>
      </w:r>
      <w:r>
        <w:rPr>
          <w:rFonts w:hint="default"/>
          <w:lang w:val="en-US" w:eastAsia="zh-CN"/>
        </w:rPr>
        <w:t>北仑区第三人民医院</w:t>
      </w:r>
      <w:r>
        <w:rPr>
          <w:rFonts w:hint="eastAsia"/>
          <w:lang w:val="en-US" w:eastAsia="zh-CN"/>
        </w:rPr>
        <w:t>。</w:t>
      </w:r>
    </w:p>
    <w:p w14:paraId="5ED6F933">
      <w:pPr>
        <w:bidi w:val="0"/>
        <w:rPr>
          <w:rFonts w:hint="eastAsia"/>
          <w:color w:val="auto"/>
          <w:highlight w:val="none"/>
        </w:rPr>
      </w:pPr>
      <w:r>
        <w:rPr>
          <w:rFonts w:hint="eastAsia"/>
          <w:color w:val="auto"/>
          <w:highlight w:val="none"/>
        </w:rPr>
        <w:t>救援具体路线见下图。</w:t>
      </w:r>
    </w:p>
    <w:p w14:paraId="34421D79">
      <w:pPr>
        <w:pStyle w:val="17"/>
        <w:spacing w:line="240" w:lineRule="auto"/>
        <w:jc w:val="center"/>
        <w:rPr>
          <w:rFonts w:hint="eastAsia"/>
        </w:rPr>
      </w:pPr>
      <w:r>
        <w:drawing>
          <wp:inline distT="0" distB="0" distL="114300" distR="114300">
            <wp:extent cx="4072890" cy="4214495"/>
            <wp:effectExtent l="0" t="0" r="11430" b="6985"/>
            <wp:docPr id="125"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62"/>
                    <pic:cNvPicPr>
                      <a:picLocks noChangeAspect="1"/>
                    </pic:cNvPicPr>
                  </pic:nvPicPr>
                  <pic:blipFill>
                    <a:blip r:embed="rId51"/>
                    <a:stretch>
                      <a:fillRect/>
                    </a:stretch>
                  </pic:blipFill>
                  <pic:spPr>
                    <a:xfrm>
                      <a:off x="0" y="0"/>
                      <a:ext cx="4072890" cy="4214495"/>
                    </a:xfrm>
                    <a:prstGeom prst="rect">
                      <a:avLst/>
                    </a:prstGeom>
                    <a:noFill/>
                    <a:ln>
                      <a:noFill/>
                    </a:ln>
                  </pic:spPr>
                </pic:pic>
              </a:graphicData>
            </a:graphic>
          </wp:inline>
        </w:drawing>
      </w:r>
    </w:p>
    <w:p w14:paraId="0BBAF198">
      <w:pPr>
        <w:keepNext w:val="0"/>
        <w:widowControl w:val="0"/>
        <w:kinsoku/>
        <w:wordWrap/>
        <w:overflowPunct/>
        <w:topLinePunct w:val="0"/>
        <w:autoSpaceDE/>
        <w:autoSpaceDN/>
        <w:bidi w:val="0"/>
        <w:adjustRightInd/>
        <w:snapToGrid/>
        <w:spacing w:line="480" w:lineRule="atLeast"/>
        <w:ind w:firstLine="422"/>
        <w:jc w:val="center"/>
        <w:textAlignment w:val="auto"/>
        <w:rPr>
          <w:rFonts w:hint="eastAsia" w:ascii="宋体" w:hAnsi="宋体" w:eastAsia="宋体" w:cs="宋体"/>
          <w:b w:val="0"/>
          <w:bCs/>
          <w:sz w:val="24"/>
          <w:szCs w:val="24"/>
        </w:rPr>
      </w:pPr>
      <w:r>
        <w:rPr>
          <w:rFonts w:hint="eastAsia" w:ascii="宋体" w:hAnsi="宋体" w:eastAsia="宋体" w:cs="宋体"/>
          <w:b w:val="0"/>
          <w:bCs/>
          <w:sz w:val="24"/>
          <w:szCs w:val="24"/>
        </w:rPr>
        <w:t>图</w:t>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STYLEREF 2\s</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9.6</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lang w:eastAsia="zh-CN"/>
        </w:rPr>
        <w:t>-</w:t>
      </w:r>
      <w:r>
        <w:rPr>
          <w:rFonts w:hint="eastAsia" w:ascii="宋体" w:hAnsi="宋体" w:eastAsia="宋体" w:cs="宋体"/>
          <w:b w:val="0"/>
          <w:bCs/>
          <w:sz w:val="24"/>
          <w:szCs w:val="24"/>
        </w:rPr>
        <w:fldChar w:fldCharType="begin"/>
      </w:r>
      <w:r>
        <w:rPr>
          <w:rFonts w:hint="eastAsia" w:ascii="宋体" w:hAnsi="宋体" w:eastAsia="宋体" w:cs="宋体"/>
          <w:b w:val="0"/>
          <w:bCs/>
          <w:sz w:val="24"/>
          <w:szCs w:val="24"/>
        </w:rPr>
        <w:instrText xml:space="preserve">SEQ图\*ARABIC\s 2</w:instrText>
      </w:r>
      <w:r>
        <w:rPr>
          <w:rFonts w:hint="eastAsia" w:ascii="宋体" w:hAnsi="宋体" w:eastAsia="宋体" w:cs="宋体"/>
          <w:b w:val="0"/>
          <w:bCs/>
          <w:sz w:val="24"/>
          <w:szCs w:val="24"/>
        </w:rPr>
        <w:fldChar w:fldCharType="separate"/>
      </w:r>
      <w:r>
        <w:rPr>
          <w:rFonts w:hint="eastAsia" w:ascii="宋体" w:hAnsi="宋体" w:eastAsia="宋体" w:cs="宋体"/>
          <w:b w:val="0"/>
          <w:bCs/>
          <w:sz w:val="24"/>
          <w:szCs w:val="24"/>
        </w:rPr>
        <w:t>1</w:t>
      </w:r>
      <w:r>
        <w:rPr>
          <w:rFonts w:hint="eastAsia" w:ascii="宋体" w:hAnsi="宋体" w:eastAsia="宋体" w:cs="宋体"/>
          <w:b w:val="0"/>
          <w:bCs/>
          <w:sz w:val="24"/>
          <w:szCs w:val="24"/>
        </w:rPr>
        <w:fldChar w:fldCharType="end"/>
      </w:r>
      <w:r>
        <w:rPr>
          <w:rFonts w:hint="eastAsia" w:ascii="宋体" w:hAnsi="宋体" w:eastAsia="宋体" w:cs="宋体"/>
          <w:b w:val="0"/>
          <w:bCs/>
          <w:sz w:val="24"/>
          <w:szCs w:val="24"/>
        </w:rPr>
        <w:t>外部救援路线图</w:t>
      </w:r>
    </w:p>
    <w:p w14:paraId="7A56A7F3">
      <w:pPr>
        <w:pStyle w:val="3"/>
        <w:keepNext w:val="0"/>
        <w:widowControl w:val="0"/>
        <w:numPr>
          <w:ilvl w:val="1"/>
          <w:numId w:val="1"/>
        </w:numPr>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155" w:name="_Toc27525"/>
      <w:r>
        <w:rPr>
          <w:rFonts w:hint="eastAsia" w:ascii="宋体" w:hAnsi="宋体" w:eastAsia="宋体" w:cs="宋体"/>
          <w:sz w:val="24"/>
          <w:szCs w:val="24"/>
        </w:rPr>
        <w:t>事故善后及恢复生产</w:t>
      </w:r>
      <w:bookmarkEnd w:id="149"/>
      <w:bookmarkEnd w:id="150"/>
      <w:bookmarkEnd w:id="151"/>
      <w:bookmarkEnd w:id="152"/>
      <w:bookmarkEnd w:id="153"/>
      <w:bookmarkEnd w:id="154"/>
      <w:bookmarkEnd w:id="155"/>
    </w:p>
    <w:p w14:paraId="541E99A5">
      <w:pPr>
        <w:bidi w:val="0"/>
        <w:rPr>
          <w:rFonts w:hint="eastAsia"/>
        </w:rPr>
      </w:pPr>
      <w:r>
        <w:rPr>
          <w:rFonts w:hint="eastAsia"/>
        </w:rPr>
        <w:t>应急小组在抢援工作结束后，对发生人员伤亡、机损事故和财产损失等事故的，遵循下列原则进行处理。</w:t>
      </w:r>
    </w:p>
    <w:p w14:paraId="7F7913E8">
      <w:pPr>
        <w:pStyle w:val="4"/>
        <w:bidi w:val="0"/>
        <w:rPr>
          <w:rFonts w:hint="eastAsia" w:ascii="宋体" w:hAnsi="宋体" w:eastAsia="宋体" w:cs="宋体"/>
        </w:rPr>
      </w:pPr>
      <w:r>
        <w:rPr>
          <w:rFonts w:hint="eastAsia" w:ascii="宋体" w:hAnsi="宋体" w:eastAsia="宋体" w:cs="宋体"/>
        </w:rPr>
        <w:t>伤员处理</w:t>
      </w:r>
    </w:p>
    <w:p w14:paraId="4BA8EB64">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按国家有关规定，做好事后伤亡家属的接待、安抚和善后处理以及保险赔偿工作。</w:t>
      </w:r>
    </w:p>
    <w:p w14:paraId="102F9BA7">
      <w:pPr>
        <w:pStyle w:val="4"/>
        <w:bidi w:val="0"/>
        <w:rPr>
          <w:rFonts w:hint="eastAsia" w:ascii="宋体" w:hAnsi="宋体" w:eastAsia="宋体" w:cs="宋体"/>
        </w:rPr>
      </w:pPr>
      <w:r>
        <w:rPr>
          <w:rFonts w:hint="eastAsia" w:ascii="宋体" w:hAnsi="宋体" w:eastAsia="宋体" w:cs="宋体"/>
        </w:rPr>
        <w:t>调查分析</w:t>
      </w:r>
    </w:p>
    <w:p w14:paraId="20F31F1C">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对事故原因调查分析，确定责任和应该吸取的教训。</w:t>
      </w:r>
    </w:p>
    <w:p w14:paraId="30295083">
      <w:pPr>
        <w:pStyle w:val="4"/>
        <w:bidi w:val="0"/>
        <w:rPr>
          <w:rFonts w:hint="eastAsia" w:ascii="宋体" w:hAnsi="宋体" w:eastAsia="宋体" w:cs="宋体"/>
        </w:rPr>
      </w:pPr>
      <w:r>
        <w:rPr>
          <w:rFonts w:hint="eastAsia" w:ascii="宋体" w:hAnsi="宋体" w:eastAsia="宋体" w:cs="宋体"/>
        </w:rPr>
        <w:t>事故处理</w:t>
      </w:r>
    </w:p>
    <w:p w14:paraId="75D6662C">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根据事故调查结果，按“四不放过”原则，认真总结事故经验教训，对发生事故的责任人或责任部门依照相关法律法规，提出事故处理意见。</w:t>
      </w:r>
    </w:p>
    <w:p w14:paraId="79192BCE">
      <w:pPr>
        <w:pStyle w:val="4"/>
        <w:bidi w:val="0"/>
        <w:rPr>
          <w:rFonts w:hint="eastAsia" w:ascii="宋体" w:hAnsi="宋体" w:eastAsia="宋体" w:cs="宋体"/>
        </w:rPr>
      </w:pPr>
      <w:r>
        <w:rPr>
          <w:rFonts w:hint="eastAsia" w:ascii="宋体" w:hAnsi="宋体" w:eastAsia="宋体" w:cs="宋体"/>
        </w:rPr>
        <w:t>事故总结</w:t>
      </w:r>
    </w:p>
    <w:p w14:paraId="0E934B3D">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事故处理完毕后，认真总结经验教训，完善管理，对事故后的处理过程认真分析总结、防范措施及应急预案进行补充和修改。</w:t>
      </w:r>
    </w:p>
    <w:p w14:paraId="299DECAD">
      <w:pPr>
        <w:pStyle w:val="4"/>
        <w:bidi w:val="0"/>
        <w:rPr>
          <w:rFonts w:hint="eastAsia" w:ascii="宋体" w:hAnsi="宋体" w:eastAsia="宋体" w:cs="宋体"/>
        </w:rPr>
      </w:pPr>
      <w:r>
        <w:rPr>
          <w:rFonts w:hint="eastAsia" w:ascii="宋体" w:hAnsi="宋体" w:eastAsia="宋体" w:cs="宋体"/>
        </w:rPr>
        <w:t>恢复生产</w:t>
      </w:r>
    </w:p>
    <w:p w14:paraId="4EBA763D">
      <w:pPr>
        <w:bidi w:val="0"/>
        <w:rPr>
          <w:rFonts w:hint="eastAsia"/>
        </w:rPr>
      </w:pPr>
      <w:r>
        <w:rPr>
          <w:rFonts w:hint="eastAsia"/>
        </w:rPr>
        <w:t>对现场隐患进行全面排查，整改完毕后报请业主、监理单位审批，同意后方可组织恢复生产工作。</w:t>
      </w:r>
    </w:p>
    <w:p w14:paraId="21E70B48">
      <w:pPr>
        <w:pStyle w:val="2"/>
        <w:keepNext w:val="0"/>
        <w:widowControl w:val="0"/>
        <w:numPr>
          <w:ilvl w:val="0"/>
          <w:numId w:val="1"/>
        </w:numPr>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156" w:name="_Toc6625"/>
      <w:r>
        <w:rPr>
          <w:rFonts w:hint="eastAsia" w:ascii="宋体" w:hAnsi="宋体" w:eastAsia="宋体" w:cs="宋体"/>
          <w:sz w:val="24"/>
          <w:szCs w:val="24"/>
        </w:rPr>
        <w:t>绿色及文明施工</w:t>
      </w:r>
      <w:r>
        <w:rPr>
          <w:rFonts w:hint="eastAsia" w:ascii="宋体" w:hAnsi="宋体" w:eastAsia="宋体" w:cs="宋体"/>
          <w:sz w:val="24"/>
          <w:szCs w:val="24"/>
          <w:lang w:val="en-US" w:eastAsia="zh-CN"/>
        </w:rPr>
        <w:t>措施</w:t>
      </w:r>
      <w:bookmarkEnd w:id="156"/>
    </w:p>
    <w:p w14:paraId="3F9C9F8D">
      <w:pPr>
        <w:pStyle w:val="3"/>
        <w:keepNext w:val="0"/>
        <w:widowControl w:val="0"/>
        <w:numPr>
          <w:ilvl w:val="1"/>
          <w:numId w:val="1"/>
        </w:numPr>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157" w:name="_Toc119247042"/>
      <w:bookmarkStart w:id="158" w:name="_Toc10274"/>
      <w:bookmarkStart w:id="159" w:name="_Toc27911"/>
      <w:bookmarkStart w:id="160" w:name="_Toc40778460"/>
      <w:r>
        <w:rPr>
          <w:rFonts w:hint="eastAsia" w:ascii="宋体" w:hAnsi="宋体" w:eastAsia="宋体" w:cs="宋体"/>
          <w:sz w:val="24"/>
          <w:szCs w:val="24"/>
        </w:rPr>
        <w:t>组织机构</w:t>
      </w:r>
      <w:bookmarkEnd w:id="157"/>
      <w:bookmarkEnd w:id="158"/>
    </w:p>
    <w:p w14:paraId="729762EB">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项目部成立以项目经理负责人为组长，项目其他领导为副组长，各部门负责人为组员的绿色及文明施工领导小组，制定详细的环保、水保、文明施工措施，从思想、组织、过程、检查、效果、目标、经济七个方面控制绿色及文明施工工作，实现总体环保及文明施工目标。</w:t>
      </w:r>
    </w:p>
    <w:tbl>
      <w:tblPr>
        <w:tblStyle w:val="126"/>
        <w:tblW w:w="4998" w:type="pct"/>
        <w:tblInd w:w="0" w:type="dxa"/>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Layout w:type="autofit"/>
        <w:tblCellMar>
          <w:top w:w="0" w:type="dxa"/>
          <w:left w:w="108" w:type="dxa"/>
          <w:bottom w:w="0" w:type="dxa"/>
          <w:right w:w="108" w:type="dxa"/>
        </w:tblCellMar>
      </w:tblPr>
      <w:tblGrid>
        <w:gridCol w:w="907"/>
        <w:gridCol w:w="1690"/>
        <w:gridCol w:w="1749"/>
        <w:gridCol w:w="1407"/>
        <w:gridCol w:w="2050"/>
        <w:gridCol w:w="2048"/>
      </w:tblGrid>
      <w:tr w14:paraId="5C7AA1F2">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cantSplit/>
          <w:trHeight w:val="90" w:hRule="atLeast"/>
          <w:tblHeader/>
        </w:trPr>
        <w:tc>
          <w:tcPr>
            <w:tcW w:w="236" w:type="pct"/>
            <w:shd w:val="clear" w:color="auto" w:fill="9CC2E5"/>
            <w:vAlign w:val="center"/>
          </w:tcPr>
          <w:p w14:paraId="4484C0D4">
            <w:pPr>
              <w:widowControl w:val="0"/>
              <w:jc w:val="center"/>
              <w:rPr>
                <w:rFonts w:ascii="Times New Roman" w:hAnsi="Times New Roman" w:eastAsia="宋体" w:cs="Times New Roman"/>
                <w:b/>
                <w:bCs/>
                <w:iCs/>
                <w:sz w:val="21"/>
                <w:szCs w:val="22"/>
                <w:lang w:val="en-US" w:eastAsia="zh-CN" w:bidi="ar-SA"/>
              </w:rPr>
            </w:pPr>
            <w:bookmarkStart w:id="161" w:name="_Toc119247044"/>
            <w:r>
              <w:rPr>
                <w:rFonts w:hint="eastAsia" w:ascii="宋体" w:hAnsi="宋体" w:eastAsia="宋体" w:cs="宋体"/>
                <w:b/>
                <w:bCs w:val="0"/>
                <w:iCs/>
                <w:sz w:val="21"/>
                <w:szCs w:val="22"/>
                <w:lang w:val="en-US" w:eastAsia="zh-CN" w:bidi="ar-SA"/>
              </w:rPr>
              <w:t>序</w:t>
            </w:r>
            <w:r>
              <w:rPr>
                <w:rFonts w:hint="eastAsia" w:ascii="宋体" w:hAnsi="宋体" w:eastAsia="Times New Roman" w:cs="宋体"/>
                <w:b/>
                <w:bCs w:val="0"/>
                <w:iCs/>
                <w:sz w:val="21"/>
                <w:szCs w:val="22"/>
                <w:lang w:val="en-US" w:eastAsia="zh-CN" w:bidi="ar-SA"/>
              </w:rPr>
              <w:t>号</w:t>
            </w:r>
          </w:p>
        </w:tc>
        <w:tc>
          <w:tcPr>
            <w:tcW w:w="1835" w:type="pct"/>
            <w:gridSpan w:val="2"/>
            <w:shd w:val="clear" w:color="auto" w:fill="9CC2E5"/>
            <w:vAlign w:val="center"/>
          </w:tcPr>
          <w:p w14:paraId="39CA972A">
            <w:pPr>
              <w:widowControl w:val="0"/>
              <w:jc w:val="center"/>
              <w:rPr>
                <w:rFonts w:ascii="Times New Roman" w:hAnsi="Times New Roman" w:eastAsia="宋体" w:cs="Times New Roman"/>
                <w:b/>
                <w:bCs/>
                <w:iCs/>
                <w:sz w:val="21"/>
                <w:szCs w:val="22"/>
                <w:lang w:val="en-US" w:eastAsia="zh-CN" w:bidi="ar-SA"/>
              </w:rPr>
            </w:pPr>
            <w:r>
              <w:rPr>
                <w:rFonts w:hint="eastAsia" w:ascii="Times New Roman" w:hAnsi="Times New Roman" w:eastAsia="宋体" w:cs="Times New Roman"/>
                <w:b/>
                <w:bCs/>
                <w:iCs/>
                <w:sz w:val="21"/>
                <w:szCs w:val="22"/>
                <w:lang w:val="en-US" w:eastAsia="zh-CN" w:bidi="ar-SA"/>
              </w:rPr>
              <w:t>职务</w:t>
            </w:r>
          </w:p>
        </w:tc>
        <w:tc>
          <w:tcPr>
            <w:tcW w:w="759" w:type="pct"/>
            <w:shd w:val="clear" w:color="auto" w:fill="9CC2E5"/>
            <w:vAlign w:val="center"/>
          </w:tcPr>
          <w:p w14:paraId="1EB04C9B">
            <w:pPr>
              <w:widowControl w:val="0"/>
              <w:jc w:val="center"/>
              <w:rPr>
                <w:rFonts w:ascii="Times New Roman" w:hAnsi="Times New Roman" w:eastAsia="宋体" w:cs="Times New Roman"/>
                <w:b/>
                <w:bCs/>
                <w:iCs/>
                <w:sz w:val="21"/>
                <w:szCs w:val="22"/>
                <w:lang w:val="en-US" w:eastAsia="zh-CN" w:bidi="ar-SA"/>
              </w:rPr>
            </w:pPr>
            <w:r>
              <w:rPr>
                <w:rFonts w:hint="eastAsia" w:ascii="Times New Roman" w:hAnsi="Times New Roman" w:eastAsia="宋体" w:cs="Times New Roman"/>
                <w:b/>
                <w:bCs/>
                <w:iCs/>
                <w:sz w:val="21"/>
                <w:szCs w:val="22"/>
                <w:lang w:val="en-US" w:eastAsia="zh-CN" w:bidi="ar-SA"/>
              </w:rPr>
              <w:t>姓名</w:t>
            </w:r>
          </w:p>
        </w:tc>
        <w:tc>
          <w:tcPr>
            <w:tcW w:w="1085" w:type="pct"/>
            <w:shd w:val="clear" w:color="auto" w:fill="9CC2E5"/>
            <w:vAlign w:val="center"/>
          </w:tcPr>
          <w:p w14:paraId="33087082">
            <w:pPr>
              <w:widowControl w:val="0"/>
              <w:jc w:val="center"/>
              <w:rPr>
                <w:rFonts w:ascii="Times New Roman" w:hAnsi="Times New Roman" w:eastAsia="宋体" w:cs="Times New Roman"/>
                <w:b/>
                <w:bCs/>
                <w:iCs/>
                <w:sz w:val="21"/>
                <w:szCs w:val="22"/>
                <w:lang w:val="en-US" w:eastAsia="zh-CN" w:bidi="ar-SA"/>
              </w:rPr>
            </w:pPr>
            <w:r>
              <w:rPr>
                <w:rFonts w:hint="eastAsia" w:ascii="Times New Roman" w:hAnsi="Times New Roman" w:eastAsia="宋体" w:cs="Times New Roman"/>
                <w:b/>
                <w:bCs/>
                <w:iCs/>
                <w:sz w:val="21"/>
                <w:szCs w:val="22"/>
                <w:lang w:val="en-US" w:eastAsia="zh-CN" w:bidi="ar-SA"/>
              </w:rPr>
              <w:t>电话号码</w:t>
            </w:r>
          </w:p>
        </w:tc>
        <w:tc>
          <w:tcPr>
            <w:tcW w:w="1085" w:type="pct"/>
            <w:shd w:val="clear" w:color="auto" w:fill="9CC2E5"/>
            <w:vAlign w:val="center"/>
          </w:tcPr>
          <w:p w14:paraId="039FA6DA">
            <w:pPr>
              <w:widowControl w:val="0"/>
              <w:jc w:val="center"/>
              <w:rPr>
                <w:rFonts w:ascii="Times New Roman" w:hAnsi="Times New Roman" w:eastAsia="宋体" w:cs="Times New Roman"/>
                <w:b/>
                <w:bCs/>
                <w:iCs/>
                <w:sz w:val="21"/>
                <w:szCs w:val="22"/>
                <w:lang w:val="en-US" w:eastAsia="zh-CN" w:bidi="ar-SA"/>
              </w:rPr>
            </w:pPr>
            <w:r>
              <w:rPr>
                <w:rFonts w:ascii="Times New Roman" w:hAnsi="Times New Roman" w:eastAsia="宋体" w:cs="Times New Roman"/>
                <w:b/>
                <w:bCs/>
                <w:iCs/>
                <w:sz w:val="21"/>
                <w:szCs w:val="22"/>
                <w:lang w:val="en-US" w:eastAsia="zh-CN" w:bidi="ar-SA"/>
              </w:rPr>
              <w:t>工作内容</w:t>
            </w:r>
          </w:p>
        </w:tc>
      </w:tr>
      <w:tr w14:paraId="7C7E73E4">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14:paraId="229CE8C4">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val="0"/>
                <w:iCs/>
                <w:sz w:val="21"/>
                <w:szCs w:val="22"/>
                <w:lang w:val="en-US" w:eastAsia="zh-CN" w:bidi="ar-SA"/>
              </w:rPr>
              <w:t>1</w:t>
            </w:r>
          </w:p>
        </w:tc>
        <w:tc>
          <w:tcPr>
            <w:tcW w:w="903" w:type="pct"/>
            <w:vMerge w:val="restart"/>
            <w:shd w:val="clear" w:color="auto" w:fill="BDD6EE"/>
            <w:vAlign w:val="center"/>
          </w:tcPr>
          <w:p w14:paraId="6B019AFB">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一分部</w:t>
            </w:r>
          </w:p>
        </w:tc>
        <w:tc>
          <w:tcPr>
            <w:tcW w:w="933" w:type="pct"/>
            <w:shd w:val="clear" w:color="auto" w:fill="BDD6EE"/>
            <w:vAlign w:val="center"/>
          </w:tcPr>
          <w:p w14:paraId="4A8D1305">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项目经理</w:t>
            </w:r>
          </w:p>
        </w:tc>
        <w:tc>
          <w:tcPr>
            <w:tcW w:w="759" w:type="pct"/>
            <w:shd w:val="clear" w:color="auto" w:fill="BDD6EE"/>
            <w:vAlign w:val="center"/>
          </w:tcPr>
          <w:p w14:paraId="4375A381">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倪兵</w:t>
            </w:r>
          </w:p>
        </w:tc>
        <w:tc>
          <w:tcPr>
            <w:tcW w:w="1085" w:type="pct"/>
            <w:shd w:val="clear" w:color="auto" w:fill="BDD6EE"/>
            <w:vAlign w:val="center"/>
          </w:tcPr>
          <w:p w14:paraId="38922916">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13958500571</w:t>
            </w:r>
          </w:p>
        </w:tc>
        <w:tc>
          <w:tcPr>
            <w:tcW w:w="1085" w:type="pct"/>
            <w:shd w:val="clear" w:color="auto" w:fill="BDD6EE"/>
            <w:vAlign w:val="center"/>
          </w:tcPr>
          <w:p w14:paraId="0E9CFDC4">
            <w:pPr>
              <w:widowControl w:val="0"/>
              <w:jc w:val="center"/>
              <w:rPr>
                <w:rFonts w:ascii="Times New Roman" w:hAnsi="Times New Roman" w:eastAsia="宋体" w:cs="Times New Roman"/>
                <w:bCs/>
                <w:iCs/>
                <w:sz w:val="21"/>
                <w:szCs w:val="22"/>
                <w:lang w:val="en-US" w:eastAsia="zh-CN" w:bidi="ar-SA"/>
              </w:rPr>
            </w:pPr>
          </w:p>
        </w:tc>
      </w:tr>
      <w:tr w14:paraId="6F64F33D">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14:paraId="5EFE44EF">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val="0"/>
                <w:iCs/>
                <w:sz w:val="21"/>
                <w:szCs w:val="22"/>
                <w:lang w:val="en-US" w:eastAsia="zh-CN" w:bidi="ar-SA"/>
              </w:rPr>
              <w:t>2</w:t>
            </w:r>
          </w:p>
        </w:tc>
        <w:tc>
          <w:tcPr>
            <w:tcW w:w="903" w:type="pct"/>
            <w:vMerge w:val="continue"/>
            <w:shd w:val="clear" w:color="auto" w:fill="BDD6EE"/>
            <w:vAlign w:val="center"/>
          </w:tcPr>
          <w:p w14:paraId="144711F1">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3C8D7D18">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项目技术负责人</w:t>
            </w:r>
          </w:p>
        </w:tc>
        <w:tc>
          <w:tcPr>
            <w:tcW w:w="759" w:type="pct"/>
            <w:shd w:val="clear" w:color="auto" w:fill="BDD6EE"/>
            <w:vAlign w:val="center"/>
          </w:tcPr>
          <w:p w14:paraId="00FE24D2">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赵超</w:t>
            </w:r>
          </w:p>
        </w:tc>
        <w:tc>
          <w:tcPr>
            <w:tcW w:w="1085" w:type="pct"/>
            <w:shd w:val="clear" w:color="auto" w:fill="BDD6EE"/>
            <w:vAlign w:val="center"/>
          </w:tcPr>
          <w:p w14:paraId="62EF9016">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18171030099</w:t>
            </w:r>
          </w:p>
        </w:tc>
        <w:tc>
          <w:tcPr>
            <w:tcW w:w="1085" w:type="pct"/>
            <w:shd w:val="clear" w:color="auto" w:fill="BDD6EE"/>
            <w:vAlign w:val="center"/>
          </w:tcPr>
          <w:p w14:paraId="0809643C">
            <w:pPr>
              <w:widowControl w:val="0"/>
              <w:jc w:val="center"/>
              <w:rPr>
                <w:rFonts w:ascii="Times New Roman" w:hAnsi="Times New Roman" w:eastAsia="宋体" w:cs="Times New Roman"/>
                <w:bCs/>
                <w:iCs/>
                <w:sz w:val="21"/>
                <w:szCs w:val="22"/>
                <w:lang w:val="en-US" w:eastAsia="zh-CN" w:bidi="ar-SA"/>
              </w:rPr>
            </w:pPr>
          </w:p>
        </w:tc>
      </w:tr>
      <w:tr w14:paraId="32D041E0">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00374400">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3</w:t>
            </w:r>
          </w:p>
        </w:tc>
        <w:tc>
          <w:tcPr>
            <w:tcW w:w="903" w:type="pct"/>
            <w:vMerge w:val="continue"/>
            <w:shd w:val="clear" w:color="auto" w:fill="BDD6EE"/>
            <w:vAlign w:val="center"/>
          </w:tcPr>
          <w:p w14:paraId="521C82A4">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309C4FC5">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生产副经理</w:t>
            </w:r>
          </w:p>
        </w:tc>
        <w:tc>
          <w:tcPr>
            <w:tcW w:w="759" w:type="pct"/>
            <w:shd w:val="clear" w:color="auto" w:fill="BDD6EE"/>
            <w:vAlign w:val="center"/>
          </w:tcPr>
          <w:p w14:paraId="06163ACE">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董泊宁</w:t>
            </w:r>
          </w:p>
        </w:tc>
        <w:tc>
          <w:tcPr>
            <w:tcW w:w="1085" w:type="pct"/>
            <w:shd w:val="clear" w:color="auto" w:fill="BDD6EE"/>
            <w:vAlign w:val="center"/>
          </w:tcPr>
          <w:p w14:paraId="77A8ECB5">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18020117430</w:t>
            </w:r>
          </w:p>
        </w:tc>
        <w:tc>
          <w:tcPr>
            <w:tcW w:w="1085" w:type="pct"/>
            <w:shd w:val="clear" w:color="auto" w:fill="BDD6EE"/>
            <w:vAlign w:val="center"/>
          </w:tcPr>
          <w:p w14:paraId="0706F0AE">
            <w:pPr>
              <w:widowControl w:val="0"/>
              <w:jc w:val="center"/>
              <w:rPr>
                <w:rFonts w:ascii="Times New Roman" w:hAnsi="Times New Roman" w:eastAsia="宋体" w:cs="Times New Roman"/>
                <w:bCs/>
                <w:iCs/>
                <w:sz w:val="21"/>
                <w:szCs w:val="22"/>
                <w:lang w:val="en-US" w:eastAsia="zh-CN" w:bidi="ar-SA"/>
              </w:rPr>
            </w:pPr>
          </w:p>
        </w:tc>
      </w:tr>
      <w:tr w14:paraId="247D9C0B">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0D505BC9">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4</w:t>
            </w:r>
          </w:p>
        </w:tc>
        <w:tc>
          <w:tcPr>
            <w:tcW w:w="903" w:type="pct"/>
            <w:vMerge w:val="continue"/>
            <w:shd w:val="clear" w:color="auto" w:fill="BDD6EE"/>
            <w:vAlign w:val="center"/>
          </w:tcPr>
          <w:p w14:paraId="1E2CDC38">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4E567FB9">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安全总监</w:t>
            </w:r>
          </w:p>
        </w:tc>
        <w:tc>
          <w:tcPr>
            <w:tcW w:w="759" w:type="pct"/>
            <w:shd w:val="clear" w:color="auto" w:fill="BDD6EE"/>
            <w:vAlign w:val="center"/>
          </w:tcPr>
          <w:p w14:paraId="127CB1E7">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邵威</w:t>
            </w:r>
          </w:p>
        </w:tc>
        <w:tc>
          <w:tcPr>
            <w:tcW w:w="1085" w:type="pct"/>
            <w:shd w:val="clear" w:color="auto" w:fill="BDD6EE"/>
            <w:vAlign w:val="center"/>
          </w:tcPr>
          <w:p w14:paraId="5C343365">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18867931625</w:t>
            </w:r>
          </w:p>
        </w:tc>
        <w:tc>
          <w:tcPr>
            <w:tcW w:w="1085" w:type="pct"/>
            <w:shd w:val="clear" w:color="auto" w:fill="BDD6EE"/>
            <w:vAlign w:val="center"/>
          </w:tcPr>
          <w:p w14:paraId="08980168">
            <w:pPr>
              <w:widowControl w:val="0"/>
              <w:jc w:val="center"/>
              <w:rPr>
                <w:rFonts w:ascii="Times New Roman" w:hAnsi="Times New Roman" w:eastAsia="宋体" w:cs="Times New Roman"/>
                <w:bCs/>
                <w:iCs/>
                <w:sz w:val="21"/>
                <w:szCs w:val="22"/>
                <w:lang w:val="en-US" w:eastAsia="zh-CN" w:bidi="ar-SA"/>
              </w:rPr>
            </w:pPr>
          </w:p>
        </w:tc>
      </w:tr>
      <w:tr w14:paraId="487A2A1D">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14:paraId="657D707D">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5</w:t>
            </w:r>
          </w:p>
        </w:tc>
        <w:tc>
          <w:tcPr>
            <w:tcW w:w="903" w:type="pct"/>
            <w:vMerge w:val="continue"/>
            <w:shd w:val="clear" w:color="auto" w:fill="BDD6EE"/>
            <w:vAlign w:val="center"/>
          </w:tcPr>
          <w:p w14:paraId="63BC2754">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0B730425">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副总工</w:t>
            </w:r>
          </w:p>
        </w:tc>
        <w:tc>
          <w:tcPr>
            <w:tcW w:w="759" w:type="pct"/>
            <w:shd w:val="clear" w:color="auto" w:fill="BDD6EE"/>
            <w:vAlign w:val="center"/>
          </w:tcPr>
          <w:p w14:paraId="6A0D2958">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宋体" w:cs="宋体"/>
                <w:bCs/>
                <w:iCs/>
                <w:sz w:val="21"/>
                <w:szCs w:val="22"/>
                <w:lang w:val="en-US" w:eastAsia="zh-CN" w:bidi="ar-SA"/>
              </w:rPr>
              <w:t>李道伟</w:t>
            </w:r>
          </w:p>
        </w:tc>
        <w:tc>
          <w:tcPr>
            <w:tcW w:w="1085" w:type="pct"/>
            <w:shd w:val="clear" w:color="auto" w:fill="BDD6EE"/>
            <w:vAlign w:val="center"/>
          </w:tcPr>
          <w:p w14:paraId="33005EDA">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13866177365</w:t>
            </w:r>
          </w:p>
        </w:tc>
        <w:tc>
          <w:tcPr>
            <w:tcW w:w="1085" w:type="pct"/>
            <w:shd w:val="clear" w:color="auto" w:fill="BDD6EE"/>
            <w:vAlign w:val="center"/>
          </w:tcPr>
          <w:p w14:paraId="48B1FAC0">
            <w:pPr>
              <w:widowControl w:val="0"/>
              <w:jc w:val="center"/>
              <w:rPr>
                <w:rFonts w:ascii="Times New Roman" w:hAnsi="Times New Roman" w:eastAsia="宋体" w:cs="Times New Roman"/>
                <w:bCs/>
                <w:iCs/>
                <w:sz w:val="21"/>
                <w:szCs w:val="22"/>
                <w:lang w:val="en-US" w:eastAsia="zh-CN" w:bidi="ar-SA"/>
              </w:rPr>
            </w:pPr>
          </w:p>
        </w:tc>
      </w:tr>
      <w:tr w14:paraId="69B286FD">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59AEA21D">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6</w:t>
            </w:r>
          </w:p>
        </w:tc>
        <w:tc>
          <w:tcPr>
            <w:tcW w:w="903" w:type="pct"/>
            <w:vMerge w:val="continue"/>
            <w:shd w:val="clear" w:color="auto" w:fill="BDD6EE"/>
            <w:vAlign w:val="center"/>
          </w:tcPr>
          <w:p w14:paraId="1AC62422">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25CFDA4E">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工程部部长</w:t>
            </w:r>
          </w:p>
        </w:tc>
        <w:tc>
          <w:tcPr>
            <w:tcW w:w="759" w:type="pct"/>
            <w:shd w:val="clear" w:color="auto" w:fill="BDD6EE"/>
            <w:vAlign w:val="center"/>
          </w:tcPr>
          <w:p w14:paraId="08BCDFC6">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王传发</w:t>
            </w:r>
          </w:p>
        </w:tc>
        <w:tc>
          <w:tcPr>
            <w:tcW w:w="1085" w:type="pct"/>
            <w:shd w:val="clear" w:color="auto" w:fill="BDD6EE"/>
            <w:vAlign w:val="center"/>
          </w:tcPr>
          <w:p w14:paraId="1FD16CD8">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15057489351</w:t>
            </w:r>
          </w:p>
        </w:tc>
        <w:tc>
          <w:tcPr>
            <w:tcW w:w="1085" w:type="pct"/>
            <w:shd w:val="clear" w:color="auto" w:fill="BDD6EE"/>
            <w:vAlign w:val="center"/>
          </w:tcPr>
          <w:p w14:paraId="68BB3E44">
            <w:pPr>
              <w:widowControl w:val="0"/>
              <w:jc w:val="center"/>
              <w:rPr>
                <w:rFonts w:ascii="Times New Roman" w:hAnsi="Times New Roman" w:eastAsia="宋体" w:cs="Times New Roman"/>
                <w:bCs/>
                <w:iCs/>
                <w:sz w:val="21"/>
                <w:szCs w:val="22"/>
                <w:lang w:val="en-US" w:eastAsia="zh-CN" w:bidi="ar-SA"/>
              </w:rPr>
            </w:pPr>
          </w:p>
        </w:tc>
      </w:tr>
      <w:tr w14:paraId="629B8295">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14:paraId="6B83A463">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7</w:t>
            </w:r>
          </w:p>
        </w:tc>
        <w:tc>
          <w:tcPr>
            <w:tcW w:w="903" w:type="pct"/>
            <w:vMerge w:val="continue"/>
            <w:shd w:val="clear" w:color="auto" w:fill="BDD6EE"/>
            <w:vAlign w:val="center"/>
          </w:tcPr>
          <w:p w14:paraId="6412DC7B">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4A827B1C">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质检部部长</w:t>
            </w:r>
          </w:p>
        </w:tc>
        <w:tc>
          <w:tcPr>
            <w:tcW w:w="759" w:type="pct"/>
            <w:shd w:val="clear" w:color="auto" w:fill="BDD6EE"/>
            <w:vAlign w:val="center"/>
          </w:tcPr>
          <w:p w14:paraId="123995A2">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朱黄林</w:t>
            </w:r>
          </w:p>
        </w:tc>
        <w:tc>
          <w:tcPr>
            <w:tcW w:w="1085" w:type="pct"/>
            <w:shd w:val="clear" w:color="auto" w:fill="BDD6EE"/>
            <w:vAlign w:val="center"/>
          </w:tcPr>
          <w:p w14:paraId="72B8E1C3">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18756052928</w:t>
            </w:r>
          </w:p>
        </w:tc>
        <w:tc>
          <w:tcPr>
            <w:tcW w:w="1085" w:type="pct"/>
            <w:shd w:val="clear" w:color="auto" w:fill="BDD6EE"/>
            <w:vAlign w:val="center"/>
          </w:tcPr>
          <w:p w14:paraId="68B06452">
            <w:pPr>
              <w:widowControl w:val="0"/>
              <w:jc w:val="center"/>
              <w:rPr>
                <w:rFonts w:ascii="Times New Roman" w:hAnsi="Times New Roman" w:eastAsia="宋体" w:cs="Times New Roman"/>
                <w:bCs/>
                <w:iCs/>
                <w:sz w:val="21"/>
                <w:szCs w:val="22"/>
                <w:lang w:val="en-US" w:eastAsia="zh-CN" w:bidi="ar-SA"/>
              </w:rPr>
            </w:pPr>
          </w:p>
        </w:tc>
      </w:tr>
      <w:tr w14:paraId="2E68028C">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2E98BE56">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8</w:t>
            </w:r>
          </w:p>
        </w:tc>
        <w:tc>
          <w:tcPr>
            <w:tcW w:w="903" w:type="pct"/>
            <w:vMerge w:val="continue"/>
            <w:shd w:val="clear" w:color="auto" w:fill="BDD6EE"/>
            <w:vAlign w:val="center"/>
          </w:tcPr>
          <w:p w14:paraId="0281C984">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328A5130">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测量部部长</w:t>
            </w:r>
          </w:p>
        </w:tc>
        <w:tc>
          <w:tcPr>
            <w:tcW w:w="759" w:type="pct"/>
            <w:shd w:val="clear" w:color="auto" w:fill="BDD6EE"/>
            <w:vAlign w:val="center"/>
          </w:tcPr>
          <w:p w14:paraId="6080C8BB">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谢振说</w:t>
            </w:r>
          </w:p>
        </w:tc>
        <w:tc>
          <w:tcPr>
            <w:tcW w:w="1085" w:type="pct"/>
            <w:shd w:val="clear" w:color="auto" w:fill="BDD6EE"/>
            <w:vAlign w:val="center"/>
          </w:tcPr>
          <w:p w14:paraId="2AB0098C">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18757742885</w:t>
            </w:r>
          </w:p>
        </w:tc>
        <w:tc>
          <w:tcPr>
            <w:tcW w:w="1085" w:type="pct"/>
            <w:shd w:val="clear" w:color="auto" w:fill="BDD6EE"/>
            <w:vAlign w:val="center"/>
          </w:tcPr>
          <w:p w14:paraId="02ABAFC8">
            <w:pPr>
              <w:widowControl w:val="0"/>
              <w:jc w:val="center"/>
              <w:rPr>
                <w:rFonts w:ascii="Times New Roman" w:hAnsi="Times New Roman" w:eastAsia="宋体" w:cs="Times New Roman"/>
                <w:bCs/>
                <w:iCs/>
                <w:sz w:val="21"/>
                <w:szCs w:val="22"/>
                <w:lang w:val="en-US" w:eastAsia="zh-CN" w:bidi="ar-SA"/>
              </w:rPr>
            </w:pPr>
          </w:p>
        </w:tc>
      </w:tr>
      <w:tr w14:paraId="07F78C2A">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14:paraId="38A07148">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9</w:t>
            </w:r>
          </w:p>
        </w:tc>
        <w:tc>
          <w:tcPr>
            <w:tcW w:w="903" w:type="pct"/>
            <w:vMerge w:val="continue"/>
            <w:shd w:val="clear" w:color="auto" w:fill="BDD6EE"/>
            <w:vAlign w:val="center"/>
          </w:tcPr>
          <w:p w14:paraId="15ACEFFE">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3B21E15B">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合同部部长</w:t>
            </w:r>
          </w:p>
        </w:tc>
        <w:tc>
          <w:tcPr>
            <w:tcW w:w="759" w:type="pct"/>
            <w:shd w:val="clear" w:color="auto" w:fill="BDD6EE"/>
            <w:vAlign w:val="center"/>
          </w:tcPr>
          <w:p w14:paraId="33FBEAB7">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郑晓轶</w:t>
            </w:r>
          </w:p>
        </w:tc>
        <w:tc>
          <w:tcPr>
            <w:tcW w:w="1085" w:type="pct"/>
            <w:shd w:val="clear" w:color="auto" w:fill="BDD6EE"/>
            <w:vAlign w:val="center"/>
          </w:tcPr>
          <w:p w14:paraId="14A7BEAE">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15676149857</w:t>
            </w:r>
          </w:p>
        </w:tc>
        <w:tc>
          <w:tcPr>
            <w:tcW w:w="1085" w:type="pct"/>
            <w:shd w:val="clear" w:color="auto" w:fill="BDD6EE"/>
            <w:vAlign w:val="center"/>
          </w:tcPr>
          <w:p w14:paraId="6B62164A">
            <w:pPr>
              <w:widowControl w:val="0"/>
              <w:jc w:val="center"/>
              <w:rPr>
                <w:rFonts w:ascii="Times New Roman" w:hAnsi="Times New Roman" w:eastAsia="宋体" w:cs="Times New Roman"/>
                <w:bCs/>
                <w:iCs/>
                <w:sz w:val="21"/>
                <w:szCs w:val="22"/>
                <w:lang w:val="en-US" w:eastAsia="zh-CN" w:bidi="ar-SA"/>
              </w:rPr>
            </w:pPr>
          </w:p>
        </w:tc>
      </w:tr>
      <w:tr w14:paraId="403129D6">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2DA82E9D">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10</w:t>
            </w:r>
          </w:p>
        </w:tc>
        <w:tc>
          <w:tcPr>
            <w:tcW w:w="903" w:type="pct"/>
            <w:vMerge w:val="continue"/>
            <w:shd w:val="clear" w:color="auto" w:fill="BDD6EE"/>
            <w:vAlign w:val="center"/>
          </w:tcPr>
          <w:p w14:paraId="3A38A556">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4801F1E5">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机料部部长</w:t>
            </w:r>
          </w:p>
        </w:tc>
        <w:tc>
          <w:tcPr>
            <w:tcW w:w="759" w:type="pct"/>
            <w:shd w:val="clear" w:color="auto" w:fill="BDD6EE"/>
            <w:vAlign w:val="center"/>
          </w:tcPr>
          <w:p w14:paraId="4A5F90F4">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朱遂</w:t>
            </w:r>
          </w:p>
        </w:tc>
        <w:tc>
          <w:tcPr>
            <w:tcW w:w="1085" w:type="pct"/>
            <w:shd w:val="clear" w:color="auto" w:fill="BDD6EE"/>
            <w:vAlign w:val="center"/>
          </w:tcPr>
          <w:p w14:paraId="2FEDB29F">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17338926820</w:t>
            </w:r>
          </w:p>
        </w:tc>
        <w:tc>
          <w:tcPr>
            <w:tcW w:w="1085" w:type="pct"/>
            <w:shd w:val="clear" w:color="auto" w:fill="BDD6EE"/>
            <w:vAlign w:val="center"/>
          </w:tcPr>
          <w:p w14:paraId="28FC05D2">
            <w:pPr>
              <w:widowControl w:val="0"/>
              <w:jc w:val="center"/>
              <w:rPr>
                <w:rFonts w:ascii="Times New Roman" w:hAnsi="Times New Roman" w:eastAsia="宋体" w:cs="Times New Roman"/>
                <w:bCs/>
                <w:iCs/>
                <w:sz w:val="21"/>
                <w:szCs w:val="22"/>
                <w:lang w:val="en-US" w:eastAsia="zh-CN" w:bidi="ar-SA"/>
              </w:rPr>
            </w:pPr>
          </w:p>
        </w:tc>
      </w:tr>
      <w:tr w14:paraId="7852EDBD">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14:paraId="5187500D">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11</w:t>
            </w:r>
          </w:p>
        </w:tc>
        <w:tc>
          <w:tcPr>
            <w:tcW w:w="903" w:type="pct"/>
            <w:vMerge w:val="continue"/>
            <w:shd w:val="clear" w:color="auto" w:fill="BDD6EE"/>
            <w:vAlign w:val="center"/>
          </w:tcPr>
          <w:p w14:paraId="05A18064">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2C520D68">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财务部部长</w:t>
            </w:r>
          </w:p>
        </w:tc>
        <w:tc>
          <w:tcPr>
            <w:tcW w:w="759" w:type="pct"/>
            <w:shd w:val="clear" w:color="auto" w:fill="BDD6EE"/>
            <w:vAlign w:val="center"/>
          </w:tcPr>
          <w:p w14:paraId="22167FEB">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赵俊武</w:t>
            </w:r>
          </w:p>
        </w:tc>
        <w:tc>
          <w:tcPr>
            <w:tcW w:w="1085" w:type="pct"/>
            <w:shd w:val="clear" w:color="auto" w:fill="BDD6EE"/>
            <w:vAlign w:val="center"/>
          </w:tcPr>
          <w:p w14:paraId="2168A827">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13588261016</w:t>
            </w:r>
          </w:p>
        </w:tc>
        <w:tc>
          <w:tcPr>
            <w:tcW w:w="1085" w:type="pct"/>
            <w:shd w:val="clear" w:color="auto" w:fill="BDD6EE"/>
            <w:vAlign w:val="center"/>
          </w:tcPr>
          <w:p w14:paraId="30F3FD2F">
            <w:pPr>
              <w:widowControl w:val="0"/>
              <w:jc w:val="center"/>
              <w:rPr>
                <w:rFonts w:ascii="Times New Roman" w:hAnsi="Times New Roman" w:eastAsia="宋体" w:cs="Times New Roman"/>
                <w:bCs/>
                <w:iCs/>
                <w:sz w:val="21"/>
                <w:szCs w:val="22"/>
                <w:lang w:val="en-US" w:eastAsia="zh-CN" w:bidi="ar-SA"/>
              </w:rPr>
            </w:pPr>
          </w:p>
        </w:tc>
      </w:tr>
      <w:tr w14:paraId="47281177">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22FB323A">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12</w:t>
            </w:r>
          </w:p>
        </w:tc>
        <w:tc>
          <w:tcPr>
            <w:tcW w:w="903" w:type="pct"/>
            <w:vMerge w:val="continue"/>
            <w:shd w:val="clear" w:color="auto" w:fill="BDD6EE"/>
            <w:vAlign w:val="center"/>
          </w:tcPr>
          <w:p w14:paraId="4DEE4D77">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37DCE8BC">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试验室主任</w:t>
            </w:r>
          </w:p>
        </w:tc>
        <w:tc>
          <w:tcPr>
            <w:tcW w:w="759" w:type="pct"/>
            <w:shd w:val="clear" w:color="auto" w:fill="BDD6EE"/>
            <w:vAlign w:val="center"/>
          </w:tcPr>
          <w:p w14:paraId="40B02085">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袁卫平</w:t>
            </w:r>
          </w:p>
        </w:tc>
        <w:tc>
          <w:tcPr>
            <w:tcW w:w="1085" w:type="pct"/>
            <w:shd w:val="clear" w:color="auto" w:fill="BDD6EE"/>
            <w:vAlign w:val="center"/>
          </w:tcPr>
          <w:p w14:paraId="3AC3EBA0">
            <w:pPr>
              <w:widowControl w:val="0"/>
              <w:jc w:val="center"/>
              <w:rPr>
                <w:rFonts w:ascii="Times New Roman" w:hAnsi="Times New Roman" w:eastAsia="Times New Roman"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15996832107</w:t>
            </w:r>
          </w:p>
        </w:tc>
        <w:tc>
          <w:tcPr>
            <w:tcW w:w="1085" w:type="pct"/>
            <w:shd w:val="clear" w:color="auto" w:fill="BDD6EE"/>
            <w:vAlign w:val="center"/>
          </w:tcPr>
          <w:p w14:paraId="01CFB1E8">
            <w:pPr>
              <w:widowControl w:val="0"/>
              <w:jc w:val="center"/>
              <w:rPr>
                <w:rFonts w:ascii="Times New Roman" w:hAnsi="Times New Roman" w:eastAsia="宋体" w:cs="Times New Roman"/>
                <w:bCs/>
                <w:iCs/>
                <w:sz w:val="21"/>
                <w:szCs w:val="22"/>
                <w:lang w:val="en-US" w:eastAsia="zh-CN" w:bidi="ar-SA"/>
              </w:rPr>
            </w:pPr>
          </w:p>
        </w:tc>
      </w:tr>
      <w:tr w14:paraId="1D57F43E">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14:paraId="11D37530">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13</w:t>
            </w:r>
          </w:p>
        </w:tc>
        <w:tc>
          <w:tcPr>
            <w:tcW w:w="903" w:type="pct"/>
            <w:vMerge w:val="continue"/>
            <w:shd w:val="clear" w:color="auto" w:fill="BDD6EE"/>
            <w:vAlign w:val="center"/>
          </w:tcPr>
          <w:p w14:paraId="1E1B0638">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52CBCD4A">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综合办主任</w:t>
            </w:r>
          </w:p>
        </w:tc>
        <w:tc>
          <w:tcPr>
            <w:tcW w:w="759" w:type="pct"/>
            <w:shd w:val="clear" w:color="auto" w:fill="BDD6EE"/>
            <w:vAlign w:val="center"/>
          </w:tcPr>
          <w:p w14:paraId="70357CC8">
            <w:pPr>
              <w:widowControl w:val="0"/>
              <w:jc w:val="center"/>
              <w:rPr>
                <w:rFonts w:ascii="Times New Roman" w:hAnsi="Times New Roman" w:eastAsia="Times New Roman" w:cs="Times New Roman"/>
                <w:bCs/>
                <w:iCs/>
                <w:sz w:val="21"/>
                <w:szCs w:val="22"/>
                <w:lang w:val="en-US" w:eastAsia="zh-CN" w:bidi="ar-SA"/>
              </w:rPr>
            </w:pPr>
            <w:r>
              <w:rPr>
                <w:rFonts w:hint="eastAsia" w:ascii="宋体" w:hAnsi="宋体" w:eastAsia="Times New Roman" w:cs="宋体"/>
                <w:bCs/>
                <w:iCs/>
                <w:sz w:val="21"/>
                <w:szCs w:val="22"/>
                <w:lang w:val="en-US" w:eastAsia="zh-CN" w:bidi="ar-SA"/>
              </w:rPr>
              <w:t>杨发明</w:t>
            </w:r>
          </w:p>
        </w:tc>
        <w:tc>
          <w:tcPr>
            <w:tcW w:w="1085" w:type="pct"/>
            <w:shd w:val="clear" w:color="auto" w:fill="BDD6EE"/>
            <w:vAlign w:val="center"/>
          </w:tcPr>
          <w:p w14:paraId="5CE842B3">
            <w:pPr>
              <w:widowControl w:val="0"/>
              <w:jc w:val="center"/>
              <w:rPr>
                <w:rFonts w:ascii="Times New Roman" w:hAnsi="Times New Roman" w:eastAsia="Times New Roman"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15355439177</w:t>
            </w:r>
          </w:p>
        </w:tc>
        <w:tc>
          <w:tcPr>
            <w:tcW w:w="1085" w:type="pct"/>
            <w:shd w:val="clear" w:color="auto" w:fill="BDD6EE"/>
            <w:vAlign w:val="center"/>
          </w:tcPr>
          <w:p w14:paraId="7A61B08F">
            <w:pPr>
              <w:widowControl w:val="0"/>
              <w:jc w:val="center"/>
              <w:rPr>
                <w:rFonts w:ascii="Times New Roman" w:hAnsi="Times New Roman" w:eastAsia="宋体" w:cs="Times New Roman"/>
                <w:bCs/>
                <w:iCs/>
                <w:sz w:val="21"/>
                <w:szCs w:val="22"/>
                <w:lang w:val="en-US" w:eastAsia="zh-CN" w:bidi="ar-SA"/>
              </w:rPr>
            </w:pPr>
          </w:p>
        </w:tc>
      </w:tr>
      <w:tr w14:paraId="0EDFDDF9">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6D3B6B18">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14</w:t>
            </w:r>
          </w:p>
        </w:tc>
        <w:tc>
          <w:tcPr>
            <w:tcW w:w="903" w:type="pct"/>
            <w:vMerge w:val="restart"/>
            <w:shd w:val="clear" w:color="auto" w:fill="BDD6EE"/>
            <w:vAlign w:val="center"/>
          </w:tcPr>
          <w:p w14:paraId="0ED77172">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iCs/>
                <w:sz w:val="21"/>
                <w:szCs w:val="22"/>
                <w:lang w:val="en-US" w:eastAsia="zh-CN" w:bidi="ar-SA"/>
              </w:rPr>
              <w:t>二分部</w:t>
            </w:r>
          </w:p>
        </w:tc>
        <w:tc>
          <w:tcPr>
            <w:tcW w:w="933" w:type="pct"/>
            <w:shd w:val="clear" w:color="auto" w:fill="BDD6EE"/>
            <w:vAlign w:val="center"/>
          </w:tcPr>
          <w:p w14:paraId="45226A9E">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常务副经理</w:t>
            </w:r>
          </w:p>
        </w:tc>
        <w:tc>
          <w:tcPr>
            <w:tcW w:w="759" w:type="pct"/>
            <w:shd w:val="clear" w:color="auto" w:fill="BDD6EE"/>
            <w:vAlign w:val="center"/>
          </w:tcPr>
          <w:p w14:paraId="59DDFFFA">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肖冰</w:t>
            </w:r>
          </w:p>
        </w:tc>
        <w:tc>
          <w:tcPr>
            <w:tcW w:w="1085" w:type="pct"/>
            <w:shd w:val="clear" w:color="auto" w:fill="BDD6EE"/>
            <w:vAlign w:val="center"/>
          </w:tcPr>
          <w:p w14:paraId="20FD825F">
            <w:pPr>
              <w:widowControl w:val="0"/>
              <w:jc w:val="center"/>
              <w:rPr>
                <w:rFonts w:ascii="Times New Roman" w:hAnsi="Times New Roman" w:eastAsia="Times New Roman"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18679669600</w:t>
            </w:r>
          </w:p>
        </w:tc>
        <w:tc>
          <w:tcPr>
            <w:tcW w:w="1085" w:type="pct"/>
            <w:shd w:val="clear" w:color="auto" w:fill="BDD6EE"/>
            <w:vAlign w:val="center"/>
          </w:tcPr>
          <w:p w14:paraId="17328264">
            <w:pPr>
              <w:widowControl w:val="0"/>
              <w:jc w:val="center"/>
              <w:rPr>
                <w:rFonts w:ascii="Times New Roman" w:hAnsi="Times New Roman" w:eastAsia="宋体" w:cs="Times New Roman"/>
                <w:bCs/>
                <w:iCs/>
                <w:sz w:val="21"/>
                <w:szCs w:val="22"/>
                <w:lang w:val="en-US" w:eastAsia="zh-CN" w:bidi="ar-SA"/>
              </w:rPr>
            </w:pPr>
          </w:p>
        </w:tc>
      </w:tr>
      <w:tr w14:paraId="70ECE868">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39D56249">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15</w:t>
            </w:r>
          </w:p>
        </w:tc>
        <w:tc>
          <w:tcPr>
            <w:tcW w:w="903" w:type="pct"/>
            <w:vMerge w:val="continue"/>
            <w:shd w:val="clear" w:color="auto" w:fill="BDD6EE"/>
            <w:vAlign w:val="center"/>
          </w:tcPr>
          <w:p w14:paraId="007F8A16">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2219C99B">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桥梁负责人</w:t>
            </w:r>
          </w:p>
        </w:tc>
        <w:tc>
          <w:tcPr>
            <w:tcW w:w="759" w:type="pct"/>
            <w:shd w:val="clear" w:color="auto" w:fill="BDD6EE"/>
            <w:vAlign w:val="center"/>
          </w:tcPr>
          <w:p w14:paraId="1BA53D89">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刘盼</w:t>
            </w:r>
          </w:p>
        </w:tc>
        <w:tc>
          <w:tcPr>
            <w:tcW w:w="1085" w:type="pct"/>
            <w:shd w:val="clear" w:color="auto" w:fill="BDD6EE"/>
            <w:vAlign w:val="center"/>
          </w:tcPr>
          <w:p w14:paraId="30F16C80">
            <w:pPr>
              <w:widowControl w:val="0"/>
              <w:jc w:val="center"/>
              <w:rPr>
                <w:rFonts w:ascii="Times New Roman" w:hAnsi="Times New Roman" w:eastAsia="Times New Roman"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18876699584</w:t>
            </w:r>
          </w:p>
        </w:tc>
        <w:tc>
          <w:tcPr>
            <w:tcW w:w="1085" w:type="pct"/>
            <w:shd w:val="clear" w:color="auto" w:fill="BDD6EE"/>
            <w:vAlign w:val="center"/>
          </w:tcPr>
          <w:p w14:paraId="724311DF">
            <w:pPr>
              <w:widowControl w:val="0"/>
              <w:jc w:val="center"/>
              <w:rPr>
                <w:rFonts w:ascii="Times New Roman" w:hAnsi="Times New Roman" w:eastAsia="宋体" w:cs="Times New Roman"/>
                <w:bCs/>
                <w:iCs/>
                <w:sz w:val="21"/>
                <w:szCs w:val="22"/>
                <w:lang w:val="en-US" w:eastAsia="zh-CN" w:bidi="ar-SA"/>
              </w:rPr>
            </w:pPr>
          </w:p>
        </w:tc>
      </w:tr>
      <w:tr w14:paraId="3C4CA638">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0C131F3E">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16</w:t>
            </w:r>
          </w:p>
        </w:tc>
        <w:tc>
          <w:tcPr>
            <w:tcW w:w="903" w:type="pct"/>
            <w:vMerge w:val="continue"/>
            <w:shd w:val="clear" w:color="auto" w:fill="BDD6EE"/>
            <w:vAlign w:val="center"/>
          </w:tcPr>
          <w:p w14:paraId="30849224">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633AD6BA">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安全总监</w:t>
            </w:r>
          </w:p>
        </w:tc>
        <w:tc>
          <w:tcPr>
            <w:tcW w:w="759" w:type="pct"/>
            <w:shd w:val="clear" w:color="auto" w:fill="BDD6EE"/>
            <w:vAlign w:val="center"/>
          </w:tcPr>
          <w:p w14:paraId="488928B9">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王瑜</w:t>
            </w:r>
          </w:p>
        </w:tc>
        <w:tc>
          <w:tcPr>
            <w:tcW w:w="1085" w:type="pct"/>
            <w:shd w:val="clear" w:color="auto" w:fill="BDD6EE"/>
            <w:vAlign w:val="center"/>
          </w:tcPr>
          <w:p w14:paraId="6C2814AF">
            <w:pPr>
              <w:widowControl w:val="0"/>
              <w:jc w:val="center"/>
              <w:rPr>
                <w:rFonts w:ascii="Times New Roman" w:hAnsi="Times New Roman" w:eastAsia="Times New Roman"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19106865569</w:t>
            </w:r>
          </w:p>
        </w:tc>
        <w:tc>
          <w:tcPr>
            <w:tcW w:w="1085" w:type="pct"/>
            <w:shd w:val="clear" w:color="auto" w:fill="BDD6EE"/>
            <w:vAlign w:val="center"/>
          </w:tcPr>
          <w:p w14:paraId="2C8107E0">
            <w:pPr>
              <w:widowControl w:val="0"/>
              <w:jc w:val="center"/>
              <w:rPr>
                <w:rFonts w:ascii="Times New Roman" w:hAnsi="Times New Roman" w:eastAsia="宋体" w:cs="Times New Roman"/>
                <w:bCs/>
                <w:iCs/>
                <w:sz w:val="21"/>
                <w:szCs w:val="22"/>
                <w:lang w:val="en-US" w:eastAsia="zh-CN" w:bidi="ar-SA"/>
              </w:rPr>
            </w:pPr>
          </w:p>
        </w:tc>
      </w:tr>
      <w:tr w14:paraId="4C6FD99B">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0B42C807">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17</w:t>
            </w:r>
          </w:p>
        </w:tc>
        <w:tc>
          <w:tcPr>
            <w:tcW w:w="903" w:type="pct"/>
            <w:vMerge w:val="continue"/>
            <w:shd w:val="clear" w:color="auto" w:fill="BDD6EE"/>
            <w:vAlign w:val="center"/>
          </w:tcPr>
          <w:p w14:paraId="55FDB339">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5FEA47DA">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副经理</w:t>
            </w:r>
          </w:p>
        </w:tc>
        <w:tc>
          <w:tcPr>
            <w:tcW w:w="759" w:type="pct"/>
            <w:shd w:val="clear" w:color="auto" w:fill="BDD6EE"/>
            <w:vAlign w:val="center"/>
          </w:tcPr>
          <w:p w14:paraId="70E5DF6D">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欧阳孝桂</w:t>
            </w:r>
          </w:p>
        </w:tc>
        <w:tc>
          <w:tcPr>
            <w:tcW w:w="1085" w:type="pct"/>
            <w:shd w:val="clear" w:color="auto" w:fill="BDD6EE"/>
            <w:vAlign w:val="center"/>
          </w:tcPr>
          <w:p w14:paraId="1D187AF2">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18175844740</w:t>
            </w:r>
          </w:p>
        </w:tc>
        <w:tc>
          <w:tcPr>
            <w:tcW w:w="1085" w:type="pct"/>
            <w:shd w:val="clear" w:color="auto" w:fill="BDD6EE"/>
            <w:vAlign w:val="center"/>
          </w:tcPr>
          <w:p w14:paraId="7DAC279E">
            <w:pPr>
              <w:widowControl w:val="0"/>
              <w:jc w:val="center"/>
              <w:rPr>
                <w:rFonts w:ascii="Times New Roman" w:hAnsi="Times New Roman" w:eastAsia="宋体" w:cs="Times New Roman"/>
                <w:bCs/>
                <w:iCs/>
                <w:sz w:val="21"/>
                <w:szCs w:val="22"/>
                <w:lang w:val="en-US" w:eastAsia="zh-CN" w:bidi="ar-SA"/>
              </w:rPr>
            </w:pPr>
          </w:p>
        </w:tc>
      </w:tr>
      <w:tr w14:paraId="07D31C28">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61D0397C">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18</w:t>
            </w:r>
          </w:p>
        </w:tc>
        <w:tc>
          <w:tcPr>
            <w:tcW w:w="903" w:type="pct"/>
            <w:vMerge w:val="continue"/>
            <w:shd w:val="clear" w:color="auto" w:fill="BDD6EE"/>
            <w:vAlign w:val="center"/>
          </w:tcPr>
          <w:p w14:paraId="5568074F">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1CF6C308">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副经理</w:t>
            </w:r>
          </w:p>
        </w:tc>
        <w:tc>
          <w:tcPr>
            <w:tcW w:w="759" w:type="pct"/>
            <w:shd w:val="clear" w:color="auto" w:fill="BDD6EE"/>
            <w:vAlign w:val="center"/>
          </w:tcPr>
          <w:p w14:paraId="63E190E2">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庞令</w:t>
            </w:r>
          </w:p>
        </w:tc>
        <w:tc>
          <w:tcPr>
            <w:tcW w:w="1085" w:type="pct"/>
            <w:shd w:val="clear" w:color="auto" w:fill="BDD6EE"/>
            <w:vAlign w:val="center"/>
          </w:tcPr>
          <w:p w14:paraId="3C723485">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18817006177</w:t>
            </w:r>
          </w:p>
        </w:tc>
        <w:tc>
          <w:tcPr>
            <w:tcW w:w="1085" w:type="pct"/>
            <w:shd w:val="clear" w:color="auto" w:fill="BDD6EE"/>
            <w:vAlign w:val="center"/>
          </w:tcPr>
          <w:p w14:paraId="6AF9A89C">
            <w:pPr>
              <w:widowControl w:val="0"/>
              <w:jc w:val="center"/>
              <w:rPr>
                <w:rFonts w:ascii="Times New Roman" w:hAnsi="Times New Roman" w:eastAsia="宋体" w:cs="Times New Roman"/>
                <w:bCs/>
                <w:iCs/>
                <w:sz w:val="21"/>
                <w:szCs w:val="22"/>
                <w:lang w:val="en-US" w:eastAsia="zh-CN" w:bidi="ar-SA"/>
              </w:rPr>
            </w:pPr>
          </w:p>
        </w:tc>
      </w:tr>
      <w:tr w14:paraId="4A517277">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14:paraId="199613DE">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19</w:t>
            </w:r>
          </w:p>
        </w:tc>
        <w:tc>
          <w:tcPr>
            <w:tcW w:w="903" w:type="pct"/>
            <w:vMerge w:val="continue"/>
            <w:shd w:val="clear" w:color="auto" w:fill="BDD6EE"/>
            <w:vAlign w:val="center"/>
          </w:tcPr>
          <w:p w14:paraId="31FA048E">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07087EBC">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技术部部长</w:t>
            </w:r>
          </w:p>
        </w:tc>
        <w:tc>
          <w:tcPr>
            <w:tcW w:w="759" w:type="pct"/>
            <w:shd w:val="clear" w:color="auto" w:fill="BDD6EE"/>
            <w:vAlign w:val="center"/>
          </w:tcPr>
          <w:p w14:paraId="12C03BA5">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张学伟</w:t>
            </w:r>
          </w:p>
        </w:tc>
        <w:tc>
          <w:tcPr>
            <w:tcW w:w="1085" w:type="pct"/>
            <w:shd w:val="clear" w:color="auto" w:fill="BDD6EE"/>
            <w:vAlign w:val="center"/>
          </w:tcPr>
          <w:p w14:paraId="4DA2C237">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13016485367</w:t>
            </w:r>
          </w:p>
        </w:tc>
        <w:tc>
          <w:tcPr>
            <w:tcW w:w="1085" w:type="pct"/>
            <w:shd w:val="clear" w:color="auto" w:fill="BDD6EE"/>
            <w:vAlign w:val="center"/>
          </w:tcPr>
          <w:p w14:paraId="59832DCB">
            <w:pPr>
              <w:widowControl w:val="0"/>
              <w:jc w:val="center"/>
              <w:rPr>
                <w:rFonts w:ascii="Times New Roman" w:hAnsi="Times New Roman" w:eastAsia="宋体" w:cs="Times New Roman"/>
                <w:bCs/>
                <w:iCs/>
                <w:sz w:val="21"/>
                <w:szCs w:val="22"/>
                <w:lang w:val="en-US" w:eastAsia="zh-CN" w:bidi="ar-SA"/>
              </w:rPr>
            </w:pPr>
          </w:p>
        </w:tc>
      </w:tr>
      <w:tr w14:paraId="232CC093">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3D19DEDB">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20</w:t>
            </w:r>
          </w:p>
        </w:tc>
        <w:tc>
          <w:tcPr>
            <w:tcW w:w="903" w:type="pct"/>
            <w:vMerge w:val="continue"/>
            <w:shd w:val="clear" w:color="auto" w:fill="BDD6EE"/>
            <w:vAlign w:val="center"/>
          </w:tcPr>
          <w:p w14:paraId="7DE0AD46">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1DCD44CA">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财务部部长</w:t>
            </w:r>
          </w:p>
        </w:tc>
        <w:tc>
          <w:tcPr>
            <w:tcW w:w="759" w:type="pct"/>
            <w:shd w:val="clear" w:color="auto" w:fill="BDD6EE"/>
            <w:vAlign w:val="center"/>
          </w:tcPr>
          <w:p w14:paraId="0EE0CD8B">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陈慰贤</w:t>
            </w:r>
          </w:p>
        </w:tc>
        <w:tc>
          <w:tcPr>
            <w:tcW w:w="1085" w:type="pct"/>
            <w:shd w:val="clear" w:color="auto" w:fill="BDD6EE"/>
            <w:vAlign w:val="center"/>
          </w:tcPr>
          <w:p w14:paraId="64E6FBB5">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18982453272</w:t>
            </w:r>
          </w:p>
        </w:tc>
        <w:tc>
          <w:tcPr>
            <w:tcW w:w="1085" w:type="pct"/>
            <w:shd w:val="clear" w:color="auto" w:fill="BDD6EE"/>
            <w:vAlign w:val="center"/>
          </w:tcPr>
          <w:p w14:paraId="41D871A9">
            <w:pPr>
              <w:widowControl w:val="0"/>
              <w:jc w:val="center"/>
              <w:rPr>
                <w:rFonts w:ascii="Times New Roman" w:hAnsi="Times New Roman" w:eastAsia="宋体" w:cs="Times New Roman"/>
                <w:bCs/>
                <w:iCs/>
                <w:sz w:val="21"/>
                <w:szCs w:val="22"/>
                <w:lang w:val="en-US" w:eastAsia="zh-CN" w:bidi="ar-SA"/>
              </w:rPr>
            </w:pPr>
          </w:p>
        </w:tc>
      </w:tr>
      <w:tr w14:paraId="6AF22A09">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6B7681F8">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21</w:t>
            </w:r>
          </w:p>
        </w:tc>
        <w:tc>
          <w:tcPr>
            <w:tcW w:w="903" w:type="pct"/>
            <w:vMerge w:val="continue"/>
            <w:shd w:val="clear" w:color="auto" w:fill="BDD6EE"/>
            <w:vAlign w:val="center"/>
          </w:tcPr>
          <w:p w14:paraId="04EE9175">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3C0DDB38">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质检部部长</w:t>
            </w:r>
          </w:p>
        </w:tc>
        <w:tc>
          <w:tcPr>
            <w:tcW w:w="759" w:type="pct"/>
            <w:shd w:val="clear" w:color="auto" w:fill="BDD6EE"/>
            <w:vAlign w:val="center"/>
          </w:tcPr>
          <w:p w14:paraId="7B529D59">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于全志</w:t>
            </w:r>
          </w:p>
        </w:tc>
        <w:tc>
          <w:tcPr>
            <w:tcW w:w="1085" w:type="pct"/>
            <w:shd w:val="clear" w:color="auto" w:fill="BDD6EE"/>
            <w:vAlign w:val="center"/>
          </w:tcPr>
          <w:p w14:paraId="5ED52A61">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15184241298</w:t>
            </w:r>
          </w:p>
        </w:tc>
        <w:tc>
          <w:tcPr>
            <w:tcW w:w="1085" w:type="pct"/>
            <w:shd w:val="clear" w:color="auto" w:fill="BDD6EE"/>
            <w:vAlign w:val="center"/>
          </w:tcPr>
          <w:p w14:paraId="32906BD5">
            <w:pPr>
              <w:widowControl w:val="0"/>
              <w:jc w:val="center"/>
              <w:rPr>
                <w:rFonts w:ascii="Times New Roman" w:hAnsi="Times New Roman" w:eastAsia="宋体" w:cs="Times New Roman"/>
                <w:bCs/>
                <w:iCs/>
                <w:sz w:val="21"/>
                <w:szCs w:val="22"/>
                <w:lang w:val="en-US" w:eastAsia="zh-CN" w:bidi="ar-SA"/>
              </w:rPr>
            </w:pPr>
          </w:p>
        </w:tc>
      </w:tr>
      <w:tr w14:paraId="4259D24B">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14:paraId="1D5127A4">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22</w:t>
            </w:r>
          </w:p>
        </w:tc>
        <w:tc>
          <w:tcPr>
            <w:tcW w:w="903" w:type="pct"/>
            <w:vMerge w:val="continue"/>
            <w:shd w:val="clear" w:color="auto" w:fill="BDD6EE"/>
            <w:vAlign w:val="center"/>
          </w:tcPr>
          <w:p w14:paraId="73C6842D">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0FCF7D09">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安全环保部部长</w:t>
            </w:r>
          </w:p>
        </w:tc>
        <w:tc>
          <w:tcPr>
            <w:tcW w:w="759" w:type="pct"/>
            <w:shd w:val="clear" w:color="auto" w:fill="BDD6EE"/>
            <w:vAlign w:val="center"/>
          </w:tcPr>
          <w:p w14:paraId="1ED03795">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刘旭东</w:t>
            </w:r>
          </w:p>
        </w:tc>
        <w:tc>
          <w:tcPr>
            <w:tcW w:w="1085" w:type="pct"/>
            <w:shd w:val="clear" w:color="auto" w:fill="BDD6EE"/>
            <w:vAlign w:val="center"/>
          </w:tcPr>
          <w:p w14:paraId="188A3EC9">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15135228642</w:t>
            </w:r>
          </w:p>
        </w:tc>
        <w:tc>
          <w:tcPr>
            <w:tcW w:w="1085" w:type="pct"/>
            <w:shd w:val="clear" w:color="auto" w:fill="BDD6EE"/>
            <w:vAlign w:val="center"/>
          </w:tcPr>
          <w:p w14:paraId="7EB5A549">
            <w:pPr>
              <w:widowControl w:val="0"/>
              <w:jc w:val="center"/>
              <w:rPr>
                <w:rFonts w:ascii="Times New Roman" w:hAnsi="Times New Roman" w:eastAsia="宋体" w:cs="Times New Roman"/>
                <w:bCs/>
                <w:iCs/>
                <w:sz w:val="21"/>
                <w:szCs w:val="22"/>
                <w:lang w:val="en-US" w:eastAsia="zh-CN" w:bidi="ar-SA"/>
              </w:rPr>
            </w:pPr>
          </w:p>
        </w:tc>
      </w:tr>
      <w:tr w14:paraId="6E682D3D">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14:paraId="04FAD76B">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23</w:t>
            </w:r>
          </w:p>
        </w:tc>
        <w:tc>
          <w:tcPr>
            <w:tcW w:w="903" w:type="pct"/>
            <w:vMerge w:val="continue"/>
            <w:shd w:val="clear" w:color="auto" w:fill="BDD6EE"/>
            <w:vAlign w:val="center"/>
          </w:tcPr>
          <w:p w14:paraId="27A523F2">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00EF0C33">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测量部部长</w:t>
            </w:r>
          </w:p>
        </w:tc>
        <w:tc>
          <w:tcPr>
            <w:tcW w:w="759" w:type="pct"/>
            <w:shd w:val="clear" w:color="auto" w:fill="BDD6EE"/>
            <w:vAlign w:val="center"/>
          </w:tcPr>
          <w:p w14:paraId="0CBB7CF0">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张林华</w:t>
            </w:r>
          </w:p>
        </w:tc>
        <w:tc>
          <w:tcPr>
            <w:tcW w:w="1085" w:type="pct"/>
            <w:shd w:val="clear" w:color="auto" w:fill="BDD6EE"/>
            <w:vAlign w:val="center"/>
          </w:tcPr>
          <w:p w14:paraId="3FCD4F73">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18434164658</w:t>
            </w:r>
          </w:p>
        </w:tc>
        <w:tc>
          <w:tcPr>
            <w:tcW w:w="1085" w:type="pct"/>
            <w:shd w:val="clear" w:color="auto" w:fill="BDD6EE"/>
            <w:vAlign w:val="center"/>
          </w:tcPr>
          <w:p w14:paraId="49FA2610">
            <w:pPr>
              <w:widowControl w:val="0"/>
              <w:jc w:val="center"/>
              <w:rPr>
                <w:rFonts w:ascii="Times New Roman" w:hAnsi="Times New Roman" w:eastAsia="宋体" w:cs="Times New Roman"/>
                <w:bCs/>
                <w:iCs/>
                <w:sz w:val="21"/>
                <w:szCs w:val="22"/>
                <w:lang w:val="en-US" w:eastAsia="zh-CN" w:bidi="ar-SA"/>
              </w:rPr>
            </w:pPr>
          </w:p>
        </w:tc>
      </w:tr>
      <w:tr w14:paraId="7EA4B209">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14:paraId="4F622A88">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24</w:t>
            </w:r>
          </w:p>
        </w:tc>
        <w:tc>
          <w:tcPr>
            <w:tcW w:w="903" w:type="pct"/>
            <w:vMerge w:val="continue"/>
            <w:shd w:val="clear" w:color="auto" w:fill="BDD6EE"/>
            <w:vAlign w:val="center"/>
          </w:tcPr>
          <w:p w14:paraId="6B1F603B">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56D48827">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合约部部长</w:t>
            </w:r>
          </w:p>
        </w:tc>
        <w:tc>
          <w:tcPr>
            <w:tcW w:w="759" w:type="pct"/>
            <w:shd w:val="clear" w:color="auto" w:fill="BDD6EE"/>
            <w:vAlign w:val="center"/>
          </w:tcPr>
          <w:p w14:paraId="3091E90F">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刘齐</w:t>
            </w:r>
          </w:p>
        </w:tc>
        <w:tc>
          <w:tcPr>
            <w:tcW w:w="1085" w:type="pct"/>
            <w:shd w:val="clear" w:color="auto" w:fill="BDD6EE"/>
            <w:vAlign w:val="center"/>
          </w:tcPr>
          <w:p w14:paraId="1D4FCDDC">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13970458997</w:t>
            </w:r>
          </w:p>
        </w:tc>
        <w:tc>
          <w:tcPr>
            <w:tcW w:w="1085" w:type="pct"/>
            <w:shd w:val="clear" w:color="auto" w:fill="BDD6EE"/>
            <w:vAlign w:val="center"/>
          </w:tcPr>
          <w:p w14:paraId="09D1AC0E">
            <w:pPr>
              <w:widowControl w:val="0"/>
              <w:jc w:val="center"/>
              <w:rPr>
                <w:rFonts w:ascii="Times New Roman" w:hAnsi="Times New Roman" w:eastAsia="宋体" w:cs="Times New Roman"/>
                <w:bCs/>
                <w:iCs/>
                <w:sz w:val="21"/>
                <w:szCs w:val="22"/>
                <w:lang w:val="en-US" w:eastAsia="zh-CN" w:bidi="ar-SA"/>
              </w:rPr>
            </w:pPr>
          </w:p>
        </w:tc>
      </w:tr>
      <w:tr w14:paraId="19DA5298">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15B15A83">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25</w:t>
            </w:r>
          </w:p>
        </w:tc>
        <w:tc>
          <w:tcPr>
            <w:tcW w:w="903" w:type="pct"/>
            <w:vMerge w:val="continue"/>
            <w:shd w:val="clear" w:color="auto" w:fill="BDD6EE"/>
            <w:vAlign w:val="center"/>
          </w:tcPr>
          <w:p w14:paraId="539821CB">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3E49DCB7">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物资部部长</w:t>
            </w:r>
          </w:p>
        </w:tc>
        <w:tc>
          <w:tcPr>
            <w:tcW w:w="759" w:type="pct"/>
            <w:shd w:val="clear" w:color="auto" w:fill="BDD6EE"/>
            <w:vAlign w:val="center"/>
          </w:tcPr>
          <w:p w14:paraId="05C9273A">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李科</w:t>
            </w:r>
          </w:p>
        </w:tc>
        <w:tc>
          <w:tcPr>
            <w:tcW w:w="1085" w:type="pct"/>
            <w:shd w:val="clear" w:color="auto" w:fill="BDD6EE"/>
            <w:vAlign w:val="center"/>
          </w:tcPr>
          <w:p w14:paraId="5570BD2C">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17602636886</w:t>
            </w:r>
          </w:p>
        </w:tc>
        <w:tc>
          <w:tcPr>
            <w:tcW w:w="1085" w:type="pct"/>
            <w:shd w:val="clear" w:color="auto" w:fill="BDD6EE"/>
            <w:vAlign w:val="center"/>
          </w:tcPr>
          <w:p w14:paraId="7AD415B8">
            <w:pPr>
              <w:widowControl w:val="0"/>
              <w:jc w:val="center"/>
              <w:rPr>
                <w:rFonts w:ascii="Times New Roman" w:hAnsi="Times New Roman" w:eastAsia="宋体" w:cs="Times New Roman"/>
                <w:bCs/>
                <w:iCs/>
                <w:sz w:val="21"/>
                <w:szCs w:val="22"/>
                <w:lang w:val="en-US" w:eastAsia="zh-CN" w:bidi="ar-SA"/>
              </w:rPr>
            </w:pPr>
          </w:p>
        </w:tc>
      </w:tr>
      <w:tr w14:paraId="3EEAA132">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tblCellMar>
            <w:top w:w="0" w:type="dxa"/>
            <w:left w:w="108" w:type="dxa"/>
            <w:bottom w:w="0" w:type="dxa"/>
            <w:right w:w="108" w:type="dxa"/>
          </w:tblCellMar>
        </w:tblPrEx>
        <w:trPr>
          <w:trHeight w:val="567" w:hRule="atLeast"/>
        </w:trPr>
        <w:tc>
          <w:tcPr>
            <w:tcW w:w="236" w:type="pct"/>
            <w:shd w:val="clear" w:color="auto" w:fill="BDD6EE"/>
            <w:vAlign w:val="center"/>
          </w:tcPr>
          <w:p w14:paraId="1442B78F">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26</w:t>
            </w:r>
          </w:p>
        </w:tc>
        <w:tc>
          <w:tcPr>
            <w:tcW w:w="903" w:type="pct"/>
            <w:vMerge w:val="continue"/>
            <w:shd w:val="clear" w:color="auto" w:fill="BDD6EE"/>
            <w:vAlign w:val="center"/>
          </w:tcPr>
          <w:p w14:paraId="7028D8C6">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4F5F3BC5">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试验室主任</w:t>
            </w:r>
          </w:p>
        </w:tc>
        <w:tc>
          <w:tcPr>
            <w:tcW w:w="759" w:type="pct"/>
            <w:shd w:val="clear" w:color="auto" w:fill="BDD6EE"/>
            <w:vAlign w:val="center"/>
          </w:tcPr>
          <w:p w14:paraId="3F831DDF">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王佳龙</w:t>
            </w:r>
          </w:p>
        </w:tc>
        <w:tc>
          <w:tcPr>
            <w:tcW w:w="1085" w:type="pct"/>
            <w:shd w:val="clear" w:color="auto" w:fill="BDD6EE"/>
            <w:vAlign w:val="center"/>
          </w:tcPr>
          <w:p w14:paraId="257659AC">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18785745749</w:t>
            </w:r>
          </w:p>
        </w:tc>
        <w:tc>
          <w:tcPr>
            <w:tcW w:w="1085" w:type="pct"/>
            <w:shd w:val="clear" w:color="auto" w:fill="BDD6EE"/>
            <w:vAlign w:val="center"/>
          </w:tcPr>
          <w:p w14:paraId="0C0B7700">
            <w:pPr>
              <w:widowControl w:val="0"/>
              <w:jc w:val="center"/>
              <w:rPr>
                <w:rFonts w:ascii="Times New Roman" w:hAnsi="Times New Roman" w:eastAsia="宋体" w:cs="Times New Roman"/>
                <w:bCs/>
                <w:iCs/>
                <w:sz w:val="21"/>
                <w:szCs w:val="22"/>
                <w:lang w:val="en-US" w:eastAsia="zh-CN" w:bidi="ar-SA"/>
              </w:rPr>
            </w:pPr>
          </w:p>
        </w:tc>
      </w:tr>
      <w:tr w14:paraId="0F9C8880">
        <w:tblPrEx>
          <w:tblBorders>
            <w:top w:val="double" w:color="0070C0" w:sz="4" w:space="0"/>
            <w:left w:val="double" w:color="0070C0" w:sz="4" w:space="0"/>
            <w:bottom w:val="double" w:color="0070C0" w:sz="4" w:space="0"/>
            <w:right w:val="double" w:color="0070C0" w:sz="4" w:space="0"/>
            <w:insideH w:val="single" w:color="0070C0" w:sz="4" w:space="0"/>
            <w:insideV w:val="single" w:color="0070C0" w:sz="4" w:space="0"/>
          </w:tblBorders>
          <w:shd w:val="clear" w:color="auto" w:fill="7A97B3"/>
          <w:tblCellMar>
            <w:top w:w="0" w:type="dxa"/>
            <w:left w:w="108" w:type="dxa"/>
            <w:bottom w:w="0" w:type="dxa"/>
            <w:right w:w="108" w:type="dxa"/>
          </w:tblCellMar>
        </w:tblPrEx>
        <w:trPr>
          <w:trHeight w:val="567" w:hRule="atLeast"/>
        </w:trPr>
        <w:tc>
          <w:tcPr>
            <w:tcW w:w="236" w:type="pct"/>
            <w:shd w:val="clear" w:color="auto" w:fill="BDD6EE"/>
            <w:vAlign w:val="center"/>
          </w:tcPr>
          <w:p w14:paraId="19C816C5">
            <w:pPr>
              <w:widowControl w:val="0"/>
              <w:jc w:val="center"/>
              <w:rPr>
                <w:rFonts w:ascii="Times New Roman" w:hAnsi="Times New Roman" w:eastAsia="宋体" w:cs="Times New Roman"/>
                <w:bCs/>
                <w:iCs/>
                <w:sz w:val="21"/>
                <w:szCs w:val="22"/>
                <w:lang w:val="en-US" w:eastAsia="zh-CN" w:bidi="ar-SA"/>
              </w:rPr>
            </w:pPr>
            <w:r>
              <w:rPr>
                <w:rFonts w:hint="eastAsia" w:ascii="Times New Roman" w:hAnsi="Times New Roman" w:eastAsia="Times New Roman" w:cs="Times New Roman"/>
                <w:bCs w:val="0"/>
                <w:iCs/>
                <w:sz w:val="21"/>
                <w:szCs w:val="22"/>
                <w:lang w:val="en-US" w:eastAsia="zh-CN" w:bidi="ar-SA"/>
              </w:rPr>
              <w:t>27</w:t>
            </w:r>
          </w:p>
        </w:tc>
        <w:tc>
          <w:tcPr>
            <w:tcW w:w="903" w:type="pct"/>
            <w:vMerge w:val="continue"/>
            <w:shd w:val="clear" w:color="auto" w:fill="BDD6EE"/>
            <w:vAlign w:val="center"/>
          </w:tcPr>
          <w:p w14:paraId="7DB3E681">
            <w:pPr>
              <w:widowControl w:val="0"/>
              <w:jc w:val="center"/>
              <w:rPr>
                <w:rFonts w:ascii="Times New Roman" w:hAnsi="Times New Roman" w:eastAsia="宋体" w:cs="Times New Roman"/>
                <w:bCs/>
                <w:iCs/>
                <w:sz w:val="21"/>
                <w:szCs w:val="22"/>
                <w:lang w:val="en-US" w:eastAsia="zh-CN" w:bidi="ar-SA"/>
              </w:rPr>
            </w:pPr>
          </w:p>
        </w:tc>
        <w:tc>
          <w:tcPr>
            <w:tcW w:w="933" w:type="pct"/>
            <w:shd w:val="clear" w:color="auto" w:fill="BDD6EE"/>
            <w:vAlign w:val="center"/>
          </w:tcPr>
          <w:p w14:paraId="61DB16BF">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综合办主任</w:t>
            </w:r>
          </w:p>
        </w:tc>
        <w:tc>
          <w:tcPr>
            <w:tcW w:w="759" w:type="pct"/>
            <w:shd w:val="clear" w:color="auto" w:fill="BDD6EE"/>
            <w:vAlign w:val="center"/>
          </w:tcPr>
          <w:p w14:paraId="3E400D0C">
            <w:pPr>
              <w:widowControl w:val="0"/>
              <w:jc w:val="center"/>
              <w:rPr>
                <w:rFonts w:ascii="Times New Roman" w:hAnsi="Times New Roman" w:eastAsia="宋体" w:cs="Times New Roman"/>
                <w:bCs/>
                <w:iCs/>
                <w:sz w:val="21"/>
                <w:szCs w:val="22"/>
                <w:lang w:val="en-US" w:eastAsia="zh-CN" w:bidi="ar-SA"/>
              </w:rPr>
            </w:pPr>
            <w:r>
              <w:rPr>
                <w:rFonts w:hint="eastAsia" w:ascii="宋体" w:hAnsi="宋体" w:eastAsia="Times New Roman" w:cs="宋体"/>
                <w:bCs/>
                <w:iCs/>
                <w:sz w:val="21"/>
                <w:szCs w:val="22"/>
                <w:lang w:val="en-US" w:eastAsia="zh-CN" w:bidi="ar-SA"/>
              </w:rPr>
              <w:t>毛文峰</w:t>
            </w:r>
          </w:p>
        </w:tc>
        <w:tc>
          <w:tcPr>
            <w:tcW w:w="1085" w:type="pct"/>
            <w:shd w:val="clear" w:color="auto" w:fill="BDD6EE"/>
            <w:vAlign w:val="center"/>
          </w:tcPr>
          <w:p w14:paraId="08C27FC6">
            <w:pPr>
              <w:widowControl w:val="0"/>
              <w:jc w:val="center"/>
              <w:rPr>
                <w:rFonts w:ascii="Times New Roman" w:hAnsi="Times New Roman" w:eastAsia="宋体" w:cs="Times New Roman"/>
                <w:bCs/>
                <w:iCs/>
                <w:sz w:val="21"/>
                <w:szCs w:val="22"/>
                <w:lang w:val="en-US" w:eastAsia="zh-CN" w:bidi="ar-SA"/>
              </w:rPr>
            </w:pPr>
            <w:r>
              <w:rPr>
                <w:rFonts w:ascii="Times New Roman" w:hAnsi="Times New Roman" w:eastAsia="Times New Roman" w:cs="Times New Roman"/>
                <w:bCs/>
                <w:iCs/>
                <w:sz w:val="21"/>
                <w:szCs w:val="22"/>
                <w:lang w:val="en-US" w:eastAsia="zh-CN" w:bidi="ar-SA"/>
              </w:rPr>
              <w:t>15707303737</w:t>
            </w:r>
          </w:p>
        </w:tc>
        <w:tc>
          <w:tcPr>
            <w:tcW w:w="1085" w:type="pct"/>
            <w:shd w:val="clear" w:color="auto" w:fill="BDD6EE"/>
            <w:vAlign w:val="center"/>
          </w:tcPr>
          <w:p w14:paraId="6594C43F">
            <w:pPr>
              <w:widowControl w:val="0"/>
              <w:jc w:val="center"/>
              <w:rPr>
                <w:rFonts w:ascii="Times New Roman" w:hAnsi="Times New Roman" w:eastAsia="宋体" w:cs="Times New Roman"/>
                <w:bCs/>
                <w:iCs/>
                <w:sz w:val="21"/>
                <w:szCs w:val="22"/>
                <w:lang w:val="en-US" w:eastAsia="zh-CN" w:bidi="ar-SA"/>
              </w:rPr>
            </w:pPr>
          </w:p>
        </w:tc>
      </w:tr>
    </w:tbl>
    <w:p w14:paraId="76D39462">
      <w:pPr>
        <w:pStyle w:val="3"/>
        <w:keepNext w:val="0"/>
        <w:widowControl w:val="0"/>
        <w:numPr>
          <w:ilvl w:val="1"/>
          <w:numId w:val="1"/>
        </w:numPr>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162" w:name="_Toc11088"/>
      <w:r>
        <w:rPr>
          <w:rFonts w:hint="eastAsia" w:ascii="宋体" w:hAnsi="宋体" w:eastAsia="宋体" w:cs="宋体"/>
          <w:sz w:val="24"/>
          <w:szCs w:val="24"/>
        </w:rPr>
        <w:t>保证措施</w:t>
      </w:r>
      <w:bookmarkEnd w:id="161"/>
      <w:bookmarkEnd w:id="162"/>
    </w:p>
    <w:p w14:paraId="5864BDCE">
      <w:pPr>
        <w:pStyle w:val="4"/>
        <w:keepNext w:val="0"/>
        <w:widowControl w:val="0"/>
        <w:numPr>
          <w:ilvl w:val="2"/>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环保施工保证措施</w:t>
      </w:r>
    </w:p>
    <w:p w14:paraId="364E8035">
      <w:pPr>
        <w:bidi w:val="0"/>
        <w:rPr>
          <w:rFonts w:hint="eastAsia"/>
        </w:rPr>
      </w:pPr>
      <w:r>
        <w:rPr>
          <w:rFonts w:hint="eastAsia"/>
        </w:rPr>
        <w:t>环境保护是生态平衡的保证，是我国重要国策，我们本着干一项实事工程，造福一方的宗旨，把环境保护作为工程施工的一项重要组成部分，为了减少或避免施工对环境的破坏，通过对本工程周围地理环境，加上我们同类工程施工的环保经验，对于环境保护主要从以下几方面，加强管理和采取具体环境保护措施。</w:t>
      </w:r>
    </w:p>
    <w:p w14:paraId="541BE4A2">
      <w:pPr>
        <w:bidi w:val="0"/>
        <w:rPr>
          <w:rFonts w:hint="eastAsia"/>
        </w:rPr>
      </w:pPr>
      <w:r>
        <w:rPr>
          <w:rFonts w:hint="eastAsia"/>
        </w:rPr>
        <w:t>施工期大气及噪声污染对居民基本不产生影响，主要影响施工人员；环境保护的重点是防止对海水的污染和生态环境的保护。施工期的环境影响是短暂的、可逆的，随着施工期的结束而终止。</w:t>
      </w:r>
    </w:p>
    <w:p w14:paraId="6BA78C12">
      <w:pPr>
        <w:pStyle w:val="5"/>
        <w:bidi w:val="0"/>
        <w:rPr>
          <w:rFonts w:hint="eastAsia" w:ascii="宋体" w:hAnsi="宋体" w:eastAsia="宋体" w:cs="宋体"/>
        </w:rPr>
      </w:pPr>
      <w:r>
        <w:rPr>
          <w:rFonts w:hint="eastAsia" w:ascii="宋体" w:hAnsi="宋体" w:eastAsia="宋体" w:cs="宋体"/>
        </w:rPr>
        <w:t>大气污染控制</w:t>
      </w:r>
    </w:p>
    <w:p w14:paraId="270F37BB">
      <w:pPr>
        <w:numPr>
          <w:ilvl w:val="0"/>
          <w:numId w:val="55"/>
        </w:numPr>
        <w:bidi w:val="0"/>
        <w:ind w:left="425" w:leftChars="0" w:hanging="425" w:firstLineChars="0"/>
        <w:rPr>
          <w:rFonts w:hint="eastAsia"/>
        </w:rPr>
      </w:pPr>
      <w:r>
        <w:rPr>
          <w:rFonts w:hint="eastAsia"/>
        </w:rPr>
        <w:t>选用符合国家卫生防护标准的施工机械设备和运输工具，确保其废气排放符合国家有关标准。对易产生粉尘、扬尘的作业面和装卸、运输过程，制定操作规程和洒水降尘制度。</w:t>
      </w:r>
    </w:p>
    <w:p w14:paraId="43A79154">
      <w:pPr>
        <w:numPr>
          <w:ilvl w:val="0"/>
          <w:numId w:val="55"/>
        </w:numPr>
        <w:bidi w:val="0"/>
        <w:ind w:left="425" w:leftChars="0" w:hanging="425" w:firstLineChars="0"/>
        <w:rPr>
          <w:rFonts w:hint="eastAsia"/>
        </w:rPr>
      </w:pPr>
      <w:r>
        <w:rPr>
          <w:rFonts w:hint="eastAsia"/>
        </w:rPr>
        <w:t>严禁在施工现场焚烧任何废弃物和会产生有毒有害气体、烟尘，臭气的物质。</w:t>
      </w:r>
    </w:p>
    <w:p w14:paraId="541EE1A6">
      <w:pPr>
        <w:numPr>
          <w:ilvl w:val="0"/>
          <w:numId w:val="55"/>
        </w:numPr>
        <w:bidi w:val="0"/>
        <w:ind w:left="425" w:leftChars="0" w:hanging="425" w:firstLineChars="0"/>
        <w:rPr>
          <w:rFonts w:hint="eastAsia"/>
        </w:rPr>
      </w:pPr>
      <w:r>
        <w:rPr>
          <w:rFonts w:hint="eastAsia"/>
        </w:rPr>
        <w:t>对施工人员采取防护和劳动保护，如缩短工作时间和发放防尘口罩等。</w:t>
      </w:r>
    </w:p>
    <w:p w14:paraId="7FD095DA">
      <w:pPr>
        <w:numPr>
          <w:ilvl w:val="0"/>
          <w:numId w:val="55"/>
        </w:numPr>
        <w:bidi w:val="0"/>
        <w:ind w:left="425" w:leftChars="0" w:hanging="425" w:firstLineChars="0"/>
        <w:rPr>
          <w:rFonts w:hint="eastAsia"/>
        </w:rPr>
      </w:pPr>
      <w:r>
        <w:rPr>
          <w:rFonts w:hint="eastAsia"/>
        </w:rPr>
        <w:t>柴油机废气的排放按国家排放标准。</w:t>
      </w:r>
    </w:p>
    <w:p w14:paraId="460EB8E4">
      <w:pPr>
        <w:pStyle w:val="5"/>
        <w:bidi w:val="0"/>
        <w:rPr>
          <w:rFonts w:hint="eastAsia" w:ascii="宋体" w:hAnsi="宋体" w:eastAsia="宋体" w:cs="宋体"/>
        </w:rPr>
      </w:pPr>
      <w:r>
        <w:rPr>
          <w:rFonts w:hint="eastAsia" w:ascii="宋体" w:hAnsi="宋体" w:eastAsia="宋体" w:cs="宋体"/>
        </w:rPr>
        <w:t>固体废弃物排放控制</w:t>
      </w:r>
    </w:p>
    <w:p w14:paraId="01813A96">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固体废弃物的主要来源是施工边角料、生活区垃圾等。固体废弃物的处理不当会对水域及环境卫生造成影响。</w:t>
      </w:r>
    </w:p>
    <w:p w14:paraId="39716842">
      <w:pPr>
        <w:keepNext w:val="0"/>
        <w:widowControl w:val="0"/>
        <w:kinsoku/>
        <w:wordWrap/>
        <w:overflowPunct/>
        <w:topLinePunct w:val="0"/>
        <w:autoSpaceDE/>
        <w:autoSpaceDN/>
        <w:bidi w:val="0"/>
        <w:adjustRightInd/>
        <w:snapToGrid/>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具体措施：</w:t>
      </w:r>
    </w:p>
    <w:p w14:paraId="121D75EC">
      <w:pPr>
        <w:numPr>
          <w:ilvl w:val="0"/>
          <w:numId w:val="56"/>
        </w:numPr>
        <w:bidi w:val="0"/>
        <w:ind w:left="425" w:leftChars="0" w:hanging="425" w:firstLineChars="0"/>
        <w:rPr>
          <w:rFonts w:hint="eastAsia"/>
        </w:rPr>
      </w:pPr>
      <w:r>
        <w:rPr>
          <w:rFonts w:hint="eastAsia"/>
        </w:rPr>
        <w:t>制定废渣的处理、处置方案，按照法规要求选择有资质的运输单位，及时清运施工垃圾，建立登记制度，防止中途倾倒事件发生并做到运输途中不撒落。</w:t>
      </w:r>
    </w:p>
    <w:p w14:paraId="0D2CFE98">
      <w:pPr>
        <w:numPr>
          <w:ilvl w:val="0"/>
          <w:numId w:val="56"/>
        </w:numPr>
        <w:bidi w:val="0"/>
        <w:ind w:left="425" w:leftChars="0" w:hanging="425" w:firstLineChars="0"/>
        <w:rPr>
          <w:rFonts w:hint="eastAsia"/>
        </w:rPr>
      </w:pPr>
      <w:r>
        <w:rPr>
          <w:rFonts w:hint="eastAsia"/>
        </w:rPr>
        <w:t>选择对外环境影响小的出土口、运输路线和运输时间。弃土不得随意堆放，须运至指定弃土场。</w:t>
      </w:r>
    </w:p>
    <w:p w14:paraId="31F000D1">
      <w:pPr>
        <w:numPr>
          <w:ilvl w:val="0"/>
          <w:numId w:val="56"/>
        </w:numPr>
        <w:bidi w:val="0"/>
        <w:ind w:left="425" w:leftChars="0" w:hanging="425" w:firstLineChars="0"/>
        <w:rPr>
          <w:rFonts w:hint="eastAsia"/>
        </w:rPr>
      </w:pPr>
      <w:r>
        <w:rPr>
          <w:rFonts w:hint="eastAsia"/>
        </w:rPr>
        <w:t>施工现场设垃圾站，各类垃圾及时清扫、清运，不得随意倾倒，尽量做到每班清扫、每日清运。施工和生活中的废弃物经当地环保部门同意后，运至指定地点。将工地生活区的生活垃圾、工程废料及废油分类堆放处理。</w:t>
      </w:r>
    </w:p>
    <w:p w14:paraId="4795EB12">
      <w:pPr>
        <w:numPr>
          <w:ilvl w:val="0"/>
          <w:numId w:val="56"/>
        </w:numPr>
        <w:bidi w:val="0"/>
        <w:ind w:left="425" w:leftChars="0" w:hanging="425" w:firstLineChars="0"/>
        <w:rPr>
          <w:rFonts w:hint="eastAsia"/>
        </w:rPr>
      </w:pPr>
      <w:r>
        <w:rPr>
          <w:rFonts w:hint="eastAsia"/>
        </w:rPr>
        <w:t>教育施工人员养成良好的卫生习惯，不随地乱丢垃圾、杂物，保持工作和生活环境的整洁。工地设置厕所，派专人清理打扫，并定期对周围喷药消毒，以防蛀蝇滋生，病毒增生。</w:t>
      </w:r>
    </w:p>
    <w:p w14:paraId="76B7254D">
      <w:pPr>
        <w:pStyle w:val="4"/>
        <w:keepNext w:val="0"/>
        <w:widowControl w:val="0"/>
        <w:numPr>
          <w:ilvl w:val="2"/>
          <w:numId w:val="1"/>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r>
        <w:rPr>
          <w:rFonts w:hint="eastAsia" w:ascii="宋体" w:hAnsi="宋体" w:eastAsia="宋体" w:cs="宋体"/>
          <w:sz w:val="24"/>
          <w:szCs w:val="24"/>
        </w:rPr>
        <w:t>文明施工保证措施</w:t>
      </w:r>
    </w:p>
    <w:p w14:paraId="229C16C4">
      <w:pPr>
        <w:numPr>
          <w:ilvl w:val="0"/>
          <w:numId w:val="57"/>
        </w:numPr>
        <w:bidi w:val="0"/>
        <w:ind w:left="425" w:leftChars="0" w:hanging="425" w:firstLineChars="0"/>
        <w:rPr>
          <w:rFonts w:hint="eastAsia"/>
        </w:rPr>
      </w:pPr>
      <w:bookmarkStart w:id="163" w:name="_Hlk101684250"/>
      <w:r>
        <w:rPr>
          <w:rFonts w:hint="eastAsia"/>
        </w:rPr>
        <w:t>施工现场用电线路、用电设施的</w:t>
      </w:r>
      <w:r>
        <w:rPr>
          <w:rFonts w:hint="eastAsia"/>
          <w:lang w:eastAsia="zh-CN"/>
        </w:rPr>
        <w:t>拆除</w:t>
      </w:r>
      <w:r>
        <w:rPr>
          <w:rFonts w:hint="eastAsia"/>
        </w:rPr>
        <w:t>和使用，必须符合国家规范和用电安全操作规程。</w:t>
      </w:r>
    </w:p>
    <w:p w14:paraId="56589EDE">
      <w:pPr>
        <w:numPr>
          <w:ilvl w:val="0"/>
          <w:numId w:val="57"/>
        </w:numPr>
        <w:bidi w:val="0"/>
        <w:ind w:left="425" w:leftChars="0" w:hanging="425" w:firstLineChars="0"/>
        <w:rPr>
          <w:rFonts w:hint="eastAsia"/>
        </w:rPr>
      </w:pPr>
      <w:r>
        <w:rPr>
          <w:rFonts w:hint="eastAsia"/>
        </w:rPr>
        <w:t>施工机械的摆放应按照施工总平面布置图规定的位置，不得任意停放。机械操作人员必须建立人机合一责任制，持证上岗，严禁无证操作。</w:t>
      </w:r>
    </w:p>
    <w:p w14:paraId="696A79E1">
      <w:pPr>
        <w:numPr>
          <w:ilvl w:val="0"/>
          <w:numId w:val="57"/>
        </w:numPr>
        <w:bidi w:val="0"/>
        <w:ind w:left="425" w:leftChars="0" w:hanging="425" w:firstLineChars="0"/>
        <w:rPr>
          <w:rFonts w:hint="eastAsia"/>
        </w:rPr>
      </w:pPr>
      <w:r>
        <w:rPr>
          <w:rFonts w:hint="eastAsia"/>
        </w:rPr>
        <w:t>施工现场道路畅通，排水设施处于良好的使用状态，防止粉尘和噪音。</w:t>
      </w:r>
    </w:p>
    <w:p w14:paraId="0A6C7C30">
      <w:pPr>
        <w:numPr>
          <w:ilvl w:val="0"/>
          <w:numId w:val="57"/>
        </w:numPr>
        <w:bidi w:val="0"/>
        <w:ind w:left="425" w:leftChars="0" w:hanging="425" w:firstLineChars="0"/>
        <w:rPr>
          <w:rFonts w:hint="eastAsia"/>
        </w:rPr>
      </w:pPr>
      <w:r>
        <w:rPr>
          <w:rFonts w:hint="eastAsia"/>
        </w:rPr>
        <w:t>所有外露金属结构均需进行防锈处理。</w:t>
      </w:r>
    </w:p>
    <w:p w14:paraId="15E1A56E">
      <w:pPr>
        <w:numPr>
          <w:ilvl w:val="0"/>
          <w:numId w:val="57"/>
        </w:numPr>
        <w:bidi w:val="0"/>
        <w:ind w:left="425" w:leftChars="0" w:hanging="425" w:firstLineChars="0"/>
        <w:rPr>
          <w:rFonts w:hint="eastAsia"/>
        </w:rPr>
      </w:pPr>
      <w:r>
        <w:rPr>
          <w:rFonts w:hint="eastAsia"/>
        </w:rPr>
        <w:t>施工临时设施按业主指定的地点建设，必须要与周围环境协调，做到经济、美观、实用，施工区域有醒目的安全警示标志，做到明显、清晰、规范。</w:t>
      </w:r>
    </w:p>
    <w:p w14:paraId="1DD711D7">
      <w:pPr>
        <w:numPr>
          <w:ilvl w:val="0"/>
          <w:numId w:val="57"/>
        </w:numPr>
        <w:bidi w:val="0"/>
        <w:ind w:left="425" w:leftChars="0" w:hanging="425" w:firstLineChars="0"/>
        <w:rPr>
          <w:rFonts w:hint="eastAsia"/>
        </w:rPr>
      </w:pPr>
      <w:r>
        <w:rPr>
          <w:rFonts w:hint="eastAsia"/>
        </w:rPr>
        <w:t>各种施工材料定点分区分类堆码整齐，各种标识牌清楚明了，特别是摆放到现场的半成品材料、构件决不可乱堆乱放，影响美观。</w:t>
      </w:r>
    </w:p>
    <w:p w14:paraId="68E6CAB2">
      <w:pPr>
        <w:numPr>
          <w:ilvl w:val="0"/>
          <w:numId w:val="57"/>
        </w:numPr>
        <w:bidi w:val="0"/>
        <w:ind w:left="425" w:leftChars="0" w:hanging="425" w:firstLineChars="0"/>
        <w:rPr>
          <w:rFonts w:hint="eastAsia"/>
        </w:rPr>
      </w:pPr>
      <w:r>
        <w:rPr>
          <w:rFonts w:hint="eastAsia"/>
        </w:rPr>
        <w:t>施工现场各工种（岗位）安全职责及操作规程张挂于作业地点；各机械设备的安全操作规程张挂于设备上或设备作业地点。</w:t>
      </w:r>
    </w:p>
    <w:p w14:paraId="457E1C14">
      <w:pPr>
        <w:numPr>
          <w:ilvl w:val="0"/>
          <w:numId w:val="57"/>
        </w:numPr>
        <w:bidi w:val="0"/>
        <w:ind w:left="425" w:leftChars="0" w:hanging="425" w:firstLineChars="0"/>
        <w:rPr>
          <w:rFonts w:hint="eastAsia"/>
        </w:rPr>
      </w:pPr>
      <w:r>
        <w:rPr>
          <w:rFonts w:hint="eastAsia"/>
        </w:rPr>
        <w:t>危险作业的场所应悬挂或张贴危险警示标志，并悬挂灭火器。</w:t>
      </w:r>
    </w:p>
    <w:p w14:paraId="12BB6C4F">
      <w:pPr>
        <w:numPr>
          <w:ilvl w:val="0"/>
          <w:numId w:val="57"/>
        </w:numPr>
        <w:bidi w:val="0"/>
        <w:ind w:left="425" w:leftChars="0" w:hanging="425" w:firstLineChars="0"/>
        <w:rPr>
          <w:rFonts w:hint="eastAsia"/>
        </w:rPr>
      </w:pPr>
      <w:r>
        <w:rPr>
          <w:rFonts w:hint="eastAsia"/>
        </w:rPr>
        <w:t>施工现场的所有人员须佩证上岗，安全员的佩证为红色以示醒目。</w:t>
      </w:r>
    </w:p>
    <w:p w14:paraId="56DA7BA0">
      <w:pPr>
        <w:numPr>
          <w:ilvl w:val="0"/>
          <w:numId w:val="57"/>
        </w:numPr>
        <w:bidi w:val="0"/>
        <w:ind w:left="425" w:leftChars="0" w:hanging="425" w:firstLineChars="0"/>
        <w:rPr>
          <w:rFonts w:hint="eastAsia"/>
        </w:rPr>
      </w:pPr>
      <w:r>
        <w:rPr>
          <w:rFonts w:hint="eastAsia"/>
        </w:rPr>
        <w:t>所有特种人员（如电工、起重、电气焊、场内机械驾驶等）须持国家主管部门颁发的操作证上岗操作，有关证件报备齐全并经查验合格后方可进行相关作业。</w:t>
      </w:r>
    </w:p>
    <w:p w14:paraId="77B063BF">
      <w:pPr>
        <w:numPr>
          <w:ilvl w:val="0"/>
          <w:numId w:val="57"/>
        </w:numPr>
        <w:bidi w:val="0"/>
        <w:ind w:left="425" w:leftChars="0" w:hanging="425" w:firstLineChars="0"/>
        <w:rPr>
          <w:rFonts w:hint="eastAsia"/>
        </w:rPr>
      </w:pPr>
      <w:r>
        <w:rPr>
          <w:rFonts w:hint="eastAsia"/>
        </w:rPr>
        <w:t>施工作业范围内设置应明显警示标志，夜间悬挂警示红灯。</w:t>
      </w:r>
    </w:p>
    <w:p w14:paraId="42717C8A">
      <w:pPr>
        <w:numPr>
          <w:ilvl w:val="0"/>
          <w:numId w:val="57"/>
        </w:numPr>
        <w:bidi w:val="0"/>
        <w:ind w:left="425" w:leftChars="0" w:hanging="425" w:firstLineChars="0"/>
        <w:rPr>
          <w:rFonts w:hint="eastAsia"/>
        </w:rPr>
      </w:pPr>
      <w:r>
        <w:rPr>
          <w:rFonts w:hint="eastAsia"/>
        </w:rPr>
        <w:t>钢筋笼吊装过程中作业人员不得在吊物下方作业。</w:t>
      </w:r>
    </w:p>
    <w:p w14:paraId="213F2A3B">
      <w:pPr>
        <w:numPr>
          <w:ilvl w:val="0"/>
          <w:numId w:val="57"/>
        </w:numPr>
        <w:bidi w:val="0"/>
        <w:ind w:left="425" w:leftChars="0" w:hanging="425" w:firstLineChars="0"/>
        <w:rPr>
          <w:rFonts w:hint="eastAsia"/>
        </w:rPr>
      </w:pPr>
      <w:r>
        <w:rPr>
          <w:rFonts w:hint="eastAsia"/>
        </w:rPr>
        <w:t>钢筋堆放要整齐，割下的内撑要及时转回后场。</w:t>
      </w:r>
    </w:p>
    <w:p w14:paraId="2F0D0869">
      <w:pPr>
        <w:numPr>
          <w:ilvl w:val="0"/>
          <w:numId w:val="57"/>
        </w:numPr>
        <w:bidi w:val="0"/>
        <w:ind w:left="425" w:leftChars="0" w:hanging="425" w:firstLineChars="0"/>
        <w:rPr>
          <w:rFonts w:hint="eastAsia"/>
        </w:rPr>
      </w:pPr>
      <w:r>
        <w:rPr>
          <w:rFonts w:hint="eastAsia"/>
        </w:rPr>
        <w:t>混凝土浇注过程中，对浇注作业范围内场地及时清理，浇注完后对浇注工具清洗。</w:t>
      </w:r>
    </w:p>
    <w:p w14:paraId="0A861F7E">
      <w:pPr>
        <w:numPr>
          <w:ilvl w:val="0"/>
          <w:numId w:val="57"/>
        </w:numPr>
        <w:bidi w:val="0"/>
        <w:ind w:left="425" w:leftChars="0" w:hanging="425" w:firstLineChars="0"/>
        <w:rPr>
          <w:rFonts w:hint="eastAsia"/>
        </w:rPr>
      </w:pPr>
      <w:r>
        <w:rPr>
          <w:rFonts w:hint="eastAsia"/>
        </w:rPr>
        <w:t>电缆线接头应绑扎牢固，不得透水、漏电；电缆线不得浸泡于水、泥浆中，不得挤压电缆线及风水管路。</w:t>
      </w:r>
    </w:p>
    <w:p w14:paraId="03BD9746">
      <w:pPr>
        <w:numPr>
          <w:ilvl w:val="0"/>
          <w:numId w:val="57"/>
        </w:numPr>
        <w:bidi w:val="0"/>
        <w:ind w:left="425" w:leftChars="0" w:hanging="425" w:firstLineChars="0"/>
        <w:rPr>
          <w:rFonts w:hint="eastAsia"/>
        </w:rPr>
      </w:pPr>
      <w:r>
        <w:rPr>
          <w:rFonts w:hint="eastAsia"/>
        </w:rPr>
        <w:t>钢筋笼在运输过程中须有专人监护，在运输平板车上的固定措施须可靠、有效，钢筋尾端挂设警示标识牌。</w:t>
      </w:r>
    </w:p>
    <w:p w14:paraId="673A833D">
      <w:pPr>
        <w:numPr>
          <w:ilvl w:val="0"/>
          <w:numId w:val="57"/>
        </w:numPr>
        <w:bidi w:val="0"/>
        <w:ind w:left="425" w:leftChars="0" w:hanging="425" w:firstLineChars="0"/>
        <w:rPr>
          <w:rFonts w:hint="eastAsia"/>
        </w:rPr>
      </w:pPr>
      <w:r>
        <w:rPr>
          <w:rFonts w:hint="eastAsia"/>
        </w:rPr>
        <w:t>施工作业前及时对施工作业人员进行有针对性的安全教育及安全技术交底，并留存教育及交底签字记录等资料。</w:t>
      </w:r>
      <w:bookmarkEnd w:id="159"/>
      <w:bookmarkEnd w:id="160"/>
      <w:bookmarkEnd w:id="163"/>
    </w:p>
    <w:p w14:paraId="5C9CAE76">
      <w:pPr>
        <w:pStyle w:val="2"/>
        <w:keepNext w:val="0"/>
        <w:widowControl w:val="0"/>
        <w:numPr>
          <w:ilvl w:val="0"/>
          <w:numId w:val="1"/>
        </w:numPr>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164" w:name="_Toc12062"/>
      <w:bookmarkStart w:id="165" w:name="_Toc27177"/>
      <w:r>
        <w:rPr>
          <w:rFonts w:hint="eastAsia" w:ascii="宋体" w:hAnsi="宋体" w:eastAsia="宋体" w:cs="宋体"/>
          <w:sz w:val="24"/>
          <w:szCs w:val="24"/>
        </w:rPr>
        <w:t>计算书</w:t>
      </w:r>
      <w:bookmarkEnd w:id="164"/>
      <w:bookmarkEnd w:id="165"/>
    </w:p>
    <w:p w14:paraId="15C284B2">
      <w:pPr>
        <w:pStyle w:val="3"/>
        <w:keepNext w:val="0"/>
        <w:widowControl w:val="0"/>
        <w:numPr>
          <w:ilvl w:val="1"/>
          <w:numId w:val="58"/>
        </w:numPr>
        <w:tabs>
          <w:tab w:val="left" w:pos="420"/>
        </w:tabs>
        <w:kinsoku/>
        <w:wordWrap/>
        <w:overflowPunct/>
        <w:topLinePunct w:val="0"/>
        <w:autoSpaceDE/>
        <w:autoSpaceDN/>
        <w:bidi w:val="0"/>
        <w:adjustRightInd/>
        <w:snapToGrid/>
        <w:spacing w:line="480" w:lineRule="atLeast"/>
        <w:textAlignment w:val="auto"/>
        <w:rPr>
          <w:rFonts w:hint="eastAsia" w:ascii="宋体" w:hAnsi="宋体" w:eastAsia="宋体" w:cs="宋体"/>
          <w:sz w:val="24"/>
          <w:szCs w:val="24"/>
        </w:rPr>
      </w:pPr>
      <w:bookmarkStart w:id="166" w:name="_Toc15154"/>
      <w:bookmarkStart w:id="167" w:name="_Toc8152"/>
      <w:bookmarkStart w:id="168" w:name="_Toc7651"/>
      <w:r>
        <w:rPr>
          <w:rFonts w:hint="eastAsia" w:ascii="宋体" w:hAnsi="宋体" w:eastAsia="宋体" w:cs="宋体"/>
          <w:sz w:val="24"/>
          <w:szCs w:val="24"/>
        </w:rPr>
        <w:t>选用的吊索受力计算</w:t>
      </w:r>
      <w:bookmarkEnd w:id="166"/>
      <w:bookmarkEnd w:id="167"/>
      <w:bookmarkEnd w:id="168"/>
    </w:p>
    <w:p w14:paraId="7F0F6676">
      <w:pPr>
        <w:pStyle w:val="4"/>
        <w:keepNext w:val="0"/>
        <w:widowControl w:val="0"/>
        <w:numPr>
          <w:ilvl w:val="2"/>
          <w:numId w:val="58"/>
        </w:numPr>
        <w:kinsoku/>
        <w:wordWrap/>
        <w:overflowPunct/>
        <w:topLinePunct w:val="0"/>
        <w:autoSpaceDE/>
        <w:autoSpaceDN/>
        <w:bidi w:val="0"/>
        <w:adjustRightInd/>
        <w:snapToGrid/>
        <w:spacing w:line="480" w:lineRule="atLeast"/>
        <w:ind w:left="0" w:firstLine="0"/>
        <w:textAlignment w:val="auto"/>
        <w:rPr>
          <w:rFonts w:hint="eastAsia" w:ascii="宋体" w:hAnsi="宋体" w:eastAsia="宋体" w:cs="宋体"/>
          <w:sz w:val="24"/>
          <w:szCs w:val="24"/>
        </w:rPr>
      </w:pPr>
      <w:bookmarkStart w:id="169" w:name="_Toc7720"/>
      <w:bookmarkStart w:id="170" w:name="_Toc10409856"/>
      <w:bookmarkStart w:id="171" w:name="_Toc21344"/>
      <w:bookmarkStart w:id="172" w:name="_Toc19094"/>
      <w:bookmarkStart w:id="173" w:name="_Toc4685"/>
      <w:bookmarkStart w:id="174" w:name="_Toc4403"/>
      <w:r>
        <w:rPr>
          <w:rFonts w:hint="eastAsia" w:ascii="宋体" w:hAnsi="宋体" w:eastAsia="宋体" w:cs="宋体"/>
          <w:sz w:val="24"/>
          <w:szCs w:val="24"/>
        </w:rPr>
        <w:t>钢丝绳选型计算</w:t>
      </w:r>
      <w:bookmarkEnd w:id="169"/>
    </w:p>
    <w:p w14:paraId="12F61B23">
      <w:pPr>
        <w:pStyle w:val="5"/>
        <w:bidi w:val="0"/>
        <w:rPr>
          <w:rFonts w:hint="eastAsia" w:ascii="宋体" w:hAnsi="宋体" w:eastAsia="宋体" w:cs="宋体"/>
        </w:rPr>
      </w:pPr>
      <w:bookmarkStart w:id="175" w:name="_Toc16842"/>
      <w:r>
        <w:rPr>
          <w:rFonts w:hint="eastAsia" w:ascii="宋体" w:hAnsi="宋体" w:eastAsia="宋体" w:cs="宋体"/>
        </w:rPr>
        <w:t>钢丝绳选型依据</w:t>
      </w:r>
      <w:bookmarkEnd w:id="175"/>
    </w:p>
    <w:p w14:paraId="1F05DFC8">
      <w:pPr>
        <w:spacing w:line="360" w:lineRule="auto"/>
        <w:ind w:firstLine="480"/>
        <w:rPr>
          <w:rFonts w:hint="eastAsia" w:ascii="Times New Roman" w:hAnsi="Times New Roman" w:eastAsia="宋体" w:cs="Times New Roman"/>
        </w:rPr>
      </w:pPr>
      <w:r>
        <w:rPr>
          <w:rFonts w:hint="eastAsia" w:ascii="Times New Roman" w:hAnsi="Times New Roman" w:eastAsia="宋体" w:cs="Times New Roman"/>
          <w:lang w:val="en-US" w:eastAsia="zh-CN"/>
        </w:rPr>
        <w:t>1、</w:t>
      </w:r>
      <w:r>
        <w:rPr>
          <w:rFonts w:hint="eastAsia" w:ascii="Times New Roman" w:hAnsi="Times New Roman" w:eastAsia="宋体" w:cs="Times New Roman"/>
        </w:rPr>
        <w:t>钢丝绳选型依据</w:t>
      </w:r>
    </w:p>
    <w:p w14:paraId="74354BB0">
      <w:pPr>
        <w:spacing w:line="360" w:lineRule="auto"/>
        <w:ind w:firstLine="480"/>
        <w:rPr>
          <w:rFonts w:ascii="Times New Roman" w:hAnsi="Times New Roman" w:eastAsia="宋体" w:cs="Times New Roman"/>
        </w:rPr>
      </w:pPr>
      <w:r>
        <w:rPr>
          <w:rFonts w:hint="eastAsia" w:ascii="Times New Roman" w:hAnsi="Times New Roman" w:eastAsia="宋体" w:cs="Times New Roman"/>
        </w:rPr>
        <w:t>根据起吊重量选择相对应的钢丝绳和卸扣。</w:t>
      </w:r>
    </w:p>
    <w:p w14:paraId="6528AFD5">
      <w:pPr>
        <w:spacing w:line="360" w:lineRule="auto"/>
        <w:ind w:firstLine="480"/>
        <w:rPr>
          <w:rFonts w:ascii="Times New Roman" w:hAnsi="Times New Roman" w:eastAsia="宋体" w:cs="Times New Roman"/>
        </w:rPr>
      </w:pPr>
      <w:r>
        <w:rPr>
          <w:rFonts w:hint="eastAsia" w:ascii="Times New Roman" w:hAnsi="Times New Roman" w:eastAsia="宋体" w:cs="Times New Roman"/>
        </w:rPr>
        <w:t>有对称分布的与垂直方向具有相同角度的单肢吊索组成的多肢吊索的工作荷载按《一般用途钢丝绳吊索特性和技术条件》公式计算：</w:t>
      </w:r>
    </w:p>
    <w:p w14:paraId="48218CF2">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WLL=</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d>
            <m:dPr>
              <m:ctrlPr>
                <w:rPr>
                  <w:rFonts w:ascii="Cambria Math" w:hAnsi="Cambria Math"/>
                </w:rPr>
              </m:ctrlPr>
            </m:dPr>
            <m:e>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e>
          </m:d>
        </m:oMath>
      </m:oMathPara>
    </w:p>
    <w:p w14:paraId="1839CF42">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2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50"/>
        <w:gridCol w:w="8048"/>
      </w:tblGrid>
      <w:tr w14:paraId="6FE76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6" w:type="dxa"/>
          </w:tcPr>
          <w:p w14:paraId="69C11A5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B91511F">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WLL</w:t>
            </w:r>
          </w:p>
        </w:tc>
        <w:tc>
          <w:tcPr>
            <w:tcW w:w="8048" w:type="dxa"/>
          </w:tcPr>
          <w:p w14:paraId="48F37BC6">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——吊索额定工作荷载，单位为t；</w:t>
            </w:r>
          </w:p>
        </w:tc>
      </w:tr>
      <w:tr w14:paraId="5192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CF42255">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433DEDD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48" w:type="dxa"/>
          </w:tcPr>
          <w:p w14:paraId="79BE92AD">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62CD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972EFBF">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7B06A74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e</w:t>
            </w:r>
          </w:p>
        </w:tc>
        <w:tc>
          <w:tcPr>
            <w:tcW w:w="8048" w:type="dxa"/>
          </w:tcPr>
          <w:p w14:paraId="741BD74D">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——接头形式效能近似系数，压制接头取0.9，插编接头取0.75；</w:t>
            </w:r>
          </w:p>
        </w:tc>
      </w:tr>
      <w:tr w14:paraId="1D84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2F3E807">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44B9E81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p>
        </w:tc>
        <w:tc>
          <w:tcPr>
            <w:tcW w:w="8048" w:type="dxa"/>
          </w:tcPr>
          <w:p w14:paraId="483D4E9B">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——肢的数量与垂直方向角度的相关系数，两肢吊索取1.4，3～4肢吊索取2.1；</w:t>
            </w:r>
          </w:p>
        </w:tc>
      </w:tr>
      <w:tr w14:paraId="6FE3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4B4BB1B8">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6BFF5DA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u</w:t>
            </w:r>
          </w:p>
        </w:tc>
        <w:tc>
          <w:tcPr>
            <w:tcW w:w="8048" w:type="dxa"/>
          </w:tcPr>
          <w:p w14:paraId="28CF40E1">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——安全系数，一般取6；</w:t>
            </w:r>
          </w:p>
        </w:tc>
      </w:tr>
      <w:tr w14:paraId="5A40D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2FE5047B">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FBD5F2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m</w:t>
            </w:r>
          </w:p>
        </w:tc>
        <w:tc>
          <w:tcPr>
            <w:tcW w:w="8048" w:type="dxa"/>
          </w:tcPr>
          <w:p w14:paraId="1BC82F49">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——质量与力的转换系数，取值为9.80665。</w:t>
            </w:r>
          </w:p>
        </w:tc>
      </w:tr>
    </w:tbl>
    <w:p w14:paraId="225A7C7A">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钢丝绳最小破断拉力按《重要用途钢丝绳》公式计算：</w:t>
      </w:r>
    </w:p>
    <w:p w14:paraId="18280B2B">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p>
            <m:sSupPr>
              <m:ctrlPr>
                <w:rPr>
                  <w:rFonts w:ascii="Cambria Math" w:hAnsi="Cambria Math"/>
                </w:rPr>
              </m:ctrlPr>
            </m:sSupPr>
            <m:e>
              <m:r>
                <m:rPr>
                  <m:nor/>
                  <m:sty m:val="p"/>
                </m:rPr>
                <w:rPr>
                  <w:b w:val="0"/>
                  <w:i w:val="0"/>
                </w:rPr>
                <m:t>D</m:t>
              </m:r>
              <m:ctrlPr>
                <w:rPr>
                  <w:rFonts w:ascii="Cambria Math" w:hAnsi="Cambria Math"/>
                </w:rPr>
              </m:ctrlPr>
            </m:e>
            <m:sup>
              <m:r>
                <m:rPr>
                  <m:nor/>
                  <m:sty m:val="p"/>
                </m:rPr>
                <w:rPr>
                  <w:b w:val="0"/>
                  <w:i w:val="0"/>
                </w:rPr>
                <m:t>2</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÷1000</m:t>
          </m:r>
        </m:oMath>
      </m:oMathPara>
    </w:p>
    <w:p w14:paraId="308A8EB8">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2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
        <w:gridCol w:w="865"/>
        <w:gridCol w:w="8063"/>
      </w:tblGrid>
      <w:tr w14:paraId="61BBD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ACD7E55">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2C3D7B6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63" w:type="dxa"/>
          </w:tcPr>
          <w:p w14:paraId="27C65A42">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7FB51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618E919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66D0B24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D</w:t>
            </w:r>
          </w:p>
        </w:tc>
        <w:tc>
          <w:tcPr>
            <w:tcW w:w="8063" w:type="dxa"/>
          </w:tcPr>
          <w:p w14:paraId="2C7AD928">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——钢丝绳公称直径，单位为mm；</w:t>
            </w:r>
          </w:p>
        </w:tc>
      </w:tr>
      <w:tr w14:paraId="031B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2CF24FE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04CCE62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R</w:t>
            </w:r>
            <w:r>
              <w:rPr>
                <w:rFonts w:ascii="Times New Roman" w:hAnsi="Times New Roman" w:eastAsia="宋体" w:cs="Times New Roman"/>
                <w:i/>
                <w:kern w:val="0"/>
                <w:sz w:val="24"/>
                <w:szCs w:val="20"/>
                <w:vertAlign w:val="subscript"/>
                <w:lang w:val="en-US" w:eastAsia="zh-CN" w:bidi="ar-SA"/>
              </w:rPr>
              <w:t>0</w:t>
            </w:r>
          </w:p>
        </w:tc>
        <w:tc>
          <w:tcPr>
            <w:tcW w:w="8063" w:type="dxa"/>
          </w:tcPr>
          <w:p w14:paraId="7AE51B11">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——钢丝绳公称抗拉强度，取17</w:t>
            </w:r>
            <w:r>
              <w:rPr>
                <w:rFonts w:hint="eastAsia" w:ascii="Times New Roman" w:hAnsi="Times New Roman" w:cs="Times New Roman"/>
                <w:kern w:val="0"/>
                <w:sz w:val="24"/>
                <w:szCs w:val="20"/>
                <w:lang w:val="en-US" w:eastAsia="zh-CN" w:bidi="ar-SA"/>
              </w:rPr>
              <w:t>7</w:t>
            </w:r>
            <w:r>
              <w:rPr>
                <w:rFonts w:hint="eastAsia" w:ascii="Times New Roman" w:hAnsi="Times New Roman" w:eastAsia="宋体" w:cs="Times New Roman"/>
                <w:kern w:val="0"/>
                <w:sz w:val="24"/>
                <w:szCs w:val="20"/>
                <w:lang w:val="en-US" w:eastAsia="zh-CN" w:bidi="ar-SA"/>
              </w:rPr>
              <w:t>0MPa；</w:t>
            </w:r>
          </w:p>
        </w:tc>
      </w:tr>
      <w:tr w14:paraId="35134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2501FD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0EA259B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lang w:val="en-US" w:eastAsia="zh-CN" w:bidi="ar-SA"/>
              </w:rPr>
              <w:t>’</w:t>
            </w:r>
          </w:p>
        </w:tc>
        <w:tc>
          <w:tcPr>
            <w:tcW w:w="8063" w:type="dxa"/>
          </w:tcPr>
          <w:p w14:paraId="02608691">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——钢丝绳的最小破断拉力系数，6×</w:t>
            </w:r>
            <w:r>
              <w:rPr>
                <w:rFonts w:hint="eastAsia" w:ascii="Times New Roman" w:hAnsi="Times New Roman" w:cs="Times New Roman"/>
                <w:kern w:val="0"/>
                <w:sz w:val="24"/>
                <w:szCs w:val="20"/>
                <w:lang w:val="en-US" w:eastAsia="zh-CN" w:bidi="ar-SA"/>
              </w:rPr>
              <w:t>19W</w:t>
            </w:r>
            <w:r>
              <w:rPr>
                <w:rFonts w:hint="eastAsia" w:ascii="Times New Roman" w:hAnsi="Times New Roman" w:eastAsia="宋体" w:cs="Times New Roman"/>
                <w:kern w:val="0"/>
                <w:sz w:val="24"/>
                <w:szCs w:val="20"/>
                <w:lang w:val="en-US" w:eastAsia="zh-CN" w:bidi="ar-SA"/>
              </w:rPr>
              <w:t>+IWR钢丝绳取0.3</w:t>
            </w:r>
            <w:r>
              <w:rPr>
                <w:rFonts w:hint="eastAsia" w:ascii="Times New Roman" w:hAnsi="Times New Roman" w:cs="Times New Roman"/>
                <w:kern w:val="0"/>
                <w:sz w:val="24"/>
                <w:szCs w:val="20"/>
                <w:lang w:val="en-US" w:eastAsia="zh-CN" w:bidi="ar-SA"/>
              </w:rPr>
              <w:t>3</w:t>
            </w:r>
            <w:r>
              <w:rPr>
                <w:rFonts w:hint="eastAsia" w:ascii="Times New Roman" w:hAnsi="Times New Roman" w:eastAsia="宋体" w:cs="Times New Roman"/>
                <w:kern w:val="0"/>
                <w:sz w:val="24"/>
                <w:szCs w:val="20"/>
                <w:lang w:val="en-US" w:eastAsia="zh-CN" w:bidi="ar-SA"/>
              </w:rPr>
              <w:t>。</w:t>
            </w:r>
          </w:p>
        </w:tc>
      </w:tr>
    </w:tbl>
    <w:p w14:paraId="58A766DA">
      <w:pPr>
        <w:spacing w:line="360" w:lineRule="auto"/>
        <w:ind w:firstLine="480"/>
        <w:rPr>
          <w:rFonts w:ascii="Times New Roman" w:hAnsi="Times New Roman" w:eastAsia="宋体" w:cs="Times New Roman"/>
        </w:rPr>
      </w:pPr>
      <w:r>
        <w:rPr>
          <w:rFonts w:hint="eastAsia" w:ascii="Times New Roman" w:hAnsi="Times New Roman" w:eastAsia="宋体" w:cs="Times New Roman"/>
        </w:rPr>
        <w:t>采用四点吊的塔吊主要部件除起重臂外最大重量为回转总成，回转总成起重量约</w:t>
      </w:r>
      <w:r>
        <w:rPr>
          <w:rFonts w:hint="eastAsia" w:ascii="Times New Roman" w:hAnsi="Times New Roman" w:cs="Times New Roman"/>
          <w:lang w:val="en-US" w:eastAsia="zh-CN"/>
        </w:rPr>
        <w:t>7.2</w:t>
      </w:r>
      <w:r>
        <w:rPr>
          <w:rFonts w:hint="eastAsia" w:ascii="Times New Roman" w:hAnsi="Times New Roman" w:eastAsia="宋体" w:cs="Times New Roman"/>
        </w:rPr>
        <w:t>t，钢丝绳与回转总成60°夹角，以回转总成顶部四个销轴孔作为吊装孔，钢丝绳采用压制接头。</w:t>
      </w:r>
    </w:p>
    <w:p w14:paraId="4E909F26">
      <w:pPr>
        <w:spacing w:line="360" w:lineRule="auto"/>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771B09AD">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7.2</m:t>
              </m:r>
              <m:r>
                <m:rPr>
                  <m:nor/>
                  <m:sty m:val="p"/>
                </m:rPr>
                <w:rPr>
                  <w:b w:val="0"/>
                  <w:i w:val="0"/>
                </w:rPr>
                <m:t>×9.80665×6</m:t>
              </m:r>
              <m:ctrlPr>
                <w:rPr>
                  <w:rFonts w:ascii="Cambria Math" w:hAnsi="Cambria Math"/>
                </w:rPr>
              </m:ctrlPr>
            </m:num>
            <m:den>
              <m:r>
                <m:rPr>
                  <m:nor/>
                  <m:sty m:val="p"/>
                </m:rPr>
                <w:rPr>
                  <w:b w:val="0"/>
                  <w:i w:val="0"/>
                </w:rPr>
                <m:t>0.9×2.1</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224.15</m:t>
          </m:r>
          <m:r>
            <m:rPr>
              <m:nor/>
              <m:sty m:val="p"/>
            </m:rPr>
            <w:rPr>
              <w:b w:val="0"/>
              <w:i w:val="0"/>
            </w:rPr>
            <m:t>kN</m:t>
          </m:r>
        </m:oMath>
      </m:oMathPara>
    </w:p>
    <w:p w14:paraId="342DCFFA">
      <w:pPr>
        <w:spacing w:line="360" w:lineRule="auto"/>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7912AB19">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224.15</m:t>
                  </m:r>
                  <m:ctrlPr>
                    <w:rPr>
                      <w:rFonts w:ascii="Cambria Math" w:hAnsi="Cambria Math"/>
                    </w:rPr>
                  </m:ctrlPr>
                </m:num>
                <m:den>
                  <m:r>
                    <m:rPr>
                      <m:nor/>
                      <m:sty m:val="p"/>
                    </m:rPr>
                    <w:rPr>
                      <w:b w:val="0"/>
                      <w:i w:val="0"/>
                    </w:rPr>
                    <m:t>0.33×17</m:t>
                  </m:r>
                  <m:r>
                    <m:rPr>
                      <m:nor/>
                      <m:sty m:val="p"/>
                    </m:rPr>
                    <w:rPr>
                      <w:rFonts w:hint="default" w:ascii="Cambria Math" w:hAnsi="Cambria Math"/>
                      <w:b w:val="0"/>
                      <w:i w:val="0"/>
                      <w:lang w:val="en-US" w:eastAsia="zh-CN"/>
                    </w:rPr>
                    <m:t>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19.58</m:t>
          </m:r>
          <m:r>
            <m:rPr>
              <m:nor/>
              <m:sty m:val="p"/>
            </m:rPr>
            <w:rPr>
              <w:b w:val="0"/>
              <w:i w:val="0"/>
            </w:rPr>
            <m:t>mm</m:t>
          </m:r>
        </m:oMath>
      </m:oMathPara>
    </w:p>
    <w:p w14:paraId="5E7E3827">
      <w:pPr>
        <w:spacing w:line="360" w:lineRule="auto"/>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ascii="Times New Roman" w:hAnsi="Times New Roman" w:cs="Times New Roman"/>
          <w:lang w:val="en-US" w:eastAsia="zh-CN"/>
        </w:rPr>
        <w:t>20</w:t>
      </w:r>
      <w:r>
        <w:rPr>
          <w:rFonts w:hint="eastAsia" w:ascii="Times New Roman" w:hAnsi="Times New Roman" w:eastAsia="宋体" w:cs="Times New Roman"/>
        </w:rPr>
        <w:t>mm钢丝绳可满足要求。</w:t>
      </w:r>
    </w:p>
    <w:p w14:paraId="02EB9C4C">
      <w:pPr>
        <w:spacing w:line="360" w:lineRule="auto"/>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ascii="Times New Roman" w:hAnsi="Times New Roman" w:cs="Times New Roman"/>
          <w:lang w:val="en-US" w:eastAsia="zh-CN"/>
        </w:rPr>
        <w:t>两</w:t>
      </w:r>
      <w:r>
        <w:rPr>
          <w:rFonts w:hint="eastAsia" w:ascii="Times New Roman" w:hAnsi="Times New Roman" w:eastAsia="宋体" w:cs="Times New Roman"/>
        </w:rPr>
        <w:t>点吊的塔吊主要部件除起重臂外最大重量为</w:t>
      </w:r>
      <w:r>
        <w:rPr>
          <w:rFonts w:hint="eastAsia" w:ascii="Times New Roman" w:hAnsi="Times New Roman" w:cs="Times New Roman"/>
          <w:lang w:val="en-US" w:eastAsia="zh-CN"/>
        </w:rPr>
        <w:t>平衡重A</w:t>
      </w:r>
      <w:r>
        <w:rPr>
          <w:rFonts w:hint="eastAsia" w:ascii="Times New Roman" w:hAnsi="Times New Roman" w:eastAsia="宋体" w:cs="Times New Roman"/>
        </w:rPr>
        <w:t>，</w:t>
      </w:r>
      <w:r>
        <w:rPr>
          <w:rFonts w:hint="eastAsia" w:ascii="Times New Roman" w:hAnsi="Times New Roman" w:cs="Times New Roman"/>
          <w:lang w:val="en-US" w:eastAsia="zh-CN"/>
        </w:rPr>
        <w:t>平衡重A</w:t>
      </w:r>
      <w:r>
        <w:rPr>
          <w:rFonts w:hint="eastAsia" w:ascii="Times New Roman" w:hAnsi="Times New Roman" w:eastAsia="宋体" w:cs="Times New Roman"/>
        </w:rPr>
        <w:t>最大重量约</w:t>
      </w:r>
      <w:r>
        <w:rPr>
          <w:rFonts w:hint="eastAsia" w:ascii="Times New Roman" w:hAnsi="Times New Roman" w:cs="Times New Roman"/>
          <w:lang w:val="en-US" w:eastAsia="zh-CN"/>
        </w:rPr>
        <w:t>4.5</w:t>
      </w:r>
      <w:r>
        <w:rPr>
          <w:rFonts w:hint="eastAsia" w:ascii="Times New Roman" w:hAnsi="Times New Roman" w:eastAsia="宋体" w:cs="Times New Roman"/>
        </w:rPr>
        <w:t>t，钢丝绳与起重臂成60°夹角，钢丝绳采用压制接头。</w:t>
      </w:r>
    </w:p>
    <w:p w14:paraId="13842CCA">
      <w:pPr>
        <w:spacing w:line="360" w:lineRule="auto"/>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6081F4B0">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5.571</m:t>
              </m:r>
              <m:r>
                <m:rPr>
                  <m:nor/>
                  <m:sty m:val="p"/>
                </m:rPr>
                <w:rPr>
                  <w:b w:val="0"/>
                  <w:i w:val="0"/>
                </w:rPr>
                <m:t>×9.80665×6</m:t>
              </m:r>
              <m:ctrlPr>
                <w:rPr>
                  <w:rFonts w:ascii="Cambria Math" w:hAnsi="Cambria Math"/>
                </w:rPr>
              </m:ctrlPr>
            </m:num>
            <m:den>
              <m:r>
                <m:rPr>
                  <m:nor/>
                  <m:sty m:val="p"/>
                </m:rPr>
                <w:rPr>
                  <w:b w:val="0"/>
                  <w:i w:val="0"/>
                </w:rPr>
                <m:t>0.9×1.4</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140.10</m:t>
          </m:r>
          <m:r>
            <m:rPr>
              <m:nor/>
              <m:sty m:val="p"/>
            </m:rPr>
            <w:rPr>
              <w:b w:val="0"/>
              <w:i w:val="0"/>
            </w:rPr>
            <m:t>kN</m:t>
          </m:r>
        </m:oMath>
      </m:oMathPara>
    </w:p>
    <w:p w14:paraId="1EBBCB8E">
      <w:pPr>
        <w:spacing w:line="360" w:lineRule="auto"/>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52595320">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140.10</m:t>
                  </m:r>
                  <m:ctrlPr>
                    <w:rPr>
                      <w:rFonts w:ascii="Cambria Math" w:hAnsi="Cambria Math"/>
                    </w:rPr>
                  </m:ctrlPr>
                </m:num>
                <m:den>
                  <m:r>
                    <m:rPr>
                      <m:nor/>
                      <m:sty m:val="p"/>
                    </m:rPr>
                    <w:rPr>
                      <w:b w:val="0"/>
                      <w:i w:val="0"/>
                    </w:rPr>
                    <m:t>0.33×17</m:t>
                  </m:r>
                  <m:r>
                    <m:rPr>
                      <m:nor/>
                      <m:sty m:val="p"/>
                    </m:rPr>
                    <w:rPr>
                      <w:rFonts w:hint="default" w:ascii="Cambria Math" w:hAnsi="Cambria Math"/>
                      <w:b w:val="0"/>
                      <w:i w:val="0"/>
                      <w:lang w:val="en-US" w:eastAsia="zh-CN"/>
                    </w:rPr>
                    <m:t>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15.49</m:t>
          </m:r>
          <m:r>
            <m:rPr>
              <m:nor/>
              <m:sty m:val="p"/>
            </m:rPr>
            <w:rPr>
              <w:b w:val="0"/>
              <w:i w:val="0"/>
            </w:rPr>
            <m:t>mm</m:t>
          </m:r>
        </m:oMath>
      </m:oMathPara>
    </w:p>
    <w:p w14:paraId="5B949758">
      <w:pPr>
        <w:spacing w:line="360" w:lineRule="auto"/>
        <w:ind w:firstLine="480"/>
        <w:rPr>
          <w:rFonts w:ascii="Times New Roman" w:hAnsi="Times New Roman" w:eastAsia="宋体" w:cs="Times New Roman"/>
        </w:rPr>
      </w:pPr>
      <w:r>
        <w:rPr>
          <w:rFonts w:hint="eastAsia" w:ascii="宋体" w:hAnsi="宋体" w:eastAsia="宋体" w:cs="宋体"/>
        </w:rPr>
        <w:t>采用</w:t>
      </w:r>
      <w:r>
        <w:rPr>
          <w:rFonts w:hint="eastAsia" w:cs="宋体"/>
          <w:lang w:val="en-US" w:eastAsia="zh-CN"/>
        </w:rPr>
        <w:t>16</w:t>
      </w:r>
      <w:r>
        <w:rPr>
          <w:rFonts w:hint="eastAsia" w:ascii="Times New Roman" w:hAnsi="Times New Roman" w:eastAsia="宋体" w:cs="Times New Roman"/>
        </w:rPr>
        <w:t>mm钢丝绳可满足要求。</w:t>
      </w:r>
    </w:p>
    <w:p w14:paraId="601B158E">
      <w:pPr>
        <w:rPr>
          <w:rFonts w:hint="eastAsia"/>
        </w:rPr>
      </w:pPr>
    </w:p>
    <w:bookmarkEnd w:id="170"/>
    <w:bookmarkEnd w:id="171"/>
    <w:bookmarkEnd w:id="172"/>
    <w:bookmarkEnd w:id="173"/>
    <w:bookmarkEnd w:id="174"/>
    <w:p w14:paraId="65446C54">
      <w:pPr>
        <w:pStyle w:val="5"/>
        <w:bidi w:val="0"/>
        <w:rPr>
          <w:rFonts w:hint="eastAsia" w:ascii="宋体" w:hAnsi="宋体" w:eastAsia="宋体" w:cs="宋体"/>
          <w:lang w:val="en-US" w:eastAsia="zh-CN"/>
        </w:rPr>
      </w:pPr>
      <w:bookmarkStart w:id="176" w:name="_Toc25359"/>
      <w:r>
        <w:rPr>
          <w:rFonts w:hint="eastAsia" w:ascii="宋体" w:hAnsi="宋体" w:eastAsia="宋体" w:cs="宋体"/>
          <w:lang w:val="en-US" w:eastAsia="zh-CN"/>
        </w:rPr>
        <w:t>卸扣选型</w:t>
      </w:r>
      <w:bookmarkEnd w:id="176"/>
    </w:p>
    <w:p w14:paraId="0C419454">
      <w:pPr>
        <w:widowControl w:val="0"/>
        <w:adjustRightInd/>
        <w:snapToGrid/>
        <w:spacing w:line="360" w:lineRule="auto"/>
        <w:ind w:firstLine="480"/>
        <w:rPr>
          <w:rFonts w:hint="eastAsia" w:ascii="宋体" w:hAnsi="宋体" w:eastAsia="宋体" w:cs="宋体"/>
          <w:szCs w:val="21"/>
        </w:rPr>
      </w:pPr>
      <w:r>
        <w:rPr>
          <w:rFonts w:hint="eastAsia" w:ascii="宋体" w:hAnsi="宋体" w:eastAsia="宋体" w:cs="宋体"/>
          <w:szCs w:val="21"/>
        </w:rPr>
        <w:t>卸扣根据《一般起重用D形和弓形锻造卸扣》（GB/T 25854-2010）的规定选用。</w:t>
      </w:r>
    </w:p>
    <w:p w14:paraId="4B220508">
      <w:pPr>
        <w:widowControl w:val="0"/>
        <w:adjustRightInd w:val="0"/>
        <w:snapToGrid w:val="0"/>
        <w:spacing w:line="360" w:lineRule="auto"/>
        <w:ind w:firstLine="0" w:firstLineChars="0"/>
        <w:jc w:val="center"/>
        <w:rPr>
          <w:rFonts w:hint="eastAsia" w:ascii="宋体" w:hAnsi="宋体" w:eastAsia="宋体" w:cs="宋体"/>
          <w:b/>
          <w:kern w:val="2"/>
          <w:sz w:val="21"/>
          <w:szCs w:val="20"/>
          <w:lang w:val="en-US" w:eastAsia="zh-CN" w:bidi="ar-SA"/>
        </w:rPr>
      </w:pPr>
      <w:r>
        <w:rPr>
          <w:rFonts w:hint="eastAsia" w:ascii="宋体" w:hAnsi="宋体" w:eastAsia="宋体" w:cs="宋体"/>
          <w:b/>
          <w:kern w:val="2"/>
          <w:sz w:val="21"/>
          <w:szCs w:val="20"/>
          <w:lang w:val="en-US" w:eastAsia="zh-CN" w:bidi="ar-SA"/>
        </w:rPr>
        <w:t>表</w:t>
      </w:r>
      <w:r>
        <w:rPr>
          <w:rFonts w:hint="eastAsia" w:cs="宋体"/>
          <w:b/>
          <w:kern w:val="2"/>
          <w:sz w:val="21"/>
          <w:szCs w:val="20"/>
          <w:lang w:val="en-US" w:eastAsia="zh-CN" w:bidi="ar-SA"/>
        </w:rPr>
        <w:t>11.1.1.2-1</w:t>
      </w:r>
      <w:r>
        <w:rPr>
          <w:rFonts w:hint="eastAsia" w:ascii="宋体" w:hAnsi="宋体" w:eastAsia="宋体" w:cs="宋体"/>
          <w:b/>
          <w:kern w:val="2"/>
          <w:sz w:val="21"/>
          <w:szCs w:val="20"/>
          <w:lang w:val="en-US" w:eastAsia="zh-CN" w:bidi="ar-SA"/>
        </w:rPr>
        <w:t xml:space="preserve"> D形卸扣尺寸</w:t>
      </w:r>
    </w:p>
    <w:tbl>
      <w:tblPr>
        <w:tblStyle w:val="4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05"/>
        <w:gridCol w:w="1305"/>
        <w:gridCol w:w="1305"/>
        <w:gridCol w:w="1161"/>
        <w:gridCol w:w="1161"/>
        <w:gridCol w:w="1330"/>
        <w:gridCol w:w="1096"/>
        <w:gridCol w:w="1192"/>
      </w:tblGrid>
      <w:tr w14:paraId="141120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6" w:type="pct"/>
            <w:gridSpan w:val="3"/>
            <w:vAlign w:val="center"/>
          </w:tcPr>
          <w:p w14:paraId="7A7E9592">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kern w:val="2"/>
                <w:sz w:val="21"/>
                <w:szCs w:val="21"/>
                <w:lang w:val="en-US" w:eastAsia="zh-CN" w:bidi="ar-SA"/>
              </w:rPr>
              <w:t xml:space="preserve">  </w:t>
            </w:r>
            <w:r>
              <w:rPr>
                <w:rFonts w:hint="eastAsia" w:ascii="宋体" w:hAnsi="宋体" w:eastAsia="宋体" w:cs="宋体"/>
                <w:b/>
                <w:bCs/>
                <w:kern w:val="2"/>
                <w:sz w:val="21"/>
                <w:szCs w:val="21"/>
                <w:lang w:val="en-US" w:eastAsia="zh-CN" w:bidi="ar-SA"/>
              </w:rPr>
              <w:t>极限工作荷载WLL</w:t>
            </w:r>
          </w:p>
        </w:tc>
        <w:tc>
          <w:tcPr>
            <w:tcW w:w="589" w:type="pct"/>
            <w:vMerge w:val="restart"/>
            <w:vAlign w:val="center"/>
          </w:tcPr>
          <w:p w14:paraId="60623964">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d</w:t>
            </w:r>
            <w:r>
              <w:rPr>
                <w:rFonts w:hint="eastAsia" w:ascii="宋体" w:hAnsi="宋体" w:eastAsia="宋体" w:cs="宋体"/>
                <w:b/>
                <w:bCs/>
                <w:kern w:val="2"/>
                <w:sz w:val="21"/>
                <w:szCs w:val="21"/>
                <w:vertAlign w:val="superscript"/>
                <w:lang w:val="en-US" w:eastAsia="zh-CN" w:bidi="ar-SA"/>
              </w:rPr>
              <w:t>a</w:t>
            </w:r>
            <w:r>
              <w:rPr>
                <w:rFonts w:hint="eastAsia" w:ascii="宋体" w:hAnsi="宋体" w:eastAsia="宋体" w:cs="宋体"/>
                <w:b/>
                <w:bCs/>
                <w:kern w:val="2"/>
                <w:sz w:val="21"/>
                <w:szCs w:val="21"/>
                <w:lang w:val="en-US" w:eastAsia="zh-CN" w:bidi="ar-SA"/>
              </w:rPr>
              <w:t xml:space="preserve"> </w:t>
            </w:r>
          </w:p>
          <w:p w14:paraId="69F7800E">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max</w:t>
            </w:r>
          </w:p>
        </w:tc>
        <w:tc>
          <w:tcPr>
            <w:tcW w:w="589" w:type="pct"/>
            <w:vMerge w:val="restart"/>
            <w:vAlign w:val="center"/>
          </w:tcPr>
          <w:p w14:paraId="3038FE88">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D</w:t>
            </w:r>
            <w:r>
              <w:rPr>
                <w:rFonts w:hint="eastAsia" w:ascii="宋体" w:hAnsi="宋体" w:eastAsia="宋体" w:cs="宋体"/>
                <w:b/>
                <w:bCs/>
                <w:kern w:val="2"/>
                <w:sz w:val="21"/>
                <w:szCs w:val="21"/>
                <w:vertAlign w:val="superscript"/>
                <w:lang w:val="en-US" w:eastAsia="zh-CN" w:bidi="ar-SA"/>
              </w:rPr>
              <w:t>b</w:t>
            </w:r>
            <w:r>
              <w:rPr>
                <w:rFonts w:hint="eastAsia" w:ascii="宋体" w:hAnsi="宋体" w:eastAsia="宋体" w:cs="宋体"/>
                <w:b/>
                <w:bCs/>
                <w:kern w:val="2"/>
                <w:sz w:val="21"/>
                <w:szCs w:val="21"/>
                <w:lang w:val="en-US" w:eastAsia="zh-CN" w:bidi="ar-SA"/>
              </w:rPr>
              <w:t xml:space="preserve"> </w:t>
            </w:r>
          </w:p>
          <w:p w14:paraId="4E5C2F67">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 xml:space="preserve">max  </w:t>
            </w:r>
          </w:p>
        </w:tc>
        <w:tc>
          <w:tcPr>
            <w:tcW w:w="675" w:type="pct"/>
            <w:vMerge w:val="restart"/>
            <w:vAlign w:val="center"/>
          </w:tcPr>
          <w:p w14:paraId="2E2B31DC">
            <w:pPr>
              <w:widowControl w:val="0"/>
              <w:adjustRightInd w:val="0"/>
              <w:snapToGrid w:val="0"/>
              <w:spacing w:line="240" w:lineRule="auto"/>
              <w:ind w:firstLine="0" w:firstLineChars="0"/>
              <w:jc w:val="center"/>
              <w:rPr>
                <w:rFonts w:hint="eastAsia" w:ascii="宋体" w:hAnsi="宋体" w:eastAsia="宋体" w:cs="宋体"/>
                <w:b/>
                <w:bCs/>
                <w:kern w:val="2"/>
                <w:sz w:val="21"/>
                <w:szCs w:val="21"/>
                <w:vertAlign w:val="superscript"/>
                <w:lang w:val="en-US" w:eastAsia="zh-CN" w:bidi="ar-SA"/>
              </w:rPr>
            </w:pPr>
            <w:r>
              <w:rPr>
                <w:rFonts w:hint="eastAsia" w:ascii="宋体" w:hAnsi="宋体" w:eastAsia="宋体" w:cs="宋体"/>
                <w:b/>
                <w:bCs/>
                <w:kern w:val="2"/>
                <w:sz w:val="21"/>
                <w:szCs w:val="21"/>
                <w:lang w:val="en-US" w:eastAsia="zh-CN" w:bidi="ar-SA"/>
              </w:rPr>
              <w:t>e</w:t>
            </w:r>
            <w:r>
              <w:rPr>
                <w:rFonts w:hint="eastAsia" w:ascii="宋体" w:hAnsi="宋体" w:eastAsia="宋体" w:cs="宋体"/>
                <w:b/>
                <w:bCs/>
                <w:kern w:val="2"/>
                <w:sz w:val="21"/>
                <w:szCs w:val="21"/>
                <w:vertAlign w:val="superscript"/>
                <w:lang w:val="en-US" w:eastAsia="zh-CN" w:bidi="ar-SA"/>
              </w:rPr>
              <w:t>c</w:t>
            </w:r>
          </w:p>
          <w:p w14:paraId="112F2193">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max</w:t>
            </w:r>
          </w:p>
        </w:tc>
        <w:tc>
          <w:tcPr>
            <w:tcW w:w="556" w:type="pct"/>
            <w:vMerge w:val="restart"/>
            <w:vAlign w:val="center"/>
          </w:tcPr>
          <w:p w14:paraId="14203472">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S</w:t>
            </w:r>
            <w:r>
              <w:rPr>
                <w:rFonts w:hint="eastAsia" w:ascii="宋体" w:hAnsi="宋体" w:eastAsia="宋体" w:cs="宋体"/>
                <w:b/>
                <w:bCs/>
                <w:kern w:val="2"/>
                <w:sz w:val="21"/>
                <w:szCs w:val="21"/>
                <w:vertAlign w:val="superscript"/>
                <w:lang w:val="en-US" w:eastAsia="zh-CN" w:bidi="ar-SA"/>
              </w:rPr>
              <w:t>d</w:t>
            </w:r>
            <w:r>
              <w:rPr>
                <w:rFonts w:hint="eastAsia" w:ascii="宋体" w:hAnsi="宋体" w:eastAsia="宋体" w:cs="宋体"/>
                <w:b/>
                <w:bCs/>
                <w:kern w:val="2"/>
                <w:sz w:val="21"/>
                <w:szCs w:val="21"/>
                <w:lang w:val="en-US" w:eastAsia="zh-CN" w:bidi="ar-SA"/>
              </w:rPr>
              <w:t xml:space="preserve"> </w:t>
            </w:r>
          </w:p>
          <w:p w14:paraId="0AEF81D2">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min</w:t>
            </w:r>
          </w:p>
        </w:tc>
        <w:tc>
          <w:tcPr>
            <w:tcW w:w="605" w:type="pct"/>
            <w:vMerge w:val="restart"/>
            <w:vAlign w:val="center"/>
          </w:tcPr>
          <w:p w14:paraId="389CC0D8">
            <w:pPr>
              <w:widowControl w:val="0"/>
              <w:adjustRightInd w:val="0"/>
              <w:snapToGrid w:val="0"/>
              <w:spacing w:line="240" w:lineRule="auto"/>
              <w:ind w:firstLine="0" w:firstLineChars="0"/>
              <w:jc w:val="center"/>
              <w:rPr>
                <w:rFonts w:hint="eastAsia" w:ascii="宋体" w:hAnsi="宋体" w:eastAsia="宋体" w:cs="宋体"/>
                <w:b/>
                <w:bCs/>
                <w:kern w:val="2"/>
                <w:sz w:val="21"/>
                <w:szCs w:val="21"/>
                <w:vertAlign w:val="superscript"/>
                <w:lang w:val="en-US" w:eastAsia="zh-CN" w:bidi="ar-SA"/>
              </w:rPr>
            </w:pPr>
            <w:r>
              <w:rPr>
                <w:rFonts w:hint="eastAsia" w:ascii="宋体" w:hAnsi="宋体" w:eastAsia="宋体" w:cs="宋体"/>
                <w:b/>
                <w:bCs/>
                <w:kern w:val="2"/>
                <w:sz w:val="21"/>
                <w:szCs w:val="21"/>
                <w:lang w:val="en-US" w:eastAsia="zh-CN" w:bidi="ar-SA"/>
              </w:rPr>
              <w:t>W</w:t>
            </w:r>
            <w:r>
              <w:rPr>
                <w:rFonts w:hint="eastAsia" w:ascii="宋体" w:hAnsi="宋体" w:eastAsia="宋体" w:cs="宋体"/>
                <w:b/>
                <w:bCs/>
                <w:kern w:val="2"/>
                <w:sz w:val="21"/>
                <w:szCs w:val="21"/>
                <w:vertAlign w:val="superscript"/>
                <w:lang w:val="en-US" w:eastAsia="zh-CN" w:bidi="ar-SA"/>
              </w:rPr>
              <w:t>b</w:t>
            </w:r>
          </w:p>
          <w:p w14:paraId="31765610">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 xml:space="preserve"> min</w:t>
            </w:r>
          </w:p>
        </w:tc>
      </w:tr>
      <w:tr w14:paraId="0F27BA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14:paraId="73A28238">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4级</w:t>
            </w:r>
          </w:p>
        </w:tc>
        <w:tc>
          <w:tcPr>
            <w:tcW w:w="662" w:type="pct"/>
            <w:vAlign w:val="center"/>
          </w:tcPr>
          <w:p w14:paraId="6035C503">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6级</w:t>
            </w:r>
          </w:p>
        </w:tc>
        <w:tc>
          <w:tcPr>
            <w:tcW w:w="662" w:type="pct"/>
            <w:vAlign w:val="center"/>
          </w:tcPr>
          <w:p w14:paraId="4AB3CF93">
            <w:pPr>
              <w:widowControl w:val="0"/>
              <w:adjustRightInd w:val="0"/>
              <w:snapToGrid w:val="0"/>
              <w:spacing w:line="240" w:lineRule="auto"/>
              <w:ind w:firstLine="0" w:firstLineChars="0"/>
              <w:jc w:val="center"/>
              <w:rPr>
                <w:rFonts w:hint="eastAsia" w:ascii="宋体" w:hAnsi="宋体" w:eastAsia="宋体" w:cs="宋体"/>
                <w:b/>
                <w:bCs/>
                <w:kern w:val="2"/>
                <w:sz w:val="21"/>
                <w:szCs w:val="21"/>
                <w:lang w:val="en-US" w:eastAsia="zh-CN" w:bidi="ar-SA"/>
              </w:rPr>
            </w:pPr>
            <w:r>
              <w:rPr>
                <w:rFonts w:hint="eastAsia" w:ascii="宋体" w:hAnsi="宋体" w:eastAsia="宋体" w:cs="宋体"/>
                <w:b/>
                <w:bCs/>
                <w:kern w:val="2"/>
                <w:sz w:val="21"/>
                <w:szCs w:val="21"/>
                <w:lang w:val="en-US" w:eastAsia="zh-CN" w:bidi="ar-SA"/>
              </w:rPr>
              <w:t>8级</w:t>
            </w:r>
          </w:p>
        </w:tc>
        <w:tc>
          <w:tcPr>
            <w:tcW w:w="589" w:type="pct"/>
            <w:vMerge w:val="continue"/>
            <w:vAlign w:val="center"/>
          </w:tcPr>
          <w:p w14:paraId="6251DC6B">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p>
        </w:tc>
        <w:tc>
          <w:tcPr>
            <w:tcW w:w="589" w:type="pct"/>
            <w:vMerge w:val="continue"/>
            <w:vAlign w:val="center"/>
          </w:tcPr>
          <w:p w14:paraId="074CC204">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p>
        </w:tc>
        <w:tc>
          <w:tcPr>
            <w:tcW w:w="675" w:type="pct"/>
            <w:vMerge w:val="continue"/>
            <w:vAlign w:val="center"/>
          </w:tcPr>
          <w:p w14:paraId="6057EF57">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p>
        </w:tc>
        <w:tc>
          <w:tcPr>
            <w:tcW w:w="556" w:type="pct"/>
            <w:vMerge w:val="continue"/>
            <w:vAlign w:val="center"/>
          </w:tcPr>
          <w:p w14:paraId="67C6351F">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p>
        </w:tc>
        <w:tc>
          <w:tcPr>
            <w:tcW w:w="605" w:type="pct"/>
            <w:vMerge w:val="continue"/>
            <w:vAlign w:val="center"/>
          </w:tcPr>
          <w:p w14:paraId="12C7320E">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p>
        </w:tc>
      </w:tr>
      <w:tr w14:paraId="696C5D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86" w:type="pct"/>
            <w:gridSpan w:val="3"/>
            <w:vAlign w:val="center"/>
          </w:tcPr>
          <w:p w14:paraId="1F46D924">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t</w:t>
            </w:r>
          </w:p>
        </w:tc>
        <w:tc>
          <w:tcPr>
            <w:tcW w:w="3014" w:type="pct"/>
            <w:gridSpan w:val="5"/>
            <w:vAlign w:val="center"/>
          </w:tcPr>
          <w:p w14:paraId="3706E3FE">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mm</w:t>
            </w:r>
          </w:p>
        </w:tc>
      </w:tr>
      <w:tr w14:paraId="4C015C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14:paraId="70AE7082">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w:t>
            </w:r>
          </w:p>
        </w:tc>
        <w:tc>
          <w:tcPr>
            <w:tcW w:w="662" w:type="pct"/>
            <w:vAlign w:val="center"/>
          </w:tcPr>
          <w:p w14:paraId="5A9EF143">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w:t>
            </w:r>
          </w:p>
        </w:tc>
        <w:tc>
          <w:tcPr>
            <w:tcW w:w="662" w:type="pct"/>
            <w:vAlign w:val="center"/>
          </w:tcPr>
          <w:p w14:paraId="15F87797">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w:t>
            </w:r>
          </w:p>
        </w:tc>
        <w:tc>
          <w:tcPr>
            <w:tcW w:w="589" w:type="pct"/>
            <w:vAlign w:val="center"/>
          </w:tcPr>
          <w:p w14:paraId="6CD803B7">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31.5</w:t>
            </w:r>
          </w:p>
        </w:tc>
        <w:tc>
          <w:tcPr>
            <w:tcW w:w="589" w:type="pct"/>
            <w:vAlign w:val="center"/>
          </w:tcPr>
          <w:p w14:paraId="32048F81">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35.5</w:t>
            </w:r>
          </w:p>
        </w:tc>
        <w:tc>
          <w:tcPr>
            <w:tcW w:w="675" w:type="pct"/>
            <w:vAlign w:val="center"/>
          </w:tcPr>
          <w:p w14:paraId="672E7AF6">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78.1</w:t>
            </w:r>
          </w:p>
        </w:tc>
        <w:tc>
          <w:tcPr>
            <w:tcW w:w="556" w:type="pct"/>
            <w:vAlign w:val="center"/>
          </w:tcPr>
          <w:p w14:paraId="7FDB211B">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71</w:t>
            </w:r>
          </w:p>
        </w:tc>
        <w:tc>
          <w:tcPr>
            <w:tcW w:w="605" w:type="pct"/>
            <w:vAlign w:val="center"/>
          </w:tcPr>
          <w:p w14:paraId="7D6CA584">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35.5</w:t>
            </w:r>
          </w:p>
        </w:tc>
      </w:tr>
      <w:tr w14:paraId="523C99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14:paraId="04852350">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6.3</w:t>
            </w:r>
          </w:p>
        </w:tc>
        <w:tc>
          <w:tcPr>
            <w:tcW w:w="662" w:type="pct"/>
            <w:vAlign w:val="center"/>
          </w:tcPr>
          <w:p w14:paraId="508EE36B">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w:t>
            </w:r>
          </w:p>
        </w:tc>
        <w:tc>
          <w:tcPr>
            <w:tcW w:w="662" w:type="pct"/>
            <w:vAlign w:val="center"/>
          </w:tcPr>
          <w:p w14:paraId="21C69FAA">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12.5</w:t>
            </w:r>
          </w:p>
        </w:tc>
        <w:tc>
          <w:tcPr>
            <w:tcW w:w="589" w:type="pct"/>
            <w:vAlign w:val="center"/>
          </w:tcPr>
          <w:p w14:paraId="547405E7">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35.5</w:t>
            </w:r>
          </w:p>
        </w:tc>
        <w:tc>
          <w:tcPr>
            <w:tcW w:w="589" w:type="pct"/>
            <w:vAlign w:val="center"/>
          </w:tcPr>
          <w:p w14:paraId="53422DE8">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40</w:t>
            </w:r>
          </w:p>
        </w:tc>
        <w:tc>
          <w:tcPr>
            <w:tcW w:w="675" w:type="pct"/>
            <w:vAlign w:val="center"/>
          </w:tcPr>
          <w:p w14:paraId="6C848B48">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88</w:t>
            </w:r>
          </w:p>
        </w:tc>
        <w:tc>
          <w:tcPr>
            <w:tcW w:w="556" w:type="pct"/>
            <w:vAlign w:val="center"/>
          </w:tcPr>
          <w:p w14:paraId="09ECA7D7">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80</w:t>
            </w:r>
          </w:p>
        </w:tc>
        <w:tc>
          <w:tcPr>
            <w:tcW w:w="605" w:type="pct"/>
            <w:vAlign w:val="center"/>
          </w:tcPr>
          <w:p w14:paraId="586A8E70">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40</w:t>
            </w:r>
          </w:p>
        </w:tc>
      </w:tr>
      <w:tr w14:paraId="55FEE7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14:paraId="174F9C46">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w:t>
            </w:r>
          </w:p>
        </w:tc>
        <w:tc>
          <w:tcPr>
            <w:tcW w:w="662" w:type="pct"/>
            <w:vAlign w:val="center"/>
          </w:tcPr>
          <w:p w14:paraId="1FCDC0A8">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12.5</w:t>
            </w:r>
          </w:p>
        </w:tc>
        <w:tc>
          <w:tcPr>
            <w:tcW w:w="662" w:type="pct"/>
            <w:vAlign w:val="center"/>
          </w:tcPr>
          <w:p w14:paraId="2DF5F6C6">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16</w:t>
            </w:r>
          </w:p>
        </w:tc>
        <w:tc>
          <w:tcPr>
            <w:tcW w:w="589" w:type="pct"/>
            <w:vAlign w:val="center"/>
          </w:tcPr>
          <w:p w14:paraId="0077C102">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40</w:t>
            </w:r>
          </w:p>
        </w:tc>
        <w:tc>
          <w:tcPr>
            <w:tcW w:w="589" w:type="pct"/>
            <w:vAlign w:val="center"/>
          </w:tcPr>
          <w:p w14:paraId="3115549E">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45</w:t>
            </w:r>
          </w:p>
        </w:tc>
        <w:tc>
          <w:tcPr>
            <w:tcW w:w="675" w:type="pct"/>
            <w:vAlign w:val="center"/>
          </w:tcPr>
          <w:p w14:paraId="56ED6968">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99</w:t>
            </w:r>
          </w:p>
        </w:tc>
        <w:tc>
          <w:tcPr>
            <w:tcW w:w="556" w:type="pct"/>
            <w:vAlign w:val="center"/>
          </w:tcPr>
          <w:p w14:paraId="46D66E22">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90</w:t>
            </w:r>
          </w:p>
        </w:tc>
        <w:tc>
          <w:tcPr>
            <w:tcW w:w="605" w:type="pct"/>
            <w:vAlign w:val="center"/>
          </w:tcPr>
          <w:p w14:paraId="048C4054">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45</w:t>
            </w:r>
          </w:p>
        </w:tc>
      </w:tr>
      <w:tr w14:paraId="2658A5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14:paraId="5732417F">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w:t>
            </w:r>
          </w:p>
        </w:tc>
        <w:tc>
          <w:tcPr>
            <w:tcW w:w="662" w:type="pct"/>
            <w:vAlign w:val="center"/>
          </w:tcPr>
          <w:p w14:paraId="0D975F63">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16</w:t>
            </w:r>
          </w:p>
        </w:tc>
        <w:tc>
          <w:tcPr>
            <w:tcW w:w="662" w:type="pct"/>
            <w:vAlign w:val="center"/>
          </w:tcPr>
          <w:p w14:paraId="07DD3745">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20</w:t>
            </w:r>
          </w:p>
        </w:tc>
        <w:tc>
          <w:tcPr>
            <w:tcW w:w="589" w:type="pct"/>
            <w:vAlign w:val="center"/>
          </w:tcPr>
          <w:p w14:paraId="035AA671">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45</w:t>
            </w:r>
          </w:p>
        </w:tc>
        <w:tc>
          <w:tcPr>
            <w:tcW w:w="589" w:type="pct"/>
            <w:vAlign w:val="center"/>
          </w:tcPr>
          <w:p w14:paraId="6F025214">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50</w:t>
            </w:r>
          </w:p>
        </w:tc>
        <w:tc>
          <w:tcPr>
            <w:tcW w:w="675" w:type="pct"/>
            <w:vAlign w:val="center"/>
          </w:tcPr>
          <w:p w14:paraId="7A315C55">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110</w:t>
            </w:r>
          </w:p>
        </w:tc>
        <w:tc>
          <w:tcPr>
            <w:tcW w:w="556" w:type="pct"/>
            <w:vAlign w:val="center"/>
          </w:tcPr>
          <w:p w14:paraId="07435FB3">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100</w:t>
            </w:r>
          </w:p>
        </w:tc>
        <w:tc>
          <w:tcPr>
            <w:tcW w:w="605" w:type="pct"/>
            <w:vAlign w:val="center"/>
          </w:tcPr>
          <w:p w14:paraId="5DE6E29D">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50</w:t>
            </w:r>
          </w:p>
        </w:tc>
      </w:tr>
      <w:tr w14:paraId="3954D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14:paraId="734F61AB">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12.5</w:t>
            </w:r>
          </w:p>
        </w:tc>
        <w:tc>
          <w:tcPr>
            <w:tcW w:w="662" w:type="pct"/>
            <w:vAlign w:val="center"/>
          </w:tcPr>
          <w:p w14:paraId="44A4EB25">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20</w:t>
            </w:r>
          </w:p>
        </w:tc>
        <w:tc>
          <w:tcPr>
            <w:tcW w:w="662" w:type="pct"/>
            <w:vAlign w:val="center"/>
          </w:tcPr>
          <w:p w14:paraId="623D8C5E">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25</w:t>
            </w:r>
          </w:p>
        </w:tc>
        <w:tc>
          <w:tcPr>
            <w:tcW w:w="589" w:type="pct"/>
            <w:vAlign w:val="center"/>
          </w:tcPr>
          <w:p w14:paraId="291CAFB0">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50</w:t>
            </w:r>
          </w:p>
        </w:tc>
        <w:tc>
          <w:tcPr>
            <w:tcW w:w="589" w:type="pct"/>
            <w:vAlign w:val="center"/>
          </w:tcPr>
          <w:p w14:paraId="00FC21F3">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56</w:t>
            </w:r>
          </w:p>
        </w:tc>
        <w:tc>
          <w:tcPr>
            <w:tcW w:w="675" w:type="pct"/>
            <w:vAlign w:val="center"/>
          </w:tcPr>
          <w:p w14:paraId="7C11237E">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123.2</w:t>
            </w:r>
          </w:p>
        </w:tc>
        <w:tc>
          <w:tcPr>
            <w:tcW w:w="556" w:type="pct"/>
            <w:vAlign w:val="center"/>
          </w:tcPr>
          <w:p w14:paraId="2E78E444">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112</w:t>
            </w:r>
          </w:p>
        </w:tc>
        <w:tc>
          <w:tcPr>
            <w:tcW w:w="605" w:type="pct"/>
            <w:vAlign w:val="center"/>
          </w:tcPr>
          <w:p w14:paraId="679C5B2C">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56</w:t>
            </w:r>
          </w:p>
        </w:tc>
      </w:tr>
      <w:tr w14:paraId="2F245D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14:paraId="76A41C79">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16</w:t>
            </w:r>
          </w:p>
        </w:tc>
        <w:tc>
          <w:tcPr>
            <w:tcW w:w="662" w:type="pct"/>
            <w:vAlign w:val="center"/>
          </w:tcPr>
          <w:p w14:paraId="3C34E525">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25</w:t>
            </w:r>
          </w:p>
        </w:tc>
        <w:tc>
          <w:tcPr>
            <w:tcW w:w="662" w:type="pct"/>
            <w:vAlign w:val="center"/>
          </w:tcPr>
          <w:p w14:paraId="2A19AD4A">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32</w:t>
            </w:r>
          </w:p>
        </w:tc>
        <w:tc>
          <w:tcPr>
            <w:tcW w:w="589" w:type="pct"/>
            <w:vAlign w:val="center"/>
          </w:tcPr>
          <w:p w14:paraId="2800AB24">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56</w:t>
            </w:r>
          </w:p>
        </w:tc>
        <w:tc>
          <w:tcPr>
            <w:tcW w:w="589" w:type="pct"/>
            <w:vAlign w:val="center"/>
          </w:tcPr>
          <w:p w14:paraId="4A8B2E64">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63</w:t>
            </w:r>
          </w:p>
        </w:tc>
        <w:tc>
          <w:tcPr>
            <w:tcW w:w="675" w:type="pct"/>
            <w:vAlign w:val="center"/>
          </w:tcPr>
          <w:p w14:paraId="1EBCBD7C">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138.6</w:t>
            </w:r>
          </w:p>
        </w:tc>
        <w:tc>
          <w:tcPr>
            <w:tcW w:w="556" w:type="pct"/>
            <w:vAlign w:val="center"/>
          </w:tcPr>
          <w:p w14:paraId="36528A36">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125</w:t>
            </w:r>
          </w:p>
        </w:tc>
        <w:tc>
          <w:tcPr>
            <w:tcW w:w="605" w:type="pct"/>
            <w:vAlign w:val="center"/>
          </w:tcPr>
          <w:p w14:paraId="4DF3C4EC">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63</w:t>
            </w:r>
          </w:p>
        </w:tc>
      </w:tr>
      <w:tr w14:paraId="5821FB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14:paraId="3D6BA00A">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20</w:t>
            </w:r>
          </w:p>
        </w:tc>
        <w:tc>
          <w:tcPr>
            <w:tcW w:w="662" w:type="pct"/>
            <w:vAlign w:val="center"/>
          </w:tcPr>
          <w:p w14:paraId="0539F5E1">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32</w:t>
            </w:r>
          </w:p>
        </w:tc>
        <w:tc>
          <w:tcPr>
            <w:tcW w:w="662" w:type="pct"/>
            <w:vAlign w:val="center"/>
          </w:tcPr>
          <w:p w14:paraId="67574A9E">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40</w:t>
            </w:r>
          </w:p>
        </w:tc>
        <w:tc>
          <w:tcPr>
            <w:tcW w:w="589" w:type="pct"/>
            <w:vAlign w:val="center"/>
          </w:tcPr>
          <w:p w14:paraId="2DB3864E">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63</w:t>
            </w:r>
          </w:p>
        </w:tc>
        <w:tc>
          <w:tcPr>
            <w:tcW w:w="589" w:type="pct"/>
            <w:vAlign w:val="center"/>
          </w:tcPr>
          <w:p w14:paraId="5066F534">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71</w:t>
            </w:r>
          </w:p>
        </w:tc>
        <w:tc>
          <w:tcPr>
            <w:tcW w:w="675" w:type="pct"/>
            <w:vAlign w:val="center"/>
          </w:tcPr>
          <w:p w14:paraId="310DCAB7">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156.2</w:t>
            </w:r>
          </w:p>
        </w:tc>
        <w:tc>
          <w:tcPr>
            <w:tcW w:w="556" w:type="pct"/>
            <w:vAlign w:val="center"/>
          </w:tcPr>
          <w:p w14:paraId="04C5C3B3">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140</w:t>
            </w:r>
          </w:p>
        </w:tc>
        <w:tc>
          <w:tcPr>
            <w:tcW w:w="605" w:type="pct"/>
            <w:vAlign w:val="center"/>
          </w:tcPr>
          <w:p w14:paraId="36D8B4EE">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71</w:t>
            </w:r>
          </w:p>
        </w:tc>
      </w:tr>
      <w:tr w14:paraId="6775B1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14:paraId="0A5933E0">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25</w:t>
            </w:r>
          </w:p>
        </w:tc>
        <w:tc>
          <w:tcPr>
            <w:tcW w:w="662" w:type="pct"/>
            <w:vAlign w:val="center"/>
          </w:tcPr>
          <w:p w14:paraId="20B1802C">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40</w:t>
            </w:r>
          </w:p>
        </w:tc>
        <w:tc>
          <w:tcPr>
            <w:tcW w:w="662" w:type="pct"/>
            <w:vAlign w:val="center"/>
          </w:tcPr>
          <w:p w14:paraId="664597BB">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50</w:t>
            </w:r>
          </w:p>
        </w:tc>
        <w:tc>
          <w:tcPr>
            <w:tcW w:w="589" w:type="pct"/>
            <w:vAlign w:val="center"/>
          </w:tcPr>
          <w:p w14:paraId="2AD3A1C9">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71</w:t>
            </w:r>
          </w:p>
        </w:tc>
        <w:tc>
          <w:tcPr>
            <w:tcW w:w="589" w:type="pct"/>
            <w:vAlign w:val="center"/>
          </w:tcPr>
          <w:p w14:paraId="07084BC1">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80</w:t>
            </w:r>
          </w:p>
        </w:tc>
        <w:tc>
          <w:tcPr>
            <w:tcW w:w="675" w:type="pct"/>
            <w:vAlign w:val="center"/>
          </w:tcPr>
          <w:p w14:paraId="71BFEB10">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178</w:t>
            </w:r>
          </w:p>
        </w:tc>
        <w:tc>
          <w:tcPr>
            <w:tcW w:w="556" w:type="pct"/>
            <w:vAlign w:val="center"/>
          </w:tcPr>
          <w:p w14:paraId="0302C8CC">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160</w:t>
            </w:r>
          </w:p>
        </w:tc>
        <w:tc>
          <w:tcPr>
            <w:tcW w:w="605" w:type="pct"/>
            <w:vAlign w:val="center"/>
          </w:tcPr>
          <w:p w14:paraId="4975D641">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80</w:t>
            </w:r>
          </w:p>
        </w:tc>
      </w:tr>
      <w:tr w14:paraId="4F86F2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14:paraId="725EAE27">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32</w:t>
            </w:r>
          </w:p>
        </w:tc>
        <w:tc>
          <w:tcPr>
            <w:tcW w:w="662" w:type="pct"/>
            <w:vAlign w:val="center"/>
          </w:tcPr>
          <w:p w14:paraId="080F7E7C">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50</w:t>
            </w:r>
          </w:p>
        </w:tc>
        <w:tc>
          <w:tcPr>
            <w:tcW w:w="662" w:type="pct"/>
            <w:vAlign w:val="center"/>
          </w:tcPr>
          <w:p w14:paraId="0E884842">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63</w:t>
            </w:r>
          </w:p>
        </w:tc>
        <w:tc>
          <w:tcPr>
            <w:tcW w:w="589" w:type="pct"/>
            <w:vAlign w:val="center"/>
          </w:tcPr>
          <w:p w14:paraId="1B6707A7">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80</w:t>
            </w:r>
          </w:p>
        </w:tc>
        <w:tc>
          <w:tcPr>
            <w:tcW w:w="589" w:type="pct"/>
            <w:vAlign w:val="center"/>
          </w:tcPr>
          <w:p w14:paraId="38894A70">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90</w:t>
            </w:r>
          </w:p>
        </w:tc>
        <w:tc>
          <w:tcPr>
            <w:tcW w:w="675" w:type="pct"/>
            <w:vAlign w:val="center"/>
          </w:tcPr>
          <w:p w14:paraId="5FC75FF9">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198</w:t>
            </w:r>
          </w:p>
        </w:tc>
        <w:tc>
          <w:tcPr>
            <w:tcW w:w="556" w:type="pct"/>
            <w:vAlign w:val="center"/>
          </w:tcPr>
          <w:p w14:paraId="6F444731">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180</w:t>
            </w:r>
          </w:p>
        </w:tc>
        <w:tc>
          <w:tcPr>
            <w:tcW w:w="605" w:type="pct"/>
            <w:vAlign w:val="center"/>
          </w:tcPr>
          <w:p w14:paraId="4FEE0CAE">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90</w:t>
            </w:r>
          </w:p>
        </w:tc>
      </w:tr>
      <w:tr w14:paraId="61FA9B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62" w:type="pct"/>
            <w:vAlign w:val="center"/>
          </w:tcPr>
          <w:p w14:paraId="3DBD3E90">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40</w:t>
            </w:r>
          </w:p>
        </w:tc>
        <w:tc>
          <w:tcPr>
            <w:tcW w:w="662" w:type="pct"/>
            <w:vAlign w:val="center"/>
          </w:tcPr>
          <w:p w14:paraId="65D602D9">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63</w:t>
            </w:r>
          </w:p>
        </w:tc>
        <w:tc>
          <w:tcPr>
            <w:tcW w:w="662" w:type="pct"/>
            <w:vAlign w:val="center"/>
          </w:tcPr>
          <w:p w14:paraId="36789A31">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80</w:t>
            </w:r>
          </w:p>
        </w:tc>
        <w:tc>
          <w:tcPr>
            <w:tcW w:w="589" w:type="pct"/>
            <w:vAlign w:val="center"/>
          </w:tcPr>
          <w:p w14:paraId="24B1FA89">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90</w:t>
            </w:r>
          </w:p>
        </w:tc>
        <w:tc>
          <w:tcPr>
            <w:tcW w:w="589" w:type="pct"/>
            <w:vAlign w:val="center"/>
          </w:tcPr>
          <w:p w14:paraId="49538781">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100</w:t>
            </w:r>
          </w:p>
        </w:tc>
        <w:tc>
          <w:tcPr>
            <w:tcW w:w="675" w:type="pct"/>
            <w:vAlign w:val="center"/>
          </w:tcPr>
          <w:p w14:paraId="2ABA1D10">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220</w:t>
            </w:r>
          </w:p>
        </w:tc>
        <w:tc>
          <w:tcPr>
            <w:tcW w:w="556" w:type="pct"/>
            <w:vAlign w:val="center"/>
          </w:tcPr>
          <w:p w14:paraId="29B655BF">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200</w:t>
            </w:r>
          </w:p>
        </w:tc>
        <w:tc>
          <w:tcPr>
            <w:tcW w:w="605" w:type="pct"/>
            <w:vAlign w:val="center"/>
          </w:tcPr>
          <w:p w14:paraId="65C2E627">
            <w:pPr>
              <w:widowControl w:val="0"/>
              <w:adjustRightInd w:val="0"/>
              <w:snapToGrid w:val="0"/>
              <w:spacing w:line="240" w:lineRule="auto"/>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100</w:t>
            </w:r>
          </w:p>
        </w:tc>
      </w:tr>
    </w:tbl>
    <w:p w14:paraId="03C48B67">
      <w:pPr>
        <w:widowControl w:val="0"/>
        <w:adjustRightInd w:val="0"/>
        <w:snapToGrid w:val="0"/>
        <w:spacing w:line="360" w:lineRule="auto"/>
        <w:ind w:firstLine="480" w:firstLineChars="200"/>
        <w:jc w:val="both"/>
        <w:rPr>
          <w:rFonts w:hint="eastAsia" w:ascii="宋体" w:hAnsi="宋体" w:eastAsia="宋体" w:cs="宋体"/>
          <w:kern w:val="2"/>
          <w:sz w:val="24"/>
          <w:szCs w:val="21"/>
          <w:lang w:val="en-US" w:eastAsia="zh-CN" w:bidi="ar-SA"/>
        </w:rPr>
      </w:pPr>
      <w:r>
        <w:rPr>
          <w:rFonts w:hint="eastAsia" w:ascii="宋体" w:hAnsi="宋体" w:eastAsia="宋体" w:cs="宋体"/>
          <w:kern w:val="2"/>
          <w:sz w:val="24"/>
          <w:szCs w:val="21"/>
          <w:lang w:val="en-US" w:eastAsia="zh-CN" w:bidi="ar-SA"/>
        </w:rPr>
        <w:t>四点吊的塔吊主要部件除起重臂外钢丝绳连接卸扣工作荷载：</w:t>
      </w:r>
    </w:p>
    <w:p w14:paraId="033FACED">
      <w:pPr>
        <w:widowControl w:val="0"/>
        <w:adjustRightInd/>
        <w:snapToGrid/>
        <w:spacing w:line="360" w:lineRule="auto"/>
        <w:ind w:firstLine="480"/>
        <w:rPr>
          <w:rFonts w:hint="eastAsia" w:ascii="宋体" w:hAnsi="宋体" w:eastAsia="宋体" w:cs="宋体"/>
          <w:szCs w:val="21"/>
        </w:rPr>
      </w:pPr>
      <w:r>
        <w:rPr>
          <w:rFonts w:hint="eastAsia" w:ascii="宋体" w:hAnsi="宋体" w:eastAsia="宋体" w:cs="宋体"/>
          <w:position w:val="-24"/>
          <w:szCs w:val="21"/>
        </w:rPr>
        <w:object>
          <v:shape id="_x0000_i1026" o:spt="75" type="#_x0000_t75" style="height:31.2pt;width:111pt;" o:ole="t" filled="f" o:preferrelative="t" stroked="f" coordsize="21600,21600">
            <v:path/>
            <v:fill on="f" focussize="0,0"/>
            <v:stroke on="f" joinstyle="miter"/>
            <v:imagedata r:id="rId53" o:title=""/>
            <o:lock v:ext="edit" aspectratio="t"/>
            <w10:wrap type="none"/>
            <w10:anchorlock/>
          </v:shape>
          <o:OLEObject Type="Embed" ProgID="Equation.DSMT4" ShapeID="_x0000_i1026" DrawAspect="Content" ObjectID="_1468075725" r:id="rId52">
            <o:LockedField>false</o:LockedField>
          </o:OLEObject>
        </w:object>
      </w:r>
      <w:r>
        <w:rPr>
          <w:rFonts w:hint="eastAsia" w:ascii="宋体" w:hAnsi="宋体" w:eastAsia="宋体" w:cs="宋体"/>
          <w:szCs w:val="21"/>
        </w:rPr>
        <w:t>，选用卸扣GB/T 25854-6-DW8。</w:t>
      </w:r>
    </w:p>
    <w:p w14:paraId="4A1833F1">
      <w:pPr>
        <w:widowControl w:val="0"/>
        <w:adjustRightInd/>
        <w:snapToGrid/>
        <w:spacing w:line="360" w:lineRule="auto"/>
        <w:ind w:firstLine="480"/>
        <w:rPr>
          <w:rFonts w:hint="eastAsia" w:ascii="宋体" w:hAnsi="宋体" w:eastAsia="宋体" w:cs="宋体"/>
          <w:szCs w:val="21"/>
        </w:rPr>
      </w:pPr>
      <w:r>
        <w:rPr>
          <w:rFonts w:hint="eastAsia" w:ascii="宋体" w:hAnsi="宋体" w:eastAsia="宋体" w:cs="宋体"/>
          <w:szCs w:val="21"/>
        </w:rPr>
        <w:t>起重臂吊装钢丝绳连接卸扣工作荷载：</w:t>
      </w:r>
    </w:p>
    <w:p w14:paraId="6929A4D0">
      <w:pPr>
        <w:widowControl w:val="0"/>
        <w:adjustRightInd/>
        <w:snapToGrid/>
        <w:spacing w:line="360" w:lineRule="auto"/>
        <w:ind w:firstLine="480"/>
        <w:rPr>
          <w:rFonts w:hint="eastAsia" w:ascii="宋体" w:hAnsi="宋体" w:eastAsia="宋体" w:cs="宋体"/>
          <w:szCs w:val="21"/>
        </w:rPr>
      </w:pPr>
      <w:r>
        <w:rPr>
          <w:rFonts w:hint="eastAsia" w:ascii="宋体" w:hAnsi="宋体" w:eastAsia="宋体" w:cs="宋体"/>
          <w:position w:val="-24"/>
          <w:szCs w:val="21"/>
        </w:rPr>
        <w:object>
          <v:shape id="_x0000_i1027" o:spt="75" type="#_x0000_t75" style="height:31.2pt;width:112.2pt;" o:ole="t" filled="f" o:preferrelative="t" stroked="f" coordsize="21600,21600">
            <v:path/>
            <v:fill on="f" focussize="0,0"/>
            <v:stroke on="f" joinstyle="miter"/>
            <v:imagedata r:id="rId55" o:title=""/>
            <o:lock v:ext="edit" aspectratio="t"/>
            <w10:wrap type="none"/>
            <w10:anchorlock/>
          </v:shape>
          <o:OLEObject Type="Embed" ProgID="Equation.DSMT4" ShapeID="_x0000_i1027" DrawAspect="Content" ObjectID="_1468075726" r:id="rId54">
            <o:LockedField>false</o:LockedField>
          </o:OLEObject>
        </w:object>
      </w:r>
      <w:r>
        <w:rPr>
          <w:rFonts w:hint="eastAsia" w:ascii="宋体" w:hAnsi="宋体" w:eastAsia="宋体" w:cs="宋体"/>
          <w:szCs w:val="21"/>
        </w:rPr>
        <w:t>，选用卸扣GB/T 25854-6-DW8。</w:t>
      </w:r>
    </w:p>
    <w:p w14:paraId="2482F3F6">
      <w:pPr>
        <w:bidi w:val="0"/>
        <w:rPr>
          <w:rFonts w:hint="default"/>
        </w:rPr>
      </w:pPr>
    </w:p>
    <w:sectPr>
      <w:headerReference r:id="rId9" w:type="default"/>
      <w:footerReference r:id="rId10" w:type="default"/>
      <w:pgSz w:w="11906" w:h="16838"/>
      <w:pgMar w:top="1134" w:right="850" w:bottom="1134" w:left="1417" w:header="851" w:footer="850"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ST Kaiti">
    <w:altName w:val="宋体"/>
    <w:panose1 w:val="00000000000000000000"/>
    <w:charset w:val="86"/>
    <w:family w:val="roma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510B5">
    <w:pPr>
      <w:pStyle w:val="26"/>
      <w:ind w:firstLine="0" w:firstLineChars="0"/>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3C79E1">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azvg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2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RrO+DICAABjBAAADgAAAAAAAAABACAAAAAfAQAAZHJzL2Uyb0RvYy54bWxQSwUG&#10;AAAAAAYABgBZAQAAwwUAAAAA&#10;">
              <v:fill on="f" focussize="0,0"/>
              <v:stroke on="f" weight="0.5pt"/>
              <v:imagedata o:title=""/>
              <o:lock v:ext="edit" aspectratio="f"/>
              <v:textbox inset="0mm,0mm,0mm,0mm" style="mso-fit-shape-to-text:t;">
                <w:txbxContent>
                  <w:p w14:paraId="663C79E1">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2553C">
    <w:pPr>
      <w:pStyle w:val="26"/>
      <w:ind w:firstLine="0" w:firstLineChars="0"/>
      <w:jc w:val="cente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E432C3">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2BE432C3">
                    <w:pPr>
                      <w:pStyle w:val="26"/>
                    </w:pPr>
                    <w:r>
                      <w:fldChar w:fldCharType="begin"/>
                    </w:r>
                    <w:r>
                      <w:instrText xml:space="preserve"> PAGE  \* MERGEFORMAT </w:instrText>
                    </w:r>
                    <w:r>
                      <w:fldChar w:fldCharType="separate"/>
                    </w:r>
                    <w:r>
                      <w:t>1</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43757132"/>
                          </w:sdtPr>
                          <w:sdtContent>
                            <w:p w14:paraId="05DE7CEE">
                              <w:pPr>
                                <w:pStyle w:val="26"/>
                                <w:ind w:firstLine="0" w:firstLineChars="0"/>
                                <w:jc w:val="center"/>
                              </w:pPr>
                            </w:p>
                          </w:sdtContent>
                        </w:sdt>
                        <w:p w14:paraId="69E8F3F2">
                          <w:pPr>
                            <w:pStyle w:val="12"/>
                            <w:ind w:firstLine="48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1743757132"/>
                    </w:sdtPr>
                    <w:sdtContent>
                      <w:p w14:paraId="05DE7CEE">
                        <w:pPr>
                          <w:pStyle w:val="26"/>
                          <w:ind w:firstLine="0" w:firstLineChars="0"/>
                          <w:jc w:val="center"/>
                        </w:pPr>
                      </w:p>
                    </w:sdtContent>
                  </w:sdt>
                  <w:p w14:paraId="69E8F3F2">
                    <w:pPr>
                      <w:pStyle w:val="12"/>
                      <w:ind w:firstLine="480"/>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287D5">
    <w:pPr>
      <w:pStyle w:val="26"/>
      <w:ind w:firstLine="0" w:firstLineChars="0"/>
      <w:jc w:val="cente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2BE5C8">
                          <w:pPr>
                            <w:pStyle w:val="26"/>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hLPQ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bhLPQzAgAAYwQAAA4AAAAAAAAAAQAgAAAAHwEAAGRycy9lMm9Eb2MueG1sUEsF&#10;BgAAAAAGAAYAWQEAAMQFAAAAAA==&#10;">
              <v:fill on="f" focussize="0,0"/>
              <v:stroke on="f" weight="0.5pt"/>
              <v:imagedata o:title=""/>
              <o:lock v:ext="edit" aspectratio="f"/>
              <v:textbox inset="0mm,0mm,0mm,0mm" style="mso-fit-shape-to-text:t;">
                <w:txbxContent>
                  <w:p w14:paraId="582BE5C8">
                    <w:pPr>
                      <w:pStyle w:val="26"/>
                    </w:pPr>
                    <w:r>
                      <w:fldChar w:fldCharType="begin"/>
                    </w:r>
                    <w:r>
                      <w:instrText xml:space="preserve"> PAGE  \* MERGEFORMAT </w:instrText>
                    </w:r>
                    <w:r>
                      <w:fldChar w:fldCharType="separate"/>
                    </w:r>
                    <w:r>
                      <w:t>92</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54B4B0">
                          <w:pPr>
                            <w:pStyle w:val="26"/>
                            <w:ind w:firstLine="0" w:firstLineChars="0"/>
                            <w:jc w:val="cente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0754B4B0">
                    <w:pPr>
                      <w:pStyle w:val="26"/>
                      <w:ind w:firstLine="0" w:firstLineChars="0"/>
                      <w:jc w:val="cente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0F898">
    <w:pPr>
      <w:pStyle w:val="27"/>
      <w:pBdr>
        <w:bottom w:val="none" w:color="auto" w:sz="0" w:space="1"/>
      </w:pBdr>
      <w:jc w:val="distribu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42928">
    <w:pPr>
      <w:pBdr>
        <w:bottom w:val="none" w:color="auto" w:sz="0" w:space="1"/>
      </w:pBdr>
      <w:tabs>
        <w:tab w:val="center" w:pos="4153"/>
        <w:tab w:val="right" w:pos="8306"/>
      </w:tabs>
      <w:snapToGrid w:val="0"/>
      <w:spacing w:line="240" w:lineRule="auto"/>
      <w:ind w:left="0" w:leftChars="0" w:firstLine="0" w:firstLineChars="0"/>
      <w:jc w:val="left"/>
    </w:pPr>
    <w:r>
      <w:rPr>
        <w:rFonts w:hint="eastAsia"/>
        <w:sz w:val="18"/>
        <w:szCs w:val="18"/>
        <w:u w:val="single"/>
        <w:lang w:val="en-US" w:eastAsia="zh-CN"/>
      </w:rPr>
      <w:t xml:space="preserve"> </w:t>
    </w:r>
    <w:r>
      <w:rPr>
        <w:rFonts w:hint="eastAsia"/>
        <w:sz w:val="15"/>
        <w:szCs w:val="15"/>
        <w:u w:val="single"/>
        <w:lang w:eastAsia="zh-CN"/>
      </w:rPr>
      <w:t>G9221杭甬高速宁波段三期工程威海路至柴桥段SG02 标小浃江特大桥引桥</w:t>
    </w:r>
    <w:r>
      <w:rPr>
        <w:rFonts w:hint="eastAsia"/>
        <w:sz w:val="15"/>
        <w:szCs w:val="15"/>
        <w:u w:val="single"/>
        <w:lang w:val="en-US" w:eastAsia="zh-CN"/>
      </w:rPr>
      <w:t xml:space="preserve">          小浃江特大桥引桥QTZp160（T6515-10）</w:t>
    </w:r>
    <w:r>
      <w:rPr>
        <w:rFonts w:hint="eastAsia"/>
        <w:sz w:val="15"/>
        <w:szCs w:val="15"/>
        <w:u w:val="single"/>
      </w:rPr>
      <w:t>塔机</w:t>
    </w:r>
    <w:r>
      <w:rPr>
        <w:rFonts w:hint="eastAsia"/>
        <w:sz w:val="15"/>
        <w:szCs w:val="15"/>
        <w:u w:val="single"/>
        <w:lang w:eastAsia="zh-CN"/>
      </w:rPr>
      <w:t>拆除</w:t>
    </w:r>
    <w:r>
      <w:rPr>
        <w:rFonts w:hint="eastAsia"/>
        <w:sz w:val="15"/>
        <w:szCs w:val="15"/>
        <w:u w:val="single"/>
      </w:rPr>
      <w:t>施工方案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02714">
    <w:pPr>
      <w:pBdr>
        <w:bottom w:val="none" w:color="auto" w:sz="0" w:space="1"/>
      </w:pBdr>
      <w:tabs>
        <w:tab w:val="center" w:pos="4153"/>
        <w:tab w:val="right" w:pos="8306"/>
      </w:tabs>
      <w:snapToGrid w:val="0"/>
      <w:spacing w:line="240" w:lineRule="auto"/>
      <w:ind w:left="0" w:leftChars="0" w:firstLine="0" w:firstLineChars="0"/>
      <w:jc w:val="left"/>
      <w:rPr>
        <w:sz w:val="15"/>
        <w:szCs w:val="15"/>
      </w:rPr>
    </w:pPr>
    <w:r>
      <w:rPr>
        <w:rFonts w:hint="eastAsia"/>
        <w:sz w:val="15"/>
        <w:szCs w:val="15"/>
        <w:u w:val="single"/>
        <w:lang w:eastAsia="zh-CN"/>
      </w:rPr>
      <w:t>G9221杭甬高速宁波段三期工程威海路至柴桥段SG02 标跨港区及甬江特大桥项目</w:t>
    </w:r>
    <w:r>
      <w:rPr>
        <w:rFonts w:hint="eastAsia"/>
        <w:sz w:val="15"/>
        <w:szCs w:val="15"/>
        <w:u w:val="single"/>
        <w:lang w:val="en-US" w:eastAsia="zh-CN"/>
      </w:rPr>
      <w:t xml:space="preserve">      </w:t>
    </w:r>
    <w:r>
      <w:rPr>
        <w:rFonts w:hint="eastAsia"/>
        <w:sz w:val="15"/>
        <w:szCs w:val="15"/>
        <w:u w:val="single"/>
        <w:lang w:eastAsia="zh-CN"/>
      </w:rPr>
      <w:t>小浃江特大桥引桥QTZp160（T6515-10）</w:t>
    </w:r>
    <w:r>
      <w:rPr>
        <w:rFonts w:hint="eastAsia"/>
        <w:sz w:val="15"/>
        <w:szCs w:val="15"/>
        <w:u w:val="single"/>
      </w:rPr>
      <w:t>塔机</w:t>
    </w:r>
    <w:r>
      <w:rPr>
        <w:rFonts w:hint="eastAsia"/>
        <w:sz w:val="15"/>
        <w:szCs w:val="15"/>
        <w:u w:val="single"/>
        <w:lang w:eastAsia="zh-CN"/>
      </w:rPr>
      <w:t>拆除</w:t>
    </w:r>
    <w:r>
      <w:rPr>
        <w:rFonts w:hint="eastAsia"/>
        <w:sz w:val="15"/>
        <w:szCs w:val="15"/>
        <w:u w:val="single"/>
      </w:rPr>
      <w:t>施工方案</w:t>
    </w:r>
  </w:p>
  <w:p w14:paraId="57B0121E">
    <w:pPr>
      <w:pBdr>
        <w:bottom w:val="none" w:color="auto" w:sz="0" w:space="1"/>
      </w:pBdr>
      <w:tabs>
        <w:tab w:val="center" w:pos="4153"/>
        <w:tab w:val="right" w:pos="8306"/>
      </w:tabs>
      <w:snapToGrid w:val="0"/>
      <w:spacing w:line="240" w:lineRule="auto"/>
      <w:ind w:left="4325" w:leftChars="-117" w:hanging="4606" w:hangingChars="3071"/>
      <w:jc w:val="left"/>
      <w:rPr>
        <w:sz w:val="15"/>
        <w:szCs w:val="15"/>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E057E9"/>
    <w:multiLevelType w:val="singleLevel"/>
    <w:tmpl w:val="86E057E9"/>
    <w:lvl w:ilvl="0" w:tentative="0">
      <w:start w:val="1"/>
      <w:numFmt w:val="decimal"/>
      <w:lvlText w:val="(%1)"/>
      <w:lvlJc w:val="left"/>
      <w:pPr>
        <w:ind w:left="425" w:hanging="425"/>
      </w:pPr>
      <w:rPr>
        <w:rFonts w:hint="default"/>
      </w:rPr>
    </w:lvl>
  </w:abstractNum>
  <w:abstractNum w:abstractNumId="1">
    <w:nsid w:val="87D627B6"/>
    <w:multiLevelType w:val="singleLevel"/>
    <w:tmpl w:val="87D627B6"/>
    <w:lvl w:ilvl="0" w:tentative="0">
      <w:start w:val="1"/>
      <w:numFmt w:val="decimal"/>
      <w:lvlText w:val="(%1)"/>
      <w:lvlJc w:val="left"/>
      <w:pPr>
        <w:ind w:left="425" w:hanging="425"/>
      </w:pPr>
      <w:rPr>
        <w:rFonts w:hint="default"/>
      </w:rPr>
    </w:lvl>
  </w:abstractNum>
  <w:abstractNum w:abstractNumId="2">
    <w:nsid w:val="8F12E248"/>
    <w:multiLevelType w:val="singleLevel"/>
    <w:tmpl w:val="8F12E248"/>
    <w:lvl w:ilvl="0" w:tentative="0">
      <w:start w:val="1"/>
      <w:numFmt w:val="decimal"/>
      <w:lvlText w:val="(%1)"/>
      <w:lvlJc w:val="left"/>
      <w:pPr>
        <w:ind w:left="425" w:hanging="425"/>
      </w:pPr>
      <w:rPr>
        <w:rFonts w:hint="default"/>
      </w:rPr>
    </w:lvl>
  </w:abstractNum>
  <w:abstractNum w:abstractNumId="3">
    <w:nsid w:val="96B2BCAA"/>
    <w:multiLevelType w:val="singleLevel"/>
    <w:tmpl w:val="96B2BCAA"/>
    <w:lvl w:ilvl="0" w:tentative="0">
      <w:start w:val="1"/>
      <w:numFmt w:val="decimal"/>
      <w:lvlText w:val="(%1)"/>
      <w:lvlJc w:val="left"/>
      <w:pPr>
        <w:ind w:left="425" w:hanging="425"/>
      </w:pPr>
      <w:rPr>
        <w:rFonts w:hint="default"/>
      </w:rPr>
    </w:lvl>
  </w:abstractNum>
  <w:abstractNum w:abstractNumId="4">
    <w:nsid w:val="9CB35DBC"/>
    <w:multiLevelType w:val="singleLevel"/>
    <w:tmpl w:val="9CB35DBC"/>
    <w:lvl w:ilvl="0" w:tentative="0">
      <w:start w:val="1"/>
      <w:numFmt w:val="decimal"/>
      <w:lvlText w:val="(%1)"/>
      <w:lvlJc w:val="left"/>
      <w:pPr>
        <w:ind w:left="425" w:hanging="425"/>
      </w:pPr>
      <w:rPr>
        <w:rFonts w:hint="default"/>
      </w:rPr>
    </w:lvl>
  </w:abstractNum>
  <w:abstractNum w:abstractNumId="5">
    <w:nsid w:val="A2698460"/>
    <w:multiLevelType w:val="singleLevel"/>
    <w:tmpl w:val="A2698460"/>
    <w:lvl w:ilvl="0" w:tentative="0">
      <w:start w:val="1"/>
      <w:numFmt w:val="decimal"/>
      <w:lvlText w:val="(%1)"/>
      <w:lvlJc w:val="left"/>
      <w:pPr>
        <w:ind w:left="425" w:hanging="425"/>
      </w:pPr>
      <w:rPr>
        <w:rFonts w:hint="default"/>
      </w:rPr>
    </w:lvl>
  </w:abstractNum>
  <w:abstractNum w:abstractNumId="6">
    <w:nsid w:val="A70CE720"/>
    <w:multiLevelType w:val="singleLevel"/>
    <w:tmpl w:val="A70CE720"/>
    <w:lvl w:ilvl="0" w:tentative="0">
      <w:start w:val="1"/>
      <w:numFmt w:val="decimal"/>
      <w:lvlText w:val="(%1)"/>
      <w:lvlJc w:val="left"/>
      <w:pPr>
        <w:ind w:left="425" w:hanging="425"/>
      </w:pPr>
      <w:rPr>
        <w:rFonts w:hint="default"/>
      </w:rPr>
    </w:lvl>
  </w:abstractNum>
  <w:abstractNum w:abstractNumId="7">
    <w:nsid w:val="A9CE19D8"/>
    <w:multiLevelType w:val="singleLevel"/>
    <w:tmpl w:val="A9CE19D8"/>
    <w:lvl w:ilvl="0" w:tentative="0">
      <w:start w:val="1"/>
      <w:numFmt w:val="decimal"/>
      <w:lvlText w:val="(%1)"/>
      <w:lvlJc w:val="left"/>
      <w:pPr>
        <w:ind w:left="425" w:hanging="425"/>
      </w:pPr>
      <w:rPr>
        <w:rFonts w:hint="default"/>
      </w:rPr>
    </w:lvl>
  </w:abstractNum>
  <w:abstractNum w:abstractNumId="8">
    <w:nsid w:val="AC1455DD"/>
    <w:multiLevelType w:val="multilevel"/>
    <w:tmpl w:val="AC1455DD"/>
    <w:lvl w:ilvl="0" w:tentative="0">
      <w:start w:val="1"/>
      <w:numFmt w:val="decimal"/>
      <w:suff w:val="space"/>
      <w:lvlText w:val="%1"/>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suff w:val="space"/>
      <w:lvlText w:val="%1.%2.%3.%4"/>
      <w:lvlJc w:val="left"/>
      <w:pPr>
        <w:tabs>
          <w:tab w:val="left" w:pos="0"/>
        </w:tabs>
        <w:ind w:left="0" w:firstLine="0"/>
      </w:pPr>
      <w:rPr>
        <w:rFonts w:hint="default" w:ascii="宋体" w:hAnsi="宋体" w:eastAsia="宋体" w:cs="宋体"/>
      </w:rPr>
    </w:lvl>
    <w:lvl w:ilvl="4" w:tentative="0">
      <w:start w:val="1"/>
      <w:numFmt w:val="decimal"/>
      <w:lvlRestart w:val="2"/>
      <w:suff w:val="space"/>
      <w:lvlText w:val="表%1.%2-%5 "/>
      <w:lvlJc w:val="left"/>
      <w:pPr>
        <w:tabs>
          <w:tab w:val="left" w:pos="0"/>
        </w:tabs>
        <w:ind w:left="0" w:firstLine="0"/>
      </w:pPr>
      <w:rPr>
        <w:rFonts w:hint="default" w:ascii="宋体" w:hAnsi="宋体" w:eastAsia="宋体" w:cs="宋体"/>
        <w:b/>
        <w:sz w:val="21"/>
        <w:szCs w:val="21"/>
      </w:rPr>
    </w:lvl>
    <w:lvl w:ilvl="5" w:tentative="0">
      <w:start w:val="1"/>
      <w:numFmt w:val="decimal"/>
      <w:lvlRestart w:val="2"/>
      <w:pStyle w:val="222"/>
      <w:isLgl/>
      <w:suff w:val="space"/>
      <w:lvlText w:val="图%1.%2-%6 "/>
      <w:lvlJc w:val="left"/>
      <w:pPr>
        <w:tabs>
          <w:tab w:val="left" w:pos="3118"/>
        </w:tabs>
        <w:ind w:left="4269" w:hanging="1151"/>
      </w:pPr>
      <w:rPr>
        <w:rFonts w:hint="default" w:ascii="宋体" w:hAnsi="宋体" w:eastAsia="宋体" w:cs="宋体"/>
        <w:sz w:val="21"/>
        <w:szCs w:val="21"/>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9">
    <w:nsid w:val="B3F9BF17"/>
    <w:multiLevelType w:val="singleLevel"/>
    <w:tmpl w:val="B3F9BF17"/>
    <w:lvl w:ilvl="0" w:tentative="0">
      <w:start w:val="1"/>
      <w:numFmt w:val="decimal"/>
      <w:lvlText w:val="(%1)"/>
      <w:lvlJc w:val="left"/>
      <w:pPr>
        <w:ind w:left="425" w:hanging="425"/>
      </w:pPr>
      <w:rPr>
        <w:rFonts w:hint="default"/>
      </w:rPr>
    </w:lvl>
  </w:abstractNum>
  <w:abstractNum w:abstractNumId="10">
    <w:nsid w:val="B42CBC9F"/>
    <w:multiLevelType w:val="multilevel"/>
    <w:tmpl w:val="B42CBC9F"/>
    <w:lvl w:ilvl="0" w:tentative="0">
      <w:start w:val="1"/>
      <w:numFmt w:val="decimal"/>
      <w:pStyle w:val="2"/>
      <w:lvlText w:val="%1."/>
      <w:lvlJc w:val="left"/>
      <w:pPr>
        <w:ind w:left="432" w:hanging="432"/>
      </w:pPr>
      <w:rPr>
        <w:rFonts w:hint="default"/>
      </w:rPr>
    </w:lvl>
    <w:lvl w:ilvl="1" w:tentative="0">
      <w:start w:val="1"/>
      <w:numFmt w:val="decimal"/>
      <w:pStyle w:val="3"/>
      <w:suff w:val="space"/>
      <w:lvlText w:val="%1.%2"/>
      <w:lvlJc w:val="left"/>
      <w:pPr>
        <w:tabs>
          <w:tab w:val="left" w:pos="420"/>
        </w:tabs>
        <w:ind w:left="575" w:hanging="575"/>
      </w:pPr>
      <w:rPr>
        <w:rFonts w:hint="default" w:ascii="宋体" w:hAnsi="宋体" w:eastAsia="宋体" w:cs="宋体"/>
      </w:rPr>
    </w:lvl>
    <w:lvl w:ilvl="2" w:tentative="0">
      <w:start w:val="1"/>
      <w:numFmt w:val="decimal"/>
      <w:pStyle w:val="4"/>
      <w:lvlText w:val="%1.%2.%3 "/>
      <w:lvlJc w:val="left"/>
      <w:pPr>
        <w:ind w:left="720" w:hanging="720"/>
      </w:pPr>
      <w:rPr>
        <w:rFonts w:hint="default" w:ascii="宋体" w:hAnsi="宋体" w:eastAsia="宋体" w:cs="宋体"/>
      </w:rPr>
    </w:lvl>
    <w:lvl w:ilvl="3" w:tentative="0">
      <w:start w:val="1"/>
      <w:numFmt w:val="decimal"/>
      <w:pStyle w:val="5"/>
      <w:lvlText w:val="%1.%2.%3.%4 "/>
      <w:lvlJc w:val="left"/>
      <w:pPr>
        <w:ind w:left="864" w:hanging="864"/>
      </w:pPr>
      <w:rPr>
        <w:rFonts w:hint="default" w:ascii="宋体" w:hAnsi="宋体" w:eastAsia="宋体" w:cs="宋体"/>
      </w:rPr>
    </w:lvl>
    <w:lvl w:ilvl="4" w:tentative="0">
      <w:start w:val="1"/>
      <w:numFmt w:val="decimal"/>
      <w:pStyle w:val="6"/>
      <w:lvlText w:val="%1.%2.%3.%4.%5 "/>
      <w:lvlJc w:val="left"/>
      <w:pPr>
        <w:ind w:left="1008" w:hanging="1008"/>
      </w:pPr>
      <w:rPr>
        <w:rFonts w:hint="default" w:ascii="宋体" w:hAnsi="宋体" w:eastAsia="宋体" w:cs="宋体"/>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1">
    <w:nsid w:val="B63FB16B"/>
    <w:multiLevelType w:val="singleLevel"/>
    <w:tmpl w:val="B63FB16B"/>
    <w:lvl w:ilvl="0" w:tentative="0">
      <w:start w:val="1"/>
      <w:numFmt w:val="decimal"/>
      <w:lvlText w:val="(%1)"/>
      <w:lvlJc w:val="left"/>
      <w:pPr>
        <w:ind w:left="425" w:hanging="425"/>
      </w:pPr>
      <w:rPr>
        <w:rFonts w:hint="default"/>
      </w:rPr>
    </w:lvl>
  </w:abstractNum>
  <w:abstractNum w:abstractNumId="12">
    <w:nsid w:val="C1F2C4D3"/>
    <w:multiLevelType w:val="singleLevel"/>
    <w:tmpl w:val="C1F2C4D3"/>
    <w:lvl w:ilvl="0" w:tentative="0">
      <w:start w:val="1"/>
      <w:numFmt w:val="decimal"/>
      <w:lvlText w:val="(%1)"/>
      <w:lvlJc w:val="left"/>
      <w:pPr>
        <w:ind w:left="425" w:hanging="425"/>
      </w:pPr>
      <w:rPr>
        <w:rFonts w:hint="default"/>
      </w:rPr>
    </w:lvl>
  </w:abstractNum>
  <w:abstractNum w:abstractNumId="13">
    <w:nsid w:val="C87CC1CB"/>
    <w:multiLevelType w:val="singleLevel"/>
    <w:tmpl w:val="C87CC1CB"/>
    <w:lvl w:ilvl="0" w:tentative="0">
      <w:start w:val="1"/>
      <w:numFmt w:val="decimal"/>
      <w:lvlText w:val="(%1)"/>
      <w:lvlJc w:val="left"/>
      <w:pPr>
        <w:ind w:left="425" w:hanging="425"/>
      </w:pPr>
      <w:rPr>
        <w:rFonts w:hint="default"/>
      </w:rPr>
    </w:lvl>
  </w:abstractNum>
  <w:abstractNum w:abstractNumId="14">
    <w:nsid w:val="D2B67205"/>
    <w:multiLevelType w:val="singleLevel"/>
    <w:tmpl w:val="D2B67205"/>
    <w:lvl w:ilvl="0" w:tentative="0">
      <w:start w:val="1"/>
      <w:numFmt w:val="decimal"/>
      <w:lvlText w:val="(%1)"/>
      <w:lvlJc w:val="left"/>
      <w:pPr>
        <w:ind w:left="425" w:hanging="425"/>
      </w:pPr>
      <w:rPr>
        <w:rFonts w:hint="default"/>
      </w:rPr>
    </w:lvl>
  </w:abstractNum>
  <w:abstractNum w:abstractNumId="15">
    <w:nsid w:val="DE9FA632"/>
    <w:multiLevelType w:val="singleLevel"/>
    <w:tmpl w:val="DE9FA632"/>
    <w:lvl w:ilvl="0" w:tentative="0">
      <w:start w:val="1"/>
      <w:numFmt w:val="decimal"/>
      <w:lvlText w:val="(%1)"/>
      <w:lvlJc w:val="left"/>
      <w:pPr>
        <w:ind w:left="425" w:hanging="425"/>
      </w:pPr>
      <w:rPr>
        <w:rFonts w:hint="default"/>
      </w:rPr>
    </w:lvl>
  </w:abstractNum>
  <w:abstractNum w:abstractNumId="16">
    <w:nsid w:val="E3950B7C"/>
    <w:multiLevelType w:val="singleLevel"/>
    <w:tmpl w:val="E3950B7C"/>
    <w:lvl w:ilvl="0" w:tentative="0">
      <w:start w:val="1"/>
      <w:numFmt w:val="decimal"/>
      <w:lvlText w:val="(%1)"/>
      <w:lvlJc w:val="left"/>
      <w:pPr>
        <w:ind w:left="425" w:hanging="425"/>
      </w:pPr>
      <w:rPr>
        <w:rFonts w:hint="default"/>
      </w:rPr>
    </w:lvl>
  </w:abstractNum>
  <w:abstractNum w:abstractNumId="17">
    <w:nsid w:val="EA67A6DC"/>
    <w:multiLevelType w:val="singleLevel"/>
    <w:tmpl w:val="EA67A6DC"/>
    <w:lvl w:ilvl="0" w:tentative="0">
      <w:start w:val="1"/>
      <w:numFmt w:val="decimal"/>
      <w:lvlText w:val="(%1)"/>
      <w:lvlJc w:val="left"/>
      <w:pPr>
        <w:ind w:left="425" w:hanging="425"/>
      </w:pPr>
      <w:rPr>
        <w:rFonts w:hint="default"/>
      </w:rPr>
    </w:lvl>
  </w:abstractNum>
  <w:abstractNum w:abstractNumId="18">
    <w:nsid w:val="ED1EF69A"/>
    <w:multiLevelType w:val="singleLevel"/>
    <w:tmpl w:val="ED1EF69A"/>
    <w:lvl w:ilvl="0" w:tentative="0">
      <w:start w:val="1"/>
      <w:numFmt w:val="decimal"/>
      <w:lvlText w:val="(%1)"/>
      <w:lvlJc w:val="left"/>
      <w:pPr>
        <w:ind w:left="425" w:hanging="425"/>
      </w:pPr>
      <w:rPr>
        <w:rFonts w:hint="default"/>
      </w:rPr>
    </w:lvl>
  </w:abstractNum>
  <w:abstractNum w:abstractNumId="19">
    <w:nsid w:val="EF152EDF"/>
    <w:multiLevelType w:val="singleLevel"/>
    <w:tmpl w:val="EF152EDF"/>
    <w:lvl w:ilvl="0" w:tentative="0">
      <w:start w:val="1"/>
      <w:numFmt w:val="decimal"/>
      <w:lvlText w:val="(%1)"/>
      <w:lvlJc w:val="left"/>
      <w:pPr>
        <w:ind w:left="425" w:hanging="425"/>
      </w:pPr>
      <w:rPr>
        <w:rFonts w:hint="default"/>
      </w:rPr>
    </w:lvl>
  </w:abstractNum>
  <w:abstractNum w:abstractNumId="20">
    <w:nsid w:val="EF5BB7C8"/>
    <w:multiLevelType w:val="singleLevel"/>
    <w:tmpl w:val="EF5BB7C8"/>
    <w:lvl w:ilvl="0" w:tentative="0">
      <w:start w:val="1"/>
      <w:numFmt w:val="decimal"/>
      <w:lvlText w:val="(%1)"/>
      <w:lvlJc w:val="left"/>
      <w:pPr>
        <w:ind w:left="425" w:hanging="425"/>
      </w:pPr>
      <w:rPr>
        <w:rFonts w:hint="default"/>
      </w:rPr>
    </w:lvl>
  </w:abstractNum>
  <w:abstractNum w:abstractNumId="21">
    <w:nsid w:val="F337F3D4"/>
    <w:multiLevelType w:val="singleLevel"/>
    <w:tmpl w:val="F337F3D4"/>
    <w:lvl w:ilvl="0" w:tentative="0">
      <w:start w:val="1"/>
      <w:numFmt w:val="decimal"/>
      <w:lvlText w:val="(%1)"/>
      <w:lvlJc w:val="left"/>
      <w:pPr>
        <w:ind w:left="425" w:hanging="425"/>
      </w:pPr>
      <w:rPr>
        <w:rFonts w:hint="default"/>
      </w:rPr>
    </w:lvl>
  </w:abstractNum>
  <w:abstractNum w:abstractNumId="22">
    <w:nsid w:val="F5A0B19C"/>
    <w:multiLevelType w:val="singleLevel"/>
    <w:tmpl w:val="F5A0B19C"/>
    <w:lvl w:ilvl="0" w:tentative="0">
      <w:start w:val="1"/>
      <w:numFmt w:val="decimal"/>
      <w:lvlText w:val="(%1)"/>
      <w:lvlJc w:val="left"/>
      <w:pPr>
        <w:ind w:left="425" w:hanging="425"/>
      </w:pPr>
      <w:rPr>
        <w:rFonts w:hint="default"/>
      </w:rPr>
    </w:lvl>
  </w:abstractNum>
  <w:abstractNum w:abstractNumId="23">
    <w:nsid w:val="FC17F712"/>
    <w:multiLevelType w:val="singleLevel"/>
    <w:tmpl w:val="FC17F712"/>
    <w:lvl w:ilvl="0" w:tentative="0">
      <w:start w:val="1"/>
      <w:numFmt w:val="decimal"/>
      <w:lvlText w:val="(%1)"/>
      <w:lvlJc w:val="left"/>
      <w:pPr>
        <w:ind w:left="425" w:hanging="425"/>
      </w:pPr>
      <w:rPr>
        <w:rFonts w:hint="default"/>
      </w:rPr>
    </w:lvl>
  </w:abstractNum>
  <w:abstractNum w:abstractNumId="24">
    <w:nsid w:val="FEA61018"/>
    <w:multiLevelType w:val="singleLevel"/>
    <w:tmpl w:val="FEA61018"/>
    <w:lvl w:ilvl="0" w:tentative="0">
      <w:start w:val="1"/>
      <w:numFmt w:val="decimal"/>
      <w:lvlText w:val="(%1)"/>
      <w:lvlJc w:val="left"/>
      <w:pPr>
        <w:ind w:left="425" w:hanging="425"/>
      </w:pPr>
      <w:rPr>
        <w:rFonts w:hint="default"/>
      </w:rPr>
    </w:lvl>
  </w:abstractNum>
  <w:abstractNum w:abstractNumId="25">
    <w:nsid w:val="0164C879"/>
    <w:multiLevelType w:val="singleLevel"/>
    <w:tmpl w:val="0164C879"/>
    <w:lvl w:ilvl="0" w:tentative="0">
      <w:start w:val="1"/>
      <w:numFmt w:val="decimal"/>
      <w:lvlText w:val="(%1)"/>
      <w:lvlJc w:val="left"/>
      <w:pPr>
        <w:ind w:left="425" w:hanging="425"/>
      </w:pPr>
      <w:rPr>
        <w:rFonts w:hint="default"/>
      </w:rPr>
    </w:lvl>
  </w:abstractNum>
  <w:abstractNum w:abstractNumId="26">
    <w:nsid w:val="09B0D9AC"/>
    <w:multiLevelType w:val="singleLevel"/>
    <w:tmpl w:val="09B0D9AC"/>
    <w:lvl w:ilvl="0" w:tentative="0">
      <w:start w:val="1"/>
      <w:numFmt w:val="decimal"/>
      <w:lvlText w:val="(%1)"/>
      <w:lvlJc w:val="left"/>
      <w:pPr>
        <w:ind w:left="425" w:hanging="425"/>
      </w:pPr>
      <w:rPr>
        <w:rFonts w:hint="default"/>
      </w:rPr>
    </w:lvl>
  </w:abstractNum>
  <w:abstractNum w:abstractNumId="27">
    <w:nsid w:val="0A406FC0"/>
    <w:multiLevelType w:val="multilevel"/>
    <w:tmpl w:val="0A406FC0"/>
    <w:lvl w:ilvl="0" w:tentative="0">
      <w:start w:val="1"/>
      <w:numFmt w:val="bullet"/>
      <w:pStyle w:val="113"/>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
    <w:nsid w:val="0A858CE9"/>
    <w:multiLevelType w:val="singleLevel"/>
    <w:tmpl w:val="0A858CE9"/>
    <w:lvl w:ilvl="0" w:tentative="0">
      <w:start w:val="1"/>
      <w:numFmt w:val="decimal"/>
      <w:lvlText w:val="(%1)"/>
      <w:lvlJc w:val="left"/>
      <w:pPr>
        <w:ind w:left="425" w:hanging="425"/>
      </w:pPr>
      <w:rPr>
        <w:rFonts w:hint="default"/>
      </w:rPr>
    </w:lvl>
  </w:abstractNum>
  <w:abstractNum w:abstractNumId="29">
    <w:nsid w:val="0E87C75F"/>
    <w:multiLevelType w:val="singleLevel"/>
    <w:tmpl w:val="0E87C75F"/>
    <w:lvl w:ilvl="0" w:tentative="0">
      <w:start w:val="1"/>
      <w:numFmt w:val="decimal"/>
      <w:lvlText w:val="(%1)"/>
      <w:lvlJc w:val="left"/>
      <w:pPr>
        <w:ind w:left="425" w:hanging="425"/>
      </w:pPr>
      <w:rPr>
        <w:rFonts w:hint="default"/>
      </w:rPr>
    </w:lvl>
  </w:abstractNum>
  <w:abstractNum w:abstractNumId="30">
    <w:nsid w:val="14BC14A6"/>
    <w:multiLevelType w:val="multilevel"/>
    <w:tmpl w:val="14BC14A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1626331C"/>
    <w:multiLevelType w:val="singleLevel"/>
    <w:tmpl w:val="1626331C"/>
    <w:lvl w:ilvl="0" w:tentative="0">
      <w:start w:val="1"/>
      <w:numFmt w:val="decimal"/>
      <w:lvlText w:val="(%1)"/>
      <w:lvlJc w:val="left"/>
      <w:pPr>
        <w:ind w:left="425" w:hanging="425"/>
      </w:pPr>
      <w:rPr>
        <w:rFonts w:hint="default"/>
      </w:rPr>
    </w:lvl>
  </w:abstractNum>
  <w:abstractNum w:abstractNumId="32">
    <w:nsid w:val="18DA8C6B"/>
    <w:multiLevelType w:val="singleLevel"/>
    <w:tmpl w:val="18DA8C6B"/>
    <w:lvl w:ilvl="0" w:tentative="0">
      <w:start w:val="1"/>
      <w:numFmt w:val="decimal"/>
      <w:lvlText w:val="(%1)"/>
      <w:lvlJc w:val="left"/>
      <w:pPr>
        <w:ind w:left="425" w:hanging="425"/>
      </w:pPr>
      <w:rPr>
        <w:rFonts w:hint="default"/>
      </w:rPr>
    </w:lvl>
  </w:abstractNum>
  <w:abstractNum w:abstractNumId="33">
    <w:nsid w:val="1C2CC483"/>
    <w:multiLevelType w:val="singleLevel"/>
    <w:tmpl w:val="1C2CC483"/>
    <w:lvl w:ilvl="0" w:tentative="0">
      <w:start w:val="1"/>
      <w:numFmt w:val="decimal"/>
      <w:lvlText w:val="(%1)"/>
      <w:lvlJc w:val="left"/>
      <w:pPr>
        <w:ind w:left="425" w:hanging="425"/>
      </w:pPr>
      <w:rPr>
        <w:rFonts w:hint="default"/>
      </w:rPr>
    </w:lvl>
  </w:abstractNum>
  <w:abstractNum w:abstractNumId="34">
    <w:nsid w:val="1CA1D74B"/>
    <w:multiLevelType w:val="multilevel"/>
    <w:tmpl w:val="1CA1D74B"/>
    <w:lvl w:ilvl="0" w:tentative="0">
      <w:start w:val="1"/>
      <w:numFmt w:val="decimal"/>
      <w:pStyle w:val="75"/>
      <w:lvlText w:val="%1、"/>
      <w:lvlJc w:val="left"/>
      <w:pPr>
        <w:tabs>
          <w:tab w:val="left" w:pos="0"/>
        </w:tabs>
        <w:ind w:left="0" w:firstLine="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200C5F39"/>
    <w:multiLevelType w:val="singleLevel"/>
    <w:tmpl w:val="200C5F39"/>
    <w:lvl w:ilvl="0" w:tentative="0">
      <w:start w:val="1"/>
      <w:numFmt w:val="decimal"/>
      <w:lvlText w:val="(%1)"/>
      <w:lvlJc w:val="left"/>
      <w:pPr>
        <w:ind w:left="425" w:hanging="425"/>
      </w:pPr>
      <w:rPr>
        <w:rFonts w:hint="default"/>
      </w:rPr>
    </w:lvl>
  </w:abstractNum>
  <w:abstractNum w:abstractNumId="36">
    <w:nsid w:val="25E42282"/>
    <w:multiLevelType w:val="singleLevel"/>
    <w:tmpl w:val="25E42282"/>
    <w:lvl w:ilvl="0" w:tentative="0">
      <w:start w:val="1"/>
      <w:numFmt w:val="decimal"/>
      <w:lvlText w:val="(%1)"/>
      <w:lvlJc w:val="left"/>
      <w:pPr>
        <w:ind w:left="425" w:hanging="425"/>
      </w:pPr>
      <w:rPr>
        <w:rFonts w:hint="default"/>
      </w:rPr>
    </w:lvl>
  </w:abstractNum>
  <w:abstractNum w:abstractNumId="37">
    <w:nsid w:val="26EC9A14"/>
    <w:multiLevelType w:val="singleLevel"/>
    <w:tmpl w:val="26EC9A14"/>
    <w:lvl w:ilvl="0" w:tentative="0">
      <w:start w:val="1"/>
      <w:numFmt w:val="decimal"/>
      <w:lvlText w:val="(%1)"/>
      <w:lvlJc w:val="left"/>
      <w:pPr>
        <w:ind w:left="425" w:hanging="425"/>
      </w:pPr>
      <w:rPr>
        <w:rFonts w:hint="default"/>
      </w:rPr>
    </w:lvl>
  </w:abstractNum>
  <w:abstractNum w:abstractNumId="38">
    <w:nsid w:val="296F7CED"/>
    <w:multiLevelType w:val="singleLevel"/>
    <w:tmpl w:val="296F7CED"/>
    <w:lvl w:ilvl="0" w:tentative="0">
      <w:start w:val="1"/>
      <w:numFmt w:val="decimal"/>
      <w:lvlText w:val="(%1)"/>
      <w:lvlJc w:val="left"/>
      <w:pPr>
        <w:ind w:left="425" w:hanging="425"/>
      </w:pPr>
      <w:rPr>
        <w:rFonts w:hint="default"/>
      </w:rPr>
    </w:lvl>
  </w:abstractNum>
  <w:abstractNum w:abstractNumId="39">
    <w:nsid w:val="30212260"/>
    <w:multiLevelType w:val="multilevel"/>
    <w:tmpl w:val="30212260"/>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0">
    <w:nsid w:val="3283101D"/>
    <w:multiLevelType w:val="multilevel"/>
    <w:tmpl w:val="3283101D"/>
    <w:lvl w:ilvl="0" w:tentative="0">
      <w:start w:val="1"/>
      <w:numFmt w:val="decimal"/>
      <w:pStyle w:val="66"/>
      <w:lvlText w:val="（%1）"/>
      <w:lvlJc w:val="left"/>
      <w:pPr>
        <w:ind w:left="840" w:hanging="420"/>
      </w:pPr>
      <w:rPr>
        <w:rFonts w:hint="default" w:ascii="Times New Roman" w:hAnsi="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1">
    <w:nsid w:val="33D55A61"/>
    <w:multiLevelType w:val="singleLevel"/>
    <w:tmpl w:val="33D55A61"/>
    <w:lvl w:ilvl="0" w:tentative="0">
      <w:start w:val="1"/>
      <w:numFmt w:val="decimal"/>
      <w:lvlText w:val="(%1)"/>
      <w:lvlJc w:val="left"/>
      <w:pPr>
        <w:ind w:left="425" w:hanging="425"/>
      </w:pPr>
      <w:rPr>
        <w:rFonts w:hint="default"/>
      </w:rPr>
    </w:lvl>
  </w:abstractNum>
  <w:abstractNum w:abstractNumId="42">
    <w:nsid w:val="39D7C573"/>
    <w:multiLevelType w:val="singleLevel"/>
    <w:tmpl w:val="39D7C573"/>
    <w:lvl w:ilvl="0" w:tentative="0">
      <w:start w:val="1"/>
      <w:numFmt w:val="decimal"/>
      <w:lvlText w:val="(%1)"/>
      <w:lvlJc w:val="left"/>
      <w:pPr>
        <w:ind w:left="425" w:hanging="425"/>
      </w:pPr>
      <w:rPr>
        <w:rFonts w:hint="default"/>
      </w:rPr>
    </w:lvl>
  </w:abstractNum>
  <w:abstractNum w:abstractNumId="43">
    <w:nsid w:val="3C1A2661"/>
    <w:multiLevelType w:val="singleLevel"/>
    <w:tmpl w:val="3C1A2661"/>
    <w:lvl w:ilvl="0" w:tentative="0">
      <w:start w:val="1"/>
      <w:numFmt w:val="decimal"/>
      <w:lvlText w:val="(%1)"/>
      <w:lvlJc w:val="left"/>
      <w:pPr>
        <w:ind w:left="425" w:hanging="425"/>
      </w:pPr>
      <w:rPr>
        <w:rFonts w:hint="default"/>
      </w:rPr>
    </w:lvl>
  </w:abstractNum>
  <w:abstractNum w:abstractNumId="44">
    <w:nsid w:val="44535BD3"/>
    <w:multiLevelType w:val="multilevel"/>
    <w:tmpl w:val="44535BD3"/>
    <w:lvl w:ilvl="0" w:tentative="0">
      <w:start w:val="1"/>
      <w:numFmt w:val="bullet"/>
      <w:pStyle w:val="151"/>
      <w:lvlText w:val=""/>
      <w:lvlJc w:val="left"/>
      <w:pPr>
        <w:ind w:left="420" w:hanging="420"/>
      </w:pPr>
      <w:rPr>
        <w:rFonts w:hint="default" w:ascii="Wingdings" w:hAnsi="Wingdings"/>
        <w:color w:val="FF000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5">
    <w:nsid w:val="44686A8F"/>
    <w:multiLevelType w:val="singleLevel"/>
    <w:tmpl w:val="44686A8F"/>
    <w:lvl w:ilvl="0" w:tentative="0">
      <w:start w:val="1"/>
      <w:numFmt w:val="decimal"/>
      <w:lvlText w:val="(%1)"/>
      <w:lvlJc w:val="left"/>
      <w:pPr>
        <w:ind w:left="425" w:hanging="425"/>
      </w:pPr>
      <w:rPr>
        <w:rFonts w:hint="default"/>
      </w:rPr>
    </w:lvl>
  </w:abstractNum>
  <w:abstractNum w:abstractNumId="46">
    <w:nsid w:val="4BE15996"/>
    <w:multiLevelType w:val="singleLevel"/>
    <w:tmpl w:val="4BE15996"/>
    <w:lvl w:ilvl="0" w:tentative="0">
      <w:start w:val="1"/>
      <w:numFmt w:val="decimal"/>
      <w:lvlText w:val="(%1)"/>
      <w:lvlJc w:val="left"/>
      <w:pPr>
        <w:ind w:left="425" w:hanging="425"/>
      </w:pPr>
      <w:rPr>
        <w:rFonts w:hint="default"/>
      </w:rPr>
    </w:lvl>
  </w:abstractNum>
  <w:abstractNum w:abstractNumId="47">
    <w:nsid w:val="4D4929C9"/>
    <w:multiLevelType w:val="multilevel"/>
    <w:tmpl w:val="4D4929C9"/>
    <w:lvl w:ilvl="0" w:tentative="0">
      <w:start w:val="1"/>
      <w:numFmt w:val="decimal"/>
      <w:suff w:val="space"/>
      <w:lvlText w:val="%1"/>
      <w:lvlJc w:val="left"/>
      <w:pPr>
        <w:ind w:left="0" w:firstLine="0"/>
      </w:pPr>
      <w:rPr>
        <w:rFonts w:hint="default" w:ascii="Times New Roman" w:hAnsi="Times New Roman" w:eastAsia="宋体"/>
      </w:rPr>
    </w:lvl>
    <w:lvl w:ilvl="1" w:tentative="0">
      <w:start w:val="1"/>
      <w:numFmt w:val="decimal"/>
      <w:isLgl/>
      <w:suff w:val="space"/>
      <w:lvlText w:val="%1.%2"/>
      <w:lvlJc w:val="left"/>
      <w:pPr>
        <w:ind w:left="0" w:firstLine="0"/>
      </w:pPr>
      <w:rPr>
        <w:rFonts w:hint="default" w:ascii="Times New Roman" w:hAnsi="Times New Roman" w:eastAsia="宋体"/>
      </w:rPr>
    </w:lvl>
    <w:lvl w:ilvl="2" w:tentative="0">
      <w:start w:val="1"/>
      <w:numFmt w:val="decimal"/>
      <w:isLgl/>
      <w:suff w:val="space"/>
      <w:lvlText w:val="%1.%2.%3"/>
      <w:lvlJc w:val="left"/>
      <w:pPr>
        <w:ind w:left="0" w:firstLine="0"/>
      </w:pPr>
      <w:rPr>
        <w:rFonts w:hint="default" w:ascii="Times New Roman" w:hAnsi="Times New Roman" w:eastAsia="宋体"/>
      </w:rPr>
    </w:lvl>
    <w:lvl w:ilvl="3" w:tentative="0">
      <w:start w:val="1"/>
      <w:numFmt w:val="decimal"/>
      <w:isLgl/>
      <w:suff w:val="space"/>
      <w:lvlText w:val="%1.%2.%3.%4"/>
      <w:lvlJc w:val="left"/>
      <w:pPr>
        <w:ind w:left="0" w:firstLine="0"/>
      </w:pPr>
      <w:rPr>
        <w:rFonts w:hint="default" w:ascii="Times New Roman" w:hAnsi="Times New Roman" w:eastAsia="宋体"/>
      </w:rPr>
    </w:lvl>
    <w:lvl w:ilvl="4" w:tentative="0">
      <w:start w:val="1"/>
      <w:numFmt w:val="decimal"/>
      <w:pStyle w:val="390"/>
      <w:suff w:val="space"/>
      <w:lvlText w:val="%1.%2.%3.%4.%5"/>
      <w:lvlJc w:val="left"/>
      <w:pPr>
        <w:ind w:left="0" w:firstLine="0"/>
      </w:pPr>
      <w:rPr>
        <w:rFonts w:hint="default" w:ascii="Times New Roman" w:hAnsi="Times New Roman" w:eastAsia="宋体"/>
        <w:b/>
        <w:i w:val="0"/>
        <w:sz w:val="24"/>
      </w:rPr>
    </w:lvl>
    <w:lvl w:ilvl="5" w:tentative="0">
      <w:start w:val="1"/>
      <w:numFmt w:val="decimal"/>
      <w:isLgl/>
      <w:lvlText w:val="%1.%2.%3.%4.%5.%6"/>
      <w:lvlJc w:val="left"/>
      <w:pPr>
        <w:ind w:left="0" w:firstLine="0"/>
      </w:pPr>
      <w:rPr>
        <w:rFonts w:hint="default"/>
      </w:rPr>
    </w:lvl>
    <w:lvl w:ilvl="6" w:tentative="0">
      <w:start w:val="1"/>
      <w:numFmt w:val="decimal"/>
      <w:isLgl/>
      <w:lvlText w:val="%1.%2.%3.%4.%5.%6.%7"/>
      <w:lvlJc w:val="left"/>
      <w:pPr>
        <w:ind w:left="0" w:firstLine="0"/>
      </w:pPr>
      <w:rPr>
        <w:rFonts w:hint="default"/>
      </w:rPr>
    </w:lvl>
    <w:lvl w:ilvl="7" w:tentative="0">
      <w:start w:val="1"/>
      <w:numFmt w:val="decimal"/>
      <w:isLgl/>
      <w:lvlText w:val="%1.%2.%3.%4.%5.%6.%7.%8"/>
      <w:lvlJc w:val="left"/>
      <w:pPr>
        <w:ind w:left="0" w:firstLine="0"/>
      </w:pPr>
      <w:rPr>
        <w:rFonts w:hint="default"/>
      </w:rPr>
    </w:lvl>
    <w:lvl w:ilvl="8" w:tentative="0">
      <w:start w:val="1"/>
      <w:numFmt w:val="decimal"/>
      <w:isLgl/>
      <w:lvlText w:val="%1.%2.%3.%4.%5.%6.%7.%8.%9"/>
      <w:lvlJc w:val="left"/>
      <w:pPr>
        <w:ind w:left="0" w:firstLine="0"/>
      </w:pPr>
      <w:rPr>
        <w:rFonts w:hint="default"/>
      </w:rPr>
    </w:lvl>
  </w:abstractNum>
  <w:abstractNum w:abstractNumId="48">
    <w:nsid w:val="500F0A56"/>
    <w:multiLevelType w:val="multilevel"/>
    <w:tmpl w:val="500F0A56"/>
    <w:lvl w:ilvl="0" w:tentative="0">
      <w:start w:val="1"/>
      <w:numFmt w:val="decimal"/>
      <w:pStyle w:val="111"/>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9">
    <w:nsid w:val="540842B5"/>
    <w:multiLevelType w:val="singleLevel"/>
    <w:tmpl w:val="540842B5"/>
    <w:lvl w:ilvl="0" w:tentative="0">
      <w:start w:val="1"/>
      <w:numFmt w:val="decimal"/>
      <w:lvlText w:val="(%1)"/>
      <w:lvlJc w:val="left"/>
      <w:pPr>
        <w:ind w:left="425" w:hanging="425"/>
      </w:pPr>
      <w:rPr>
        <w:rFonts w:hint="default"/>
      </w:rPr>
    </w:lvl>
  </w:abstractNum>
  <w:abstractNum w:abstractNumId="50">
    <w:nsid w:val="551D0296"/>
    <w:multiLevelType w:val="multilevel"/>
    <w:tmpl w:val="551D029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1">
    <w:nsid w:val="569124C9"/>
    <w:multiLevelType w:val="singleLevel"/>
    <w:tmpl w:val="569124C9"/>
    <w:lvl w:ilvl="0" w:tentative="0">
      <w:start w:val="1"/>
      <w:numFmt w:val="decimal"/>
      <w:lvlText w:val="(%1)"/>
      <w:lvlJc w:val="left"/>
      <w:pPr>
        <w:ind w:left="425" w:hanging="425"/>
      </w:pPr>
      <w:rPr>
        <w:rFonts w:hint="default"/>
      </w:rPr>
    </w:lvl>
  </w:abstractNum>
  <w:abstractNum w:abstractNumId="52">
    <w:nsid w:val="6DB2AD8C"/>
    <w:multiLevelType w:val="singleLevel"/>
    <w:tmpl w:val="6DB2AD8C"/>
    <w:lvl w:ilvl="0" w:tentative="0">
      <w:start w:val="1"/>
      <w:numFmt w:val="decimal"/>
      <w:lvlText w:val="(%1)"/>
      <w:lvlJc w:val="left"/>
      <w:pPr>
        <w:ind w:left="425" w:hanging="425"/>
      </w:pPr>
      <w:rPr>
        <w:rFonts w:hint="default"/>
      </w:rPr>
    </w:lvl>
  </w:abstractNum>
  <w:abstractNum w:abstractNumId="53">
    <w:nsid w:val="718462EE"/>
    <w:multiLevelType w:val="singleLevel"/>
    <w:tmpl w:val="718462EE"/>
    <w:lvl w:ilvl="0" w:tentative="0">
      <w:start w:val="1"/>
      <w:numFmt w:val="decimal"/>
      <w:lvlText w:val="(%1)"/>
      <w:lvlJc w:val="left"/>
      <w:pPr>
        <w:ind w:left="425" w:hanging="425"/>
      </w:pPr>
      <w:rPr>
        <w:rFonts w:hint="default"/>
      </w:rPr>
    </w:lvl>
  </w:abstractNum>
  <w:abstractNum w:abstractNumId="54">
    <w:nsid w:val="771C2D68"/>
    <w:multiLevelType w:val="multilevel"/>
    <w:tmpl w:val="771C2D68"/>
    <w:lvl w:ilvl="0" w:tentative="0">
      <w:start w:val="1"/>
      <w:numFmt w:val="bullet"/>
      <w:pStyle w:val="84"/>
      <w:suff w:val="space"/>
      <w:lvlText w:val=""/>
      <w:lvlJc w:val="left"/>
      <w:pPr>
        <w:ind w:left="0" w:firstLine="0"/>
      </w:pPr>
      <w:rPr>
        <w:rFonts w:hint="default" w:ascii="Wingdings" w:hAnsi="Wingdings"/>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5">
    <w:nsid w:val="774D27EF"/>
    <w:multiLevelType w:val="multilevel"/>
    <w:tmpl w:val="774D27EF"/>
    <w:lvl w:ilvl="0" w:tentative="0">
      <w:start w:val="1"/>
      <w:numFmt w:val="decimal"/>
      <w:pStyle w:val="138"/>
      <w:lvlText w:val="%1) "/>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6">
    <w:nsid w:val="7A06E95B"/>
    <w:multiLevelType w:val="singleLevel"/>
    <w:tmpl w:val="7A06E95B"/>
    <w:lvl w:ilvl="0" w:tentative="0">
      <w:start w:val="1"/>
      <w:numFmt w:val="decimal"/>
      <w:lvlText w:val="(%1)"/>
      <w:lvlJc w:val="left"/>
      <w:pPr>
        <w:ind w:left="425" w:hanging="425"/>
      </w:pPr>
      <w:rPr>
        <w:rFonts w:hint="default"/>
      </w:rPr>
    </w:lvl>
  </w:abstractNum>
  <w:num w:numId="1">
    <w:abstractNumId w:val="10"/>
  </w:num>
  <w:num w:numId="2">
    <w:abstractNumId w:val="40"/>
  </w:num>
  <w:num w:numId="3">
    <w:abstractNumId w:val="34"/>
  </w:num>
  <w:num w:numId="4">
    <w:abstractNumId w:val="54"/>
  </w:num>
  <w:num w:numId="5">
    <w:abstractNumId w:val="48"/>
  </w:num>
  <w:num w:numId="6">
    <w:abstractNumId w:val="27"/>
  </w:num>
  <w:num w:numId="7">
    <w:abstractNumId w:val="55"/>
  </w:num>
  <w:num w:numId="8">
    <w:abstractNumId w:val="44"/>
  </w:num>
  <w:num w:numId="9">
    <w:abstractNumId w:val="8"/>
  </w:num>
  <w:num w:numId="10">
    <w:abstractNumId w:val="47"/>
  </w:num>
  <w:num w:numId="11">
    <w:abstractNumId w:val="32"/>
  </w:num>
  <w:num w:numId="12">
    <w:abstractNumId w:val="23"/>
  </w:num>
  <w:num w:numId="13">
    <w:abstractNumId w:val="38"/>
  </w:num>
  <w:num w:numId="14">
    <w:abstractNumId w:val="21"/>
  </w:num>
  <w:num w:numId="15">
    <w:abstractNumId w:val="4"/>
  </w:num>
  <w:num w:numId="16">
    <w:abstractNumId w:val="36"/>
  </w:num>
  <w:num w:numId="17">
    <w:abstractNumId w:val="5"/>
  </w:num>
  <w:num w:numId="18">
    <w:abstractNumId w:val="22"/>
  </w:num>
  <w:num w:numId="19">
    <w:abstractNumId w:val="49"/>
  </w:num>
  <w:num w:numId="20">
    <w:abstractNumId w:val="20"/>
  </w:num>
  <w:num w:numId="21">
    <w:abstractNumId w:val="3"/>
  </w:num>
  <w:num w:numId="22">
    <w:abstractNumId w:val="50"/>
  </w:num>
  <w:num w:numId="23">
    <w:abstractNumId w:val="30"/>
  </w:num>
  <w:num w:numId="24">
    <w:abstractNumId w:val="39"/>
  </w:num>
  <w:num w:numId="25">
    <w:abstractNumId w:val="17"/>
  </w:num>
  <w:num w:numId="26">
    <w:abstractNumId w:val="33"/>
  </w:num>
  <w:num w:numId="27">
    <w:abstractNumId w:val="12"/>
  </w:num>
  <w:num w:numId="28">
    <w:abstractNumId w:val="56"/>
  </w:num>
  <w:num w:numId="29">
    <w:abstractNumId w:val="52"/>
  </w:num>
  <w:num w:numId="30">
    <w:abstractNumId w:val="11"/>
  </w:num>
  <w:num w:numId="31">
    <w:abstractNumId w:val="24"/>
  </w:num>
  <w:num w:numId="32">
    <w:abstractNumId w:val="35"/>
  </w:num>
  <w:num w:numId="33">
    <w:abstractNumId w:val="29"/>
  </w:num>
  <w:num w:numId="34">
    <w:abstractNumId w:val="43"/>
  </w:num>
  <w:num w:numId="35">
    <w:abstractNumId w:val="2"/>
  </w:num>
  <w:num w:numId="36">
    <w:abstractNumId w:val="37"/>
  </w:num>
  <w:num w:numId="37">
    <w:abstractNumId w:val="18"/>
  </w:num>
  <w:num w:numId="38">
    <w:abstractNumId w:val="7"/>
  </w:num>
  <w:num w:numId="39">
    <w:abstractNumId w:val="42"/>
  </w:num>
  <w:num w:numId="40">
    <w:abstractNumId w:val="53"/>
  </w:num>
  <w:num w:numId="41">
    <w:abstractNumId w:val="15"/>
  </w:num>
  <w:num w:numId="42">
    <w:abstractNumId w:val="25"/>
  </w:num>
  <w:num w:numId="43">
    <w:abstractNumId w:val="6"/>
  </w:num>
  <w:num w:numId="44">
    <w:abstractNumId w:val="19"/>
  </w:num>
  <w:num w:numId="45">
    <w:abstractNumId w:val="41"/>
  </w:num>
  <w:num w:numId="46">
    <w:abstractNumId w:val="14"/>
  </w:num>
  <w:num w:numId="47">
    <w:abstractNumId w:val="28"/>
  </w:num>
  <w:num w:numId="48">
    <w:abstractNumId w:val="1"/>
  </w:num>
  <w:num w:numId="49">
    <w:abstractNumId w:val="46"/>
  </w:num>
  <w:num w:numId="50">
    <w:abstractNumId w:val="16"/>
  </w:num>
  <w:num w:numId="51">
    <w:abstractNumId w:val="13"/>
  </w:num>
  <w:num w:numId="52">
    <w:abstractNumId w:val="26"/>
  </w:num>
  <w:num w:numId="53">
    <w:abstractNumId w:val="9"/>
  </w:num>
  <w:num w:numId="54">
    <w:abstractNumId w:val="51"/>
  </w:num>
  <w:num w:numId="55">
    <w:abstractNumId w:val="45"/>
  </w:num>
  <w:num w:numId="56">
    <w:abstractNumId w:val="0"/>
  </w:num>
  <w:num w:numId="57">
    <w:abstractNumId w:val="31"/>
  </w:num>
  <w:num w:numId="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0"/>
  <w:drawingGridHorizontalSpacing w:val="120"/>
  <w:drawingGridVerticalSpacing w:val="163"/>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JjNTQxMzI5N2U2YmJmZjM0ZmIzYTE2OWQ0MTYxNjAifQ=="/>
  </w:docVars>
  <w:rsids>
    <w:rsidRoot w:val="002B2E32"/>
    <w:rsid w:val="00000BF2"/>
    <w:rsid w:val="00000BFB"/>
    <w:rsid w:val="00000FB1"/>
    <w:rsid w:val="00001FBA"/>
    <w:rsid w:val="000022EE"/>
    <w:rsid w:val="00002586"/>
    <w:rsid w:val="000026C2"/>
    <w:rsid w:val="00004D4E"/>
    <w:rsid w:val="000061D7"/>
    <w:rsid w:val="00006B13"/>
    <w:rsid w:val="0000744A"/>
    <w:rsid w:val="00007CAA"/>
    <w:rsid w:val="00010214"/>
    <w:rsid w:val="00011044"/>
    <w:rsid w:val="000112F2"/>
    <w:rsid w:val="00011A50"/>
    <w:rsid w:val="00011F9E"/>
    <w:rsid w:val="00012440"/>
    <w:rsid w:val="000137AD"/>
    <w:rsid w:val="00013DF8"/>
    <w:rsid w:val="00015CD6"/>
    <w:rsid w:val="00017206"/>
    <w:rsid w:val="0001780C"/>
    <w:rsid w:val="00017C1D"/>
    <w:rsid w:val="00017D4C"/>
    <w:rsid w:val="0002005A"/>
    <w:rsid w:val="00020314"/>
    <w:rsid w:val="000219D2"/>
    <w:rsid w:val="0002239E"/>
    <w:rsid w:val="00023252"/>
    <w:rsid w:val="00023825"/>
    <w:rsid w:val="0002421A"/>
    <w:rsid w:val="00024867"/>
    <w:rsid w:val="0002616F"/>
    <w:rsid w:val="00026268"/>
    <w:rsid w:val="00026F73"/>
    <w:rsid w:val="0003026A"/>
    <w:rsid w:val="00031A04"/>
    <w:rsid w:val="00031C95"/>
    <w:rsid w:val="0003233C"/>
    <w:rsid w:val="00035E0E"/>
    <w:rsid w:val="000363BE"/>
    <w:rsid w:val="00037913"/>
    <w:rsid w:val="00037CF1"/>
    <w:rsid w:val="000413C1"/>
    <w:rsid w:val="000415F2"/>
    <w:rsid w:val="00041A6C"/>
    <w:rsid w:val="0004210D"/>
    <w:rsid w:val="00044C71"/>
    <w:rsid w:val="00044E80"/>
    <w:rsid w:val="000452F6"/>
    <w:rsid w:val="00047EC2"/>
    <w:rsid w:val="00047F2C"/>
    <w:rsid w:val="00051B29"/>
    <w:rsid w:val="00052ECB"/>
    <w:rsid w:val="000532F3"/>
    <w:rsid w:val="0005399A"/>
    <w:rsid w:val="000548E9"/>
    <w:rsid w:val="00055247"/>
    <w:rsid w:val="0005660D"/>
    <w:rsid w:val="00056E56"/>
    <w:rsid w:val="00056E97"/>
    <w:rsid w:val="0005709E"/>
    <w:rsid w:val="00057326"/>
    <w:rsid w:val="000575B8"/>
    <w:rsid w:val="000600C1"/>
    <w:rsid w:val="000607A9"/>
    <w:rsid w:val="00060ECD"/>
    <w:rsid w:val="00060EF0"/>
    <w:rsid w:val="00061784"/>
    <w:rsid w:val="000621A7"/>
    <w:rsid w:val="00064866"/>
    <w:rsid w:val="000648E9"/>
    <w:rsid w:val="00064912"/>
    <w:rsid w:val="00064C39"/>
    <w:rsid w:val="00064CCB"/>
    <w:rsid w:val="00065675"/>
    <w:rsid w:val="000658C7"/>
    <w:rsid w:val="00067E5E"/>
    <w:rsid w:val="00070767"/>
    <w:rsid w:val="00070A63"/>
    <w:rsid w:val="00071B12"/>
    <w:rsid w:val="00076091"/>
    <w:rsid w:val="000767D9"/>
    <w:rsid w:val="00076A44"/>
    <w:rsid w:val="0007702D"/>
    <w:rsid w:val="00080336"/>
    <w:rsid w:val="00080E39"/>
    <w:rsid w:val="00081400"/>
    <w:rsid w:val="00082C12"/>
    <w:rsid w:val="0008381D"/>
    <w:rsid w:val="00084009"/>
    <w:rsid w:val="000860B6"/>
    <w:rsid w:val="00086627"/>
    <w:rsid w:val="00086771"/>
    <w:rsid w:val="00086BE0"/>
    <w:rsid w:val="00087972"/>
    <w:rsid w:val="0009010D"/>
    <w:rsid w:val="000902AB"/>
    <w:rsid w:val="00091E34"/>
    <w:rsid w:val="0009366F"/>
    <w:rsid w:val="00093AA1"/>
    <w:rsid w:val="00095C9C"/>
    <w:rsid w:val="00096AF3"/>
    <w:rsid w:val="0009720D"/>
    <w:rsid w:val="000A1ED3"/>
    <w:rsid w:val="000A2158"/>
    <w:rsid w:val="000A325D"/>
    <w:rsid w:val="000A4074"/>
    <w:rsid w:val="000A4C76"/>
    <w:rsid w:val="000A4F56"/>
    <w:rsid w:val="000A4FCD"/>
    <w:rsid w:val="000A5C65"/>
    <w:rsid w:val="000A63FA"/>
    <w:rsid w:val="000A6743"/>
    <w:rsid w:val="000A6C8E"/>
    <w:rsid w:val="000B0CD8"/>
    <w:rsid w:val="000B15A8"/>
    <w:rsid w:val="000B16A4"/>
    <w:rsid w:val="000B28DA"/>
    <w:rsid w:val="000B3C56"/>
    <w:rsid w:val="000B442E"/>
    <w:rsid w:val="000B52B7"/>
    <w:rsid w:val="000B5420"/>
    <w:rsid w:val="000B617A"/>
    <w:rsid w:val="000B6DFD"/>
    <w:rsid w:val="000B6FCC"/>
    <w:rsid w:val="000C13BE"/>
    <w:rsid w:val="000C3754"/>
    <w:rsid w:val="000C38B9"/>
    <w:rsid w:val="000C3968"/>
    <w:rsid w:val="000C70E7"/>
    <w:rsid w:val="000D05BE"/>
    <w:rsid w:val="000D155E"/>
    <w:rsid w:val="000D3441"/>
    <w:rsid w:val="000D426A"/>
    <w:rsid w:val="000D5B5F"/>
    <w:rsid w:val="000D6043"/>
    <w:rsid w:val="000D63AE"/>
    <w:rsid w:val="000D6BA1"/>
    <w:rsid w:val="000D79C8"/>
    <w:rsid w:val="000E07C8"/>
    <w:rsid w:val="000E0AE0"/>
    <w:rsid w:val="000E15CA"/>
    <w:rsid w:val="000E2A4A"/>
    <w:rsid w:val="000E2FF9"/>
    <w:rsid w:val="000E37D3"/>
    <w:rsid w:val="000E4E6F"/>
    <w:rsid w:val="000E563D"/>
    <w:rsid w:val="000E5796"/>
    <w:rsid w:val="000E5D0F"/>
    <w:rsid w:val="000E5F55"/>
    <w:rsid w:val="000E644F"/>
    <w:rsid w:val="000E66FC"/>
    <w:rsid w:val="000E6750"/>
    <w:rsid w:val="000E67E0"/>
    <w:rsid w:val="000E7EF8"/>
    <w:rsid w:val="000F0B4F"/>
    <w:rsid w:val="000F2864"/>
    <w:rsid w:val="000F307A"/>
    <w:rsid w:val="000F5616"/>
    <w:rsid w:val="000F630B"/>
    <w:rsid w:val="000F73FC"/>
    <w:rsid w:val="000F77AF"/>
    <w:rsid w:val="000F7ACF"/>
    <w:rsid w:val="0010095A"/>
    <w:rsid w:val="00100FF8"/>
    <w:rsid w:val="00101E1B"/>
    <w:rsid w:val="00101E21"/>
    <w:rsid w:val="00102171"/>
    <w:rsid w:val="00103CC8"/>
    <w:rsid w:val="00104267"/>
    <w:rsid w:val="00104A7E"/>
    <w:rsid w:val="00107F0C"/>
    <w:rsid w:val="001100D2"/>
    <w:rsid w:val="001101E7"/>
    <w:rsid w:val="00110319"/>
    <w:rsid w:val="00110C88"/>
    <w:rsid w:val="00110F16"/>
    <w:rsid w:val="00111684"/>
    <w:rsid w:val="00111D76"/>
    <w:rsid w:val="001122CA"/>
    <w:rsid w:val="00112DB5"/>
    <w:rsid w:val="001138B7"/>
    <w:rsid w:val="0011520D"/>
    <w:rsid w:val="00115533"/>
    <w:rsid w:val="00115643"/>
    <w:rsid w:val="00115819"/>
    <w:rsid w:val="00115C56"/>
    <w:rsid w:val="001166E1"/>
    <w:rsid w:val="00116B59"/>
    <w:rsid w:val="0012016E"/>
    <w:rsid w:val="00121507"/>
    <w:rsid w:val="001218DD"/>
    <w:rsid w:val="0012240E"/>
    <w:rsid w:val="00124985"/>
    <w:rsid w:val="00124A1C"/>
    <w:rsid w:val="00125667"/>
    <w:rsid w:val="0012580D"/>
    <w:rsid w:val="0012608A"/>
    <w:rsid w:val="001260CF"/>
    <w:rsid w:val="001268FD"/>
    <w:rsid w:val="00127699"/>
    <w:rsid w:val="00130213"/>
    <w:rsid w:val="001321C3"/>
    <w:rsid w:val="00132967"/>
    <w:rsid w:val="00132E28"/>
    <w:rsid w:val="0013386D"/>
    <w:rsid w:val="00133B42"/>
    <w:rsid w:val="00133B76"/>
    <w:rsid w:val="0013532F"/>
    <w:rsid w:val="00135BD2"/>
    <w:rsid w:val="00135C64"/>
    <w:rsid w:val="00140A9F"/>
    <w:rsid w:val="0014133D"/>
    <w:rsid w:val="00141C01"/>
    <w:rsid w:val="0014225C"/>
    <w:rsid w:val="00142EDC"/>
    <w:rsid w:val="001430E4"/>
    <w:rsid w:val="00143317"/>
    <w:rsid w:val="0014520E"/>
    <w:rsid w:val="001456B2"/>
    <w:rsid w:val="00145C34"/>
    <w:rsid w:val="00147333"/>
    <w:rsid w:val="00150FA6"/>
    <w:rsid w:val="00151C44"/>
    <w:rsid w:val="00151E65"/>
    <w:rsid w:val="001522E2"/>
    <w:rsid w:val="00153893"/>
    <w:rsid w:val="00153F93"/>
    <w:rsid w:val="0015522F"/>
    <w:rsid w:val="00156BBA"/>
    <w:rsid w:val="00161DAA"/>
    <w:rsid w:val="0016512C"/>
    <w:rsid w:val="0016513C"/>
    <w:rsid w:val="00165B86"/>
    <w:rsid w:val="001666A2"/>
    <w:rsid w:val="0016739C"/>
    <w:rsid w:val="001675A0"/>
    <w:rsid w:val="001677B7"/>
    <w:rsid w:val="00167888"/>
    <w:rsid w:val="00167F19"/>
    <w:rsid w:val="00167F1C"/>
    <w:rsid w:val="0017128C"/>
    <w:rsid w:val="001731CF"/>
    <w:rsid w:val="00173484"/>
    <w:rsid w:val="00173C2E"/>
    <w:rsid w:val="00174D7F"/>
    <w:rsid w:val="00175791"/>
    <w:rsid w:val="001758B8"/>
    <w:rsid w:val="00175993"/>
    <w:rsid w:val="00175C11"/>
    <w:rsid w:val="00175DEE"/>
    <w:rsid w:val="00175E5E"/>
    <w:rsid w:val="00177E62"/>
    <w:rsid w:val="00180BD0"/>
    <w:rsid w:val="00182A92"/>
    <w:rsid w:val="00182AA9"/>
    <w:rsid w:val="00183185"/>
    <w:rsid w:val="00183346"/>
    <w:rsid w:val="0018465B"/>
    <w:rsid w:val="001846AC"/>
    <w:rsid w:val="001847F7"/>
    <w:rsid w:val="00184F57"/>
    <w:rsid w:val="001879F5"/>
    <w:rsid w:val="00191796"/>
    <w:rsid w:val="00191CD4"/>
    <w:rsid w:val="001927D7"/>
    <w:rsid w:val="00192E21"/>
    <w:rsid w:val="00192F49"/>
    <w:rsid w:val="00193798"/>
    <w:rsid w:val="00195371"/>
    <w:rsid w:val="001955AF"/>
    <w:rsid w:val="00195969"/>
    <w:rsid w:val="00195A30"/>
    <w:rsid w:val="001962B4"/>
    <w:rsid w:val="0019685C"/>
    <w:rsid w:val="00196D0E"/>
    <w:rsid w:val="001972E8"/>
    <w:rsid w:val="00197909"/>
    <w:rsid w:val="001A037B"/>
    <w:rsid w:val="001A2167"/>
    <w:rsid w:val="001A2429"/>
    <w:rsid w:val="001A2595"/>
    <w:rsid w:val="001A27C7"/>
    <w:rsid w:val="001A4183"/>
    <w:rsid w:val="001A4670"/>
    <w:rsid w:val="001A4708"/>
    <w:rsid w:val="001A4780"/>
    <w:rsid w:val="001A4C6F"/>
    <w:rsid w:val="001A4CCF"/>
    <w:rsid w:val="001A5612"/>
    <w:rsid w:val="001A58AA"/>
    <w:rsid w:val="001A5C5F"/>
    <w:rsid w:val="001A69A0"/>
    <w:rsid w:val="001A6C32"/>
    <w:rsid w:val="001A7124"/>
    <w:rsid w:val="001A7C5F"/>
    <w:rsid w:val="001B0444"/>
    <w:rsid w:val="001B1AD7"/>
    <w:rsid w:val="001B1B7E"/>
    <w:rsid w:val="001B1F40"/>
    <w:rsid w:val="001B26BD"/>
    <w:rsid w:val="001B2A14"/>
    <w:rsid w:val="001B2AF4"/>
    <w:rsid w:val="001B322D"/>
    <w:rsid w:val="001B3445"/>
    <w:rsid w:val="001B47CF"/>
    <w:rsid w:val="001B533B"/>
    <w:rsid w:val="001B61D8"/>
    <w:rsid w:val="001B6D08"/>
    <w:rsid w:val="001B6E13"/>
    <w:rsid w:val="001B7449"/>
    <w:rsid w:val="001C10EA"/>
    <w:rsid w:val="001C1588"/>
    <w:rsid w:val="001C185E"/>
    <w:rsid w:val="001C2130"/>
    <w:rsid w:val="001C24BA"/>
    <w:rsid w:val="001C35C0"/>
    <w:rsid w:val="001C3704"/>
    <w:rsid w:val="001C4C41"/>
    <w:rsid w:val="001C56D8"/>
    <w:rsid w:val="001C6DF3"/>
    <w:rsid w:val="001C79E0"/>
    <w:rsid w:val="001C7DEE"/>
    <w:rsid w:val="001D06D1"/>
    <w:rsid w:val="001D111A"/>
    <w:rsid w:val="001D16B2"/>
    <w:rsid w:val="001D1E4A"/>
    <w:rsid w:val="001D1FE7"/>
    <w:rsid w:val="001D22E3"/>
    <w:rsid w:val="001D2406"/>
    <w:rsid w:val="001D33A5"/>
    <w:rsid w:val="001D3D8B"/>
    <w:rsid w:val="001D3E63"/>
    <w:rsid w:val="001D4474"/>
    <w:rsid w:val="001D5AD6"/>
    <w:rsid w:val="001D7595"/>
    <w:rsid w:val="001D7668"/>
    <w:rsid w:val="001D777D"/>
    <w:rsid w:val="001E12C7"/>
    <w:rsid w:val="001E2490"/>
    <w:rsid w:val="001E2525"/>
    <w:rsid w:val="001E2709"/>
    <w:rsid w:val="001E318A"/>
    <w:rsid w:val="001E510E"/>
    <w:rsid w:val="001E5DCB"/>
    <w:rsid w:val="001E60BA"/>
    <w:rsid w:val="001E65D2"/>
    <w:rsid w:val="001E70CC"/>
    <w:rsid w:val="001E78D3"/>
    <w:rsid w:val="001F188B"/>
    <w:rsid w:val="001F2A29"/>
    <w:rsid w:val="001F33B2"/>
    <w:rsid w:val="001F376B"/>
    <w:rsid w:val="001F3DC4"/>
    <w:rsid w:val="001F52CE"/>
    <w:rsid w:val="001F6166"/>
    <w:rsid w:val="001F67A9"/>
    <w:rsid w:val="001F70A2"/>
    <w:rsid w:val="001F7B76"/>
    <w:rsid w:val="00200AFB"/>
    <w:rsid w:val="00201418"/>
    <w:rsid w:val="00201BDC"/>
    <w:rsid w:val="0020276E"/>
    <w:rsid w:val="00203BD3"/>
    <w:rsid w:val="00204834"/>
    <w:rsid w:val="00204AF5"/>
    <w:rsid w:val="00204C51"/>
    <w:rsid w:val="00204D82"/>
    <w:rsid w:val="002059BE"/>
    <w:rsid w:val="00205D6B"/>
    <w:rsid w:val="00205EED"/>
    <w:rsid w:val="00207479"/>
    <w:rsid w:val="002075D0"/>
    <w:rsid w:val="002078B7"/>
    <w:rsid w:val="00210104"/>
    <w:rsid w:val="00210A8A"/>
    <w:rsid w:val="00210AA4"/>
    <w:rsid w:val="002133D0"/>
    <w:rsid w:val="00213935"/>
    <w:rsid w:val="0021396F"/>
    <w:rsid w:val="002143EE"/>
    <w:rsid w:val="002145A5"/>
    <w:rsid w:val="002147BC"/>
    <w:rsid w:val="00215795"/>
    <w:rsid w:val="00216B29"/>
    <w:rsid w:val="00217919"/>
    <w:rsid w:val="00217AB8"/>
    <w:rsid w:val="00220A4C"/>
    <w:rsid w:val="00221F37"/>
    <w:rsid w:val="00222918"/>
    <w:rsid w:val="002235E9"/>
    <w:rsid w:val="002243E3"/>
    <w:rsid w:val="00224952"/>
    <w:rsid w:val="00225589"/>
    <w:rsid w:val="0022588F"/>
    <w:rsid w:val="00225C51"/>
    <w:rsid w:val="00226B1E"/>
    <w:rsid w:val="00227F55"/>
    <w:rsid w:val="00231D0C"/>
    <w:rsid w:val="00233BC2"/>
    <w:rsid w:val="002346B2"/>
    <w:rsid w:val="00235FF7"/>
    <w:rsid w:val="00236A11"/>
    <w:rsid w:val="00236E65"/>
    <w:rsid w:val="00237237"/>
    <w:rsid w:val="00242048"/>
    <w:rsid w:val="0024302B"/>
    <w:rsid w:val="002436D5"/>
    <w:rsid w:val="00244CCA"/>
    <w:rsid w:val="00245A18"/>
    <w:rsid w:val="00247054"/>
    <w:rsid w:val="00247500"/>
    <w:rsid w:val="00247A41"/>
    <w:rsid w:val="002503B1"/>
    <w:rsid w:val="002504B3"/>
    <w:rsid w:val="002516F4"/>
    <w:rsid w:val="00252080"/>
    <w:rsid w:val="0025247F"/>
    <w:rsid w:val="0025304B"/>
    <w:rsid w:val="00253524"/>
    <w:rsid w:val="002538D5"/>
    <w:rsid w:val="00253CA3"/>
    <w:rsid w:val="002555EC"/>
    <w:rsid w:val="00255FD6"/>
    <w:rsid w:val="002571FA"/>
    <w:rsid w:val="00260B68"/>
    <w:rsid w:val="00260D94"/>
    <w:rsid w:val="00260DCE"/>
    <w:rsid w:val="002624DB"/>
    <w:rsid w:val="00262D0A"/>
    <w:rsid w:val="00262FC1"/>
    <w:rsid w:val="0026315E"/>
    <w:rsid w:val="002633E2"/>
    <w:rsid w:val="002643AF"/>
    <w:rsid w:val="00264707"/>
    <w:rsid w:val="00264817"/>
    <w:rsid w:val="002653E4"/>
    <w:rsid w:val="002669C8"/>
    <w:rsid w:val="002675DA"/>
    <w:rsid w:val="0027016D"/>
    <w:rsid w:val="00270ED7"/>
    <w:rsid w:val="00270FFE"/>
    <w:rsid w:val="00271741"/>
    <w:rsid w:val="00271BE7"/>
    <w:rsid w:val="00272887"/>
    <w:rsid w:val="00273345"/>
    <w:rsid w:val="0027416B"/>
    <w:rsid w:val="0028078C"/>
    <w:rsid w:val="002808BE"/>
    <w:rsid w:val="00280BA1"/>
    <w:rsid w:val="002819E2"/>
    <w:rsid w:val="00282411"/>
    <w:rsid w:val="00282428"/>
    <w:rsid w:val="00283C7D"/>
    <w:rsid w:val="002842CE"/>
    <w:rsid w:val="0028578E"/>
    <w:rsid w:val="00286231"/>
    <w:rsid w:val="00286A15"/>
    <w:rsid w:val="00286B5C"/>
    <w:rsid w:val="002873C3"/>
    <w:rsid w:val="00287A51"/>
    <w:rsid w:val="00287AB7"/>
    <w:rsid w:val="0029039B"/>
    <w:rsid w:val="00291D4A"/>
    <w:rsid w:val="0029280F"/>
    <w:rsid w:val="00292A32"/>
    <w:rsid w:val="00292A58"/>
    <w:rsid w:val="00293046"/>
    <w:rsid w:val="002933F3"/>
    <w:rsid w:val="002951AC"/>
    <w:rsid w:val="00295603"/>
    <w:rsid w:val="0029561F"/>
    <w:rsid w:val="00295714"/>
    <w:rsid w:val="00296098"/>
    <w:rsid w:val="00296FFF"/>
    <w:rsid w:val="002974F1"/>
    <w:rsid w:val="002976BB"/>
    <w:rsid w:val="00297D75"/>
    <w:rsid w:val="00297F07"/>
    <w:rsid w:val="00297F77"/>
    <w:rsid w:val="002A1F8D"/>
    <w:rsid w:val="002A2CCC"/>
    <w:rsid w:val="002A35DE"/>
    <w:rsid w:val="002A3652"/>
    <w:rsid w:val="002A3E74"/>
    <w:rsid w:val="002A615A"/>
    <w:rsid w:val="002B0960"/>
    <w:rsid w:val="002B2E32"/>
    <w:rsid w:val="002B3281"/>
    <w:rsid w:val="002B32F3"/>
    <w:rsid w:val="002B3A38"/>
    <w:rsid w:val="002B44F7"/>
    <w:rsid w:val="002B4845"/>
    <w:rsid w:val="002B4949"/>
    <w:rsid w:val="002B59DC"/>
    <w:rsid w:val="002B6797"/>
    <w:rsid w:val="002B6899"/>
    <w:rsid w:val="002B6E31"/>
    <w:rsid w:val="002B7271"/>
    <w:rsid w:val="002B758B"/>
    <w:rsid w:val="002B7AE9"/>
    <w:rsid w:val="002C025C"/>
    <w:rsid w:val="002C03DF"/>
    <w:rsid w:val="002C12FB"/>
    <w:rsid w:val="002C15E5"/>
    <w:rsid w:val="002C1D98"/>
    <w:rsid w:val="002C48AC"/>
    <w:rsid w:val="002C4933"/>
    <w:rsid w:val="002C4F10"/>
    <w:rsid w:val="002C7501"/>
    <w:rsid w:val="002C7641"/>
    <w:rsid w:val="002D0132"/>
    <w:rsid w:val="002D19E2"/>
    <w:rsid w:val="002D1E3F"/>
    <w:rsid w:val="002D22D9"/>
    <w:rsid w:val="002D2CFD"/>
    <w:rsid w:val="002D4156"/>
    <w:rsid w:val="002D549F"/>
    <w:rsid w:val="002D596D"/>
    <w:rsid w:val="002D6D93"/>
    <w:rsid w:val="002D7621"/>
    <w:rsid w:val="002D78F5"/>
    <w:rsid w:val="002D7998"/>
    <w:rsid w:val="002E0544"/>
    <w:rsid w:val="002E0D89"/>
    <w:rsid w:val="002E1031"/>
    <w:rsid w:val="002E24C2"/>
    <w:rsid w:val="002E3408"/>
    <w:rsid w:val="002E3762"/>
    <w:rsid w:val="002E3F78"/>
    <w:rsid w:val="002E44CC"/>
    <w:rsid w:val="002E4795"/>
    <w:rsid w:val="002E4AFC"/>
    <w:rsid w:val="002E6143"/>
    <w:rsid w:val="002E61C8"/>
    <w:rsid w:val="002E6B75"/>
    <w:rsid w:val="002E77C7"/>
    <w:rsid w:val="002E7B41"/>
    <w:rsid w:val="002F043C"/>
    <w:rsid w:val="002F17FE"/>
    <w:rsid w:val="002F23E6"/>
    <w:rsid w:val="002F2D40"/>
    <w:rsid w:val="002F3F9E"/>
    <w:rsid w:val="002F56F2"/>
    <w:rsid w:val="002F5990"/>
    <w:rsid w:val="002F639B"/>
    <w:rsid w:val="002F674E"/>
    <w:rsid w:val="002F689E"/>
    <w:rsid w:val="002F69A0"/>
    <w:rsid w:val="002F6D22"/>
    <w:rsid w:val="0030062D"/>
    <w:rsid w:val="003009FE"/>
    <w:rsid w:val="003011C6"/>
    <w:rsid w:val="0030346F"/>
    <w:rsid w:val="0030352A"/>
    <w:rsid w:val="00303A66"/>
    <w:rsid w:val="003041F3"/>
    <w:rsid w:val="00304603"/>
    <w:rsid w:val="003047D7"/>
    <w:rsid w:val="00304FDE"/>
    <w:rsid w:val="00305923"/>
    <w:rsid w:val="00305DFC"/>
    <w:rsid w:val="0030690B"/>
    <w:rsid w:val="00306F63"/>
    <w:rsid w:val="003072C3"/>
    <w:rsid w:val="00307A95"/>
    <w:rsid w:val="003103CB"/>
    <w:rsid w:val="00310736"/>
    <w:rsid w:val="00310A27"/>
    <w:rsid w:val="00310C92"/>
    <w:rsid w:val="003112E4"/>
    <w:rsid w:val="0031160E"/>
    <w:rsid w:val="003122F6"/>
    <w:rsid w:val="00312A1F"/>
    <w:rsid w:val="003136AF"/>
    <w:rsid w:val="00314259"/>
    <w:rsid w:val="003153A3"/>
    <w:rsid w:val="00316CE5"/>
    <w:rsid w:val="00316E68"/>
    <w:rsid w:val="003172C9"/>
    <w:rsid w:val="00317F94"/>
    <w:rsid w:val="0032023C"/>
    <w:rsid w:val="00320BD9"/>
    <w:rsid w:val="00321F0E"/>
    <w:rsid w:val="003220C1"/>
    <w:rsid w:val="003221A0"/>
    <w:rsid w:val="003222D7"/>
    <w:rsid w:val="00323B48"/>
    <w:rsid w:val="00324083"/>
    <w:rsid w:val="003245B6"/>
    <w:rsid w:val="00324B3B"/>
    <w:rsid w:val="003253A9"/>
    <w:rsid w:val="00326224"/>
    <w:rsid w:val="00326BE1"/>
    <w:rsid w:val="00327C76"/>
    <w:rsid w:val="00330B20"/>
    <w:rsid w:val="00330D16"/>
    <w:rsid w:val="0033199F"/>
    <w:rsid w:val="00332373"/>
    <w:rsid w:val="00332495"/>
    <w:rsid w:val="0033294A"/>
    <w:rsid w:val="003339B3"/>
    <w:rsid w:val="00333A0B"/>
    <w:rsid w:val="00334568"/>
    <w:rsid w:val="00335594"/>
    <w:rsid w:val="00336873"/>
    <w:rsid w:val="003373EB"/>
    <w:rsid w:val="0033760E"/>
    <w:rsid w:val="003405BE"/>
    <w:rsid w:val="00340C42"/>
    <w:rsid w:val="00340DD8"/>
    <w:rsid w:val="00343A5F"/>
    <w:rsid w:val="00343B98"/>
    <w:rsid w:val="00344301"/>
    <w:rsid w:val="003446F0"/>
    <w:rsid w:val="0034506C"/>
    <w:rsid w:val="00345204"/>
    <w:rsid w:val="00345267"/>
    <w:rsid w:val="00346A7C"/>
    <w:rsid w:val="00347A5E"/>
    <w:rsid w:val="00347B67"/>
    <w:rsid w:val="00347C05"/>
    <w:rsid w:val="00347CD0"/>
    <w:rsid w:val="0035013F"/>
    <w:rsid w:val="00353774"/>
    <w:rsid w:val="003542F6"/>
    <w:rsid w:val="0035449E"/>
    <w:rsid w:val="003550FA"/>
    <w:rsid w:val="003556B2"/>
    <w:rsid w:val="003565F3"/>
    <w:rsid w:val="003568BA"/>
    <w:rsid w:val="00356BC5"/>
    <w:rsid w:val="0035757F"/>
    <w:rsid w:val="00357E3A"/>
    <w:rsid w:val="003607EC"/>
    <w:rsid w:val="00361639"/>
    <w:rsid w:val="00361A80"/>
    <w:rsid w:val="003621BC"/>
    <w:rsid w:val="0036261B"/>
    <w:rsid w:val="0036406F"/>
    <w:rsid w:val="0036579F"/>
    <w:rsid w:val="003665CE"/>
    <w:rsid w:val="00366936"/>
    <w:rsid w:val="00367BC1"/>
    <w:rsid w:val="00367C8B"/>
    <w:rsid w:val="00367E97"/>
    <w:rsid w:val="003740CC"/>
    <w:rsid w:val="0037430C"/>
    <w:rsid w:val="00374AFA"/>
    <w:rsid w:val="003751FD"/>
    <w:rsid w:val="0037796A"/>
    <w:rsid w:val="00377DD7"/>
    <w:rsid w:val="00377F0C"/>
    <w:rsid w:val="0038001C"/>
    <w:rsid w:val="00380585"/>
    <w:rsid w:val="003806D9"/>
    <w:rsid w:val="00380D5D"/>
    <w:rsid w:val="00380E75"/>
    <w:rsid w:val="00381089"/>
    <w:rsid w:val="003812E9"/>
    <w:rsid w:val="0038157D"/>
    <w:rsid w:val="003821A3"/>
    <w:rsid w:val="00382A35"/>
    <w:rsid w:val="00382C69"/>
    <w:rsid w:val="00383701"/>
    <w:rsid w:val="00383805"/>
    <w:rsid w:val="00383CD2"/>
    <w:rsid w:val="00383D7D"/>
    <w:rsid w:val="00384106"/>
    <w:rsid w:val="003846F3"/>
    <w:rsid w:val="0038485D"/>
    <w:rsid w:val="00384D64"/>
    <w:rsid w:val="003859C4"/>
    <w:rsid w:val="00385D8B"/>
    <w:rsid w:val="00385F07"/>
    <w:rsid w:val="003862FA"/>
    <w:rsid w:val="003869E4"/>
    <w:rsid w:val="00386EE2"/>
    <w:rsid w:val="003870FD"/>
    <w:rsid w:val="003876A7"/>
    <w:rsid w:val="00387C7D"/>
    <w:rsid w:val="00387F10"/>
    <w:rsid w:val="003914D3"/>
    <w:rsid w:val="00391B3F"/>
    <w:rsid w:val="00391E2A"/>
    <w:rsid w:val="00392695"/>
    <w:rsid w:val="00393A8A"/>
    <w:rsid w:val="00394022"/>
    <w:rsid w:val="0039409C"/>
    <w:rsid w:val="003947D6"/>
    <w:rsid w:val="00394EC7"/>
    <w:rsid w:val="00395121"/>
    <w:rsid w:val="00396CF6"/>
    <w:rsid w:val="0039754C"/>
    <w:rsid w:val="00397E3E"/>
    <w:rsid w:val="003A0D12"/>
    <w:rsid w:val="003A1235"/>
    <w:rsid w:val="003A29B8"/>
    <w:rsid w:val="003A2A62"/>
    <w:rsid w:val="003A2FCD"/>
    <w:rsid w:val="003A38ED"/>
    <w:rsid w:val="003A47ED"/>
    <w:rsid w:val="003A5000"/>
    <w:rsid w:val="003A51BE"/>
    <w:rsid w:val="003A55C9"/>
    <w:rsid w:val="003A58A5"/>
    <w:rsid w:val="003A6317"/>
    <w:rsid w:val="003A6A73"/>
    <w:rsid w:val="003A6AA1"/>
    <w:rsid w:val="003A730A"/>
    <w:rsid w:val="003A78B7"/>
    <w:rsid w:val="003B0261"/>
    <w:rsid w:val="003B0AE8"/>
    <w:rsid w:val="003B0AFC"/>
    <w:rsid w:val="003B0BC4"/>
    <w:rsid w:val="003B0DFF"/>
    <w:rsid w:val="003B0F53"/>
    <w:rsid w:val="003B15B1"/>
    <w:rsid w:val="003B28F9"/>
    <w:rsid w:val="003B39D0"/>
    <w:rsid w:val="003B4141"/>
    <w:rsid w:val="003B499B"/>
    <w:rsid w:val="003B686A"/>
    <w:rsid w:val="003B735C"/>
    <w:rsid w:val="003B753C"/>
    <w:rsid w:val="003B79D1"/>
    <w:rsid w:val="003C034C"/>
    <w:rsid w:val="003C05F3"/>
    <w:rsid w:val="003C07FF"/>
    <w:rsid w:val="003C11FF"/>
    <w:rsid w:val="003C1C2E"/>
    <w:rsid w:val="003C2C9E"/>
    <w:rsid w:val="003C512C"/>
    <w:rsid w:val="003C53C1"/>
    <w:rsid w:val="003C5AC5"/>
    <w:rsid w:val="003C6555"/>
    <w:rsid w:val="003C72CF"/>
    <w:rsid w:val="003D0093"/>
    <w:rsid w:val="003D027A"/>
    <w:rsid w:val="003D0852"/>
    <w:rsid w:val="003D1EDB"/>
    <w:rsid w:val="003D3D08"/>
    <w:rsid w:val="003D4F2A"/>
    <w:rsid w:val="003D5415"/>
    <w:rsid w:val="003D57FC"/>
    <w:rsid w:val="003D5D33"/>
    <w:rsid w:val="003D7458"/>
    <w:rsid w:val="003E27B6"/>
    <w:rsid w:val="003E367B"/>
    <w:rsid w:val="003E585D"/>
    <w:rsid w:val="003E5919"/>
    <w:rsid w:val="003E6155"/>
    <w:rsid w:val="003E6881"/>
    <w:rsid w:val="003E6B34"/>
    <w:rsid w:val="003E6CCA"/>
    <w:rsid w:val="003E7BFB"/>
    <w:rsid w:val="003E7C06"/>
    <w:rsid w:val="003F0A95"/>
    <w:rsid w:val="003F1743"/>
    <w:rsid w:val="003F1A6E"/>
    <w:rsid w:val="003F1C49"/>
    <w:rsid w:val="003F1D7A"/>
    <w:rsid w:val="003F271F"/>
    <w:rsid w:val="003F29AC"/>
    <w:rsid w:val="003F2C4D"/>
    <w:rsid w:val="003F309F"/>
    <w:rsid w:val="003F31B5"/>
    <w:rsid w:val="003F33D3"/>
    <w:rsid w:val="003F3ACE"/>
    <w:rsid w:val="003F3E50"/>
    <w:rsid w:val="003F4AD8"/>
    <w:rsid w:val="003F4FFB"/>
    <w:rsid w:val="003F63E9"/>
    <w:rsid w:val="003F6682"/>
    <w:rsid w:val="003F6AA6"/>
    <w:rsid w:val="003F7EEA"/>
    <w:rsid w:val="004001F9"/>
    <w:rsid w:val="0040195E"/>
    <w:rsid w:val="00402793"/>
    <w:rsid w:val="00403584"/>
    <w:rsid w:val="00406321"/>
    <w:rsid w:val="00407939"/>
    <w:rsid w:val="00410040"/>
    <w:rsid w:val="004113A6"/>
    <w:rsid w:val="00411934"/>
    <w:rsid w:val="004122BB"/>
    <w:rsid w:val="00412956"/>
    <w:rsid w:val="00412BCC"/>
    <w:rsid w:val="00412C72"/>
    <w:rsid w:val="004132AF"/>
    <w:rsid w:val="00413812"/>
    <w:rsid w:val="004139D1"/>
    <w:rsid w:val="0041445B"/>
    <w:rsid w:val="00414C6F"/>
    <w:rsid w:val="00415529"/>
    <w:rsid w:val="0041588D"/>
    <w:rsid w:val="004159BB"/>
    <w:rsid w:val="00415AC0"/>
    <w:rsid w:val="00415B12"/>
    <w:rsid w:val="0041727C"/>
    <w:rsid w:val="00417719"/>
    <w:rsid w:val="004179EE"/>
    <w:rsid w:val="004225C7"/>
    <w:rsid w:val="00422F6B"/>
    <w:rsid w:val="00423271"/>
    <w:rsid w:val="00423F81"/>
    <w:rsid w:val="00424B42"/>
    <w:rsid w:val="00424D15"/>
    <w:rsid w:val="004251FD"/>
    <w:rsid w:val="00425587"/>
    <w:rsid w:val="00425E28"/>
    <w:rsid w:val="00426872"/>
    <w:rsid w:val="00426A08"/>
    <w:rsid w:val="00427D07"/>
    <w:rsid w:val="004306DD"/>
    <w:rsid w:val="00430A3C"/>
    <w:rsid w:val="00431683"/>
    <w:rsid w:val="004317EC"/>
    <w:rsid w:val="00432E1A"/>
    <w:rsid w:val="0043363F"/>
    <w:rsid w:val="0043442A"/>
    <w:rsid w:val="004346FE"/>
    <w:rsid w:val="00434A50"/>
    <w:rsid w:val="004352D0"/>
    <w:rsid w:val="00435C6D"/>
    <w:rsid w:val="00435DFD"/>
    <w:rsid w:val="00435F01"/>
    <w:rsid w:val="004377F0"/>
    <w:rsid w:val="00441038"/>
    <w:rsid w:val="00443F58"/>
    <w:rsid w:val="00443FD0"/>
    <w:rsid w:val="00445091"/>
    <w:rsid w:val="0044558C"/>
    <w:rsid w:val="00446236"/>
    <w:rsid w:val="00446C6D"/>
    <w:rsid w:val="004501D7"/>
    <w:rsid w:val="0045075F"/>
    <w:rsid w:val="00450C8B"/>
    <w:rsid w:val="0045165A"/>
    <w:rsid w:val="00452214"/>
    <w:rsid w:val="00452FB9"/>
    <w:rsid w:val="00453B0E"/>
    <w:rsid w:val="00454AD8"/>
    <w:rsid w:val="00454C7C"/>
    <w:rsid w:val="00454C92"/>
    <w:rsid w:val="00457A34"/>
    <w:rsid w:val="00460A77"/>
    <w:rsid w:val="00461853"/>
    <w:rsid w:val="00461ADF"/>
    <w:rsid w:val="00462922"/>
    <w:rsid w:val="00462987"/>
    <w:rsid w:val="00462D6D"/>
    <w:rsid w:val="00462F85"/>
    <w:rsid w:val="00463263"/>
    <w:rsid w:val="004635CA"/>
    <w:rsid w:val="004636F3"/>
    <w:rsid w:val="00463B05"/>
    <w:rsid w:val="00463D2D"/>
    <w:rsid w:val="0046465E"/>
    <w:rsid w:val="00464ADE"/>
    <w:rsid w:val="00465CDD"/>
    <w:rsid w:val="00466173"/>
    <w:rsid w:val="0047164A"/>
    <w:rsid w:val="0047211A"/>
    <w:rsid w:val="004723DC"/>
    <w:rsid w:val="00472D39"/>
    <w:rsid w:val="00473F84"/>
    <w:rsid w:val="004743F2"/>
    <w:rsid w:val="00474598"/>
    <w:rsid w:val="00474CAA"/>
    <w:rsid w:val="0047580B"/>
    <w:rsid w:val="0047661A"/>
    <w:rsid w:val="004766AE"/>
    <w:rsid w:val="00477168"/>
    <w:rsid w:val="00477F4E"/>
    <w:rsid w:val="00480CF9"/>
    <w:rsid w:val="0048231C"/>
    <w:rsid w:val="00482C71"/>
    <w:rsid w:val="00483ED4"/>
    <w:rsid w:val="00485DA7"/>
    <w:rsid w:val="004864F4"/>
    <w:rsid w:val="0048663B"/>
    <w:rsid w:val="004866C2"/>
    <w:rsid w:val="00486758"/>
    <w:rsid w:val="00487707"/>
    <w:rsid w:val="00487B43"/>
    <w:rsid w:val="00487C68"/>
    <w:rsid w:val="0049093C"/>
    <w:rsid w:val="00490940"/>
    <w:rsid w:val="0049278F"/>
    <w:rsid w:val="00492A81"/>
    <w:rsid w:val="00492E12"/>
    <w:rsid w:val="004936DD"/>
    <w:rsid w:val="00494CA0"/>
    <w:rsid w:val="004971F3"/>
    <w:rsid w:val="00497F94"/>
    <w:rsid w:val="004A0779"/>
    <w:rsid w:val="004A1DEB"/>
    <w:rsid w:val="004A1EE5"/>
    <w:rsid w:val="004A2714"/>
    <w:rsid w:val="004A3833"/>
    <w:rsid w:val="004A39C2"/>
    <w:rsid w:val="004A3BC3"/>
    <w:rsid w:val="004A4E0C"/>
    <w:rsid w:val="004A5426"/>
    <w:rsid w:val="004A63EB"/>
    <w:rsid w:val="004A73AB"/>
    <w:rsid w:val="004B03CC"/>
    <w:rsid w:val="004B13FC"/>
    <w:rsid w:val="004B14FE"/>
    <w:rsid w:val="004B1D51"/>
    <w:rsid w:val="004B21E4"/>
    <w:rsid w:val="004B2B0B"/>
    <w:rsid w:val="004B2F5C"/>
    <w:rsid w:val="004B368D"/>
    <w:rsid w:val="004B3DAA"/>
    <w:rsid w:val="004B4F55"/>
    <w:rsid w:val="004B510F"/>
    <w:rsid w:val="004B7213"/>
    <w:rsid w:val="004B73CD"/>
    <w:rsid w:val="004B787B"/>
    <w:rsid w:val="004C09E7"/>
    <w:rsid w:val="004C205B"/>
    <w:rsid w:val="004C2500"/>
    <w:rsid w:val="004C2F1B"/>
    <w:rsid w:val="004C433D"/>
    <w:rsid w:val="004C4792"/>
    <w:rsid w:val="004C49A2"/>
    <w:rsid w:val="004C4D79"/>
    <w:rsid w:val="004C66F5"/>
    <w:rsid w:val="004C71FA"/>
    <w:rsid w:val="004D09D2"/>
    <w:rsid w:val="004D2A2A"/>
    <w:rsid w:val="004D3475"/>
    <w:rsid w:val="004D3AFA"/>
    <w:rsid w:val="004D4110"/>
    <w:rsid w:val="004D44DE"/>
    <w:rsid w:val="004D5490"/>
    <w:rsid w:val="004D54E7"/>
    <w:rsid w:val="004D5517"/>
    <w:rsid w:val="004D7158"/>
    <w:rsid w:val="004D7A71"/>
    <w:rsid w:val="004D7AF1"/>
    <w:rsid w:val="004E07FA"/>
    <w:rsid w:val="004E1001"/>
    <w:rsid w:val="004E105E"/>
    <w:rsid w:val="004E154B"/>
    <w:rsid w:val="004E1AEA"/>
    <w:rsid w:val="004E1FC1"/>
    <w:rsid w:val="004E21C6"/>
    <w:rsid w:val="004E21E9"/>
    <w:rsid w:val="004E457C"/>
    <w:rsid w:val="004E4A80"/>
    <w:rsid w:val="004E623B"/>
    <w:rsid w:val="004E70D6"/>
    <w:rsid w:val="004E7190"/>
    <w:rsid w:val="004E736B"/>
    <w:rsid w:val="004F0F6A"/>
    <w:rsid w:val="004F10CD"/>
    <w:rsid w:val="004F2A6C"/>
    <w:rsid w:val="004F3BE9"/>
    <w:rsid w:val="004F4B7C"/>
    <w:rsid w:val="004F55CF"/>
    <w:rsid w:val="004F5616"/>
    <w:rsid w:val="004F66AB"/>
    <w:rsid w:val="004F6D98"/>
    <w:rsid w:val="004F6E2E"/>
    <w:rsid w:val="004F7FA3"/>
    <w:rsid w:val="0050060A"/>
    <w:rsid w:val="00501346"/>
    <w:rsid w:val="00501512"/>
    <w:rsid w:val="005018BA"/>
    <w:rsid w:val="005019AE"/>
    <w:rsid w:val="00502D9C"/>
    <w:rsid w:val="005043C8"/>
    <w:rsid w:val="00504CD4"/>
    <w:rsid w:val="0050503F"/>
    <w:rsid w:val="005050D5"/>
    <w:rsid w:val="00506DD5"/>
    <w:rsid w:val="005071C5"/>
    <w:rsid w:val="0050743D"/>
    <w:rsid w:val="00507576"/>
    <w:rsid w:val="005105E8"/>
    <w:rsid w:val="00510D04"/>
    <w:rsid w:val="00511742"/>
    <w:rsid w:val="005121CB"/>
    <w:rsid w:val="00513215"/>
    <w:rsid w:val="00513A4A"/>
    <w:rsid w:val="00516DD0"/>
    <w:rsid w:val="005176C4"/>
    <w:rsid w:val="00517D07"/>
    <w:rsid w:val="005217BC"/>
    <w:rsid w:val="00522849"/>
    <w:rsid w:val="00522BFF"/>
    <w:rsid w:val="005231DA"/>
    <w:rsid w:val="00523299"/>
    <w:rsid w:val="00523814"/>
    <w:rsid w:val="00524992"/>
    <w:rsid w:val="005259F8"/>
    <w:rsid w:val="00525BE9"/>
    <w:rsid w:val="00525F1C"/>
    <w:rsid w:val="00525F8F"/>
    <w:rsid w:val="00527C18"/>
    <w:rsid w:val="005303D6"/>
    <w:rsid w:val="0053067D"/>
    <w:rsid w:val="005308B5"/>
    <w:rsid w:val="00532544"/>
    <w:rsid w:val="0053261F"/>
    <w:rsid w:val="00532FD8"/>
    <w:rsid w:val="005332DA"/>
    <w:rsid w:val="005335DC"/>
    <w:rsid w:val="00533A48"/>
    <w:rsid w:val="00534576"/>
    <w:rsid w:val="00534633"/>
    <w:rsid w:val="00536717"/>
    <w:rsid w:val="005367F6"/>
    <w:rsid w:val="00536F0A"/>
    <w:rsid w:val="00537161"/>
    <w:rsid w:val="0053758D"/>
    <w:rsid w:val="00540466"/>
    <w:rsid w:val="00540622"/>
    <w:rsid w:val="00540E5D"/>
    <w:rsid w:val="00542F58"/>
    <w:rsid w:val="00543F2F"/>
    <w:rsid w:val="00544219"/>
    <w:rsid w:val="005445EB"/>
    <w:rsid w:val="0054479B"/>
    <w:rsid w:val="00544DF1"/>
    <w:rsid w:val="0054565D"/>
    <w:rsid w:val="005456A5"/>
    <w:rsid w:val="0054740A"/>
    <w:rsid w:val="00547D4C"/>
    <w:rsid w:val="005509BC"/>
    <w:rsid w:val="005510B3"/>
    <w:rsid w:val="005520FE"/>
    <w:rsid w:val="00552C74"/>
    <w:rsid w:val="00553331"/>
    <w:rsid w:val="005538A6"/>
    <w:rsid w:val="00554D2B"/>
    <w:rsid w:val="00556BBF"/>
    <w:rsid w:val="00556F67"/>
    <w:rsid w:val="005578EF"/>
    <w:rsid w:val="00560243"/>
    <w:rsid w:val="005607B6"/>
    <w:rsid w:val="00560A33"/>
    <w:rsid w:val="00560F5D"/>
    <w:rsid w:val="00561050"/>
    <w:rsid w:val="00561135"/>
    <w:rsid w:val="0056316E"/>
    <w:rsid w:val="00563327"/>
    <w:rsid w:val="00563543"/>
    <w:rsid w:val="00564D23"/>
    <w:rsid w:val="00564D66"/>
    <w:rsid w:val="005653FB"/>
    <w:rsid w:val="0056650E"/>
    <w:rsid w:val="005701AA"/>
    <w:rsid w:val="005701CB"/>
    <w:rsid w:val="00570467"/>
    <w:rsid w:val="005708CA"/>
    <w:rsid w:val="00571053"/>
    <w:rsid w:val="005712A5"/>
    <w:rsid w:val="00571D94"/>
    <w:rsid w:val="005735A0"/>
    <w:rsid w:val="0057492C"/>
    <w:rsid w:val="00574C55"/>
    <w:rsid w:val="00575468"/>
    <w:rsid w:val="005767BC"/>
    <w:rsid w:val="00577904"/>
    <w:rsid w:val="00577A46"/>
    <w:rsid w:val="00577D11"/>
    <w:rsid w:val="005822B7"/>
    <w:rsid w:val="0058242C"/>
    <w:rsid w:val="0058301C"/>
    <w:rsid w:val="00583056"/>
    <w:rsid w:val="005830DC"/>
    <w:rsid w:val="0058328F"/>
    <w:rsid w:val="00584239"/>
    <w:rsid w:val="005849F0"/>
    <w:rsid w:val="00585EC0"/>
    <w:rsid w:val="005860D7"/>
    <w:rsid w:val="005860E1"/>
    <w:rsid w:val="00586ADE"/>
    <w:rsid w:val="00587363"/>
    <w:rsid w:val="0058760C"/>
    <w:rsid w:val="00591ECE"/>
    <w:rsid w:val="0059237A"/>
    <w:rsid w:val="00593BD8"/>
    <w:rsid w:val="00595253"/>
    <w:rsid w:val="00595D4B"/>
    <w:rsid w:val="005977FC"/>
    <w:rsid w:val="005978B7"/>
    <w:rsid w:val="00597B48"/>
    <w:rsid w:val="00597C3C"/>
    <w:rsid w:val="005A05AB"/>
    <w:rsid w:val="005A08F8"/>
    <w:rsid w:val="005A17D7"/>
    <w:rsid w:val="005A2CEE"/>
    <w:rsid w:val="005A3B56"/>
    <w:rsid w:val="005A47F4"/>
    <w:rsid w:val="005A6FC2"/>
    <w:rsid w:val="005A7801"/>
    <w:rsid w:val="005B0A76"/>
    <w:rsid w:val="005B14B6"/>
    <w:rsid w:val="005B206D"/>
    <w:rsid w:val="005B321D"/>
    <w:rsid w:val="005B715B"/>
    <w:rsid w:val="005B7D86"/>
    <w:rsid w:val="005C0167"/>
    <w:rsid w:val="005C1050"/>
    <w:rsid w:val="005C1C82"/>
    <w:rsid w:val="005C247B"/>
    <w:rsid w:val="005C302C"/>
    <w:rsid w:val="005C4C53"/>
    <w:rsid w:val="005C53F0"/>
    <w:rsid w:val="005C5C2D"/>
    <w:rsid w:val="005C627D"/>
    <w:rsid w:val="005C7950"/>
    <w:rsid w:val="005C7F7A"/>
    <w:rsid w:val="005D0BEC"/>
    <w:rsid w:val="005D18A0"/>
    <w:rsid w:val="005D1A55"/>
    <w:rsid w:val="005D1D67"/>
    <w:rsid w:val="005D2A07"/>
    <w:rsid w:val="005D3085"/>
    <w:rsid w:val="005D321F"/>
    <w:rsid w:val="005D326F"/>
    <w:rsid w:val="005D55A1"/>
    <w:rsid w:val="005D5A54"/>
    <w:rsid w:val="005D60A8"/>
    <w:rsid w:val="005D747E"/>
    <w:rsid w:val="005E094E"/>
    <w:rsid w:val="005E1568"/>
    <w:rsid w:val="005E2048"/>
    <w:rsid w:val="005E251E"/>
    <w:rsid w:val="005E2AFB"/>
    <w:rsid w:val="005E2BD0"/>
    <w:rsid w:val="005E4755"/>
    <w:rsid w:val="005E4BAC"/>
    <w:rsid w:val="005E5011"/>
    <w:rsid w:val="005E5059"/>
    <w:rsid w:val="005E5318"/>
    <w:rsid w:val="005E53DA"/>
    <w:rsid w:val="005E5AE6"/>
    <w:rsid w:val="005E5BBA"/>
    <w:rsid w:val="005E6497"/>
    <w:rsid w:val="005E6F27"/>
    <w:rsid w:val="005F0DF7"/>
    <w:rsid w:val="005F1C11"/>
    <w:rsid w:val="005F4164"/>
    <w:rsid w:val="005F4F12"/>
    <w:rsid w:val="005F6231"/>
    <w:rsid w:val="005F7928"/>
    <w:rsid w:val="00600134"/>
    <w:rsid w:val="00600176"/>
    <w:rsid w:val="0060230A"/>
    <w:rsid w:val="006027A9"/>
    <w:rsid w:val="00602D84"/>
    <w:rsid w:val="006037B3"/>
    <w:rsid w:val="00603DC5"/>
    <w:rsid w:val="006046E4"/>
    <w:rsid w:val="0060509D"/>
    <w:rsid w:val="00605637"/>
    <w:rsid w:val="006056DB"/>
    <w:rsid w:val="00605CE3"/>
    <w:rsid w:val="00606C49"/>
    <w:rsid w:val="006070E6"/>
    <w:rsid w:val="006071C4"/>
    <w:rsid w:val="00607C50"/>
    <w:rsid w:val="006103D8"/>
    <w:rsid w:val="00610FC5"/>
    <w:rsid w:val="006148DA"/>
    <w:rsid w:val="00614CF7"/>
    <w:rsid w:val="00614F3C"/>
    <w:rsid w:val="00615C29"/>
    <w:rsid w:val="00615C6D"/>
    <w:rsid w:val="00616209"/>
    <w:rsid w:val="006166B7"/>
    <w:rsid w:val="00616920"/>
    <w:rsid w:val="0061712B"/>
    <w:rsid w:val="0062042F"/>
    <w:rsid w:val="0062091E"/>
    <w:rsid w:val="006224BC"/>
    <w:rsid w:val="00622921"/>
    <w:rsid w:val="00624084"/>
    <w:rsid w:val="006250D0"/>
    <w:rsid w:val="0062550C"/>
    <w:rsid w:val="006268ED"/>
    <w:rsid w:val="00626EE7"/>
    <w:rsid w:val="00631112"/>
    <w:rsid w:val="00631414"/>
    <w:rsid w:val="00631CBB"/>
    <w:rsid w:val="00631D32"/>
    <w:rsid w:val="00631FE0"/>
    <w:rsid w:val="006328F0"/>
    <w:rsid w:val="00632CEB"/>
    <w:rsid w:val="006338CF"/>
    <w:rsid w:val="00633905"/>
    <w:rsid w:val="00634304"/>
    <w:rsid w:val="00634C29"/>
    <w:rsid w:val="006356E1"/>
    <w:rsid w:val="00636276"/>
    <w:rsid w:val="006376B7"/>
    <w:rsid w:val="00640255"/>
    <w:rsid w:val="006414D1"/>
    <w:rsid w:val="00642F64"/>
    <w:rsid w:val="0064527C"/>
    <w:rsid w:val="00645364"/>
    <w:rsid w:val="00645D90"/>
    <w:rsid w:val="00646F4B"/>
    <w:rsid w:val="00647115"/>
    <w:rsid w:val="006504D5"/>
    <w:rsid w:val="00650866"/>
    <w:rsid w:val="00651026"/>
    <w:rsid w:val="006510D2"/>
    <w:rsid w:val="006517B6"/>
    <w:rsid w:val="00651957"/>
    <w:rsid w:val="006532D6"/>
    <w:rsid w:val="00654421"/>
    <w:rsid w:val="006554CA"/>
    <w:rsid w:val="00655D43"/>
    <w:rsid w:val="00656AB0"/>
    <w:rsid w:val="0066081B"/>
    <w:rsid w:val="00661096"/>
    <w:rsid w:val="006611B7"/>
    <w:rsid w:val="00661C91"/>
    <w:rsid w:val="0066253C"/>
    <w:rsid w:val="00665715"/>
    <w:rsid w:val="00666114"/>
    <w:rsid w:val="0066633B"/>
    <w:rsid w:val="00666805"/>
    <w:rsid w:val="00666834"/>
    <w:rsid w:val="00667955"/>
    <w:rsid w:val="00667B13"/>
    <w:rsid w:val="006710C7"/>
    <w:rsid w:val="0067128A"/>
    <w:rsid w:val="006720D8"/>
    <w:rsid w:val="00672441"/>
    <w:rsid w:val="00672AF6"/>
    <w:rsid w:val="006739FD"/>
    <w:rsid w:val="006745B7"/>
    <w:rsid w:val="006747E9"/>
    <w:rsid w:val="0067496E"/>
    <w:rsid w:val="00674D6B"/>
    <w:rsid w:val="006751B5"/>
    <w:rsid w:val="00675440"/>
    <w:rsid w:val="00676981"/>
    <w:rsid w:val="00676A71"/>
    <w:rsid w:val="0067733E"/>
    <w:rsid w:val="00677418"/>
    <w:rsid w:val="0067799B"/>
    <w:rsid w:val="00677E11"/>
    <w:rsid w:val="0068039A"/>
    <w:rsid w:val="00680547"/>
    <w:rsid w:val="00680FE8"/>
    <w:rsid w:val="0068272D"/>
    <w:rsid w:val="00682808"/>
    <w:rsid w:val="00683289"/>
    <w:rsid w:val="006840B8"/>
    <w:rsid w:val="00684190"/>
    <w:rsid w:val="00684B0E"/>
    <w:rsid w:val="00684FFD"/>
    <w:rsid w:val="00685119"/>
    <w:rsid w:val="00685A63"/>
    <w:rsid w:val="00686464"/>
    <w:rsid w:val="00686795"/>
    <w:rsid w:val="006870BC"/>
    <w:rsid w:val="0068783A"/>
    <w:rsid w:val="006903A6"/>
    <w:rsid w:val="006903C8"/>
    <w:rsid w:val="00690997"/>
    <w:rsid w:val="00690D41"/>
    <w:rsid w:val="00691185"/>
    <w:rsid w:val="006951BE"/>
    <w:rsid w:val="00695A72"/>
    <w:rsid w:val="00696ED3"/>
    <w:rsid w:val="006A168E"/>
    <w:rsid w:val="006A1FC3"/>
    <w:rsid w:val="006A3136"/>
    <w:rsid w:val="006A36E6"/>
    <w:rsid w:val="006A387A"/>
    <w:rsid w:val="006A397C"/>
    <w:rsid w:val="006A4001"/>
    <w:rsid w:val="006A53D1"/>
    <w:rsid w:val="006A690F"/>
    <w:rsid w:val="006A6931"/>
    <w:rsid w:val="006A6D23"/>
    <w:rsid w:val="006B0175"/>
    <w:rsid w:val="006B02C7"/>
    <w:rsid w:val="006B18C6"/>
    <w:rsid w:val="006B2051"/>
    <w:rsid w:val="006B244F"/>
    <w:rsid w:val="006B26E9"/>
    <w:rsid w:val="006B2BBD"/>
    <w:rsid w:val="006B301B"/>
    <w:rsid w:val="006B30C7"/>
    <w:rsid w:val="006B3B2E"/>
    <w:rsid w:val="006B3E2E"/>
    <w:rsid w:val="006B3F66"/>
    <w:rsid w:val="006B434C"/>
    <w:rsid w:val="006B49AA"/>
    <w:rsid w:val="006B4A05"/>
    <w:rsid w:val="006B5DEC"/>
    <w:rsid w:val="006B5E2C"/>
    <w:rsid w:val="006B627D"/>
    <w:rsid w:val="006C0CCF"/>
    <w:rsid w:val="006C1AFE"/>
    <w:rsid w:val="006C1BFC"/>
    <w:rsid w:val="006C3073"/>
    <w:rsid w:val="006C35B2"/>
    <w:rsid w:val="006C390B"/>
    <w:rsid w:val="006C3CB3"/>
    <w:rsid w:val="006C3E49"/>
    <w:rsid w:val="006C449D"/>
    <w:rsid w:val="006C59AC"/>
    <w:rsid w:val="006C7DAE"/>
    <w:rsid w:val="006D004A"/>
    <w:rsid w:val="006D11BF"/>
    <w:rsid w:val="006D1277"/>
    <w:rsid w:val="006D37A2"/>
    <w:rsid w:val="006D3EAF"/>
    <w:rsid w:val="006D4AA6"/>
    <w:rsid w:val="006D4ABC"/>
    <w:rsid w:val="006D50C3"/>
    <w:rsid w:val="006D5FEA"/>
    <w:rsid w:val="006D60F8"/>
    <w:rsid w:val="006D6441"/>
    <w:rsid w:val="006D7077"/>
    <w:rsid w:val="006E0783"/>
    <w:rsid w:val="006E220D"/>
    <w:rsid w:val="006E2A09"/>
    <w:rsid w:val="006E2BF1"/>
    <w:rsid w:val="006E2F52"/>
    <w:rsid w:val="006E311F"/>
    <w:rsid w:val="006E313A"/>
    <w:rsid w:val="006E3199"/>
    <w:rsid w:val="006E42F2"/>
    <w:rsid w:val="006E44F6"/>
    <w:rsid w:val="006E4725"/>
    <w:rsid w:val="006E4B55"/>
    <w:rsid w:val="006E4DFD"/>
    <w:rsid w:val="006E4E5E"/>
    <w:rsid w:val="006E4EE3"/>
    <w:rsid w:val="006E4FDD"/>
    <w:rsid w:val="006E57E5"/>
    <w:rsid w:val="006E5DC7"/>
    <w:rsid w:val="006F0F63"/>
    <w:rsid w:val="006F1355"/>
    <w:rsid w:val="006F1F5E"/>
    <w:rsid w:val="006F3401"/>
    <w:rsid w:val="006F4437"/>
    <w:rsid w:val="006F5426"/>
    <w:rsid w:val="006F54F2"/>
    <w:rsid w:val="006F580B"/>
    <w:rsid w:val="006F67F7"/>
    <w:rsid w:val="00700001"/>
    <w:rsid w:val="007011E7"/>
    <w:rsid w:val="007016F8"/>
    <w:rsid w:val="0070181C"/>
    <w:rsid w:val="00701CD4"/>
    <w:rsid w:val="00705701"/>
    <w:rsid w:val="0070575F"/>
    <w:rsid w:val="0070594B"/>
    <w:rsid w:val="00705ADB"/>
    <w:rsid w:val="00705BEB"/>
    <w:rsid w:val="007068ED"/>
    <w:rsid w:val="00706AC8"/>
    <w:rsid w:val="0070767B"/>
    <w:rsid w:val="00707815"/>
    <w:rsid w:val="00707D10"/>
    <w:rsid w:val="007102B9"/>
    <w:rsid w:val="00710715"/>
    <w:rsid w:val="00711715"/>
    <w:rsid w:val="0071256A"/>
    <w:rsid w:val="007127F9"/>
    <w:rsid w:val="00712E38"/>
    <w:rsid w:val="007130A8"/>
    <w:rsid w:val="0071318A"/>
    <w:rsid w:val="00713312"/>
    <w:rsid w:val="00713579"/>
    <w:rsid w:val="00713768"/>
    <w:rsid w:val="00713B86"/>
    <w:rsid w:val="00713F3D"/>
    <w:rsid w:val="00714079"/>
    <w:rsid w:val="0071424C"/>
    <w:rsid w:val="00714938"/>
    <w:rsid w:val="0071540E"/>
    <w:rsid w:val="00715651"/>
    <w:rsid w:val="00715BC7"/>
    <w:rsid w:val="00716284"/>
    <w:rsid w:val="007176D4"/>
    <w:rsid w:val="00717CE1"/>
    <w:rsid w:val="0072064F"/>
    <w:rsid w:val="00721202"/>
    <w:rsid w:val="00722689"/>
    <w:rsid w:val="00722763"/>
    <w:rsid w:val="00722BF6"/>
    <w:rsid w:val="00722E12"/>
    <w:rsid w:val="007235AA"/>
    <w:rsid w:val="00724725"/>
    <w:rsid w:val="007248F6"/>
    <w:rsid w:val="00725182"/>
    <w:rsid w:val="0072646D"/>
    <w:rsid w:val="00731177"/>
    <w:rsid w:val="007312AC"/>
    <w:rsid w:val="00731577"/>
    <w:rsid w:val="00731D2F"/>
    <w:rsid w:val="0073261F"/>
    <w:rsid w:val="00732748"/>
    <w:rsid w:val="0073282E"/>
    <w:rsid w:val="00733496"/>
    <w:rsid w:val="00734115"/>
    <w:rsid w:val="00734169"/>
    <w:rsid w:val="007343BF"/>
    <w:rsid w:val="00734DA4"/>
    <w:rsid w:val="00734FE1"/>
    <w:rsid w:val="0073526A"/>
    <w:rsid w:val="00735349"/>
    <w:rsid w:val="00736504"/>
    <w:rsid w:val="0073781E"/>
    <w:rsid w:val="007378D5"/>
    <w:rsid w:val="00740157"/>
    <w:rsid w:val="00740FBD"/>
    <w:rsid w:val="00741179"/>
    <w:rsid w:val="00742458"/>
    <w:rsid w:val="00742963"/>
    <w:rsid w:val="00742A36"/>
    <w:rsid w:val="00742FB2"/>
    <w:rsid w:val="00743068"/>
    <w:rsid w:val="007440CE"/>
    <w:rsid w:val="00744675"/>
    <w:rsid w:val="0074467E"/>
    <w:rsid w:val="00745DB5"/>
    <w:rsid w:val="0074611D"/>
    <w:rsid w:val="0074691D"/>
    <w:rsid w:val="00747280"/>
    <w:rsid w:val="00747BFE"/>
    <w:rsid w:val="00752102"/>
    <w:rsid w:val="00752420"/>
    <w:rsid w:val="0075288F"/>
    <w:rsid w:val="00752A0F"/>
    <w:rsid w:val="00752B46"/>
    <w:rsid w:val="00752B8A"/>
    <w:rsid w:val="00754330"/>
    <w:rsid w:val="00754339"/>
    <w:rsid w:val="00754474"/>
    <w:rsid w:val="0075492A"/>
    <w:rsid w:val="00754DE7"/>
    <w:rsid w:val="007556D2"/>
    <w:rsid w:val="00756FE2"/>
    <w:rsid w:val="0075734E"/>
    <w:rsid w:val="00760202"/>
    <w:rsid w:val="00760361"/>
    <w:rsid w:val="00761389"/>
    <w:rsid w:val="00762B1E"/>
    <w:rsid w:val="0076326A"/>
    <w:rsid w:val="0076375C"/>
    <w:rsid w:val="0076409E"/>
    <w:rsid w:val="00764982"/>
    <w:rsid w:val="00765082"/>
    <w:rsid w:val="0076518B"/>
    <w:rsid w:val="0076530B"/>
    <w:rsid w:val="00765EBF"/>
    <w:rsid w:val="007660A8"/>
    <w:rsid w:val="0076623C"/>
    <w:rsid w:val="00767B1B"/>
    <w:rsid w:val="0077018F"/>
    <w:rsid w:val="00770771"/>
    <w:rsid w:val="00770BB4"/>
    <w:rsid w:val="007710AC"/>
    <w:rsid w:val="00772090"/>
    <w:rsid w:val="00773588"/>
    <w:rsid w:val="0077358D"/>
    <w:rsid w:val="0077424A"/>
    <w:rsid w:val="007778AE"/>
    <w:rsid w:val="00777962"/>
    <w:rsid w:val="00777A7F"/>
    <w:rsid w:val="00780CAD"/>
    <w:rsid w:val="007815B2"/>
    <w:rsid w:val="00781760"/>
    <w:rsid w:val="0078322B"/>
    <w:rsid w:val="00783F66"/>
    <w:rsid w:val="007841AD"/>
    <w:rsid w:val="007856F9"/>
    <w:rsid w:val="00785A64"/>
    <w:rsid w:val="00785C30"/>
    <w:rsid w:val="00785C33"/>
    <w:rsid w:val="00785D8A"/>
    <w:rsid w:val="00785FDA"/>
    <w:rsid w:val="00786004"/>
    <w:rsid w:val="007868A7"/>
    <w:rsid w:val="00790BB9"/>
    <w:rsid w:val="00790F46"/>
    <w:rsid w:val="007938B0"/>
    <w:rsid w:val="00794821"/>
    <w:rsid w:val="00794B29"/>
    <w:rsid w:val="00795631"/>
    <w:rsid w:val="00795826"/>
    <w:rsid w:val="00795E20"/>
    <w:rsid w:val="00795FDC"/>
    <w:rsid w:val="00796552"/>
    <w:rsid w:val="00797149"/>
    <w:rsid w:val="00797505"/>
    <w:rsid w:val="00797FF6"/>
    <w:rsid w:val="007A04CD"/>
    <w:rsid w:val="007A15FA"/>
    <w:rsid w:val="007A17DF"/>
    <w:rsid w:val="007A1A58"/>
    <w:rsid w:val="007A231D"/>
    <w:rsid w:val="007A341F"/>
    <w:rsid w:val="007A415F"/>
    <w:rsid w:val="007A50F3"/>
    <w:rsid w:val="007A635B"/>
    <w:rsid w:val="007A6518"/>
    <w:rsid w:val="007A6838"/>
    <w:rsid w:val="007A71BD"/>
    <w:rsid w:val="007A75FD"/>
    <w:rsid w:val="007B0932"/>
    <w:rsid w:val="007B20EE"/>
    <w:rsid w:val="007B22BB"/>
    <w:rsid w:val="007B2A8E"/>
    <w:rsid w:val="007B461B"/>
    <w:rsid w:val="007B6046"/>
    <w:rsid w:val="007B60AE"/>
    <w:rsid w:val="007B6564"/>
    <w:rsid w:val="007B724E"/>
    <w:rsid w:val="007B7406"/>
    <w:rsid w:val="007C1AC3"/>
    <w:rsid w:val="007C2C51"/>
    <w:rsid w:val="007C2EE0"/>
    <w:rsid w:val="007C3BFB"/>
    <w:rsid w:val="007C47AA"/>
    <w:rsid w:val="007C4A5B"/>
    <w:rsid w:val="007C4B51"/>
    <w:rsid w:val="007C5468"/>
    <w:rsid w:val="007C5E7E"/>
    <w:rsid w:val="007C60BD"/>
    <w:rsid w:val="007C60D9"/>
    <w:rsid w:val="007C6DC1"/>
    <w:rsid w:val="007D07B5"/>
    <w:rsid w:val="007D0C10"/>
    <w:rsid w:val="007D1A96"/>
    <w:rsid w:val="007D2767"/>
    <w:rsid w:val="007D2895"/>
    <w:rsid w:val="007D3C65"/>
    <w:rsid w:val="007D3D91"/>
    <w:rsid w:val="007D4133"/>
    <w:rsid w:val="007D47D1"/>
    <w:rsid w:val="007D5104"/>
    <w:rsid w:val="007D5452"/>
    <w:rsid w:val="007D5836"/>
    <w:rsid w:val="007D5DE4"/>
    <w:rsid w:val="007D5F7C"/>
    <w:rsid w:val="007D6600"/>
    <w:rsid w:val="007D7F1E"/>
    <w:rsid w:val="007E111E"/>
    <w:rsid w:val="007E1758"/>
    <w:rsid w:val="007E1BA2"/>
    <w:rsid w:val="007E1C70"/>
    <w:rsid w:val="007E2A4A"/>
    <w:rsid w:val="007E3C38"/>
    <w:rsid w:val="007E6A0C"/>
    <w:rsid w:val="007E72D2"/>
    <w:rsid w:val="007E7D47"/>
    <w:rsid w:val="007F0D6D"/>
    <w:rsid w:val="007F0EAC"/>
    <w:rsid w:val="007F0FF6"/>
    <w:rsid w:val="007F22D6"/>
    <w:rsid w:val="007F2835"/>
    <w:rsid w:val="007F33A2"/>
    <w:rsid w:val="007F3D48"/>
    <w:rsid w:val="007F4380"/>
    <w:rsid w:val="007F44D2"/>
    <w:rsid w:val="007F5B4D"/>
    <w:rsid w:val="007F5D6B"/>
    <w:rsid w:val="007F603B"/>
    <w:rsid w:val="007F6648"/>
    <w:rsid w:val="007F670B"/>
    <w:rsid w:val="007F6BD3"/>
    <w:rsid w:val="007F7F56"/>
    <w:rsid w:val="007F7FE1"/>
    <w:rsid w:val="00800F7A"/>
    <w:rsid w:val="00801524"/>
    <w:rsid w:val="008023A9"/>
    <w:rsid w:val="00803D21"/>
    <w:rsid w:val="00803E11"/>
    <w:rsid w:val="0080453E"/>
    <w:rsid w:val="00804656"/>
    <w:rsid w:val="008047A9"/>
    <w:rsid w:val="00805826"/>
    <w:rsid w:val="008066C0"/>
    <w:rsid w:val="00806A16"/>
    <w:rsid w:val="00806AF2"/>
    <w:rsid w:val="008079D8"/>
    <w:rsid w:val="00807F85"/>
    <w:rsid w:val="008105EA"/>
    <w:rsid w:val="0081077F"/>
    <w:rsid w:val="00810D44"/>
    <w:rsid w:val="0081152A"/>
    <w:rsid w:val="00812151"/>
    <w:rsid w:val="0081224F"/>
    <w:rsid w:val="00812692"/>
    <w:rsid w:val="008129A6"/>
    <w:rsid w:val="00814064"/>
    <w:rsid w:val="00814533"/>
    <w:rsid w:val="00814D38"/>
    <w:rsid w:val="00814E8F"/>
    <w:rsid w:val="0081503A"/>
    <w:rsid w:val="00815784"/>
    <w:rsid w:val="008167E0"/>
    <w:rsid w:val="00816956"/>
    <w:rsid w:val="0081697F"/>
    <w:rsid w:val="00817161"/>
    <w:rsid w:val="0081788F"/>
    <w:rsid w:val="0082083A"/>
    <w:rsid w:val="00820CAA"/>
    <w:rsid w:val="00821B52"/>
    <w:rsid w:val="00822CE5"/>
    <w:rsid w:val="00822FAB"/>
    <w:rsid w:val="008242AF"/>
    <w:rsid w:val="008269B4"/>
    <w:rsid w:val="008303B7"/>
    <w:rsid w:val="00830A24"/>
    <w:rsid w:val="00831FEE"/>
    <w:rsid w:val="00832CD7"/>
    <w:rsid w:val="00834280"/>
    <w:rsid w:val="00834BF6"/>
    <w:rsid w:val="00834CE0"/>
    <w:rsid w:val="0083597E"/>
    <w:rsid w:val="008362A1"/>
    <w:rsid w:val="008371B3"/>
    <w:rsid w:val="00837571"/>
    <w:rsid w:val="00837C2E"/>
    <w:rsid w:val="008404EF"/>
    <w:rsid w:val="008407B8"/>
    <w:rsid w:val="00840BAD"/>
    <w:rsid w:val="00841A99"/>
    <w:rsid w:val="00842029"/>
    <w:rsid w:val="00843601"/>
    <w:rsid w:val="008449E0"/>
    <w:rsid w:val="00844A07"/>
    <w:rsid w:val="008464BB"/>
    <w:rsid w:val="00846914"/>
    <w:rsid w:val="00847515"/>
    <w:rsid w:val="00850499"/>
    <w:rsid w:val="00850C9A"/>
    <w:rsid w:val="00851A9C"/>
    <w:rsid w:val="008524E1"/>
    <w:rsid w:val="0085259F"/>
    <w:rsid w:val="00854E60"/>
    <w:rsid w:val="0085625E"/>
    <w:rsid w:val="00856778"/>
    <w:rsid w:val="0085679F"/>
    <w:rsid w:val="008568D6"/>
    <w:rsid w:val="00856E3F"/>
    <w:rsid w:val="00857AA6"/>
    <w:rsid w:val="00860641"/>
    <w:rsid w:val="008622D2"/>
    <w:rsid w:val="008623B4"/>
    <w:rsid w:val="008639C6"/>
    <w:rsid w:val="0086472B"/>
    <w:rsid w:val="00864B87"/>
    <w:rsid w:val="0086514B"/>
    <w:rsid w:val="00866F86"/>
    <w:rsid w:val="008674E3"/>
    <w:rsid w:val="00867D67"/>
    <w:rsid w:val="00870551"/>
    <w:rsid w:val="00871BB7"/>
    <w:rsid w:val="0087352A"/>
    <w:rsid w:val="00873712"/>
    <w:rsid w:val="00873ABF"/>
    <w:rsid w:val="00874012"/>
    <w:rsid w:val="008742DA"/>
    <w:rsid w:val="008745DC"/>
    <w:rsid w:val="00874903"/>
    <w:rsid w:val="00874DED"/>
    <w:rsid w:val="00875E2B"/>
    <w:rsid w:val="008761A7"/>
    <w:rsid w:val="00876EEF"/>
    <w:rsid w:val="00876F18"/>
    <w:rsid w:val="008812F5"/>
    <w:rsid w:val="00882108"/>
    <w:rsid w:val="00882928"/>
    <w:rsid w:val="008829B1"/>
    <w:rsid w:val="008830B3"/>
    <w:rsid w:val="008833EE"/>
    <w:rsid w:val="00883920"/>
    <w:rsid w:val="00884BF8"/>
    <w:rsid w:val="0088516B"/>
    <w:rsid w:val="00885DDF"/>
    <w:rsid w:val="0088676F"/>
    <w:rsid w:val="00886DE8"/>
    <w:rsid w:val="008872C9"/>
    <w:rsid w:val="00890EE4"/>
    <w:rsid w:val="008912C7"/>
    <w:rsid w:val="00893D35"/>
    <w:rsid w:val="00893E90"/>
    <w:rsid w:val="00893ECB"/>
    <w:rsid w:val="00894645"/>
    <w:rsid w:val="00895A76"/>
    <w:rsid w:val="008962A9"/>
    <w:rsid w:val="008968D1"/>
    <w:rsid w:val="0089733B"/>
    <w:rsid w:val="008A0472"/>
    <w:rsid w:val="008A04E3"/>
    <w:rsid w:val="008A0ED6"/>
    <w:rsid w:val="008A2002"/>
    <w:rsid w:val="008A20C0"/>
    <w:rsid w:val="008A2635"/>
    <w:rsid w:val="008A3E48"/>
    <w:rsid w:val="008A45C9"/>
    <w:rsid w:val="008A595A"/>
    <w:rsid w:val="008A5BDE"/>
    <w:rsid w:val="008A5D1B"/>
    <w:rsid w:val="008A64A9"/>
    <w:rsid w:val="008A6577"/>
    <w:rsid w:val="008B0A04"/>
    <w:rsid w:val="008B0A4A"/>
    <w:rsid w:val="008B0A8A"/>
    <w:rsid w:val="008B0ED5"/>
    <w:rsid w:val="008B16C0"/>
    <w:rsid w:val="008B245C"/>
    <w:rsid w:val="008B28ED"/>
    <w:rsid w:val="008B2D51"/>
    <w:rsid w:val="008B301D"/>
    <w:rsid w:val="008B3F64"/>
    <w:rsid w:val="008B443C"/>
    <w:rsid w:val="008B467C"/>
    <w:rsid w:val="008B4CCD"/>
    <w:rsid w:val="008B55E2"/>
    <w:rsid w:val="008B5C15"/>
    <w:rsid w:val="008B6528"/>
    <w:rsid w:val="008B6842"/>
    <w:rsid w:val="008B6A23"/>
    <w:rsid w:val="008B6B8B"/>
    <w:rsid w:val="008B6EC7"/>
    <w:rsid w:val="008B6F90"/>
    <w:rsid w:val="008C0001"/>
    <w:rsid w:val="008C181E"/>
    <w:rsid w:val="008C3285"/>
    <w:rsid w:val="008C3358"/>
    <w:rsid w:val="008C37CE"/>
    <w:rsid w:val="008C39E9"/>
    <w:rsid w:val="008C40D3"/>
    <w:rsid w:val="008C41CF"/>
    <w:rsid w:val="008C53C1"/>
    <w:rsid w:val="008C6733"/>
    <w:rsid w:val="008C77D3"/>
    <w:rsid w:val="008C7977"/>
    <w:rsid w:val="008D0E8C"/>
    <w:rsid w:val="008D1CE3"/>
    <w:rsid w:val="008D27EB"/>
    <w:rsid w:val="008D28FA"/>
    <w:rsid w:val="008D2CCA"/>
    <w:rsid w:val="008D472B"/>
    <w:rsid w:val="008D5AD2"/>
    <w:rsid w:val="008D62B4"/>
    <w:rsid w:val="008D7704"/>
    <w:rsid w:val="008D79EC"/>
    <w:rsid w:val="008E0D62"/>
    <w:rsid w:val="008E1C90"/>
    <w:rsid w:val="008E283E"/>
    <w:rsid w:val="008E4248"/>
    <w:rsid w:val="008E4725"/>
    <w:rsid w:val="008E515E"/>
    <w:rsid w:val="008E65D3"/>
    <w:rsid w:val="008E6617"/>
    <w:rsid w:val="008E669B"/>
    <w:rsid w:val="008E6A4C"/>
    <w:rsid w:val="008E781E"/>
    <w:rsid w:val="008E7C76"/>
    <w:rsid w:val="008E7EFF"/>
    <w:rsid w:val="008F01AE"/>
    <w:rsid w:val="008F06A8"/>
    <w:rsid w:val="008F0E9B"/>
    <w:rsid w:val="008F102A"/>
    <w:rsid w:val="008F209C"/>
    <w:rsid w:val="008F23E5"/>
    <w:rsid w:val="008F29B5"/>
    <w:rsid w:val="008F2EE0"/>
    <w:rsid w:val="008F34C6"/>
    <w:rsid w:val="008F39B8"/>
    <w:rsid w:val="008F3BB1"/>
    <w:rsid w:val="008F3FE8"/>
    <w:rsid w:val="008F48E8"/>
    <w:rsid w:val="008F50BD"/>
    <w:rsid w:val="008F6EC1"/>
    <w:rsid w:val="0090002E"/>
    <w:rsid w:val="00900335"/>
    <w:rsid w:val="00900B64"/>
    <w:rsid w:val="00902338"/>
    <w:rsid w:val="0090381F"/>
    <w:rsid w:val="00903B10"/>
    <w:rsid w:val="009049F0"/>
    <w:rsid w:val="009054FF"/>
    <w:rsid w:val="009078C8"/>
    <w:rsid w:val="0090796E"/>
    <w:rsid w:val="0090798D"/>
    <w:rsid w:val="00907D13"/>
    <w:rsid w:val="0091113B"/>
    <w:rsid w:val="009115E4"/>
    <w:rsid w:val="009117AF"/>
    <w:rsid w:val="00911C64"/>
    <w:rsid w:val="0091379D"/>
    <w:rsid w:val="009140A3"/>
    <w:rsid w:val="00914595"/>
    <w:rsid w:val="00914F31"/>
    <w:rsid w:val="009163C9"/>
    <w:rsid w:val="00916693"/>
    <w:rsid w:val="009173CC"/>
    <w:rsid w:val="00920002"/>
    <w:rsid w:val="009207A8"/>
    <w:rsid w:val="00920AEA"/>
    <w:rsid w:val="00920C00"/>
    <w:rsid w:val="00920F0F"/>
    <w:rsid w:val="00921812"/>
    <w:rsid w:val="009218A1"/>
    <w:rsid w:val="0092190F"/>
    <w:rsid w:val="00922D32"/>
    <w:rsid w:val="009239E6"/>
    <w:rsid w:val="009243ED"/>
    <w:rsid w:val="00924562"/>
    <w:rsid w:val="009248AE"/>
    <w:rsid w:val="00925212"/>
    <w:rsid w:val="009254F3"/>
    <w:rsid w:val="0092698D"/>
    <w:rsid w:val="00926B9A"/>
    <w:rsid w:val="00927AEA"/>
    <w:rsid w:val="00930050"/>
    <w:rsid w:val="0093034F"/>
    <w:rsid w:val="00930D38"/>
    <w:rsid w:val="00931CBA"/>
    <w:rsid w:val="00931D63"/>
    <w:rsid w:val="00931E66"/>
    <w:rsid w:val="00932A07"/>
    <w:rsid w:val="0093364E"/>
    <w:rsid w:val="009338C5"/>
    <w:rsid w:val="00935F88"/>
    <w:rsid w:val="00940114"/>
    <w:rsid w:val="009404D2"/>
    <w:rsid w:val="0094239C"/>
    <w:rsid w:val="009429D1"/>
    <w:rsid w:val="00942B1D"/>
    <w:rsid w:val="00943126"/>
    <w:rsid w:val="00943C43"/>
    <w:rsid w:val="00944D9B"/>
    <w:rsid w:val="00945C2F"/>
    <w:rsid w:val="00946E9C"/>
    <w:rsid w:val="00947375"/>
    <w:rsid w:val="009479A6"/>
    <w:rsid w:val="009511DD"/>
    <w:rsid w:val="0095125F"/>
    <w:rsid w:val="0095214B"/>
    <w:rsid w:val="0095261E"/>
    <w:rsid w:val="009541F2"/>
    <w:rsid w:val="00954C4C"/>
    <w:rsid w:val="00955157"/>
    <w:rsid w:val="00960955"/>
    <w:rsid w:val="00961962"/>
    <w:rsid w:val="00961C84"/>
    <w:rsid w:val="009623B8"/>
    <w:rsid w:val="009639FF"/>
    <w:rsid w:val="00964919"/>
    <w:rsid w:val="00970A2C"/>
    <w:rsid w:val="00970ED1"/>
    <w:rsid w:val="00971CBA"/>
    <w:rsid w:val="009723CF"/>
    <w:rsid w:val="00972784"/>
    <w:rsid w:val="00972A10"/>
    <w:rsid w:val="00972F34"/>
    <w:rsid w:val="00974173"/>
    <w:rsid w:val="00975855"/>
    <w:rsid w:val="00976885"/>
    <w:rsid w:val="00977768"/>
    <w:rsid w:val="009804E5"/>
    <w:rsid w:val="009806CB"/>
    <w:rsid w:val="009819A8"/>
    <w:rsid w:val="00981B74"/>
    <w:rsid w:val="00982BBC"/>
    <w:rsid w:val="00982C93"/>
    <w:rsid w:val="00984BF4"/>
    <w:rsid w:val="009859C0"/>
    <w:rsid w:val="00985A50"/>
    <w:rsid w:val="00985E7D"/>
    <w:rsid w:val="00987152"/>
    <w:rsid w:val="009875F1"/>
    <w:rsid w:val="0099004C"/>
    <w:rsid w:val="00991887"/>
    <w:rsid w:val="00992115"/>
    <w:rsid w:val="00992AA5"/>
    <w:rsid w:val="00994028"/>
    <w:rsid w:val="00995977"/>
    <w:rsid w:val="00995EEF"/>
    <w:rsid w:val="00997925"/>
    <w:rsid w:val="00997C72"/>
    <w:rsid w:val="009A01B1"/>
    <w:rsid w:val="009A0434"/>
    <w:rsid w:val="009A1AFE"/>
    <w:rsid w:val="009A262E"/>
    <w:rsid w:val="009A2C94"/>
    <w:rsid w:val="009A33C0"/>
    <w:rsid w:val="009A3AE1"/>
    <w:rsid w:val="009A7BC0"/>
    <w:rsid w:val="009A7D55"/>
    <w:rsid w:val="009B10FE"/>
    <w:rsid w:val="009B1B83"/>
    <w:rsid w:val="009B3FAB"/>
    <w:rsid w:val="009B46F7"/>
    <w:rsid w:val="009B494F"/>
    <w:rsid w:val="009B50A6"/>
    <w:rsid w:val="009B51BB"/>
    <w:rsid w:val="009B5AAC"/>
    <w:rsid w:val="009B6FD2"/>
    <w:rsid w:val="009B77F8"/>
    <w:rsid w:val="009B7ACB"/>
    <w:rsid w:val="009B7DCB"/>
    <w:rsid w:val="009B7E12"/>
    <w:rsid w:val="009C0306"/>
    <w:rsid w:val="009C0888"/>
    <w:rsid w:val="009C1E32"/>
    <w:rsid w:val="009C1E42"/>
    <w:rsid w:val="009C277E"/>
    <w:rsid w:val="009C2BDC"/>
    <w:rsid w:val="009C3C5F"/>
    <w:rsid w:val="009C58B4"/>
    <w:rsid w:val="009C59E1"/>
    <w:rsid w:val="009C5F04"/>
    <w:rsid w:val="009C6326"/>
    <w:rsid w:val="009C634C"/>
    <w:rsid w:val="009C78EF"/>
    <w:rsid w:val="009D082A"/>
    <w:rsid w:val="009D102A"/>
    <w:rsid w:val="009D1369"/>
    <w:rsid w:val="009D2686"/>
    <w:rsid w:val="009D3087"/>
    <w:rsid w:val="009D44DF"/>
    <w:rsid w:val="009D4792"/>
    <w:rsid w:val="009D5A7E"/>
    <w:rsid w:val="009D6411"/>
    <w:rsid w:val="009D7221"/>
    <w:rsid w:val="009E11E8"/>
    <w:rsid w:val="009E12FF"/>
    <w:rsid w:val="009E15E6"/>
    <w:rsid w:val="009E2948"/>
    <w:rsid w:val="009E2A28"/>
    <w:rsid w:val="009E2AED"/>
    <w:rsid w:val="009E2AFE"/>
    <w:rsid w:val="009E2DD4"/>
    <w:rsid w:val="009E4124"/>
    <w:rsid w:val="009E4149"/>
    <w:rsid w:val="009E42E3"/>
    <w:rsid w:val="009E513B"/>
    <w:rsid w:val="009E5300"/>
    <w:rsid w:val="009E5465"/>
    <w:rsid w:val="009F16A8"/>
    <w:rsid w:val="009F1C30"/>
    <w:rsid w:val="009F1E16"/>
    <w:rsid w:val="009F232F"/>
    <w:rsid w:val="009F2568"/>
    <w:rsid w:val="009F2DE3"/>
    <w:rsid w:val="009F4D2F"/>
    <w:rsid w:val="009F53EE"/>
    <w:rsid w:val="009F5853"/>
    <w:rsid w:val="009F5F9F"/>
    <w:rsid w:val="009F630F"/>
    <w:rsid w:val="009F6AFA"/>
    <w:rsid w:val="009F6E99"/>
    <w:rsid w:val="009F7248"/>
    <w:rsid w:val="00A00BD8"/>
    <w:rsid w:val="00A01054"/>
    <w:rsid w:val="00A011F4"/>
    <w:rsid w:val="00A018BD"/>
    <w:rsid w:val="00A0252B"/>
    <w:rsid w:val="00A033C3"/>
    <w:rsid w:val="00A035C1"/>
    <w:rsid w:val="00A03622"/>
    <w:rsid w:val="00A05395"/>
    <w:rsid w:val="00A0546D"/>
    <w:rsid w:val="00A059F9"/>
    <w:rsid w:val="00A0625A"/>
    <w:rsid w:val="00A063C3"/>
    <w:rsid w:val="00A06A28"/>
    <w:rsid w:val="00A07F85"/>
    <w:rsid w:val="00A10B5A"/>
    <w:rsid w:val="00A11417"/>
    <w:rsid w:val="00A11696"/>
    <w:rsid w:val="00A11DC9"/>
    <w:rsid w:val="00A12546"/>
    <w:rsid w:val="00A143B4"/>
    <w:rsid w:val="00A15210"/>
    <w:rsid w:val="00A167B3"/>
    <w:rsid w:val="00A178AD"/>
    <w:rsid w:val="00A17E6D"/>
    <w:rsid w:val="00A21212"/>
    <w:rsid w:val="00A21CC0"/>
    <w:rsid w:val="00A22600"/>
    <w:rsid w:val="00A22FEF"/>
    <w:rsid w:val="00A233AE"/>
    <w:rsid w:val="00A24652"/>
    <w:rsid w:val="00A2573B"/>
    <w:rsid w:val="00A25821"/>
    <w:rsid w:val="00A25BE6"/>
    <w:rsid w:val="00A25E06"/>
    <w:rsid w:val="00A262D3"/>
    <w:rsid w:val="00A26FBF"/>
    <w:rsid w:val="00A279DD"/>
    <w:rsid w:val="00A30227"/>
    <w:rsid w:val="00A30B57"/>
    <w:rsid w:val="00A3153C"/>
    <w:rsid w:val="00A3423C"/>
    <w:rsid w:val="00A34341"/>
    <w:rsid w:val="00A34B1C"/>
    <w:rsid w:val="00A36A6B"/>
    <w:rsid w:val="00A3703D"/>
    <w:rsid w:val="00A404DB"/>
    <w:rsid w:val="00A4068C"/>
    <w:rsid w:val="00A4095E"/>
    <w:rsid w:val="00A40CD8"/>
    <w:rsid w:val="00A41783"/>
    <w:rsid w:val="00A42819"/>
    <w:rsid w:val="00A432B3"/>
    <w:rsid w:val="00A435C2"/>
    <w:rsid w:val="00A43EFB"/>
    <w:rsid w:val="00A44D71"/>
    <w:rsid w:val="00A451C9"/>
    <w:rsid w:val="00A4678E"/>
    <w:rsid w:val="00A47055"/>
    <w:rsid w:val="00A476F6"/>
    <w:rsid w:val="00A50A6D"/>
    <w:rsid w:val="00A51C7D"/>
    <w:rsid w:val="00A51CA4"/>
    <w:rsid w:val="00A53F6B"/>
    <w:rsid w:val="00A54AF8"/>
    <w:rsid w:val="00A55E9D"/>
    <w:rsid w:val="00A57318"/>
    <w:rsid w:val="00A575A9"/>
    <w:rsid w:val="00A57748"/>
    <w:rsid w:val="00A60E00"/>
    <w:rsid w:val="00A619F1"/>
    <w:rsid w:val="00A62764"/>
    <w:rsid w:val="00A62991"/>
    <w:rsid w:val="00A649B4"/>
    <w:rsid w:val="00A64D2A"/>
    <w:rsid w:val="00A664AE"/>
    <w:rsid w:val="00A66CFF"/>
    <w:rsid w:val="00A70666"/>
    <w:rsid w:val="00A7113A"/>
    <w:rsid w:val="00A71E9B"/>
    <w:rsid w:val="00A71FB8"/>
    <w:rsid w:val="00A72BA6"/>
    <w:rsid w:val="00A73169"/>
    <w:rsid w:val="00A73655"/>
    <w:rsid w:val="00A750F0"/>
    <w:rsid w:val="00A75607"/>
    <w:rsid w:val="00A75851"/>
    <w:rsid w:val="00A764A1"/>
    <w:rsid w:val="00A771C8"/>
    <w:rsid w:val="00A776A8"/>
    <w:rsid w:val="00A77801"/>
    <w:rsid w:val="00A806F9"/>
    <w:rsid w:val="00A8224C"/>
    <w:rsid w:val="00A83C9E"/>
    <w:rsid w:val="00A83E37"/>
    <w:rsid w:val="00A8436E"/>
    <w:rsid w:val="00A84B0F"/>
    <w:rsid w:val="00A861D6"/>
    <w:rsid w:val="00A86588"/>
    <w:rsid w:val="00A8714D"/>
    <w:rsid w:val="00A87196"/>
    <w:rsid w:val="00A87427"/>
    <w:rsid w:val="00A90940"/>
    <w:rsid w:val="00A91210"/>
    <w:rsid w:val="00A9165D"/>
    <w:rsid w:val="00A9181F"/>
    <w:rsid w:val="00A918DF"/>
    <w:rsid w:val="00A9365C"/>
    <w:rsid w:val="00A944C5"/>
    <w:rsid w:val="00A97962"/>
    <w:rsid w:val="00AA01AC"/>
    <w:rsid w:val="00AA2828"/>
    <w:rsid w:val="00AA291A"/>
    <w:rsid w:val="00AA2F32"/>
    <w:rsid w:val="00AA33DE"/>
    <w:rsid w:val="00AA393B"/>
    <w:rsid w:val="00AA607C"/>
    <w:rsid w:val="00AA6829"/>
    <w:rsid w:val="00AA6C45"/>
    <w:rsid w:val="00AA7D24"/>
    <w:rsid w:val="00AA7D6E"/>
    <w:rsid w:val="00AB1759"/>
    <w:rsid w:val="00AB19DE"/>
    <w:rsid w:val="00AB2BB6"/>
    <w:rsid w:val="00AB49B4"/>
    <w:rsid w:val="00AC06C1"/>
    <w:rsid w:val="00AC0ACD"/>
    <w:rsid w:val="00AC0AE7"/>
    <w:rsid w:val="00AC213B"/>
    <w:rsid w:val="00AC3404"/>
    <w:rsid w:val="00AC6497"/>
    <w:rsid w:val="00AC669D"/>
    <w:rsid w:val="00AC6FD5"/>
    <w:rsid w:val="00AC723B"/>
    <w:rsid w:val="00AC7FCB"/>
    <w:rsid w:val="00AD05FD"/>
    <w:rsid w:val="00AD066B"/>
    <w:rsid w:val="00AD0BA0"/>
    <w:rsid w:val="00AD0E51"/>
    <w:rsid w:val="00AD1386"/>
    <w:rsid w:val="00AD16A3"/>
    <w:rsid w:val="00AD24E9"/>
    <w:rsid w:val="00AD2DE7"/>
    <w:rsid w:val="00AD2FBD"/>
    <w:rsid w:val="00AD32DA"/>
    <w:rsid w:val="00AD65E4"/>
    <w:rsid w:val="00AD7188"/>
    <w:rsid w:val="00AD7852"/>
    <w:rsid w:val="00AD793F"/>
    <w:rsid w:val="00AE09F9"/>
    <w:rsid w:val="00AE13C6"/>
    <w:rsid w:val="00AE2CC7"/>
    <w:rsid w:val="00AE4884"/>
    <w:rsid w:val="00AE500D"/>
    <w:rsid w:val="00AE5F69"/>
    <w:rsid w:val="00AE65FB"/>
    <w:rsid w:val="00AE6749"/>
    <w:rsid w:val="00AE6B8E"/>
    <w:rsid w:val="00AE6F15"/>
    <w:rsid w:val="00AE72E3"/>
    <w:rsid w:val="00AE748F"/>
    <w:rsid w:val="00AE7D06"/>
    <w:rsid w:val="00AF05AC"/>
    <w:rsid w:val="00AF16D1"/>
    <w:rsid w:val="00AF1CF7"/>
    <w:rsid w:val="00AF24D7"/>
    <w:rsid w:val="00AF252E"/>
    <w:rsid w:val="00AF311E"/>
    <w:rsid w:val="00AF3514"/>
    <w:rsid w:val="00AF4777"/>
    <w:rsid w:val="00AF4EDF"/>
    <w:rsid w:val="00AF5130"/>
    <w:rsid w:val="00AF5257"/>
    <w:rsid w:val="00AF57EB"/>
    <w:rsid w:val="00AF588D"/>
    <w:rsid w:val="00AF5E7F"/>
    <w:rsid w:val="00AF62FF"/>
    <w:rsid w:val="00B017A9"/>
    <w:rsid w:val="00B021D3"/>
    <w:rsid w:val="00B023CE"/>
    <w:rsid w:val="00B03C89"/>
    <w:rsid w:val="00B03D2F"/>
    <w:rsid w:val="00B05772"/>
    <w:rsid w:val="00B05A65"/>
    <w:rsid w:val="00B05ADB"/>
    <w:rsid w:val="00B060C8"/>
    <w:rsid w:val="00B068D7"/>
    <w:rsid w:val="00B10179"/>
    <w:rsid w:val="00B10969"/>
    <w:rsid w:val="00B10AD4"/>
    <w:rsid w:val="00B12614"/>
    <w:rsid w:val="00B13AC7"/>
    <w:rsid w:val="00B158D1"/>
    <w:rsid w:val="00B165FB"/>
    <w:rsid w:val="00B174FD"/>
    <w:rsid w:val="00B17A4E"/>
    <w:rsid w:val="00B211D7"/>
    <w:rsid w:val="00B21EAC"/>
    <w:rsid w:val="00B22B7C"/>
    <w:rsid w:val="00B235F8"/>
    <w:rsid w:val="00B23B5E"/>
    <w:rsid w:val="00B23E2C"/>
    <w:rsid w:val="00B242C5"/>
    <w:rsid w:val="00B260D6"/>
    <w:rsid w:val="00B27200"/>
    <w:rsid w:val="00B2754B"/>
    <w:rsid w:val="00B31702"/>
    <w:rsid w:val="00B31A73"/>
    <w:rsid w:val="00B31D54"/>
    <w:rsid w:val="00B31EE5"/>
    <w:rsid w:val="00B33527"/>
    <w:rsid w:val="00B34A35"/>
    <w:rsid w:val="00B34DF8"/>
    <w:rsid w:val="00B366F2"/>
    <w:rsid w:val="00B36AF2"/>
    <w:rsid w:val="00B37A96"/>
    <w:rsid w:val="00B37EC1"/>
    <w:rsid w:val="00B40219"/>
    <w:rsid w:val="00B407F9"/>
    <w:rsid w:val="00B40B81"/>
    <w:rsid w:val="00B40D78"/>
    <w:rsid w:val="00B42688"/>
    <w:rsid w:val="00B43623"/>
    <w:rsid w:val="00B4383C"/>
    <w:rsid w:val="00B449E5"/>
    <w:rsid w:val="00B4556D"/>
    <w:rsid w:val="00B45F53"/>
    <w:rsid w:val="00B46540"/>
    <w:rsid w:val="00B4696C"/>
    <w:rsid w:val="00B5196D"/>
    <w:rsid w:val="00B52475"/>
    <w:rsid w:val="00B52788"/>
    <w:rsid w:val="00B53D88"/>
    <w:rsid w:val="00B53D9C"/>
    <w:rsid w:val="00B54081"/>
    <w:rsid w:val="00B54720"/>
    <w:rsid w:val="00B54F8A"/>
    <w:rsid w:val="00B56B92"/>
    <w:rsid w:val="00B56CA1"/>
    <w:rsid w:val="00B56E40"/>
    <w:rsid w:val="00B57587"/>
    <w:rsid w:val="00B60DC8"/>
    <w:rsid w:val="00B61177"/>
    <w:rsid w:val="00B61957"/>
    <w:rsid w:val="00B62136"/>
    <w:rsid w:val="00B63B1D"/>
    <w:rsid w:val="00B63CC2"/>
    <w:rsid w:val="00B650B5"/>
    <w:rsid w:val="00B652B3"/>
    <w:rsid w:val="00B66846"/>
    <w:rsid w:val="00B66C69"/>
    <w:rsid w:val="00B67B72"/>
    <w:rsid w:val="00B67E09"/>
    <w:rsid w:val="00B67E39"/>
    <w:rsid w:val="00B703FF"/>
    <w:rsid w:val="00B70456"/>
    <w:rsid w:val="00B71A95"/>
    <w:rsid w:val="00B71FB7"/>
    <w:rsid w:val="00B724B0"/>
    <w:rsid w:val="00B73132"/>
    <w:rsid w:val="00B73D29"/>
    <w:rsid w:val="00B73DEA"/>
    <w:rsid w:val="00B74B68"/>
    <w:rsid w:val="00B75597"/>
    <w:rsid w:val="00B7587A"/>
    <w:rsid w:val="00B7629B"/>
    <w:rsid w:val="00B77203"/>
    <w:rsid w:val="00B81136"/>
    <w:rsid w:val="00B811B4"/>
    <w:rsid w:val="00B814AD"/>
    <w:rsid w:val="00B822BD"/>
    <w:rsid w:val="00B82863"/>
    <w:rsid w:val="00B82C34"/>
    <w:rsid w:val="00B8323B"/>
    <w:rsid w:val="00B832AD"/>
    <w:rsid w:val="00B839D0"/>
    <w:rsid w:val="00B85687"/>
    <w:rsid w:val="00B86973"/>
    <w:rsid w:val="00B870E9"/>
    <w:rsid w:val="00B87144"/>
    <w:rsid w:val="00B90DA6"/>
    <w:rsid w:val="00B90F66"/>
    <w:rsid w:val="00B9280C"/>
    <w:rsid w:val="00B93221"/>
    <w:rsid w:val="00B93DEA"/>
    <w:rsid w:val="00B96548"/>
    <w:rsid w:val="00B96628"/>
    <w:rsid w:val="00B97984"/>
    <w:rsid w:val="00BA0809"/>
    <w:rsid w:val="00BA0D92"/>
    <w:rsid w:val="00BA12F2"/>
    <w:rsid w:val="00BA22AD"/>
    <w:rsid w:val="00BA250E"/>
    <w:rsid w:val="00BA2B64"/>
    <w:rsid w:val="00BA419D"/>
    <w:rsid w:val="00BA59DE"/>
    <w:rsid w:val="00BA6F36"/>
    <w:rsid w:val="00BA7134"/>
    <w:rsid w:val="00BA7908"/>
    <w:rsid w:val="00BB06F5"/>
    <w:rsid w:val="00BB0D6E"/>
    <w:rsid w:val="00BB1295"/>
    <w:rsid w:val="00BB3EB6"/>
    <w:rsid w:val="00BB41A2"/>
    <w:rsid w:val="00BB54E7"/>
    <w:rsid w:val="00BB5815"/>
    <w:rsid w:val="00BB65C9"/>
    <w:rsid w:val="00BB6A03"/>
    <w:rsid w:val="00BB6F90"/>
    <w:rsid w:val="00BB7C50"/>
    <w:rsid w:val="00BC02E3"/>
    <w:rsid w:val="00BC041E"/>
    <w:rsid w:val="00BC0E1B"/>
    <w:rsid w:val="00BC0FE5"/>
    <w:rsid w:val="00BC11EC"/>
    <w:rsid w:val="00BC17E3"/>
    <w:rsid w:val="00BC1CF9"/>
    <w:rsid w:val="00BC1EFD"/>
    <w:rsid w:val="00BC2572"/>
    <w:rsid w:val="00BC26E4"/>
    <w:rsid w:val="00BC2B11"/>
    <w:rsid w:val="00BC2B89"/>
    <w:rsid w:val="00BC439D"/>
    <w:rsid w:val="00BC4F00"/>
    <w:rsid w:val="00BC582A"/>
    <w:rsid w:val="00BC5B87"/>
    <w:rsid w:val="00BC5C9B"/>
    <w:rsid w:val="00BC5D31"/>
    <w:rsid w:val="00BC611F"/>
    <w:rsid w:val="00BC6DDA"/>
    <w:rsid w:val="00BC6EA6"/>
    <w:rsid w:val="00BC764C"/>
    <w:rsid w:val="00BD08D7"/>
    <w:rsid w:val="00BD0A7F"/>
    <w:rsid w:val="00BD145A"/>
    <w:rsid w:val="00BD1A8C"/>
    <w:rsid w:val="00BD1CD9"/>
    <w:rsid w:val="00BD20EE"/>
    <w:rsid w:val="00BD22B9"/>
    <w:rsid w:val="00BD26F2"/>
    <w:rsid w:val="00BD2A08"/>
    <w:rsid w:val="00BD2AE9"/>
    <w:rsid w:val="00BD34AB"/>
    <w:rsid w:val="00BD4254"/>
    <w:rsid w:val="00BD4903"/>
    <w:rsid w:val="00BD49C4"/>
    <w:rsid w:val="00BD4E98"/>
    <w:rsid w:val="00BD73E1"/>
    <w:rsid w:val="00BD7BBE"/>
    <w:rsid w:val="00BD7C86"/>
    <w:rsid w:val="00BE0316"/>
    <w:rsid w:val="00BE07F9"/>
    <w:rsid w:val="00BE0857"/>
    <w:rsid w:val="00BE096D"/>
    <w:rsid w:val="00BE0DE9"/>
    <w:rsid w:val="00BE1692"/>
    <w:rsid w:val="00BE3208"/>
    <w:rsid w:val="00BE3534"/>
    <w:rsid w:val="00BE353B"/>
    <w:rsid w:val="00BE365B"/>
    <w:rsid w:val="00BE47A1"/>
    <w:rsid w:val="00BE50F5"/>
    <w:rsid w:val="00BE65A5"/>
    <w:rsid w:val="00BE7016"/>
    <w:rsid w:val="00BE7A0C"/>
    <w:rsid w:val="00BF049F"/>
    <w:rsid w:val="00BF0D1E"/>
    <w:rsid w:val="00BF1E09"/>
    <w:rsid w:val="00BF2244"/>
    <w:rsid w:val="00BF2A71"/>
    <w:rsid w:val="00BF40DE"/>
    <w:rsid w:val="00BF5648"/>
    <w:rsid w:val="00BF57A8"/>
    <w:rsid w:val="00BF69D1"/>
    <w:rsid w:val="00BF749B"/>
    <w:rsid w:val="00BF7F4E"/>
    <w:rsid w:val="00BF7FAC"/>
    <w:rsid w:val="00C001A5"/>
    <w:rsid w:val="00C0097C"/>
    <w:rsid w:val="00C02B2D"/>
    <w:rsid w:val="00C036FB"/>
    <w:rsid w:val="00C04E54"/>
    <w:rsid w:val="00C04F5C"/>
    <w:rsid w:val="00C0520D"/>
    <w:rsid w:val="00C05B34"/>
    <w:rsid w:val="00C064DC"/>
    <w:rsid w:val="00C11E4A"/>
    <w:rsid w:val="00C135E9"/>
    <w:rsid w:val="00C160F5"/>
    <w:rsid w:val="00C166D8"/>
    <w:rsid w:val="00C16B02"/>
    <w:rsid w:val="00C17ECC"/>
    <w:rsid w:val="00C204FD"/>
    <w:rsid w:val="00C20FDC"/>
    <w:rsid w:val="00C214DB"/>
    <w:rsid w:val="00C21D7C"/>
    <w:rsid w:val="00C21E9D"/>
    <w:rsid w:val="00C22715"/>
    <w:rsid w:val="00C2481A"/>
    <w:rsid w:val="00C24FD2"/>
    <w:rsid w:val="00C25374"/>
    <w:rsid w:val="00C255CF"/>
    <w:rsid w:val="00C25EB7"/>
    <w:rsid w:val="00C27015"/>
    <w:rsid w:val="00C2776E"/>
    <w:rsid w:val="00C27B05"/>
    <w:rsid w:val="00C27E92"/>
    <w:rsid w:val="00C30461"/>
    <w:rsid w:val="00C3067E"/>
    <w:rsid w:val="00C31290"/>
    <w:rsid w:val="00C3177E"/>
    <w:rsid w:val="00C31CA5"/>
    <w:rsid w:val="00C321BB"/>
    <w:rsid w:val="00C32418"/>
    <w:rsid w:val="00C3351A"/>
    <w:rsid w:val="00C33E09"/>
    <w:rsid w:val="00C35A52"/>
    <w:rsid w:val="00C36CCA"/>
    <w:rsid w:val="00C375A9"/>
    <w:rsid w:val="00C40843"/>
    <w:rsid w:val="00C40CF4"/>
    <w:rsid w:val="00C41083"/>
    <w:rsid w:val="00C41CDC"/>
    <w:rsid w:val="00C42732"/>
    <w:rsid w:val="00C42AFE"/>
    <w:rsid w:val="00C43829"/>
    <w:rsid w:val="00C441C6"/>
    <w:rsid w:val="00C4434C"/>
    <w:rsid w:val="00C4608D"/>
    <w:rsid w:val="00C46496"/>
    <w:rsid w:val="00C46919"/>
    <w:rsid w:val="00C47569"/>
    <w:rsid w:val="00C47CAB"/>
    <w:rsid w:val="00C50CAC"/>
    <w:rsid w:val="00C5499D"/>
    <w:rsid w:val="00C556F1"/>
    <w:rsid w:val="00C57D9F"/>
    <w:rsid w:val="00C60306"/>
    <w:rsid w:val="00C60E26"/>
    <w:rsid w:val="00C60F52"/>
    <w:rsid w:val="00C61447"/>
    <w:rsid w:val="00C62034"/>
    <w:rsid w:val="00C6239D"/>
    <w:rsid w:val="00C63166"/>
    <w:rsid w:val="00C6369F"/>
    <w:rsid w:val="00C655E9"/>
    <w:rsid w:val="00C658B0"/>
    <w:rsid w:val="00C65AF4"/>
    <w:rsid w:val="00C65FBA"/>
    <w:rsid w:val="00C66655"/>
    <w:rsid w:val="00C67D26"/>
    <w:rsid w:val="00C705C0"/>
    <w:rsid w:val="00C70B11"/>
    <w:rsid w:val="00C7183E"/>
    <w:rsid w:val="00C71D7C"/>
    <w:rsid w:val="00C72682"/>
    <w:rsid w:val="00C72F5F"/>
    <w:rsid w:val="00C7310C"/>
    <w:rsid w:val="00C7408C"/>
    <w:rsid w:val="00C75FEB"/>
    <w:rsid w:val="00C76057"/>
    <w:rsid w:val="00C76EF1"/>
    <w:rsid w:val="00C772EB"/>
    <w:rsid w:val="00C8166F"/>
    <w:rsid w:val="00C818D1"/>
    <w:rsid w:val="00C82B8B"/>
    <w:rsid w:val="00C82BC1"/>
    <w:rsid w:val="00C82C39"/>
    <w:rsid w:val="00C82ED6"/>
    <w:rsid w:val="00C82FE2"/>
    <w:rsid w:val="00C8571E"/>
    <w:rsid w:val="00C8622D"/>
    <w:rsid w:val="00C865F6"/>
    <w:rsid w:val="00C872FE"/>
    <w:rsid w:val="00C87A32"/>
    <w:rsid w:val="00C90F93"/>
    <w:rsid w:val="00C90F99"/>
    <w:rsid w:val="00C91431"/>
    <w:rsid w:val="00C91553"/>
    <w:rsid w:val="00C922A4"/>
    <w:rsid w:val="00C92B4C"/>
    <w:rsid w:val="00C9390D"/>
    <w:rsid w:val="00C93D40"/>
    <w:rsid w:val="00C94224"/>
    <w:rsid w:val="00C94E39"/>
    <w:rsid w:val="00C956C0"/>
    <w:rsid w:val="00C96099"/>
    <w:rsid w:val="00C966B4"/>
    <w:rsid w:val="00C96C5E"/>
    <w:rsid w:val="00C97312"/>
    <w:rsid w:val="00C97944"/>
    <w:rsid w:val="00CA0BB4"/>
    <w:rsid w:val="00CA0C51"/>
    <w:rsid w:val="00CA18A8"/>
    <w:rsid w:val="00CA1AE7"/>
    <w:rsid w:val="00CA2818"/>
    <w:rsid w:val="00CA31F6"/>
    <w:rsid w:val="00CA4D5E"/>
    <w:rsid w:val="00CA5BA3"/>
    <w:rsid w:val="00CA61DE"/>
    <w:rsid w:val="00CA75C8"/>
    <w:rsid w:val="00CA7CC2"/>
    <w:rsid w:val="00CB0577"/>
    <w:rsid w:val="00CB1F44"/>
    <w:rsid w:val="00CB279D"/>
    <w:rsid w:val="00CB5DD1"/>
    <w:rsid w:val="00CB69FC"/>
    <w:rsid w:val="00CB7028"/>
    <w:rsid w:val="00CB74F0"/>
    <w:rsid w:val="00CB7636"/>
    <w:rsid w:val="00CB7DE8"/>
    <w:rsid w:val="00CC08D6"/>
    <w:rsid w:val="00CC16D5"/>
    <w:rsid w:val="00CC1E2B"/>
    <w:rsid w:val="00CC1FD6"/>
    <w:rsid w:val="00CC286C"/>
    <w:rsid w:val="00CC2C5C"/>
    <w:rsid w:val="00CC3304"/>
    <w:rsid w:val="00CC34F5"/>
    <w:rsid w:val="00CC3B20"/>
    <w:rsid w:val="00CC41AA"/>
    <w:rsid w:val="00CC4363"/>
    <w:rsid w:val="00CC4987"/>
    <w:rsid w:val="00CC51DB"/>
    <w:rsid w:val="00CC5216"/>
    <w:rsid w:val="00CC64C9"/>
    <w:rsid w:val="00CC6AA9"/>
    <w:rsid w:val="00CC74EF"/>
    <w:rsid w:val="00CC7654"/>
    <w:rsid w:val="00CD20DC"/>
    <w:rsid w:val="00CD30EA"/>
    <w:rsid w:val="00CD3C6C"/>
    <w:rsid w:val="00CD3EB4"/>
    <w:rsid w:val="00CD408F"/>
    <w:rsid w:val="00CD465E"/>
    <w:rsid w:val="00CD6E2A"/>
    <w:rsid w:val="00CD7893"/>
    <w:rsid w:val="00CD7BBB"/>
    <w:rsid w:val="00CE0227"/>
    <w:rsid w:val="00CE0C2C"/>
    <w:rsid w:val="00CE2C81"/>
    <w:rsid w:val="00CE40F0"/>
    <w:rsid w:val="00CE5165"/>
    <w:rsid w:val="00CE529F"/>
    <w:rsid w:val="00CE5A6C"/>
    <w:rsid w:val="00CE7A73"/>
    <w:rsid w:val="00CF0A5C"/>
    <w:rsid w:val="00CF0A64"/>
    <w:rsid w:val="00CF1A59"/>
    <w:rsid w:val="00CF2743"/>
    <w:rsid w:val="00CF3752"/>
    <w:rsid w:val="00CF5D65"/>
    <w:rsid w:val="00CF7F44"/>
    <w:rsid w:val="00D004AF"/>
    <w:rsid w:val="00D00771"/>
    <w:rsid w:val="00D00EC4"/>
    <w:rsid w:val="00D0282C"/>
    <w:rsid w:val="00D03621"/>
    <w:rsid w:val="00D03E59"/>
    <w:rsid w:val="00D05DBB"/>
    <w:rsid w:val="00D06BCB"/>
    <w:rsid w:val="00D0766C"/>
    <w:rsid w:val="00D079C4"/>
    <w:rsid w:val="00D100E4"/>
    <w:rsid w:val="00D109C4"/>
    <w:rsid w:val="00D10E80"/>
    <w:rsid w:val="00D11A0C"/>
    <w:rsid w:val="00D1229D"/>
    <w:rsid w:val="00D129F8"/>
    <w:rsid w:val="00D132F5"/>
    <w:rsid w:val="00D13803"/>
    <w:rsid w:val="00D13A32"/>
    <w:rsid w:val="00D13ED8"/>
    <w:rsid w:val="00D14C4C"/>
    <w:rsid w:val="00D15C1B"/>
    <w:rsid w:val="00D15E1C"/>
    <w:rsid w:val="00D16620"/>
    <w:rsid w:val="00D1679D"/>
    <w:rsid w:val="00D17279"/>
    <w:rsid w:val="00D2009C"/>
    <w:rsid w:val="00D20D3B"/>
    <w:rsid w:val="00D21E3C"/>
    <w:rsid w:val="00D21E5A"/>
    <w:rsid w:val="00D22057"/>
    <w:rsid w:val="00D225BA"/>
    <w:rsid w:val="00D23258"/>
    <w:rsid w:val="00D23804"/>
    <w:rsid w:val="00D23FA2"/>
    <w:rsid w:val="00D23FC3"/>
    <w:rsid w:val="00D270D3"/>
    <w:rsid w:val="00D27B2F"/>
    <w:rsid w:val="00D27F0B"/>
    <w:rsid w:val="00D310A0"/>
    <w:rsid w:val="00D31128"/>
    <w:rsid w:val="00D314B5"/>
    <w:rsid w:val="00D317D7"/>
    <w:rsid w:val="00D31A91"/>
    <w:rsid w:val="00D31D81"/>
    <w:rsid w:val="00D32317"/>
    <w:rsid w:val="00D32F71"/>
    <w:rsid w:val="00D33704"/>
    <w:rsid w:val="00D33754"/>
    <w:rsid w:val="00D3398F"/>
    <w:rsid w:val="00D34C99"/>
    <w:rsid w:val="00D355AD"/>
    <w:rsid w:val="00D35934"/>
    <w:rsid w:val="00D363BF"/>
    <w:rsid w:val="00D3705F"/>
    <w:rsid w:val="00D37917"/>
    <w:rsid w:val="00D40F99"/>
    <w:rsid w:val="00D41049"/>
    <w:rsid w:val="00D414CD"/>
    <w:rsid w:val="00D41F95"/>
    <w:rsid w:val="00D42D6F"/>
    <w:rsid w:val="00D43B26"/>
    <w:rsid w:val="00D44D20"/>
    <w:rsid w:val="00D44E4B"/>
    <w:rsid w:val="00D4580B"/>
    <w:rsid w:val="00D46606"/>
    <w:rsid w:val="00D477A5"/>
    <w:rsid w:val="00D47903"/>
    <w:rsid w:val="00D47EEE"/>
    <w:rsid w:val="00D5010B"/>
    <w:rsid w:val="00D50AAD"/>
    <w:rsid w:val="00D51144"/>
    <w:rsid w:val="00D52C33"/>
    <w:rsid w:val="00D52E17"/>
    <w:rsid w:val="00D53842"/>
    <w:rsid w:val="00D53E71"/>
    <w:rsid w:val="00D55A07"/>
    <w:rsid w:val="00D55CA7"/>
    <w:rsid w:val="00D601E1"/>
    <w:rsid w:val="00D613B8"/>
    <w:rsid w:val="00D613EA"/>
    <w:rsid w:val="00D621A3"/>
    <w:rsid w:val="00D62374"/>
    <w:rsid w:val="00D623F4"/>
    <w:rsid w:val="00D62C9E"/>
    <w:rsid w:val="00D63085"/>
    <w:rsid w:val="00D6326B"/>
    <w:rsid w:val="00D65DFF"/>
    <w:rsid w:val="00D65EBF"/>
    <w:rsid w:val="00D67BE3"/>
    <w:rsid w:val="00D67DDE"/>
    <w:rsid w:val="00D70117"/>
    <w:rsid w:val="00D70ACD"/>
    <w:rsid w:val="00D712D4"/>
    <w:rsid w:val="00D71A29"/>
    <w:rsid w:val="00D732E2"/>
    <w:rsid w:val="00D74DF5"/>
    <w:rsid w:val="00D74F0B"/>
    <w:rsid w:val="00D7760A"/>
    <w:rsid w:val="00D77A79"/>
    <w:rsid w:val="00D77EDB"/>
    <w:rsid w:val="00D8019E"/>
    <w:rsid w:val="00D80366"/>
    <w:rsid w:val="00D810C3"/>
    <w:rsid w:val="00D81782"/>
    <w:rsid w:val="00D82813"/>
    <w:rsid w:val="00D82BF0"/>
    <w:rsid w:val="00D82CFF"/>
    <w:rsid w:val="00D82FBA"/>
    <w:rsid w:val="00D84019"/>
    <w:rsid w:val="00D85293"/>
    <w:rsid w:val="00D852C2"/>
    <w:rsid w:val="00D856CD"/>
    <w:rsid w:val="00D860E1"/>
    <w:rsid w:val="00D871E5"/>
    <w:rsid w:val="00D91460"/>
    <w:rsid w:val="00D9305B"/>
    <w:rsid w:val="00D936F4"/>
    <w:rsid w:val="00D94615"/>
    <w:rsid w:val="00D95405"/>
    <w:rsid w:val="00D95523"/>
    <w:rsid w:val="00D959F3"/>
    <w:rsid w:val="00DA209E"/>
    <w:rsid w:val="00DA2D97"/>
    <w:rsid w:val="00DA3234"/>
    <w:rsid w:val="00DA381C"/>
    <w:rsid w:val="00DA402C"/>
    <w:rsid w:val="00DA4476"/>
    <w:rsid w:val="00DA551E"/>
    <w:rsid w:val="00DA5587"/>
    <w:rsid w:val="00DA5EE3"/>
    <w:rsid w:val="00DA7037"/>
    <w:rsid w:val="00DA71B2"/>
    <w:rsid w:val="00DA79A4"/>
    <w:rsid w:val="00DA7DE1"/>
    <w:rsid w:val="00DB0977"/>
    <w:rsid w:val="00DB1102"/>
    <w:rsid w:val="00DB112C"/>
    <w:rsid w:val="00DB644C"/>
    <w:rsid w:val="00DC02AA"/>
    <w:rsid w:val="00DC07D6"/>
    <w:rsid w:val="00DC2831"/>
    <w:rsid w:val="00DC3147"/>
    <w:rsid w:val="00DC3685"/>
    <w:rsid w:val="00DC4FB5"/>
    <w:rsid w:val="00DC5D7B"/>
    <w:rsid w:val="00DC66A5"/>
    <w:rsid w:val="00DC7D04"/>
    <w:rsid w:val="00DC7E3D"/>
    <w:rsid w:val="00DD0458"/>
    <w:rsid w:val="00DD0BF7"/>
    <w:rsid w:val="00DD1011"/>
    <w:rsid w:val="00DD181A"/>
    <w:rsid w:val="00DD1F69"/>
    <w:rsid w:val="00DD2682"/>
    <w:rsid w:val="00DD29B6"/>
    <w:rsid w:val="00DD3776"/>
    <w:rsid w:val="00DD403B"/>
    <w:rsid w:val="00DD4254"/>
    <w:rsid w:val="00DD4AB6"/>
    <w:rsid w:val="00DD4C75"/>
    <w:rsid w:val="00DD4E2B"/>
    <w:rsid w:val="00DD7418"/>
    <w:rsid w:val="00DE05B5"/>
    <w:rsid w:val="00DE3C55"/>
    <w:rsid w:val="00DE583F"/>
    <w:rsid w:val="00DE5C88"/>
    <w:rsid w:val="00DF029E"/>
    <w:rsid w:val="00DF0AAC"/>
    <w:rsid w:val="00DF146A"/>
    <w:rsid w:val="00DF2AEE"/>
    <w:rsid w:val="00DF33A6"/>
    <w:rsid w:val="00DF3899"/>
    <w:rsid w:val="00DF58E4"/>
    <w:rsid w:val="00DF5BD8"/>
    <w:rsid w:val="00DF5CB8"/>
    <w:rsid w:val="00DF77A0"/>
    <w:rsid w:val="00DF7BC4"/>
    <w:rsid w:val="00E00367"/>
    <w:rsid w:val="00E005F1"/>
    <w:rsid w:val="00E00BEC"/>
    <w:rsid w:val="00E0107A"/>
    <w:rsid w:val="00E01D9B"/>
    <w:rsid w:val="00E02DCA"/>
    <w:rsid w:val="00E03171"/>
    <w:rsid w:val="00E03634"/>
    <w:rsid w:val="00E03A6A"/>
    <w:rsid w:val="00E03EFB"/>
    <w:rsid w:val="00E040A6"/>
    <w:rsid w:val="00E052E2"/>
    <w:rsid w:val="00E05451"/>
    <w:rsid w:val="00E0562C"/>
    <w:rsid w:val="00E05A7F"/>
    <w:rsid w:val="00E062D2"/>
    <w:rsid w:val="00E067AF"/>
    <w:rsid w:val="00E06865"/>
    <w:rsid w:val="00E06C87"/>
    <w:rsid w:val="00E06D69"/>
    <w:rsid w:val="00E074F8"/>
    <w:rsid w:val="00E075FC"/>
    <w:rsid w:val="00E10AC7"/>
    <w:rsid w:val="00E11107"/>
    <w:rsid w:val="00E1238B"/>
    <w:rsid w:val="00E1292B"/>
    <w:rsid w:val="00E1296F"/>
    <w:rsid w:val="00E132D1"/>
    <w:rsid w:val="00E13375"/>
    <w:rsid w:val="00E138E3"/>
    <w:rsid w:val="00E154B6"/>
    <w:rsid w:val="00E156CF"/>
    <w:rsid w:val="00E2039D"/>
    <w:rsid w:val="00E203F6"/>
    <w:rsid w:val="00E21B18"/>
    <w:rsid w:val="00E223C7"/>
    <w:rsid w:val="00E22DE9"/>
    <w:rsid w:val="00E23CB1"/>
    <w:rsid w:val="00E25AC4"/>
    <w:rsid w:val="00E264EA"/>
    <w:rsid w:val="00E26753"/>
    <w:rsid w:val="00E26CB9"/>
    <w:rsid w:val="00E27006"/>
    <w:rsid w:val="00E270BF"/>
    <w:rsid w:val="00E27C2B"/>
    <w:rsid w:val="00E30772"/>
    <w:rsid w:val="00E30AB7"/>
    <w:rsid w:val="00E30CAB"/>
    <w:rsid w:val="00E31DD0"/>
    <w:rsid w:val="00E32305"/>
    <w:rsid w:val="00E32EB7"/>
    <w:rsid w:val="00E3379B"/>
    <w:rsid w:val="00E33C92"/>
    <w:rsid w:val="00E34119"/>
    <w:rsid w:val="00E3444D"/>
    <w:rsid w:val="00E35FB0"/>
    <w:rsid w:val="00E372F4"/>
    <w:rsid w:val="00E37E1A"/>
    <w:rsid w:val="00E40B28"/>
    <w:rsid w:val="00E40C4F"/>
    <w:rsid w:val="00E41144"/>
    <w:rsid w:val="00E42983"/>
    <w:rsid w:val="00E42BCD"/>
    <w:rsid w:val="00E432A6"/>
    <w:rsid w:val="00E43869"/>
    <w:rsid w:val="00E44C01"/>
    <w:rsid w:val="00E4685F"/>
    <w:rsid w:val="00E46E64"/>
    <w:rsid w:val="00E47093"/>
    <w:rsid w:val="00E475CC"/>
    <w:rsid w:val="00E50339"/>
    <w:rsid w:val="00E50B04"/>
    <w:rsid w:val="00E53A7E"/>
    <w:rsid w:val="00E53D8A"/>
    <w:rsid w:val="00E540AA"/>
    <w:rsid w:val="00E548CA"/>
    <w:rsid w:val="00E554EF"/>
    <w:rsid w:val="00E565AE"/>
    <w:rsid w:val="00E574D5"/>
    <w:rsid w:val="00E579A7"/>
    <w:rsid w:val="00E600E9"/>
    <w:rsid w:val="00E60329"/>
    <w:rsid w:val="00E6185F"/>
    <w:rsid w:val="00E62783"/>
    <w:rsid w:val="00E627BB"/>
    <w:rsid w:val="00E629DF"/>
    <w:rsid w:val="00E62BA7"/>
    <w:rsid w:val="00E65994"/>
    <w:rsid w:val="00E659FD"/>
    <w:rsid w:val="00E66138"/>
    <w:rsid w:val="00E661C9"/>
    <w:rsid w:val="00E6675A"/>
    <w:rsid w:val="00E67793"/>
    <w:rsid w:val="00E71469"/>
    <w:rsid w:val="00E725D8"/>
    <w:rsid w:val="00E73F60"/>
    <w:rsid w:val="00E74B84"/>
    <w:rsid w:val="00E7505D"/>
    <w:rsid w:val="00E7731F"/>
    <w:rsid w:val="00E804B0"/>
    <w:rsid w:val="00E80914"/>
    <w:rsid w:val="00E814E5"/>
    <w:rsid w:val="00E8283F"/>
    <w:rsid w:val="00E839E1"/>
    <w:rsid w:val="00E83C07"/>
    <w:rsid w:val="00E84CD0"/>
    <w:rsid w:val="00E84E87"/>
    <w:rsid w:val="00E867AF"/>
    <w:rsid w:val="00E86DB6"/>
    <w:rsid w:val="00E90FC3"/>
    <w:rsid w:val="00E91D06"/>
    <w:rsid w:val="00E9246B"/>
    <w:rsid w:val="00E93774"/>
    <w:rsid w:val="00E942F3"/>
    <w:rsid w:val="00E94DC4"/>
    <w:rsid w:val="00E967C6"/>
    <w:rsid w:val="00E96B03"/>
    <w:rsid w:val="00E96C6F"/>
    <w:rsid w:val="00EA11FF"/>
    <w:rsid w:val="00EA198E"/>
    <w:rsid w:val="00EA2FE8"/>
    <w:rsid w:val="00EA30CA"/>
    <w:rsid w:val="00EA48DC"/>
    <w:rsid w:val="00EA5507"/>
    <w:rsid w:val="00EA5714"/>
    <w:rsid w:val="00EA62C3"/>
    <w:rsid w:val="00EA6B29"/>
    <w:rsid w:val="00EA7699"/>
    <w:rsid w:val="00EA7F93"/>
    <w:rsid w:val="00EB04FC"/>
    <w:rsid w:val="00EB0B28"/>
    <w:rsid w:val="00EB0FAC"/>
    <w:rsid w:val="00EB17B3"/>
    <w:rsid w:val="00EB3565"/>
    <w:rsid w:val="00EB39E5"/>
    <w:rsid w:val="00EB585B"/>
    <w:rsid w:val="00EB6D74"/>
    <w:rsid w:val="00EB700F"/>
    <w:rsid w:val="00EB73DE"/>
    <w:rsid w:val="00EB7519"/>
    <w:rsid w:val="00EB795B"/>
    <w:rsid w:val="00EB7DCE"/>
    <w:rsid w:val="00EC1304"/>
    <w:rsid w:val="00EC13A4"/>
    <w:rsid w:val="00EC1877"/>
    <w:rsid w:val="00EC2891"/>
    <w:rsid w:val="00EC31E1"/>
    <w:rsid w:val="00EC34E1"/>
    <w:rsid w:val="00EC3C8F"/>
    <w:rsid w:val="00EC4779"/>
    <w:rsid w:val="00EC50F7"/>
    <w:rsid w:val="00EC517A"/>
    <w:rsid w:val="00EC56DE"/>
    <w:rsid w:val="00EC63A9"/>
    <w:rsid w:val="00EC64C7"/>
    <w:rsid w:val="00EC667E"/>
    <w:rsid w:val="00EC6E7E"/>
    <w:rsid w:val="00EC6EA4"/>
    <w:rsid w:val="00EC7A76"/>
    <w:rsid w:val="00ED01D0"/>
    <w:rsid w:val="00ED04DA"/>
    <w:rsid w:val="00ED10A9"/>
    <w:rsid w:val="00ED22F8"/>
    <w:rsid w:val="00ED2521"/>
    <w:rsid w:val="00ED2BCC"/>
    <w:rsid w:val="00ED2BDB"/>
    <w:rsid w:val="00ED3E32"/>
    <w:rsid w:val="00ED3FD5"/>
    <w:rsid w:val="00ED48AD"/>
    <w:rsid w:val="00ED6A8E"/>
    <w:rsid w:val="00ED77D9"/>
    <w:rsid w:val="00ED7E94"/>
    <w:rsid w:val="00EE009E"/>
    <w:rsid w:val="00EE1120"/>
    <w:rsid w:val="00EE1EAA"/>
    <w:rsid w:val="00EE22DD"/>
    <w:rsid w:val="00EE2F01"/>
    <w:rsid w:val="00EE32B8"/>
    <w:rsid w:val="00EE4580"/>
    <w:rsid w:val="00EE53A0"/>
    <w:rsid w:val="00EE5FE3"/>
    <w:rsid w:val="00EE60CE"/>
    <w:rsid w:val="00EE7537"/>
    <w:rsid w:val="00EE7FE2"/>
    <w:rsid w:val="00EF0234"/>
    <w:rsid w:val="00EF1787"/>
    <w:rsid w:val="00EF20D5"/>
    <w:rsid w:val="00EF3320"/>
    <w:rsid w:val="00EF3627"/>
    <w:rsid w:val="00EF3916"/>
    <w:rsid w:val="00EF4754"/>
    <w:rsid w:val="00EF4FA4"/>
    <w:rsid w:val="00EF5827"/>
    <w:rsid w:val="00EF5FBA"/>
    <w:rsid w:val="00EF6FF4"/>
    <w:rsid w:val="00F01547"/>
    <w:rsid w:val="00F015FB"/>
    <w:rsid w:val="00F026B3"/>
    <w:rsid w:val="00F02D13"/>
    <w:rsid w:val="00F042F8"/>
    <w:rsid w:val="00F04D8A"/>
    <w:rsid w:val="00F04DD0"/>
    <w:rsid w:val="00F050B7"/>
    <w:rsid w:val="00F051C9"/>
    <w:rsid w:val="00F067F6"/>
    <w:rsid w:val="00F06DA4"/>
    <w:rsid w:val="00F07586"/>
    <w:rsid w:val="00F106E3"/>
    <w:rsid w:val="00F1081A"/>
    <w:rsid w:val="00F11787"/>
    <w:rsid w:val="00F1180B"/>
    <w:rsid w:val="00F11F0C"/>
    <w:rsid w:val="00F120A7"/>
    <w:rsid w:val="00F139E1"/>
    <w:rsid w:val="00F15DC7"/>
    <w:rsid w:val="00F15F2E"/>
    <w:rsid w:val="00F1675E"/>
    <w:rsid w:val="00F16A51"/>
    <w:rsid w:val="00F16F99"/>
    <w:rsid w:val="00F1766D"/>
    <w:rsid w:val="00F17E80"/>
    <w:rsid w:val="00F2059D"/>
    <w:rsid w:val="00F20CB8"/>
    <w:rsid w:val="00F20F35"/>
    <w:rsid w:val="00F23FA1"/>
    <w:rsid w:val="00F25E61"/>
    <w:rsid w:val="00F2628D"/>
    <w:rsid w:val="00F2640F"/>
    <w:rsid w:val="00F26D4F"/>
    <w:rsid w:val="00F271EB"/>
    <w:rsid w:val="00F2738E"/>
    <w:rsid w:val="00F27BF5"/>
    <w:rsid w:val="00F30396"/>
    <w:rsid w:val="00F3209B"/>
    <w:rsid w:val="00F32D30"/>
    <w:rsid w:val="00F33E39"/>
    <w:rsid w:val="00F35F1F"/>
    <w:rsid w:val="00F36082"/>
    <w:rsid w:val="00F36A56"/>
    <w:rsid w:val="00F36B1D"/>
    <w:rsid w:val="00F37BA7"/>
    <w:rsid w:val="00F40235"/>
    <w:rsid w:val="00F40408"/>
    <w:rsid w:val="00F40808"/>
    <w:rsid w:val="00F40A01"/>
    <w:rsid w:val="00F40A44"/>
    <w:rsid w:val="00F4181C"/>
    <w:rsid w:val="00F425E5"/>
    <w:rsid w:val="00F4340D"/>
    <w:rsid w:val="00F4417F"/>
    <w:rsid w:val="00F441C6"/>
    <w:rsid w:val="00F44B87"/>
    <w:rsid w:val="00F4514C"/>
    <w:rsid w:val="00F456BA"/>
    <w:rsid w:val="00F4757B"/>
    <w:rsid w:val="00F47BB2"/>
    <w:rsid w:val="00F50816"/>
    <w:rsid w:val="00F50C9F"/>
    <w:rsid w:val="00F51C04"/>
    <w:rsid w:val="00F52037"/>
    <w:rsid w:val="00F521BC"/>
    <w:rsid w:val="00F52674"/>
    <w:rsid w:val="00F52B75"/>
    <w:rsid w:val="00F558BF"/>
    <w:rsid w:val="00F5597A"/>
    <w:rsid w:val="00F56134"/>
    <w:rsid w:val="00F562C1"/>
    <w:rsid w:val="00F56D9B"/>
    <w:rsid w:val="00F6099C"/>
    <w:rsid w:val="00F60C4F"/>
    <w:rsid w:val="00F61B97"/>
    <w:rsid w:val="00F61F4C"/>
    <w:rsid w:val="00F62DE8"/>
    <w:rsid w:val="00F63C45"/>
    <w:rsid w:val="00F63D2D"/>
    <w:rsid w:val="00F64AE0"/>
    <w:rsid w:val="00F67BC9"/>
    <w:rsid w:val="00F67EDD"/>
    <w:rsid w:val="00F71D18"/>
    <w:rsid w:val="00F73A5C"/>
    <w:rsid w:val="00F73DF3"/>
    <w:rsid w:val="00F7443A"/>
    <w:rsid w:val="00F759D9"/>
    <w:rsid w:val="00F75E3F"/>
    <w:rsid w:val="00F7675C"/>
    <w:rsid w:val="00F7743B"/>
    <w:rsid w:val="00F8006D"/>
    <w:rsid w:val="00F8062B"/>
    <w:rsid w:val="00F8087B"/>
    <w:rsid w:val="00F8258A"/>
    <w:rsid w:val="00F82CB8"/>
    <w:rsid w:val="00F8310F"/>
    <w:rsid w:val="00F83805"/>
    <w:rsid w:val="00F840F3"/>
    <w:rsid w:val="00F844FE"/>
    <w:rsid w:val="00F84D7F"/>
    <w:rsid w:val="00F85940"/>
    <w:rsid w:val="00F85BF9"/>
    <w:rsid w:val="00F87154"/>
    <w:rsid w:val="00F87830"/>
    <w:rsid w:val="00F87BD6"/>
    <w:rsid w:val="00F87F22"/>
    <w:rsid w:val="00F90446"/>
    <w:rsid w:val="00F907C8"/>
    <w:rsid w:val="00F9109B"/>
    <w:rsid w:val="00F91900"/>
    <w:rsid w:val="00F92720"/>
    <w:rsid w:val="00F92B4B"/>
    <w:rsid w:val="00F92E8D"/>
    <w:rsid w:val="00F93AEE"/>
    <w:rsid w:val="00F93C5F"/>
    <w:rsid w:val="00F93E49"/>
    <w:rsid w:val="00F94115"/>
    <w:rsid w:val="00F9432B"/>
    <w:rsid w:val="00F94530"/>
    <w:rsid w:val="00F94E64"/>
    <w:rsid w:val="00F96F01"/>
    <w:rsid w:val="00F972F0"/>
    <w:rsid w:val="00F977D2"/>
    <w:rsid w:val="00FA1373"/>
    <w:rsid w:val="00FA1E19"/>
    <w:rsid w:val="00FA2DA8"/>
    <w:rsid w:val="00FA47CD"/>
    <w:rsid w:val="00FA4991"/>
    <w:rsid w:val="00FA61A7"/>
    <w:rsid w:val="00FA70BB"/>
    <w:rsid w:val="00FA729E"/>
    <w:rsid w:val="00FA7D90"/>
    <w:rsid w:val="00FB0233"/>
    <w:rsid w:val="00FB1825"/>
    <w:rsid w:val="00FB1D0C"/>
    <w:rsid w:val="00FB1E8C"/>
    <w:rsid w:val="00FB1F25"/>
    <w:rsid w:val="00FB240A"/>
    <w:rsid w:val="00FB27EB"/>
    <w:rsid w:val="00FB28B1"/>
    <w:rsid w:val="00FB33EA"/>
    <w:rsid w:val="00FB362D"/>
    <w:rsid w:val="00FB4C81"/>
    <w:rsid w:val="00FB6E83"/>
    <w:rsid w:val="00FB7875"/>
    <w:rsid w:val="00FB7D41"/>
    <w:rsid w:val="00FC0BC4"/>
    <w:rsid w:val="00FC0C43"/>
    <w:rsid w:val="00FC1512"/>
    <w:rsid w:val="00FC1CDC"/>
    <w:rsid w:val="00FC26C3"/>
    <w:rsid w:val="00FC2FC6"/>
    <w:rsid w:val="00FC39F0"/>
    <w:rsid w:val="00FC423E"/>
    <w:rsid w:val="00FC50EF"/>
    <w:rsid w:val="00FC577B"/>
    <w:rsid w:val="00FC7AD5"/>
    <w:rsid w:val="00FD06D9"/>
    <w:rsid w:val="00FD1546"/>
    <w:rsid w:val="00FD2804"/>
    <w:rsid w:val="00FD2814"/>
    <w:rsid w:val="00FD2C29"/>
    <w:rsid w:val="00FD537A"/>
    <w:rsid w:val="00FD6B25"/>
    <w:rsid w:val="00FD7A36"/>
    <w:rsid w:val="00FE004C"/>
    <w:rsid w:val="00FE12CB"/>
    <w:rsid w:val="00FE166F"/>
    <w:rsid w:val="00FE23B8"/>
    <w:rsid w:val="00FE347A"/>
    <w:rsid w:val="00FE5998"/>
    <w:rsid w:val="00FE63D6"/>
    <w:rsid w:val="00FE6A12"/>
    <w:rsid w:val="00FE7844"/>
    <w:rsid w:val="00FE7853"/>
    <w:rsid w:val="00FF074E"/>
    <w:rsid w:val="00FF0C32"/>
    <w:rsid w:val="00FF11A9"/>
    <w:rsid w:val="00FF12E1"/>
    <w:rsid w:val="00FF2901"/>
    <w:rsid w:val="00FF35FF"/>
    <w:rsid w:val="00FF432F"/>
    <w:rsid w:val="00FF718B"/>
    <w:rsid w:val="00FF727A"/>
    <w:rsid w:val="00FF7824"/>
    <w:rsid w:val="0117364B"/>
    <w:rsid w:val="015B4CA3"/>
    <w:rsid w:val="016B6B19"/>
    <w:rsid w:val="016C11F5"/>
    <w:rsid w:val="01986933"/>
    <w:rsid w:val="019A20D4"/>
    <w:rsid w:val="01D20A5A"/>
    <w:rsid w:val="02025613"/>
    <w:rsid w:val="020E2058"/>
    <w:rsid w:val="021A06B0"/>
    <w:rsid w:val="0224797E"/>
    <w:rsid w:val="02492BD4"/>
    <w:rsid w:val="026659F0"/>
    <w:rsid w:val="027E1587"/>
    <w:rsid w:val="0282156D"/>
    <w:rsid w:val="02B94A31"/>
    <w:rsid w:val="02E77E97"/>
    <w:rsid w:val="031D18A2"/>
    <w:rsid w:val="033E696D"/>
    <w:rsid w:val="039858F2"/>
    <w:rsid w:val="03A03184"/>
    <w:rsid w:val="03A043CE"/>
    <w:rsid w:val="03BC74A2"/>
    <w:rsid w:val="040231B9"/>
    <w:rsid w:val="044367B0"/>
    <w:rsid w:val="04714C7D"/>
    <w:rsid w:val="048F6BA5"/>
    <w:rsid w:val="04BC657F"/>
    <w:rsid w:val="04BD3D81"/>
    <w:rsid w:val="05360516"/>
    <w:rsid w:val="054410B6"/>
    <w:rsid w:val="05526D1E"/>
    <w:rsid w:val="05537FF7"/>
    <w:rsid w:val="056A49B4"/>
    <w:rsid w:val="05A827CF"/>
    <w:rsid w:val="05E5600D"/>
    <w:rsid w:val="05F57100"/>
    <w:rsid w:val="06143E0C"/>
    <w:rsid w:val="06710E08"/>
    <w:rsid w:val="068612E7"/>
    <w:rsid w:val="06870BEB"/>
    <w:rsid w:val="06880164"/>
    <w:rsid w:val="068E324C"/>
    <w:rsid w:val="06BF18EE"/>
    <w:rsid w:val="06CC10CD"/>
    <w:rsid w:val="07586797"/>
    <w:rsid w:val="07811597"/>
    <w:rsid w:val="07811A43"/>
    <w:rsid w:val="07AF256F"/>
    <w:rsid w:val="07B319DE"/>
    <w:rsid w:val="08227352"/>
    <w:rsid w:val="08603A9B"/>
    <w:rsid w:val="0865426F"/>
    <w:rsid w:val="08B618C4"/>
    <w:rsid w:val="08C862B7"/>
    <w:rsid w:val="09146E98"/>
    <w:rsid w:val="09210183"/>
    <w:rsid w:val="092D54BA"/>
    <w:rsid w:val="093B1510"/>
    <w:rsid w:val="098944A3"/>
    <w:rsid w:val="09DB7C18"/>
    <w:rsid w:val="09F9205B"/>
    <w:rsid w:val="0A285139"/>
    <w:rsid w:val="0A2B7BED"/>
    <w:rsid w:val="0A407F4A"/>
    <w:rsid w:val="0A4648CF"/>
    <w:rsid w:val="0A544DB5"/>
    <w:rsid w:val="0A7E3BC1"/>
    <w:rsid w:val="0A820A14"/>
    <w:rsid w:val="0A8620D5"/>
    <w:rsid w:val="0AD16353"/>
    <w:rsid w:val="0AD448D2"/>
    <w:rsid w:val="0ADE75C3"/>
    <w:rsid w:val="0AE55372"/>
    <w:rsid w:val="0AF20E23"/>
    <w:rsid w:val="0B2F3115"/>
    <w:rsid w:val="0B3454F8"/>
    <w:rsid w:val="0B5D6924"/>
    <w:rsid w:val="0B974DD3"/>
    <w:rsid w:val="0BB83A54"/>
    <w:rsid w:val="0BE001DA"/>
    <w:rsid w:val="0BEE2D71"/>
    <w:rsid w:val="0C1D13F1"/>
    <w:rsid w:val="0C53176E"/>
    <w:rsid w:val="0C5E697A"/>
    <w:rsid w:val="0C5F013D"/>
    <w:rsid w:val="0CA928DF"/>
    <w:rsid w:val="0CC36C0B"/>
    <w:rsid w:val="0D293C18"/>
    <w:rsid w:val="0D41656C"/>
    <w:rsid w:val="0D981F80"/>
    <w:rsid w:val="0DA0704B"/>
    <w:rsid w:val="0DB51F60"/>
    <w:rsid w:val="0DC249EA"/>
    <w:rsid w:val="0DD977B0"/>
    <w:rsid w:val="0E047CEB"/>
    <w:rsid w:val="0E130DFA"/>
    <w:rsid w:val="0E1B78C4"/>
    <w:rsid w:val="0E3D193D"/>
    <w:rsid w:val="0E8D65A6"/>
    <w:rsid w:val="0EAE5958"/>
    <w:rsid w:val="0EB6137B"/>
    <w:rsid w:val="0EC6513C"/>
    <w:rsid w:val="0ED32812"/>
    <w:rsid w:val="0EE54141"/>
    <w:rsid w:val="0F467E20"/>
    <w:rsid w:val="0F4E7C62"/>
    <w:rsid w:val="0F546D8C"/>
    <w:rsid w:val="0F5551D9"/>
    <w:rsid w:val="0FA02DE0"/>
    <w:rsid w:val="0FB86BA3"/>
    <w:rsid w:val="0FB96F5D"/>
    <w:rsid w:val="0FD27814"/>
    <w:rsid w:val="10047F1C"/>
    <w:rsid w:val="104B7BFF"/>
    <w:rsid w:val="105552F6"/>
    <w:rsid w:val="105918F4"/>
    <w:rsid w:val="105F0547"/>
    <w:rsid w:val="108C39E7"/>
    <w:rsid w:val="10A26250"/>
    <w:rsid w:val="10B06788"/>
    <w:rsid w:val="10BD494B"/>
    <w:rsid w:val="10CD0C4A"/>
    <w:rsid w:val="111E4C42"/>
    <w:rsid w:val="116B5255"/>
    <w:rsid w:val="118F6932"/>
    <w:rsid w:val="119851E8"/>
    <w:rsid w:val="11E152F9"/>
    <w:rsid w:val="11FA13AD"/>
    <w:rsid w:val="122E5DFF"/>
    <w:rsid w:val="1244192C"/>
    <w:rsid w:val="129841CB"/>
    <w:rsid w:val="12BE6A05"/>
    <w:rsid w:val="12EC09DC"/>
    <w:rsid w:val="131F7213"/>
    <w:rsid w:val="13301502"/>
    <w:rsid w:val="136A7EDD"/>
    <w:rsid w:val="1373302C"/>
    <w:rsid w:val="13A4281C"/>
    <w:rsid w:val="13A92C40"/>
    <w:rsid w:val="13B412C7"/>
    <w:rsid w:val="13E8262A"/>
    <w:rsid w:val="14242C87"/>
    <w:rsid w:val="143A78F7"/>
    <w:rsid w:val="144A2C0E"/>
    <w:rsid w:val="14544E6F"/>
    <w:rsid w:val="14752F62"/>
    <w:rsid w:val="14835342"/>
    <w:rsid w:val="14953546"/>
    <w:rsid w:val="149756FB"/>
    <w:rsid w:val="14EC5659"/>
    <w:rsid w:val="15490627"/>
    <w:rsid w:val="155308F6"/>
    <w:rsid w:val="156600C2"/>
    <w:rsid w:val="15945CB1"/>
    <w:rsid w:val="15CB3A81"/>
    <w:rsid w:val="16162C63"/>
    <w:rsid w:val="16194443"/>
    <w:rsid w:val="16195FDE"/>
    <w:rsid w:val="16201F02"/>
    <w:rsid w:val="16243949"/>
    <w:rsid w:val="16265EA9"/>
    <w:rsid w:val="16421E79"/>
    <w:rsid w:val="16583AD2"/>
    <w:rsid w:val="166C2C4F"/>
    <w:rsid w:val="16F86E85"/>
    <w:rsid w:val="17463BEB"/>
    <w:rsid w:val="1767428D"/>
    <w:rsid w:val="17CF7474"/>
    <w:rsid w:val="17D17FE1"/>
    <w:rsid w:val="17E035CB"/>
    <w:rsid w:val="17E864DD"/>
    <w:rsid w:val="1804403A"/>
    <w:rsid w:val="18566322"/>
    <w:rsid w:val="18CF42C0"/>
    <w:rsid w:val="18FE3F9B"/>
    <w:rsid w:val="18FF5B5B"/>
    <w:rsid w:val="196565AA"/>
    <w:rsid w:val="19665CFC"/>
    <w:rsid w:val="19A608D2"/>
    <w:rsid w:val="19CB6AA7"/>
    <w:rsid w:val="19D821D7"/>
    <w:rsid w:val="19E82F2D"/>
    <w:rsid w:val="1A164270"/>
    <w:rsid w:val="1A3A174F"/>
    <w:rsid w:val="1A41083B"/>
    <w:rsid w:val="1A61467A"/>
    <w:rsid w:val="1A65131A"/>
    <w:rsid w:val="1A9673CD"/>
    <w:rsid w:val="1AAB5F27"/>
    <w:rsid w:val="1AB35309"/>
    <w:rsid w:val="1B3C2DDB"/>
    <w:rsid w:val="1B590209"/>
    <w:rsid w:val="1B7A1371"/>
    <w:rsid w:val="1B8B28D5"/>
    <w:rsid w:val="1BA8332D"/>
    <w:rsid w:val="1BC05DD4"/>
    <w:rsid w:val="1C3D6A44"/>
    <w:rsid w:val="1C3F1E54"/>
    <w:rsid w:val="1C48194A"/>
    <w:rsid w:val="1C4D7BD0"/>
    <w:rsid w:val="1CC7543F"/>
    <w:rsid w:val="1CEB592D"/>
    <w:rsid w:val="1D046632"/>
    <w:rsid w:val="1D266249"/>
    <w:rsid w:val="1D2D0025"/>
    <w:rsid w:val="1D644DCB"/>
    <w:rsid w:val="1D9D01F9"/>
    <w:rsid w:val="1DEF6368"/>
    <w:rsid w:val="1E015912"/>
    <w:rsid w:val="1E1B0ADF"/>
    <w:rsid w:val="1EE46DE1"/>
    <w:rsid w:val="1EE511F0"/>
    <w:rsid w:val="1EE731A6"/>
    <w:rsid w:val="1EEB1012"/>
    <w:rsid w:val="1EEF0DDB"/>
    <w:rsid w:val="1F280323"/>
    <w:rsid w:val="1F2F4AF6"/>
    <w:rsid w:val="1F3423B7"/>
    <w:rsid w:val="1F4E7F44"/>
    <w:rsid w:val="1F5619DC"/>
    <w:rsid w:val="1F5B41F6"/>
    <w:rsid w:val="1F5D60FD"/>
    <w:rsid w:val="1FC42B64"/>
    <w:rsid w:val="1FCC62D3"/>
    <w:rsid w:val="20097625"/>
    <w:rsid w:val="20214B10"/>
    <w:rsid w:val="2043260B"/>
    <w:rsid w:val="20455E78"/>
    <w:rsid w:val="20542112"/>
    <w:rsid w:val="207C5E84"/>
    <w:rsid w:val="20862B7C"/>
    <w:rsid w:val="20D64231"/>
    <w:rsid w:val="20E65548"/>
    <w:rsid w:val="20F12AC3"/>
    <w:rsid w:val="21060FD7"/>
    <w:rsid w:val="21224749"/>
    <w:rsid w:val="216E5F82"/>
    <w:rsid w:val="218239FA"/>
    <w:rsid w:val="21BA4700"/>
    <w:rsid w:val="21BF6637"/>
    <w:rsid w:val="21D610A3"/>
    <w:rsid w:val="21D7200F"/>
    <w:rsid w:val="21DB22DE"/>
    <w:rsid w:val="22125E5D"/>
    <w:rsid w:val="22361A95"/>
    <w:rsid w:val="224F4AAE"/>
    <w:rsid w:val="225C0F70"/>
    <w:rsid w:val="225E628C"/>
    <w:rsid w:val="22A325EE"/>
    <w:rsid w:val="22D75817"/>
    <w:rsid w:val="22EE2D79"/>
    <w:rsid w:val="22F94F21"/>
    <w:rsid w:val="22FB4006"/>
    <w:rsid w:val="22FB4898"/>
    <w:rsid w:val="23052BAC"/>
    <w:rsid w:val="234E65B1"/>
    <w:rsid w:val="235176F4"/>
    <w:rsid w:val="235B4182"/>
    <w:rsid w:val="23616034"/>
    <w:rsid w:val="237C661D"/>
    <w:rsid w:val="23883918"/>
    <w:rsid w:val="238F27DE"/>
    <w:rsid w:val="23AB7918"/>
    <w:rsid w:val="23D5554D"/>
    <w:rsid w:val="23DE5320"/>
    <w:rsid w:val="23DF0D93"/>
    <w:rsid w:val="23DF164F"/>
    <w:rsid w:val="2439627A"/>
    <w:rsid w:val="244119C2"/>
    <w:rsid w:val="245416F5"/>
    <w:rsid w:val="24575689"/>
    <w:rsid w:val="24612918"/>
    <w:rsid w:val="248C1891"/>
    <w:rsid w:val="249F21F1"/>
    <w:rsid w:val="252B1339"/>
    <w:rsid w:val="256B73B0"/>
    <w:rsid w:val="25A20465"/>
    <w:rsid w:val="25C43E6B"/>
    <w:rsid w:val="25DA6D7E"/>
    <w:rsid w:val="25DF49EB"/>
    <w:rsid w:val="25E649EA"/>
    <w:rsid w:val="25EE078C"/>
    <w:rsid w:val="26241A58"/>
    <w:rsid w:val="262A27C3"/>
    <w:rsid w:val="263952BC"/>
    <w:rsid w:val="266057E0"/>
    <w:rsid w:val="26760048"/>
    <w:rsid w:val="26977FBF"/>
    <w:rsid w:val="26A66101"/>
    <w:rsid w:val="26B5751A"/>
    <w:rsid w:val="26B70C83"/>
    <w:rsid w:val="26CD1C32"/>
    <w:rsid w:val="270205A3"/>
    <w:rsid w:val="27194DB3"/>
    <w:rsid w:val="275A2460"/>
    <w:rsid w:val="27782A92"/>
    <w:rsid w:val="27823EA2"/>
    <w:rsid w:val="27C45A95"/>
    <w:rsid w:val="27CD5305"/>
    <w:rsid w:val="28584A86"/>
    <w:rsid w:val="28667C49"/>
    <w:rsid w:val="28B93C10"/>
    <w:rsid w:val="28C055AB"/>
    <w:rsid w:val="28DB5C1A"/>
    <w:rsid w:val="28E552EB"/>
    <w:rsid w:val="29102574"/>
    <w:rsid w:val="292D2255"/>
    <w:rsid w:val="29A21154"/>
    <w:rsid w:val="29C1466A"/>
    <w:rsid w:val="2A040055"/>
    <w:rsid w:val="2A15414C"/>
    <w:rsid w:val="2A224B27"/>
    <w:rsid w:val="2A8451C8"/>
    <w:rsid w:val="2ABA708D"/>
    <w:rsid w:val="2ADE61D1"/>
    <w:rsid w:val="2B4B5A9E"/>
    <w:rsid w:val="2B7F6CC9"/>
    <w:rsid w:val="2B822FB7"/>
    <w:rsid w:val="2B9D7E25"/>
    <w:rsid w:val="2B9F3B9D"/>
    <w:rsid w:val="2BB47753"/>
    <w:rsid w:val="2BCD7805"/>
    <w:rsid w:val="2BD81B2B"/>
    <w:rsid w:val="2BF734FF"/>
    <w:rsid w:val="2C5C7431"/>
    <w:rsid w:val="2C6646BB"/>
    <w:rsid w:val="2C9760AE"/>
    <w:rsid w:val="2CAD5165"/>
    <w:rsid w:val="2CB72DF0"/>
    <w:rsid w:val="2CBF7578"/>
    <w:rsid w:val="2CC407EF"/>
    <w:rsid w:val="2CC727A2"/>
    <w:rsid w:val="2CF5428C"/>
    <w:rsid w:val="2CFE23A7"/>
    <w:rsid w:val="2D0C7355"/>
    <w:rsid w:val="2D422172"/>
    <w:rsid w:val="2D6D6BDC"/>
    <w:rsid w:val="2DE2232A"/>
    <w:rsid w:val="2DF35E82"/>
    <w:rsid w:val="2DFF799C"/>
    <w:rsid w:val="2E063E89"/>
    <w:rsid w:val="2E0947F8"/>
    <w:rsid w:val="2E11721B"/>
    <w:rsid w:val="2E1524B9"/>
    <w:rsid w:val="2E270479"/>
    <w:rsid w:val="2E32087F"/>
    <w:rsid w:val="2E553E21"/>
    <w:rsid w:val="2E784E90"/>
    <w:rsid w:val="2E984B78"/>
    <w:rsid w:val="2EAE4AFF"/>
    <w:rsid w:val="2ED232DC"/>
    <w:rsid w:val="2EEE7B86"/>
    <w:rsid w:val="2F0B31C5"/>
    <w:rsid w:val="2F1575AA"/>
    <w:rsid w:val="2F1D6FE7"/>
    <w:rsid w:val="2F7E5172"/>
    <w:rsid w:val="2F893F8B"/>
    <w:rsid w:val="2FB16CA4"/>
    <w:rsid w:val="2FC96DDB"/>
    <w:rsid w:val="2FFA55C4"/>
    <w:rsid w:val="30107626"/>
    <w:rsid w:val="3014436D"/>
    <w:rsid w:val="30144EC2"/>
    <w:rsid w:val="303073CE"/>
    <w:rsid w:val="30683654"/>
    <w:rsid w:val="3075135A"/>
    <w:rsid w:val="30B02B5F"/>
    <w:rsid w:val="30D90F9E"/>
    <w:rsid w:val="30E119FE"/>
    <w:rsid w:val="30F24EA9"/>
    <w:rsid w:val="30F721F2"/>
    <w:rsid w:val="3108346C"/>
    <w:rsid w:val="3156044E"/>
    <w:rsid w:val="31676BDA"/>
    <w:rsid w:val="318426FA"/>
    <w:rsid w:val="31A617C0"/>
    <w:rsid w:val="31A8218F"/>
    <w:rsid w:val="31B52962"/>
    <w:rsid w:val="31C14142"/>
    <w:rsid w:val="324D2D80"/>
    <w:rsid w:val="326D476B"/>
    <w:rsid w:val="327476D7"/>
    <w:rsid w:val="327C2C35"/>
    <w:rsid w:val="32896C84"/>
    <w:rsid w:val="33173602"/>
    <w:rsid w:val="33475512"/>
    <w:rsid w:val="33576B0C"/>
    <w:rsid w:val="33A813C3"/>
    <w:rsid w:val="33C80504"/>
    <w:rsid w:val="33DA6CFB"/>
    <w:rsid w:val="33DF0A00"/>
    <w:rsid w:val="33E20DDF"/>
    <w:rsid w:val="33E60EE4"/>
    <w:rsid w:val="33F15628"/>
    <w:rsid w:val="34134F02"/>
    <w:rsid w:val="348B0379"/>
    <w:rsid w:val="34DA5853"/>
    <w:rsid w:val="34E72BCD"/>
    <w:rsid w:val="34EE35E2"/>
    <w:rsid w:val="350A598E"/>
    <w:rsid w:val="351F07CE"/>
    <w:rsid w:val="353A18E4"/>
    <w:rsid w:val="353E4427"/>
    <w:rsid w:val="357A3BE2"/>
    <w:rsid w:val="3582609F"/>
    <w:rsid w:val="35952AEC"/>
    <w:rsid w:val="35AA2277"/>
    <w:rsid w:val="35AA389E"/>
    <w:rsid w:val="35B704D6"/>
    <w:rsid w:val="35BB38CF"/>
    <w:rsid w:val="35BE5948"/>
    <w:rsid w:val="35C14748"/>
    <w:rsid w:val="35DB7CBD"/>
    <w:rsid w:val="363F7C94"/>
    <w:rsid w:val="36485230"/>
    <w:rsid w:val="365C0720"/>
    <w:rsid w:val="365E7D8D"/>
    <w:rsid w:val="36614BEE"/>
    <w:rsid w:val="36E431AB"/>
    <w:rsid w:val="36F472A4"/>
    <w:rsid w:val="37023232"/>
    <w:rsid w:val="37432777"/>
    <w:rsid w:val="374C73ED"/>
    <w:rsid w:val="376C4B50"/>
    <w:rsid w:val="37822F66"/>
    <w:rsid w:val="37E40C71"/>
    <w:rsid w:val="37EF1A09"/>
    <w:rsid w:val="3801771C"/>
    <w:rsid w:val="38032760"/>
    <w:rsid w:val="380753BC"/>
    <w:rsid w:val="380D767A"/>
    <w:rsid w:val="38156F95"/>
    <w:rsid w:val="382D2531"/>
    <w:rsid w:val="38802488"/>
    <w:rsid w:val="388058A2"/>
    <w:rsid w:val="38993E8F"/>
    <w:rsid w:val="38A90DD4"/>
    <w:rsid w:val="38C04622"/>
    <w:rsid w:val="38C837A7"/>
    <w:rsid w:val="38E5211B"/>
    <w:rsid w:val="38F40FAA"/>
    <w:rsid w:val="391C7782"/>
    <w:rsid w:val="395922E0"/>
    <w:rsid w:val="396101CC"/>
    <w:rsid w:val="3963121E"/>
    <w:rsid w:val="396B3311"/>
    <w:rsid w:val="39AB02EF"/>
    <w:rsid w:val="39B01DA0"/>
    <w:rsid w:val="39F655DF"/>
    <w:rsid w:val="3A181899"/>
    <w:rsid w:val="3A1B4F24"/>
    <w:rsid w:val="3A41533A"/>
    <w:rsid w:val="3AAA68C1"/>
    <w:rsid w:val="3AAE7AAF"/>
    <w:rsid w:val="3ACE7D1C"/>
    <w:rsid w:val="3AD33C5B"/>
    <w:rsid w:val="3AD47C5D"/>
    <w:rsid w:val="3AD815D7"/>
    <w:rsid w:val="3AE17505"/>
    <w:rsid w:val="3B13409D"/>
    <w:rsid w:val="3B274807"/>
    <w:rsid w:val="3BFA5E3F"/>
    <w:rsid w:val="3C0E1570"/>
    <w:rsid w:val="3C186B72"/>
    <w:rsid w:val="3C3B59DA"/>
    <w:rsid w:val="3C4131E5"/>
    <w:rsid w:val="3C5223F3"/>
    <w:rsid w:val="3C577179"/>
    <w:rsid w:val="3C5E0976"/>
    <w:rsid w:val="3C6140B2"/>
    <w:rsid w:val="3C8753CF"/>
    <w:rsid w:val="3CB43221"/>
    <w:rsid w:val="3D121FE8"/>
    <w:rsid w:val="3D1918F1"/>
    <w:rsid w:val="3D440C38"/>
    <w:rsid w:val="3D4735A4"/>
    <w:rsid w:val="3D6F7148"/>
    <w:rsid w:val="3D7A18A8"/>
    <w:rsid w:val="3DA311B0"/>
    <w:rsid w:val="3DCA3DD5"/>
    <w:rsid w:val="3DCD3561"/>
    <w:rsid w:val="3DE971A9"/>
    <w:rsid w:val="3E242A60"/>
    <w:rsid w:val="3E26436F"/>
    <w:rsid w:val="3E29167F"/>
    <w:rsid w:val="3E3B2B85"/>
    <w:rsid w:val="3E605436"/>
    <w:rsid w:val="3E630A5B"/>
    <w:rsid w:val="3E7B190D"/>
    <w:rsid w:val="3E984A38"/>
    <w:rsid w:val="3EB5522B"/>
    <w:rsid w:val="3EE378D3"/>
    <w:rsid w:val="3F52089A"/>
    <w:rsid w:val="3F5530BC"/>
    <w:rsid w:val="3F7C36DC"/>
    <w:rsid w:val="3F830C89"/>
    <w:rsid w:val="3FA5796D"/>
    <w:rsid w:val="3FC823B0"/>
    <w:rsid w:val="3FE25578"/>
    <w:rsid w:val="3FE37EFD"/>
    <w:rsid w:val="4004136D"/>
    <w:rsid w:val="401849E1"/>
    <w:rsid w:val="40351070"/>
    <w:rsid w:val="408829FA"/>
    <w:rsid w:val="40A67CE5"/>
    <w:rsid w:val="40B26E1E"/>
    <w:rsid w:val="40CB4674"/>
    <w:rsid w:val="40DE0D6C"/>
    <w:rsid w:val="40EF3A24"/>
    <w:rsid w:val="40F059F3"/>
    <w:rsid w:val="41013A16"/>
    <w:rsid w:val="41050FFA"/>
    <w:rsid w:val="411B4CCC"/>
    <w:rsid w:val="4175062D"/>
    <w:rsid w:val="418442E7"/>
    <w:rsid w:val="41884AF2"/>
    <w:rsid w:val="41BD5138"/>
    <w:rsid w:val="41F82507"/>
    <w:rsid w:val="420C3D6E"/>
    <w:rsid w:val="421104FC"/>
    <w:rsid w:val="424109D0"/>
    <w:rsid w:val="425C3BBE"/>
    <w:rsid w:val="426551F3"/>
    <w:rsid w:val="426B5CA4"/>
    <w:rsid w:val="42761AD2"/>
    <w:rsid w:val="42990C13"/>
    <w:rsid w:val="42A91C31"/>
    <w:rsid w:val="42CC7491"/>
    <w:rsid w:val="42D57A4D"/>
    <w:rsid w:val="431214BE"/>
    <w:rsid w:val="436A002C"/>
    <w:rsid w:val="437C55B9"/>
    <w:rsid w:val="43AC6A00"/>
    <w:rsid w:val="43F86F69"/>
    <w:rsid w:val="4407612D"/>
    <w:rsid w:val="4428042D"/>
    <w:rsid w:val="448970B3"/>
    <w:rsid w:val="44B80DBF"/>
    <w:rsid w:val="44BE322F"/>
    <w:rsid w:val="44BF0E72"/>
    <w:rsid w:val="44C753AB"/>
    <w:rsid w:val="44D16364"/>
    <w:rsid w:val="44DF115C"/>
    <w:rsid w:val="44E563F7"/>
    <w:rsid w:val="44E84810"/>
    <w:rsid w:val="44EE3048"/>
    <w:rsid w:val="44FE0257"/>
    <w:rsid w:val="450B7FC6"/>
    <w:rsid w:val="450D5D22"/>
    <w:rsid w:val="454F3AE7"/>
    <w:rsid w:val="456C7503"/>
    <w:rsid w:val="459F01B9"/>
    <w:rsid w:val="45ED0EAD"/>
    <w:rsid w:val="45ED3300"/>
    <w:rsid w:val="461B7160"/>
    <w:rsid w:val="463D2AEB"/>
    <w:rsid w:val="464512DE"/>
    <w:rsid w:val="46527E80"/>
    <w:rsid w:val="465D5979"/>
    <w:rsid w:val="466E4D06"/>
    <w:rsid w:val="4690622E"/>
    <w:rsid w:val="46965782"/>
    <w:rsid w:val="46BC17F8"/>
    <w:rsid w:val="46EC1230"/>
    <w:rsid w:val="47017063"/>
    <w:rsid w:val="470864C7"/>
    <w:rsid w:val="477379C1"/>
    <w:rsid w:val="47821604"/>
    <w:rsid w:val="47946129"/>
    <w:rsid w:val="47947446"/>
    <w:rsid w:val="47A00C06"/>
    <w:rsid w:val="47A374E1"/>
    <w:rsid w:val="47E752A2"/>
    <w:rsid w:val="47EF6D41"/>
    <w:rsid w:val="48173DA1"/>
    <w:rsid w:val="481B56EC"/>
    <w:rsid w:val="482F4D73"/>
    <w:rsid w:val="48452D75"/>
    <w:rsid w:val="485A5004"/>
    <w:rsid w:val="48947E12"/>
    <w:rsid w:val="489C2AAD"/>
    <w:rsid w:val="49042511"/>
    <w:rsid w:val="491714BC"/>
    <w:rsid w:val="493F44DB"/>
    <w:rsid w:val="495A4A49"/>
    <w:rsid w:val="495F26F7"/>
    <w:rsid w:val="49654261"/>
    <w:rsid w:val="49725D2E"/>
    <w:rsid w:val="497879AC"/>
    <w:rsid w:val="498212EF"/>
    <w:rsid w:val="499707E5"/>
    <w:rsid w:val="49E24538"/>
    <w:rsid w:val="49E56247"/>
    <w:rsid w:val="4A140DC5"/>
    <w:rsid w:val="4A1D5BD4"/>
    <w:rsid w:val="4A3B3251"/>
    <w:rsid w:val="4A780D46"/>
    <w:rsid w:val="4A8D1AC5"/>
    <w:rsid w:val="4A98308A"/>
    <w:rsid w:val="4AD83354"/>
    <w:rsid w:val="4AE65C90"/>
    <w:rsid w:val="4AEA3692"/>
    <w:rsid w:val="4B176810"/>
    <w:rsid w:val="4B711D52"/>
    <w:rsid w:val="4BA53C99"/>
    <w:rsid w:val="4BA803F5"/>
    <w:rsid w:val="4BB61D15"/>
    <w:rsid w:val="4BB84AAD"/>
    <w:rsid w:val="4BEE133F"/>
    <w:rsid w:val="4C313A81"/>
    <w:rsid w:val="4C3457E4"/>
    <w:rsid w:val="4C476097"/>
    <w:rsid w:val="4C5E55F6"/>
    <w:rsid w:val="4C7107E7"/>
    <w:rsid w:val="4C995F8F"/>
    <w:rsid w:val="4CC87487"/>
    <w:rsid w:val="4CD3031C"/>
    <w:rsid w:val="4CD33427"/>
    <w:rsid w:val="4CE120C9"/>
    <w:rsid w:val="4CE356C4"/>
    <w:rsid w:val="4CFF33B4"/>
    <w:rsid w:val="4D1C1422"/>
    <w:rsid w:val="4D27785A"/>
    <w:rsid w:val="4D2C6166"/>
    <w:rsid w:val="4D3833E3"/>
    <w:rsid w:val="4D966A3D"/>
    <w:rsid w:val="4D980D26"/>
    <w:rsid w:val="4DE53388"/>
    <w:rsid w:val="4DEB0164"/>
    <w:rsid w:val="4E065E6C"/>
    <w:rsid w:val="4E1A6DB5"/>
    <w:rsid w:val="4E214EB6"/>
    <w:rsid w:val="4E21623C"/>
    <w:rsid w:val="4E4667F5"/>
    <w:rsid w:val="4E563C83"/>
    <w:rsid w:val="4E7939C1"/>
    <w:rsid w:val="4E9853C5"/>
    <w:rsid w:val="4E9A0B0B"/>
    <w:rsid w:val="4EB06024"/>
    <w:rsid w:val="4EB86BA1"/>
    <w:rsid w:val="4EDE5EDB"/>
    <w:rsid w:val="4EE906D6"/>
    <w:rsid w:val="4EED14A0"/>
    <w:rsid w:val="4EF66C19"/>
    <w:rsid w:val="4EF861DF"/>
    <w:rsid w:val="4F064131"/>
    <w:rsid w:val="4F1A33B7"/>
    <w:rsid w:val="4F3D0E54"/>
    <w:rsid w:val="4F512ED0"/>
    <w:rsid w:val="4F6F0FDC"/>
    <w:rsid w:val="4FC11ABC"/>
    <w:rsid w:val="4FC65B00"/>
    <w:rsid w:val="4FCB1C0C"/>
    <w:rsid w:val="4FF21C3E"/>
    <w:rsid w:val="4FF36048"/>
    <w:rsid w:val="502A587C"/>
    <w:rsid w:val="503A18A0"/>
    <w:rsid w:val="50552435"/>
    <w:rsid w:val="50844865"/>
    <w:rsid w:val="50871D27"/>
    <w:rsid w:val="508F0495"/>
    <w:rsid w:val="50901457"/>
    <w:rsid w:val="50B43C08"/>
    <w:rsid w:val="50EC763F"/>
    <w:rsid w:val="513E0EB3"/>
    <w:rsid w:val="51B04763"/>
    <w:rsid w:val="51BC1EED"/>
    <w:rsid w:val="51BC4C86"/>
    <w:rsid w:val="51CB5293"/>
    <w:rsid w:val="51E1640E"/>
    <w:rsid w:val="51FB09CD"/>
    <w:rsid w:val="51FC0E44"/>
    <w:rsid w:val="520D74BE"/>
    <w:rsid w:val="522377D2"/>
    <w:rsid w:val="52325B83"/>
    <w:rsid w:val="52421C4A"/>
    <w:rsid w:val="52763CF2"/>
    <w:rsid w:val="528C15B3"/>
    <w:rsid w:val="528D5225"/>
    <w:rsid w:val="52927AA2"/>
    <w:rsid w:val="52A06658"/>
    <w:rsid w:val="52B47CFB"/>
    <w:rsid w:val="52CE11C4"/>
    <w:rsid w:val="530E3233"/>
    <w:rsid w:val="53277026"/>
    <w:rsid w:val="53356DEB"/>
    <w:rsid w:val="534A7FE3"/>
    <w:rsid w:val="53532B6D"/>
    <w:rsid w:val="53C21436"/>
    <w:rsid w:val="53CB13EE"/>
    <w:rsid w:val="541615DB"/>
    <w:rsid w:val="54260108"/>
    <w:rsid w:val="543B2308"/>
    <w:rsid w:val="54630FFC"/>
    <w:rsid w:val="547A6F07"/>
    <w:rsid w:val="548C58EB"/>
    <w:rsid w:val="54920CCC"/>
    <w:rsid w:val="54AA6CE7"/>
    <w:rsid w:val="54FA1CC7"/>
    <w:rsid w:val="551E44E1"/>
    <w:rsid w:val="552904D3"/>
    <w:rsid w:val="55992AE1"/>
    <w:rsid w:val="559D4B69"/>
    <w:rsid w:val="55AA6CC4"/>
    <w:rsid w:val="55BE0A1F"/>
    <w:rsid w:val="55BF7B5D"/>
    <w:rsid w:val="55E069DD"/>
    <w:rsid w:val="561A74C8"/>
    <w:rsid w:val="56266A73"/>
    <w:rsid w:val="563242F2"/>
    <w:rsid w:val="56795EB2"/>
    <w:rsid w:val="56906927"/>
    <w:rsid w:val="56AC6EAD"/>
    <w:rsid w:val="56F03878"/>
    <w:rsid w:val="56F2180E"/>
    <w:rsid w:val="56FE098B"/>
    <w:rsid w:val="57071DEF"/>
    <w:rsid w:val="570B7614"/>
    <w:rsid w:val="57340D8E"/>
    <w:rsid w:val="57395E57"/>
    <w:rsid w:val="574D7F21"/>
    <w:rsid w:val="5751384D"/>
    <w:rsid w:val="57730905"/>
    <w:rsid w:val="578114AD"/>
    <w:rsid w:val="57971D90"/>
    <w:rsid w:val="57B07009"/>
    <w:rsid w:val="57B33E67"/>
    <w:rsid w:val="57B4306F"/>
    <w:rsid w:val="57B82919"/>
    <w:rsid w:val="57E31CD9"/>
    <w:rsid w:val="57E6738D"/>
    <w:rsid w:val="57E971A7"/>
    <w:rsid w:val="57EC4501"/>
    <w:rsid w:val="5825158A"/>
    <w:rsid w:val="588A5924"/>
    <w:rsid w:val="58B7301E"/>
    <w:rsid w:val="58CD607B"/>
    <w:rsid w:val="58D63D1E"/>
    <w:rsid w:val="58FE6895"/>
    <w:rsid w:val="591131CE"/>
    <w:rsid w:val="59223A64"/>
    <w:rsid w:val="59382343"/>
    <w:rsid w:val="593924D4"/>
    <w:rsid w:val="59443DCF"/>
    <w:rsid w:val="595B3D64"/>
    <w:rsid w:val="599C0E6D"/>
    <w:rsid w:val="59AD3E0E"/>
    <w:rsid w:val="59C6630F"/>
    <w:rsid w:val="59F0796D"/>
    <w:rsid w:val="59F35F3A"/>
    <w:rsid w:val="5A2E7D17"/>
    <w:rsid w:val="5A322152"/>
    <w:rsid w:val="5A33155A"/>
    <w:rsid w:val="5A3531C6"/>
    <w:rsid w:val="5A4C5F01"/>
    <w:rsid w:val="5A626260"/>
    <w:rsid w:val="5A710EBE"/>
    <w:rsid w:val="5A7A2220"/>
    <w:rsid w:val="5AB665E6"/>
    <w:rsid w:val="5ACA1C7A"/>
    <w:rsid w:val="5B1122D1"/>
    <w:rsid w:val="5B6523ED"/>
    <w:rsid w:val="5B7A63DB"/>
    <w:rsid w:val="5B7F660E"/>
    <w:rsid w:val="5BE621CA"/>
    <w:rsid w:val="5BF5573C"/>
    <w:rsid w:val="5BF8682E"/>
    <w:rsid w:val="5C0977AC"/>
    <w:rsid w:val="5C38462F"/>
    <w:rsid w:val="5C427AAA"/>
    <w:rsid w:val="5C4E644E"/>
    <w:rsid w:val="5C7102BD"/>
    <w:rsid w:val="5CAD2B53"/>
    <w:rsid w:val="5CF27905"/>
    <w:rsid w:val="5D047697"/>
    <w:rsid w:val="5D74263F"/>
    <w:rsid w:val="5D8461E2"/>
    <w:rsid w:val="5D9442F2"/>
    <w:rsid w:val="5DD40BD5"/>
    <w:rsid w:val="5DD77C34"/>
    <w:rsid w:val="5DF42546"/>
    <w:rsid w:val="5DFD06C9"/>
    <w:rsid w:val="5E42338E"/>
    <w:rsid w:val="5E70713D"/>
    <w:rsid w:val="5E8C5CF2"/>
    <w:rsid w:val="5E9706DB"/>
    <w:rsid w:val="5EC24ED2"/>
    <w:rsid w:val="5EF04098"/>
    <w:rsid w:val="5F225970"/>
    <w:rsid w:val="5F264C75"/>
    <w:rsid w:val="5F3D43C4"/>
    <w:rsid w:val="5F553840"/>
    <w:rsid w:val="5F7A7D2B"/>
    <w:rsid w:val="5F954394"/>
    <w:rsid w:val="5F961A50"/>
    <w:rsid w:val="5FD37252"/>
    <w:rsid w:val="5FE137CB"/>
    <w:rsid w:val="5FE64BF0"/>
    <w:rsid w:val="600A7C53"/>
    <w:rsid w:val="6048114B"/>
    <w:rsid w:val="605A1055"/>
    <w:rsid w:val="60900A64"/>
    <w:rsid w:val="609E031F"/>
    <w:rsid w:val="60C213F0"/>
    <w:rsid w:val="60EB7DAD"/>
    <w:rsid w:val="611B477F"/>
    <w:rsid w:val="619066B6"/>
    <w:rsid w:val="619C02D4"/>
    <w:rsid w:val="61AE1836"/>
    <w:rsid w:val="61C70459"/>
    <w:rsid w:val="61CB3795"/>
    <w:rsid w:val="61CF0F16"/>
    <w:rsid w:val="61D22C73"/>
    <w:rsid w:val="61D513C0"/>
    <w:rsid w:val="61F361F9"/>
    <w:rsid w:val="61F54E8E"/>
    <w:rsid w:val="620745A3"/>
    <w:rsid w:val="620D389C"/>
    <w:rsid w:val="62652288"/>
    <w:rsid w:val="62707A6A"/>
    <w:rsid w:val="62863C74"/>
    <w:rsid w:val="628644E2"/>
    <w:rsid w:val="62B02D5D"/>
    <w:rsid w:val="62C36E15"/>
    <w:rsid w:val="62E967AF"/>
    <w:rsid w:val="63143346"/>
    <w:rsid w:val="6366012E"/>
    <w:rsid w:val="63E04B73"/>
    <w:rsid w:val="63E903F4"/>
    <w:rsid w:val="63EC7A2E"/>
    <w:rsid w:val="643804CC"/>
    <w:rsid w:val="64586053"/>
    <w:rsid w:val="646564E6"/>
    <w:rsid w:val="646F2DE6"/>
    <w:rsid w:val="64A47615"/>
    <w:rsid w:val="64D85DCB"/>
    <w:rsid w:val="64E00FC2"/>
    <w:rsid w:val="64E252E4"/>
    <w:rsid w:val="64EA6D2F"/>
    <w:rsid w:val="64EF3384"/>
    <w:rsid w:val="6544741A"/>
    <w:rsid w:val="65AD0C98"/>
    <w:rsid w:val="65AD7695"/>
    <w:rsid w:val="65B8600A"/>
    <w:rsid w:val="65B926B5"/>
    <w:rsid w:val="65BD1259"/>
    <w:rsid w:val="65CC69C8"/>
    <w:rsid w:val="66580335"/>
    <w:rsid w:val="666656D2"/>
    <w:rsid w:val="66936A04"/>
    <w:rsid w:val="66A479F2"/>
    <w:rsid w:val="66B4253F"/>
    <w:rsid w:val="66E35274"/>
    <w:rsid w:val="66F1093C"/>
    <w:rsid w:val="670A28D3"/>
    <w:rsid w:val="67110369"/>
    <w:rsid w:val="67155778"/>
    <w:rsid w:val="673D4E61"/>
    <w:rsid w:val="675052D7"/>
    <w:rsid w:val="67854AA5"/>
    <w:rsid w:val="678E6585"/>
    <w:rsid w:val="67BB67C7"/>
    <w:rsid w:val="680F4B23"/>
    <w:rsid w:val="681177DB"/>
    <w:rsid w:val="682F4F1D"/>
    <w:rsid w:val="684326A0"/>
    <w:rsid w:val="686139AD"/>
    <w:rsid w:val="686B0A13"/>
    <w:rsid w:val="687F5C64"/>
    <w:rsid w:val="688F2159"/>
    <w:rsid w:val="68A3085F"/>
    <w:rsid w:val="68C0684E"/>
    <w:rsid w:val="68C8445A"/>
    <w:rsid w:val="69210D43"/>
    <w:rsid w:val="693634DB"/>
    <w:rsid w:val="695053E9"/>
    <w:rsid w:val="69576895"/>
    <w:rsid w:val="69590A12"/>
    <w:rsid w:val="698A0CE2"/>
    <w:rsid w:val="699F29DF"/>
    <w:rsid w:val="69DA1BAC"/>
    <w:rsid w:val="69DB25A5"/>
    <w:rsid w:val="69FF2647"/>
    <w:rsid w:val="6A0678EE"/>
    <w:rsid w:val="6A0B7D21"/>
    <w:rsid w:val="6A3409FC"/>
    <w:rsid w:val="6A38073E"/>
    <w:rsid w:val="6A483EC8"/>
    <w:rsid w:val="6A694D9B"/>
    <w:rsid w:val="6A8B5B43"/>
    <w:rsid w:val="6ACA3056"/>
    <w:rsid w:val="6ACB55EB"/>
    <w:rsid w:val="6AE05BA5"/>
    <w:rsid w:val="6B025828"/>
    <w:rsid w:val="6B112858"/>
    <w:rsid w:val="6B4C0418"/>
    <w:rsid w:val="6B83149A"/>
    <w:rsid w:val="6B9A0376"/>
    <w:rsid w:val="6BA7306E"/>
    <w:rsid w:val="6BC525EA"/>
    <w:rsid w:val="6BE61923"/>
    <w:rsid w:val="6BE77CFD"/>
    <w:rsid w:val="6BE836C3"/>
    <w:rsid w:val="6C1D3FBA"/>
    <w:rsid w:val="6C2E5844"/>
    <w:rsid w:val="6C374C82"/>
    <w:rsid w:val="6C5A7A8C"/>
    <w:rsid w:val="6C5E2B25"/>
    <w:rsid w:val="6CB917F8"/>
    <w:rsid w:val="6CD67310"/>
    <w:rsid w:val="6CF56FE4"/>
    <w:rsid w:val="6D125276"/>
    <w:rsid w:val="6D4514DC"/>
    <w:rsid w:val="6DA877B4"/>
    <w:rsid w:val="6DAB55CC"/>
    <w:rsid w:val="6DAE1443"/>
    <w:rsid w:val="6DC804BC"/>
    <w:rsid w:val="6DD02087"/>
    <w:rsid w:val="6E2214E9"/>
    <w:rsid w:val="6E5768F9"/>
    <w:rsid w:val="6E763603"/>
    <w:rsid w:val="6E8E2821"/>
    <w:rsid w:val="6EE851AF"/>
    <w:rsid w:val="6EF7243E"/>
    <w:rsid w:val="6EF75C78"/>
    <w:rsid w:val="6F0F60E0"/>
    <w:rsid w:val="6F524A2B"/>
    <w:rsid w:val="6F6B1A53"/>
    <w:rsid w:val="6F806E0F"/>
    <w:rsid w:val="6F9C54FA"/>
    <w:rsid w:val="6FA01C3C"/>
    <w:rsid w:val="6FCE213C"/>
    <w:rsid w:val="6FFF3DBF"/>
    <w:rsid w:val="701B50A4"/>
    <w:rsid w:val="70473F3C"/>
    <w:rsid w:val="705C5AA3"/>
    <w:rsid w:val="70696998"/>
    <w:rsid w:val="707E1D6A"/>
    <w:rsid w:val="70904E1F"/>
    <w:rsid w:val="70980188"/>
    <w:rsid w:val="70DB1624"/>
    <w:rsid w:val="710F4BB0"/>
    <w:rsid w:val="712B26EE"/>
    <w:rsid w:val="71433D9E"/>
    <w:rsid w:val="714479C8"/>
    <w:rsid w:val="71860207"/>
    <w:rsid w:val="71A74C23"/>
    <w:rsid w:val="71A83818"/>
    <w:rsid w:val="71CF5C80"/>
    <w:rsid w:val="71D52E2E"/>
    <w:rsid w:val="71D91AF7"/>
    <w:rsid w:val="71DF1ACC"/>
    <w:rsid w:val="71F07908"/>
    <w:rsid w:val="720B5784"/>
    <w:rsid w:val="722E0C82"/>
    <w:rsid w:val="7244269F"/>
    <w:rsid w:val="72C301CC"/>
    <w:rsid w:val="72D45938"/>
    <w:rsid w:val="72F53670"/>
    <w:rsid w:val="730D4945"/>
    <w:rsid w:val="73131704"/>
    <w:rsid w:val="733C4AB3"/>
    <w:rsid w:val="734372AC"/>
    <w:rsid w:val="73615290"/>
    <w:rsid w:val="737A5FF9"/>
    <w:rsid w:val="740D6106"/>
    <w:rsid w:val="749472C0"/>
    <w:rsid w:val="74D729D9"/>
    <w:rsid w:val="74E00341"/>
    <w:rsid w:val="74E14BFF"/>
    <w:rsid w:val="75396B10"/>
    <w:rsid w:val="75A87A0B"/>
    <w:rsid w:val="75BB125E"/>
    <w:rsid w:val="75D64A4F"/>
    <w:rsid w:val="7608190C"/>
    <w:rsid w:val="760F2C9B"/>
    <w:rsid w:val="76230C32"/>
    <w:rsid w:val="76296110"/>
    <w:rsid w:val="764A49BA"/>
    <w:rsid w:val="7688740A"/>
    <w:rsid w:val="768E38C7"/>
    <w:rsid w:val="76FF6FBE"/>
    <w:rsid w:val="770854D3"/>
    <w:rsid w:val="774C3CAD"/>
    <w:rsid w:val="778D3032"/>
    <w:rsid w:val="77910C8C"/>
    <w:rsid w:val="779C5154"/>
    <w:rsid w:val="77AB7A17"/>
    <w:rsid w:val="77DE4956"/>
    <w:rsid w:val="77FE499D"/>
    <w:rsid w:val="783207F3"/>
    <w:rsid w:val="78FF4C06"/>
    <w:rsid w:val="792A4B26"/>
    <w:rsid w:val="79376287"/>
    <w:rsid w:val="795B1387"/>
    <w:rsid w:val="79DB0D33"/>
    <w:rsid w:val="79ED50A1"/>
    <w:rsid w:val="79F04AFC"/>
    <w:rsid w:val="7A474837"/>
    <w:rsid w:val="7A5A101B"/>
    <w:rsid w:val="7A5B0994"/>
    <w:rsid w:val="7A776B98"/>
    <w:rsid w:val="7A83793A"/>
    <w:rsid w:val="7A915E47"/>
    <w:rsid w:val="7A950CD9"/>
    <w:rsid w:val="7A9B4AFD"/>
    <w:rsid w:val="7AD231C0"/>
    <w:rsid w:val="7AE555B6"/>
    <w:rsid w:val="7B00266C"/>
    <w:rsid w:val="7B0E3521"/>
    <w:rsid w:val="7B3C57DB"/>
    <w:rsid w:val="7B557AE5"/>
    <w:rsid w:val="7B612B29"/>
    <w:rsid w:val="7B6E25D6"/>
    <w:rsid w:val="7B8A663A"/>
    <w:rsid w:val="7B9B0B33"/>
    <w:rsid w:val="7BA56121"/>
    <w:rsid w:val="7BC71E36"/>
    <w:rsid w:val="7BCF7DD2"/>
    <w:rsid w:val="7BE42DD5"/>
    <w:rsid w:val="7BFA44E7"/>
    <w:rsid w:val="7C051626"/>
    <w:rsid w:val="7C101E3B"/>
    <w:rsid w:val="7C213321"/>
    <w:rsid w:val="7C2D070D"/>
    <w:rsid w:val="7C355E03"/>
    <w:rsid w:val="7C4C031C"/>
    <w:rsid w:val="7C5333B1"/>
    <w:rsid w:val="7C7B1574"/>
    <w:rsid w:val="7C7B3F48"/>
    <w:rsid w:val="7CAD1877"/>
    <w:rsid w:val="7D1B4DAC"/>
    <w:rsid w:val="7D2C4857"/>
    <w:rsid w:val="7D5D525A"/>
    <w:rsid w:val="7D7E1968"/>
    <w:rsid w:val="7D882BC9"/>
    <w:rsid w:val="7DAA1431"/>
    <w:rsid w:val="7DCF4ABD"/>
    <w:rsid w:val="7DD35E58"/>
    <w:rsid w:val="7DDD2DFA"/>
    <w:rsid w:val="7E1D02EF"/>
    <w:rsid w:val="7E4B7D96"/>
    <w:rsid w:val="7E5274D8"/>
    <w:rsid w:val="7E5C0A47"/>
    <w:rsid w:val="7E7B20B0"/>
    <w:rsid w:val="7E85502D"/>
    <w:rsid w:val="7EA75072"/>
    <w:rsid w:val="7EB306AE"/>
    <w:rsid w:val="7ED40F43"/>
    <w:rsid w:val="7EFA2E85"/>
    <w:rsid w:val="7F074977"/>
    <w:rsid w:val="7F082813"/>
    <w:rsid w:val="7F0A6D29"/>
    <w:rsid w:val="7F4A6AF1"/>
    <w:rsid w:val="7F9F1413"/>
    <w:rsid w:val="7FA51F7A"/>
    <w:rsid w:val="7FB9440C"/>
    <w:rsid w:val="7FBC59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9" w:semiHidden="0" w:name="heading 2"/>
    <w:lsdException w:qFormat="1" w:uiPriority="99" w:semiHidden="0" w:name="heading 3"/>
    <w:lsdException w:qFormat="1" w:uiPriority="9" w:semiHidden="0" w:name="heading 4"/>
    <w:lsdException w:qFormat="1" w:uiPriority="9" w:semiHidden="0" w:name="heading 5"/>
    <w:lsdException w:qFormat="1" w:uiPriority="9"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qFormat="1" w:uiPriority="0" w:semiHidden="0" w:name="Body Text First Indent 2"/>
    <w:lsdException w:uiPriority="99" w:name="Note Heading"/>
    <w:lsdException w:qFormat="1"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480" w:lineRule="exact"/>
      <w:ind w:firstLine="200" w:firstLineChars="200"/>
      <w:jc w:val="both"/>
    </w:pPr>
    <w:rPr>
      <w:rFonts w:ascii="宋体" w:hAnsi="宋体" w:eastAsia="宋体" w:cs="宋体"/>
      <w:kern w:val="2"/>
      <w:sz w:val="24"/>
      <w:szCs w:val="21"/>
      <w:lang w:val="en-US" w:eastAsia="zh-CN" w:bidi="ar-SA"/>
    </w:rPr>
  </w:style>
  <w:style w:type="paragraph" w:styleId="2">
    <w:name w:val="heading 1"/>
    <w:basedOn w:val="1"/>
    <w:next w:val="1"/>
    <w:link w:val="50"/>
    <w:autoRedefine/>
    <w:qFormat/>
    <w:uiPriority w:val="9"/>
    <w:pPr>
      <w:pageBreakBefore w:val="0"/>
      <w:numPr>
        <w:ilvl w:val="0"/>
        <w:numId w:val="1"/>
      </w:numPr>
      <w:tabs>
        <w:tab w:val="left" w:pos="0"/>
      </w:tabs>
      <w:spacing w:line="480" w:lineRule="exact"/>
      <w:ind w:left="431" w:hanging="431" w:firstLineChars="0"/>
      <w:jc w:val="left"/>
      <w:outlineLvl w:val="0"/>
    </w:pPr>
    <w:rPr>
      <w:rFonts w:ascii="宋体" w:hAnsi="宋体" w:cs="宋体"/>
      <w:color w:val="000000" w:themeColor="text1"/>
      <w:kern w:val="44"/>
      <w:sz w:val="24"/>
      <w:szCs w:val="22"/>
      <w14:textFill>
        <w14:solidFill>
          <w14:schemeClr w14:val="tx1"/>
        </w14:solidFill>
      </w14:textFill>
    </w:rPr>
  </w:style>
  <w:style w:type="paragraph" w:styleId="3">
    <w:name w:val="heading 2"/>
    <w:basedOn w:val="1"/>
    <w:next w:val="1"/>
    <w:link w:val="51"/>
    <w:autoRedefine/>
    <w:unhideWhenUsed/>
    <w:qFormat/>
    <w:uiPriority w:val="99"/>
    <w:pPr>
      <w:keepNext/>
      <w:keepLines/>
      <w:numPr>
        <w:ilvl w:val="1"/>
        <w:numId w:val="1"/>
      </w:numPr>
      <w:tabs>
        <w:tab w:val="left" w:pos="0"/>
        <w:tab w:val="clear" w:pos="420"/>
      </w:tabs>
      <w:spacing w:line="480" w:lineRule="exact"/>
      <w:ind w:left="573" w:hanging="573" w:firstLineChars="0"/>
      <w:jc w:val="left"/>
      <w:outlineLvl w:val="1"/>
    </w:pPr>
    <w:rPr>
      <w:rFonts w:cstheme="majorBidi"/>
      <w:bCs/>
      <w:sz w:val="24"/>
      <w:szCs w:val="32"/>
    </w:rPr>
  </w:style>
  <w:style w:type="paragraph" w:styleId="4">
    <w:name w:val="heading 3"/>
    <w:basedOn w:val="3"/>
    <w:next w:val="1"/>
    <w:link w:val="52"/>
    <w:autoRedefine/>
    <w:unhideWhenUsed/>
    <w:qFormat/>
    <w:uiPriority w:val="99"/>
    <w:pPr>
      <w:keepNext w:val="0"/>
      <w:keepLines w:val="0"/>
      <w:numPr>
        <w:ilvl w:val="2"/>
        <w:numId w:val="1"/>
      </w:numPr>
      <w:spacing w:line="480" w:lineRule="exact"/>
      <w:ind w:left="0" w:firstLine="0"/>
      <w:outlineLvl w:val="2"/>
    </w:pPr>
    <w:rPr>
      <w:szCs w:val="21"/>
    </w:rPr>
  </w:style>
  <w:style w:type="paragraph" w:styleId="5">
    <w:name w:val="heading 4"/>
    <w:basedOn w:val="1"/>
    <w:next w:val="1"/>
    <w:link w:val="53"/>
    <w:autoRedefine/>
    <w:unhideWhenUsed/>
    <w:qFormat/>
    <w:uiPriority w:val="9"/>
    <w:pPr>
      <w:numPr>
        <w:ilvl w:val="3"/>
        <w:numId w:val="1"/>
      </w:numPr>
      <w:tabs>
        <w:tab w:val="left" w:pos="0"/>
      </w:tabs>
      <w:spacing w:line="480" w:lineRule="exact"/>
      <w:ind w:left="0" w:firstLine="0" w:firstLineChars="0"/>
      <w:jc w:val="left"/>
      <w:outlineLvl w:val="3"/>
    </w:pPr>
    <w:rPr>
      <w:sz w:val="24"/>
    </w:rPr>
  </w:style>
  <w:style w:type="paragraph" w:styleId="6">
    <w:name w:val="heading 5"/>
    <w:basedOn w:val="1"/>
    <w:next w:val="1"/>
    <w:link w:val="54"/>
    <w:autoRedefine/>
    <w:unhideWhenUsed/>
    <w:qFormat/>
    <w:uiPriority w:val="9"/>
    <w:pPr>
      <w:keepNext w:val="0"/>
      <w:keepLines w:val="0"/>
      <w:numPr>
        <w:ilvl w:val="4"/>
        <w:numId w:val="1"/>
      </w:numPr>
      <w:autoSpaceDN w:val="0"/>
      <w:spacing w:line="480" w:lineRule="exact"/>
      <w:ind w:left="0" w:firstLine="0" w:firstLineChars="0"/>
      <w:jc w:val="left"/>
      <w:outlineLvl w:val="4"/>
    </w:pPr>
    <w:rPr>
      <w:bCs/>
      <w:sz w:val="24"/>
      <w:szCs w:val="28"/>
    </w:rPr>
  </w:style>
  <w:style w:type="paragraph" w:styleId="7">
    <w:name w:val="heading 6"/>
    <w:basedOn w:val="1"/>
    <w:next w:val="1"/>
    <w:link w:val="120"/>
    <w:autoRedefine/>
    <w:unhideWhenUsed/>
    <w:qFormat/>
    <w:uiPriority w:val="9"/>
    <w:pPr>
      <w:numPr>
        <w:ilvl w:val="5"/>
        <w:numId w:val="1"/>
      </w:numPr>
      <w:ind w:firstLineChars="0"/>
      <w:outlineLvl w:val="5"/>
    </w:pPr>
    <w:rPr>
      <w:b/>
    </w:rPr>
  </w:style>
  <w:style w:type="paragraph" w:styleId="8">
    <w:name w:val="heading 7"/>
    <w:basedOn w:val="1"/>
    <w:next w:val="1"/>
    <w:link w:val="55"/>
    <w:autoRedefine/>
    <w:unhideWhenUsed/>
    <w:qFormat/>
    <w:uiPriority w:val="0"/>
    <w:pPr>
      <w:keepNext/>
      <w:keepLines/>
      <w:numPr>
        <w:ilvl w:val="6"/>
        <w:numId w:val="1"/>
      </w:numPr>
      <w:ind w:firstLineChars="0"/>
      <w:outlineLvl w:val="6"/>
    </w:pPr>
    <w:rPr>
      <w:b/>
      <w:bCs/>
      <w:szCs w:val="24"/>
    </w:rPr>
  </w:style>
  <w:style w:type="paragraph" w:styleId="9">
    <w:name w:val="heading 8"/>
    <w:basedOn w:val="1"/>
    <w:next w:val="1"/>
    <w:link w:val="56"/>
    <w:autoRedefine/>
    <w:unhideWhenUsed/>
    <w:qFormat/>
    <w:uiPriority w:val="0"/>
    <w:pPr>
      <w:keepNext/>
      <w:keepLines/>
      <w:numPr>
        <w:ilvl w:val="7"/>
        <w:numId w:val="1"/>
      </w:numPr>
      <w:spacing w:before="240" w:after="64" w:line="320" w:lineRule="auto"/>
      <w:ind w:firstLineChars="0"/>
      <w:outlineLvl w:val="7"/>
    </w:pPr>
    <w:rPr>
      <w:rFonts w:asciiTheme="majorHAnsi" w:hAnsiTheme="majorHAnsi" w:eastAsiaTheme="majorEastAsia" w:cstheme="majorBidi"/>
      <w:szCs w:val="24"/>
    </w:rPr>
  </w:style>
  <w:style w:type="paragraph" w:styleId="10">
    <w:name w:val="heading 9"/>
    <w:basedOn w:val="1"/>
    <w:next w:val="1"/>
    <w:link w:val="110"/>
    <w:autoRedefine/>
    <w:unhideWhenUsed/>
    <w:qFormat/>
    <w:uiPriority w:val="0"/>
    <w:pPr>
      <w:keepNext/>
      <w:keepLines/>
      <w:numPr>
        <w:ilvl w:val="8"/>
        <w:numId w:val="1"/>
      </w:numPr>
      <w:spacing w:before="240" w:after="64" w:line="320" w:lineRule="auto"/>
      <w:ind w:firstLineChars="0"/>
      <w:outlineLvl w:val="8"/>
    </w:pPr>
    <w:rPr>
      <w:rFonts w:asciiTheme="majorHAnsi" w:hAnsiTheme="majorHAnsi" w:eastAsiaTheme="majorEastAsia" w:cstheme="majorBidi"/>
      <w:sz w:val="21"/>
    </w:rPr>
  </w:style>
  <w:style w:type="character" w:default="1" w:styleId="43">
    <w:name w:val="Default Paragraph Font"/>
    <w:autoRedefine/>
    <w:semiHidden/>
    <w:unhideWhenUsed/>
    <w:qFormat/>
    <w:uiPriority w:val="1"/>
  </w:style>
  <w:style w:type="table" w:default="1" w:styleId="41">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ind w:left="1440"/>
      <w:jc w:val="left"/>
    </w:pPr>
    <w:rPr>
      <w:rFonts w:asciiTheme="minorHAnsi" w:hAnsiTheme="minorHAnsi" w:cstheme="minorHAnsi"/>
      <w:sz w:val="18"/>
      <w:szCs w:val="18"/>
    </w:rPr>
  </w:style>
  <w:style w:type="paragraph" w:styleId="12">
    <w:name w:val="Normal Indent"/>
    <w:basedOn w:val="1"/>
    <w:link w:val="315"/>
    <w:autoRedefine/>
    <w:qFormat/>
    <w:uiPriority w:val="0"/>
    <w:pPr>
      <w:ind w:firstLine="420"/>
    </w:pPr>
    <w:rPr>
      <w:rFonts w:ascii="Calibri" w:hAnsi="Calibri"/>
      <w:szCs w:val="22"/>
    </w:rPr>
  </w:style>
  <w:style w:type="paragraph" w:styleId="13">
    <w:name w:val="caption"/>
    <w:basedOn w:val="1"/>
    <w:next w:val="1"/>
    <w:link w:val="59"/>
    <w:autoRedefine/>
    <w:unhideWhenUsed/>
    <w:qFormat/>
    <w:uiPriority w:val="35"/>
    <w:pPr>
      <w:spacing w:line="480" w:lineRule="exact"/>
      <w:ind w:firstLine="0" w:firstLineChars="0"/>
      <w:jc w:val="center"/>
    </w:pPr>
    <w:rPr>
      <w:rFonts w:ascii="Times New Roman" w:hAnsi="Times New Roman" w:eastAsia="宋体" w:cstheme="majorBidi"/>
      <w:szCs w:val="20"/>
    </w:rPr>
  </w:style>
  <w:style w:type="paragraph" w:styleId="14">
    <w:name w:val="Document Map"/>
    <w:basedOn w:val="1"/>
    <w:link w:val="152"/>
    <w:autoRedefine/>
    <w:unhideWhenUsed/>
    <w:qFormat/>
    <w:uiPriority w:val="99"/>
    <w:rPr>
      <w:rFonts w:ascii="Microsoft YaHei UI" w:eastAsia="Microsoft YaHei UI"/>
      <w:sz w:val="18"/>
      <w:szCs w:val="18"/>
    </w:rPr>
  </w:style>
  <w:style w:type="paragraph" w:styleId="15">
    <w:name w:val="annotation text"/>
    <w:basedOn w:val="1"/>
    <w:link w:val="60"/>
    <w:autoRedefine/>
    <w:unhideWhenUsed/>
    <w:qFormat/>
    <w:uiPriority w:val="0"/>
    <w:pPr>
      <w:jc w:val="left"/>
    </w:pPr>
  </w:style>
  <w:style w:type="paragraph" w:styleId="16">
    <w:name w:val="Body Text 3"/>
    <w:basedOn w:val="1"/>
    <w:link w:val="203"/>
    <w:autoRedefine/>
    <w:qFormat/>
    <w:uiPriority w:val="0"/>
    <w:pPr>
      <w:adjustRightInd w:val="0"/>
      <w:snapToGrid w:val="0"/>
      <w:ind w:firstLine="663" w:firstLineChars="150"/>
      <w:jc w:val="left"/>
    </w:pPr>
    <w:rPr>
      <w:szCs w:val="24"/>
    </w:rPr>
  </w:style>
  <w:style w:type="paragraph" w:styleId="17">
    <w:name w:val="Body Text"/>
    <w:basedOn w:val="1"/>
    <w:link w:val="57"/>
    <w:autoRedefine/>
    <w:unhideWhenUsed/>
    <w:qFormat/>
    <w:uiPriority w:val="0"/>
    <w:pPr>
      <w:ind w:firstLine="560"/>
    </w:pPr>
    <w:rPr>
      <w:szCs w:val="24"/>
    </w:rPr>
  </w:style>
  <w:style w:type="paragraph" w:styleId="18">
    <w:name w:val="Body Text Indent"/>
    <w:basedOn w:val="1"/>
    <w:link w:val="328"/>
    <w:autoRedefine/>
    <w:unhideWhenUsed/>
    <w:qFormat/>
    <w:uiPriority w:val="0"/>
    <w:pPr>
      <w:adjustRightInd w:val="0"/>
      <w:snapToGrid w:val="0"/>
      <w:ind w:firstLine="560"/>
    </w:pPr>
    <w:rPr>
      <w:color w:val="000000"/>
      <w:sz w:val="28"/>
      <w:szCs w:val="24"/>
    </w:rPr>
  </w:style>
  <w:style w:type="paragraph" w:styleId="19">
    <w:name w:val="toc 5"/>
    <w:basedOn w:val="1"/>
    <w:next w:val="1"/>
    <w:autoRedefine/>
    <w:unhideWhenUsed/>
    <w:qFormat/>
    <w:uiPriority w:val="39"/>
    <w:pPr>
      <w:ind w:left="960"/>
      <w:jc w:val="left"/>
    </w:pPr>
    <w:rPr>
      <w:rFonts w:asciiTheme="minorHAnsi" w:hAnsiTheme="minorHAnsi" w:cstheme="minorHAnsi"/>
      <w:sz w:val="18"/>
      <w:szCs w:val="18"/>
    </w:rPr>
  </w:style>
  <w:style w:type="paragraph" w:styleId="20">
    <w:name w:val="toc 3"/>
    <w:basedOn w:val="1"/>
    <w:next w:val="1"/>
    <w:autoRedefine/>
    <w:unhideWhenUsed/>
    <w:qFormat/>
    <w:uiPriority w:val="39"/>
    <w:pPr>
      <w:ind w:left="480"/>
      <w:jc w:val="left"/>
    </w:pPr>
    <w:rPr>
      <w:rFonts w:asciiTheme="minorHAnsi" w:hAnsiTheme="minorHAnsi" w:cstheme="minorHAnsi"/>
      <w:i/>
      <w:iCs/>
      <w:sz w:val="20"/>
      <w:szCs w:val="20"/>
    </w:rPr>
  </w:style>
  <w:style w:type="paragraph" w:styleId="21">
    <w:name w:val="Plain Text"/>
    <w:basedOn w:val="1"/>
    <w:link w:val="204"/>
    <w:autoRedefine/>
    <w:qFormat/>
    <w:uiPriority w:val="0"/>
    <w:pPr>
      <w:spacing w:after="50" w:afterLines="50" w:line="240" w:lineRule="auto"/>
      <w:ind w:firstLine="0" w:firstLineChars="0"/>
      <w:jc w:val="left"/>
    </w:pPr>
    <w:rPr>
      <w:rFonts w:ascii="宋体" w:hAnsi="宋体" w:eastAsia="仿宋" w:cstheme="minorBidi"/>
      <w:szCs w:val="24"/>
    </w:rPr>
  </w:style>
  <w:style w:type="paragraph" w:styleId="22">
    <w:name w:val="toc 8"/>
    <w:basedOn w:val="1"/>
    <w:next w:val="1"/>
    <w:autoRedefine/>
    <w:unhideWhenUsed/>
    <w:qFormat/>
    <w:uiPriority w:val="39"/>
    <w:pPr>
      <w:ind w:left="1680"/>
      <w:jc w:val="left"/>
    </w:pPr>
    <w:rPr>
      <w:rFonts w:asciiTheme="minorHAnsi" w:hAnsiTheme="minorHAnsi" w:cstheme="minorHAnsi"/>
      <w:sz w:val="18"/>
      <w:szCs w:val="18"/>
    </w:rPr>
  </w:style>
  <w:style w:type="paragraph" w:styleId="23">
    <w:name w:val="Date"/>
    <w:basedOn w:val="1"/>
    <w:next w:val="1"/>
    <w:link w:val="153"/>
    <w:autoRedefine/>
    <w:qFormat/>
    <w:uiPriority w:val="0"/>
    <w:pPr>
      <w:spacing w:line="240" w:lineRule="auto"/>
      <w:ind w:left="100" w:leftChars="2500" w:firstLine="0" w:firstLineChars="0"/>
    </w:pPr>
    <w:rPr>
      <w:rFonts w:asciiTheme="minorHAnsi" w:hAnsiTheme="minorHAnsi" w:eastAsiaTheme="minorEastAsia" w:cstheme="minorBidi"/>
      <w:sz w:val="21"/>
    </w:rPr>
  </w:style>
  <w:style w:type="paragraph" w:styleId="24">
    <w:name w:val="Body Text Indent 2"/>
    <w:basedOn w:val="1"/>
    <w:link w:val="205"/>
    <w:autoRedefine/>
    <w:qFormat/>
    <w:uiPriority w:val="99"/>
    <w:pPr>
      <w:spacing w:after="50" w:afterLines="50" w:line="300" w:lineRule="auto"/>
      <w:ind w:firstLine="927" w:firstLineChars="331"/>
      <w:jc w:val="left"/>
    </w:pPr>
    <w:rPr>
      <w:rFonts w:ascii="仿宋_GB2312" w:hAnsi="宋体" w:eastAsia="仿宋_GB2312" w:cstheme="minorBidi"/>
      <w:sz w:val="28"/>
      <w:szCs w:val="24"/>
    </w:rPr>
  </w:style>
  <w:style w:type="paragraph" w:styleId="25">
    <w:name w:val="Balloon Text"/>
    <w:basedOn w:val="1"/>
    <w:link w:val="103"/>
    <w:autoRedefine/>
    <w:unhideWhenUsed/>
    <w:qFormat/>
    <w:uiPriority w:val="0"/>
    <w:pPr>
      <w:spacing w:line="240" w:lineRule="auto"/>
    </w:pPr>
    <w:rPr>
      <w:sz w:val="18"/>
      <w:szCs w:val="18"/>
    </w:rPr>
  </w:style>
  <w:style w:type="paragraph" w:styleId="26">
    <w:name w:val="footer"/>
    <w:basedOn w:val="1"/>
    <w:link w:val="61"/>
    <w:autoRedefine/>
    <w:unhideWhenUsed/>
    <w:qFormat/>
    <w:uiPriority w:val="99"/>
    <w:pPr>
      <w:tabs>
        <w:tab w:val="center" w:pos="4153"/>
        <w:tab w:val="right" w:pos="8306"/>
      </w:tabs>
      <w:snapToGrid w:val="0"/>
      <w:jc w:val="left"/>
    </w:pPr>
    <w:rPr>
      <w:sz w:val="21"/>
      <w:szCs w:val="18"/>
    </w:rPr>
  </w:style>
  <w:style w:type="paragraph" w:styleId="27">
    <w:name w:val="header"/>
    <w:basedOn w:val="1"/>
    <w:link w:val="62"/>
    <w:autoRedefine/>
    <w:unhideWhenUsed/>
    <w:qFormat/>
    <w:uiPriority w:val="99"/>
    <w:pPr>
      <w:pBdr>
        <w:bottom w:val="single" w:color="auto" w:sz="6" w:space="1"/>
      </w:pBdr>
      <w:tabs>
        <w:tab w:val="center" w:pos="4153"/>
        <w:tab w:val="right" w:pos="8306"/>
      </w:tabs>
      <w:snapToGrid w:val="0"/>
      <w:spacing w:line="240" w:lineRule="auto"/>
      <w:ind w:firstLine="0" w:firstLineChars="0"/>
      <w:jc w:val="center"/>
    </w:pPr>
    <w:rPr>
      <w:sz w:val="21"/>
      <w:szCs w:val="18"/>
    </w:rPr>
  </w:style>
  <w:style w:type="paragraph" w:styleId="28">
    <w:name w:val="toc 1"/>
    <w:basedOn w:val="1"/>
    <w:next w:val="1"/>
    <w:link w:val="233"/>
    <w:autoRedefine/>
    <w:unhideWhenUsed/>
    <w:qFormat/>
    <w:uiPriority w:val="39"/>
    <w:pPr>
      <w:ind w:firstLine="0" w:firstLineChars="0"/>
      <w:jc w:val="center"/>
    </w:pPr>
    <w:rPr>
      <w:rFonts w:cstheme="minorHAnsi"/>
      <w:bCs/>
      <w:caps/>
      <w:szCs w:val="20"/>
    </w:rPr>
  </w:style>
  <w:style w:type="paragraph" w:styleId="29">
    <w:name w:val="toc 4"/>
    <w:basedOn w:val="1"/>
    <w:next w:val="1"/>
    <w:autoRedefine/>
    <w:unhideWhenUsed/>
    <w:qFormat/>
    <w:uiPriority w:val="39"/>
    <w:pPr>
      <w:ind w:left="720"/>
      <w:jc w:val="left"/>
    </w:pPr>
    <w:rPr>
      <w:rFonts w:asciiTheme="minorHAnsi" w:hAnsiTheme="minorHAnsi" w:cstheme="minorHAnsi"/>
      <w:sz w:val="18"/>
      <w:szCs w:val="18"/>
    </w:rPr>
  </w:style>
  <w:style w:type="paragraph" w:styleId="30">
    <w:name w:val="Subtitle"/>
    <w:basedOn w:val="1"/>
    <w:next w:val="1"/>
    <w:link w:val="117"/>
    <w:autoRedefine/>
    <w:qFormat/>
    <w:uiPriority w:val="11"/>
    <w:pPr>
      <w:widowControl/>
      <w:spacing w:before="240" w:after="60" w:line="312" w:lineRule="auto"/>
      <w:jc w:val="center"/>
      <w:outlineLvl w:val="1"/>
    </w:pPr>
    <w:rPr>
      <w:rFonts w:asciiTheme="majorHAnsi" w:hAnsiTheme="majorHAnsi" w:cstheme="majorBidi"/>
      <w:b/>
      <w:bCs/>
      <w:kern w:val="28"/>
      <w:sz w:val="32"/>
      <w:szCs w:val="32"/>
    </w:rPr>
  </w:style>
  <w:style w:type="paragraph" w:styleId="31">
    <w:name w:val="toc 6"/>
    <w:basedOn w:val="1"/>
    <w:next w:val="1"/>
    <w:autoRedefine/>
    <w:unhideWhenUsed/>
    <w:qFormat/>
    <w:uiPriority w:val="39"/>
    <w:pPr>
      <w:ind w:left="1200"/>
      <w:jc w:val="left"/>
    </w:pPr>
    <w:rPr>
      <w:rFonts w:asciiTheme="minorHAnsi" w:hAnsiTheme="minorHAnsi" w:cstheme="minorHAnsi"/>
      <w:sz w:val="18"/>
      <w:szCs w:val="18"/>
    </w:rPr>
  </w:style>
  <w:style w:type="paragraph" w:styleId="32">
    <w:name w:val="Body Text Indent 3"/>
    <w:basedOn w:val="1"/>
    <w:link w:val="206"/>
    <w:autoRedefine/>
    <w:qFormat/>
    <w:uiPriority w:val="0"/>
    <w:pPr>
      <w:adjustRightInd w:val="0"/>
      <w:snapToGrid w:val="0"/>
      <w:spacing w:after="120"/>
      <w:ind w:left="420" w:leftChars="200" w:firstLine="883"/>
    </w:pPr>
    <w:rPr>
      <w:sz w:val="16"/>
      <w:szCs w:val="16"/>
    </w:rPr>
  </w:style>
  <w:style w:type="paragraph" w:styleId="33">
    <w:name w:val="toc 2"/>
    <w:basedOn w:val="1"/>
    <w:next w:val="1"/>
    <w:autoRedefine/>
    <w:unhideWhenUsed/>
    <w:qFormat/>
    <w:uiPriority w:val="39"/>
    <w:rPr>
      <w:rFonts w:cstheme="minorHAnsi"/>
      <w:smallCaps/>
      <w:szCs w:val="20"/>
    </w:rPr>
  </w:style>
  <w:style w:type="paragraph" w:styleId="34">
    <w:name w:val="toc 9"/>
    <w:basedOn w:val="1"/>
    <w:next w:val="1"/>
    <w:autoRedefine/>
    <w:unhideWhenUsed/>
    <w:qFormat/>
    <w:uiPriority w:val="39"/>
    <w:pPr>
      <w:ind w:left="1920"/>
      <w:jc w:val="left"/>
    </w:pPr>
    <w:rPr>
      <w:rFonts w:asciiTheme="minorHAnsi" w:hAnsiTheme="minorHAnsi" w:cstheme="minorHAnsi"/>
      <w:sz w:val="18"/>
      <w:szCs w:val="18"/>
    </w:rPr>
  </w:style>
  <w:style w:type="paragraph" w:styleId="35">
    <w:name w:val="Body Text 2"/>
    <w:basedOn w:val="1"/>
    <w:link w:val="63"/>
    <w:autoRedefine/>
    <w:unhideWhenUsed/>
    <w:qFormat/>
    <w:uiPriority w:val="0"/>
    <w:pPr>
      <w:jc w:val="center"/>
    </w:pPr>
  </w:style>
  <w:style w:type="paragraph" w:styleId="36">
    <w:name w:val="Normal (Web)"/>
    <w:basedOn w:val="1"/>
    <w:next w:val="17"/>
    <w:link w:val="134"/>
    <w:autoRedefine/>
    <w:qFormat/>
    <w:uiPriority w:val="99"/>
    <w:pPr>
      <w:widowControl/>
      <w:spacing w:before="100" w:beforeAutospacing="1" w:after="100" w:afterAutospacing="1" w:line="320" w:lineRule="atLeast"/>
      <w:jc w:val="left"/>
    </w:pPr>
    <w:rPr>
      <w:color w:val="000000"/>
      <w:kern w:val="0"/>
      <w:sz w:val="14"/>
      <w:szCs w:val="20"/>
    </w:rPr>
  </w:style>
  <w:style w:type="paragraph" w:styleId="37">
    <w:name w:val="Title"/>
    <w:basedOn w:val="1"/>
    <w:next w:val="1"/>
    <w:link w:val="207"/>
    <w:autoRedefine/>
    <w:qFormat/>
    <w:uiPriority w:val="10"/>
    <w:pPr>
      <w:spacing w:before="240" w:after="60"/>
      <w:ind w:firstLine="480"/>
      <w:jc w:val="center"/>
      <w:outlineLvl w:val="0"/>
    </w:pPr>
    <w:rPr>
      <w:rFonts w:asciiTheme="majorHAnsi" w:hAnsiTheme="majorHAnsi" w:eastAsiaTheme="majorEastAsia" w:cstheme="majorBidi"/>
      <w:b/>
      <w:bCs/>
      <w:color w:val="000000" w:themeColor="text1"/>
      <w:sz w:val="32"/>
      <w:szCs w:val="32"/>
      <w14:textFill>
        <w14:solidFill>
          <w14:schemeClr w14:val="tx1"/>
        </w14:solidFill>
      </w14:textFill>
    </w:rPr>
  </w:style>
  <w:style w:type="paragraph" w:styleId="38">
    <w:name w:val="annotation subject"/>
    <w:basedOn w:val="15"/>
    <w:next w:val="15"/>
    <w:link w:val="64"/>
    <w:autoRedefine/>
    <w:unhideWhenUsed/>
    <w:qFormat/>
    <w:uiPriority w:val="0"/>
    <w:rPr>
      <w:b/>
      <w:bCs/>
    </w:rPr>
  </w:style>
  <w:style w:type="paragraph" w:styleId="39">
    <w:name w:val="Body Text First Indent"/>
    <w:basedOn w:val="17"/>
    <w:link w:val="58"/>
    <w:autoRedefine/>
    <w:unhideWhenUsed/>
    <w:qFormat/>
    <w:uiPriority w:val="0"/>
    <w:pPr>
      <w:spacing w:before="154"/>
      <w:ind w:left="121" w:firstLine="420" w:firstLineChars="100"/>
    </w:pPr>
    <w:rPr>
      <w:rFonts w:hint="eastAsia" w:ascii="仿宋" w:hAnsi="仿宋" w:eastAsia="仿宋"/>
      <w:szCs w:val="21"/>
    </w:rPr>
  </w:style>
  <w:style w:type="paragraph" w:styleId="40">
    <w:name w:val="Body Text First Indent 2"/>
    <w:basedOn w:val="18"/>
    <w:link w:val="329"/>
    <w:autoRedefine/>
    <w:unhideWhenUsed/>
    <w:qFormat/>
    <w:uiPriority w:val="0"/>
    <w:pPr>
      <w:ind w:firstLine="420"/>
    </w:pPr>
    <w:rPr>
      <w:sz w:val="24"/>
    </w:rPr>
  </w:style>
  <w:style w:type="table" w:styleId="42">
    <w:name w:val="Table Grid"/>
    <w:basedOn w:val="41"/>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autoRedefine/>
    <w:qFormat/>
    <w:uiPriority w:val="0"/>
    <w:rPr>
      <w:b/>
    </w:rPr>
  </w:style>
  <w:style w:type="character" w:styleId="45">
    <w:name w:val="page number"/>
    <w:basedOn w:val="43"/>
    <w:autoRedefine/>
    <w:qFormat/>
    <w:uiPriority w:val="0"/>
  </w:style>
  <w:style w:type="character" w:styleId="46">
    <w:name w:val="FollowedHyperlink"/>
    <w:autoRedefine/>
    <w:qFormat/>
    <w:uiPriority w:val="99"/>
    <w:rPr>
      <w:color w:val="800080"/>
      <w:u w:val="single"/>
    </w:rPr>
  </w:style>
  <w:style w:type="character" w:styleId="47">
    <w:name w:val="Hyperlink"/>
    <w:basedOn w:val="43"/>
    <w:autoRedefine/>
    <w:unhideWhenUsed/>
    <w:qFormat/>
    <w:uiPriority w:val="99"/>
    <w:rPr>
      <w:color w:val="0000FF" w:themeColor="hyperlink"/>
      <w:u w:val="single"/>
      <w14:textFill>
        <w14:solidFill>
          <w14:schemeClr w14:val="hlink"/>
        </w14:solidFill>
      </w14:textFill>
    </w:rPr>
  </w:style>
  <w:style w:type="character" w:styleId="48">
    <w:name w:val="annotation reference"/>
    <w:basedOn w:val="43"/>
    <w:autoRedefine/>
    <w:unhideWhenUsed/>
    <w:qFormat/>
    <w:uiPriority w:val="0"/>
    <w:rPr>
      <w:sz w:val="21"/>
      <w:szCs w:val="21"/>
    </w:rPr>
  </w:style>
  <w:style w:type="paragraph" w:customStyle="1" w:styleId="49">
    <w:name w:val="表内文字"/>
    <w:basedOn w:val="1"/>
    <w:autoRedefine/>
    <w:qFormat/>
    <w:uiPriority w:val="0"/>
    <w:pPr>
      <w:spacing w:line="240" w:lineRule="auto"/>
      <w:ind w:firstLine="0" w:firstLineChars="0"/>
      <w:jc w:val="center"/>
    </w:pPr>
    <w:rPr>
      <w:sz w:val="21"/>
    </w:rPr>
  </w:style>
  <w:style w:type="character" w:customStyle="1" w:styleId="50">
    <w:name w:val="标题 1 字符"/>
    <w:basedOn w:val="43"/>
    <w:link w:val="2"/>
    <w:autoRedefine/>
    <w:qFormat/>
    <w:uiPriority w:val="9"/>
    <w:rPr>
      <w:rFonts w:ascii="宋体" w:hAnsi="宋体" w:eastAsia="宋体" w:cs="宋体"/>
      <w:color w:val="000000" w:themeColor="text1"/>
      <w:kern w:val="44"/>
      <w:sz w:val="24"/>
      <w:szCs w:val="22"/>
      <w14:textFill>
        <w14:solidFill>
          <w14:schemeClr w14:val="tx1"/>
        </w14:solidFill>
      </w14:textFill>
    </w:rPr>
  </w:style>
  <w:style w:type="character" w:customStyle="1" w:styleId="51">
    <w:name w:val="标题 2 字符"/>
    <w:basedOn w:val="43"/>
    <w:link w:val="3"/>
    <w:autoRedefine/>
    <w:qFormat/>
    <w:uiPriority w:val="9"/>
    <w:rPr>
      <w:rFonts w:eastAsia="宋体" w:cstheme="majorBidi"/>
      <w:bCs/>
      <w:kern w:val="2"/>
      <w:sz w:val="24"/>
      <w:szCs w:val="32"/>
    </w:rPr>
  </w:style>
  <w:style w:type="character" w:customStyle="1" w:styleId="52">
    <w:name w:val="标题 3 字符"/>
    <w:basedOn w:val="43"/>
    <w:link w:val="4"/>
    <w:autoRedefine/>
    <w:qFormat/>
    <w:uiPriority w:val="9"/>
    <w:rPr>
      <w:rFonts w:eastAsia="宋体"/>
      <w:b/>
      <w:bCs/>
      <w:kern w:val="2"/>
      <w:sz w:val="24"/>
      <w:szCs w:val="21"/>
    </w:rPr>
  </w:style>
  <w:style w:type="character" w:customStyle="1" w:styleId="53">
    <w:name w:val="标题 4 字符"/>
    <w:basedOn w:val="43"/>
    <w:link w:val="5"/>
    <w:autoRedefine/>
    <w:qFormat/>
    <w:uiPriority w:val="9"/>
    <w:rPr>
      <w:rFonts w:eastAsia="宋体"/>
      <w:bCs/>
      <w:kern w:val="2"/>
      <w:sz w:val="24"/>
      <w:szCs w:val="24"/>
    </w:rPr>
  </w:style>
  <w:style w:type="character" w:customStyle="1" w:styleId="54">
    <w:name w:val="标题 5 字符"/>
    <w:basedOn w:val="43"/>
    <w:link w:val="6"/>
    <w:autoRedefine/>
    <w:qFormat/>
    <w:uiPriority w:val="0"/>
    <w:rPr>
      <w:rFonts w:eastAsia="宋体"/>
      <w:bCs/>
      <w:kern w:val="2"/>
      <w:sz w:val="24"/>
      <w:szCs w:val="28"/>
    </w:rPr>
  </w:style>
  <w:style w:type="character" w:customStyle="1" w:styleId="55">
    <w:name w:val="标题 7 字符"/>
    <w:basedOn w:val="43"/>
    <w:link w:val="8"/>
    <w:autoRedefine/>
    <w:qFormat/>
    <w:uiPriority w:val="0"/>
    <w:rPr>
      <w:b/>
      <w:bCs/>
      <w:kern w:val="2"/>
      <w:sz w:val="24"/>
      <w:szCs w:val="24"/>
    </w:rPr>
  </w:style>
  <w:style w:type="character" w:customStyle="1" w:styleId="56">
    <w:name w:val="标题 8 字符"/>
    <w:basedOn w:val="43"/>
    <w:link w:val="9"/>
    <w:autoRedefine/>
    <w:qFormat/>
    <w:uiPriority w:val="0"/>
    <w:rPr>
      <w:rFonts w:asciiTheme="majorHAnsi" w:hAnsiTheme="majorHAnsi" w:eastAsiaTheme="majorEastAsia" w:cstheme="majorBidi"/>
      <w:kern w:val="2"/>
      <w:sz w:val="24"/>
      <w:szCs w:val="24"/>
    </w:rPr>
  </w:style>
  <w:style w:type="character" w:customStyle="1" w:styleId="57">
    <w:name w:val="正文文本 字符"/>
    <w:basedOn w:val="43"/>
    <w:link w:val="17"/>
    <w:autoRedefine/>
    <w:qFormat/>
    <w:uiPriority w:val="0"/>
    <w:rPr>
      <w:kern w:val="2"/>
      <w:sz w:val="24"/>
      <w:szCs w:val="24"/>
    </w:rPr>
  </w:style>
  <w:style w:type="character" w:customStyle="1" w:styleId="58">
    <w:name w:val="正文文本首行缩进 字符"/>
    <w:basedOn w:val="57"/>
    <w:link w:val="39"/>
    <w:autoRedefine/>
    <w:qFormat/>
    <w:uiPriority w:val="0"/>
    <w:rPr>
      <w:rFonts w:ascii="仿宋" w:hAnsi="仿宋" w:eastAsia="仿宋"/>
      <w:kern w:val="2"/>
      <w:sz w:val="24"/>
      <w:szCs w:val="21"/>
    </w:rPr>
  </w:style>
  <w:style w:type="character" w:customStyle="1" w:styleId="59">
    <w:name w:val="题注 字符"/>
    <w:basedOn w:val="43"/>
    <w:link w:val="13"/>
    <w:autoRedefine/>
    <w:qFormat/>
    <w:uiPriority w:val="35"/>
    <w:rPr>
      <w:rFonts w:ascii="Times New Roman" w:hAnsi="Times New Roman" w:eastAsia="宋体" w:cstheme="majorBidi"/>
      <w:kern w:val="2"/>
      <w:sz w:val="21"/>
    </w:rPr>
  </w:style>
  <w:style w:type="character" w:customStyle="1" w:styleId="60">
    <w:name w:val="批注文字 字符"/>
    <w:basedOn w:val="43"/>
    <w:link w:val="15"/>
    <w:autoRedefine/>
    <w:qFormat/>
    <w:uiPriority w:val="0"/>
    <w:rPr>
      <w:rFonts w:ascii="Times New Roman" w:hAnsi="Times New Roman" w:eastAsia="宋体" w:cs="Times New Roman"/>
      <w:kern w:val="2"/>
      <w:sz w:val="24"/>
      <w:szCs w:val="21"/>
    </w:rPr>
  </w:style>
  <w:style w:type="character" w:customStyle="1" w:styleId="61">
    <w:name w:val="页脚 字符"/>
    <w:basedOn w:val="43"/>
    <w:link w:val="26"/>
    <w:autoRedefine/>
    <w:qFormat/>
    <w:uiPriority w:val="99"/>
    <w:rPr>
      <w:kern w:val="2"/>
      <w:sz w:val="21"/>
      <w:szCs w:val="18"/>
    </w:rPr>
  </w:style>
  <w:style w:type="character" w:customStyle="1" w:styleId="62">
    <w:name w:val="页眉 字符"/>
    <w:basedOn w:val="43"/>
    <w:link w:val="27"/>
    <w:autoRedefine/>
    <w:qFormat/>
    <w:uiPriority w:val="99"/>
    <w:rPr>
      <w:kern w:val="2"/>
      <w:sz w:val="21"/>
      <w:szCs w:val="18"/>
    </w:rPr>
  </w:style>
  <w:style w:type="character" w:customStyle="1" w:styleId="63">
    <w:name w:val="正文文本 2 字符"/>
    <w:basedOn w:val="43"/>
    <w:link w:val="35"/>
    <w:autoRedefine/>
    <w:qFormat/>
    <w:uiPriority w:val="0"/>
    <w:rPr>
      <w:kern w:val="2"/>
      <w:sz w:val="24"/>
      <w:szCs w:val="21"/>
    </w:rPr>
  </w:style>
  <w:style w:type="character" w:customStyle="1" w:styleId="64">
    <w:name w:val="批注主题 字符"/>
    <w:basedOn w:val="60"/>
    <w:link w:val="38"/>
    <w:autoRedefine/>
    <w:qFormat/>
    <w:uiPriority w:val="0"/>
    <w:rPr>
      <w:rFonts w:ascii="Times New Roman" w:hAnsi="Times New Roman" w:eastAsia="宋体" w:cs="Times New Roman"/>
      <w:b/>
      <w:bCs/>
      <w:kern w:val="2"/>
      <w:sz w:val="24"/>
      <w:szCs w:val="21"/>
    </w:rPr>
  </w:style>
  <w:style w:type="paragraph" w:customStyle="1" w:styleId="65">
    <w:name w:val="封面标题"/>
    <w:basedOn w:val="1"/>
    <w:next w:val="1"/>
    <w:link w:val="228"/>
    <w:autoRedefine/>
    <w:qFormat/>
    <w:uiPriority w:val="0"/>
    <w:pPr>
      <w:ind w:firstLine="0" w:firstLineChars="0"/>
      <w:jc w:val="center"/>
    </w:pPr>
    <w:rPr>
      <w:rFonts w:eastAsia="黑体"/>
      <w:b/>
      <w:sz w:val="52"/>
    </w:rPr>
  </w:style>
  <w:style w:type="paragraph" w:styleId="66">
    <w:name w:val="List Paragraph"/>
    <w:basedOn w:val="1"/>
    <w:link w:val="67"/>
    <w:autoRedefine/>
    <w:qFormat/>
    <w:uiPriority w:val="34"/>
    <w:pPr>
      <w:numPr>
        <w:ilvl w:val="0"/>
        <w:numId w:val="2"/>
      </w:numPr>
      <w:ind w:left="0" w:firstLine="0" w:firstLineChars="0"/>
      <w:jc w:val="left"/>
    </w:pPr>
  </w:style>
  <w:style w:type="character" w:customStyle="1" w:styleId="67">
    <w:name w:val="列表段落 字符"/>
    <w:basedOn w:val="43"/>
    <w:link w:val="66"/>
    <w:autoRedefine/>
    <w:qFormat/>
    <w:uiPriority w:val="34"/>
    <w:rPr>
      <w:kern w:val="2"/>
      <w:sz w:val="24"/>
      <w:szCs w:val="21"/>
    </w:rPr>
  </w:style>
  <w:style w:type="table" w:customStyle="1" w:styleId="68">
    <w:name w:val="XX表格"/>
    <w:basedOn w:val="41"/>
    <w:autoRedefine/>
    <w:qFormat/>
    <w:uiPriority w:val="99"/>
    <w:rPr>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C6D9F0" w:themeFill="text2" w:themeFillTint="33"/>
      </w:tcPr>
    </w:tblStylePr>
    <w:tblStylePr w:type="firstCol">
      <w:rPr>
        <w:rFonts w:ascii="Times New Roman" w:hAnsi="Times New Roman" w:eastAsia="宋体"/>
        <w:b w:val="0"/>
        <w:i w:val="0"/>
        <w:sz w:val="21"/>
      </w:rPr>
    </w:tblStylePr>
  </w:style>
  <w:style w:type="paragraph" w:customStyle="1" w:styleId="69">
    <w:name w:val="表中字"/>
    <w:basedOn w:val="1"/>
    <w:link w:val="70"/>
    <w:autoRedefine/>
    <w:qFormat/>
    <w:uiPriority w:val="0"/>
    <w:pPr>
      <w:spacing w:line="240" w:lineRule="auto"/>
      <w:ind w:firstLine="0" w:firstLineChars="0"/>
      <w:jc w:val="center"/>
    </w:pPr>
    <w:rPr>
      <w:rFonts w:cs="宋体"/>
      <w:sz w:val="21"/>
      <w:szCs w:val="24"/>
    </w:rPr>
  </w:style>
  <w:style w:type="character" w:customStyle="1" w:styleId="70">
    <w:name w:val="表中字 字符"/>
    <w:link w:val="69"/>
    <w:autoRedefine/>
    <w:qFormat/>
    <w:uiPriority w:val="0"/>
    <w:rPr>
      <w:rFonts w:ascii="Times New Roman" w:hAnsi="Times New Roman" w:eastAsia="宋体" w:cs="宋体"/>
      <w:kern w:val="2"/>
      <w:sz w:val="21"/>
      <w:szCs w:val="24"/>
    </w:rPr>
  </w:style>
  <w:style w:type="table" w:customStyle="1" w:styleId="71">
    <w:name w:val="XX表格11"/>
    <w:basedOn w:val="41"/>
    <w:autoRedefine/>
    <w:qFormat/>
    <w:uiPriority w:val="99"/>
    <w:rPr>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ascii="Times New Roman" w:hAnsi="Times New Roman" w:eastAsia="宋体"/>
        <w:b/>
        <w:i w:val="0"/>
        <w:sz w:val="21"/>
      </w:rPr>
      <w:tblPr/>
      <w:trPr>
        <w:tblHeader/>
      </w:trPr>
      <w:tcPr>
        <w:shd w:val="clear" w:color="auto" w:fill="C6D9F1"/>
      </w:tcPr>
    </w:tblStylePr>
    <w:tblStylePr w:type="firstCol">
      <w:rPr>
        <w:rFonts w:ascii="Times New Roman" w:hAnsi="Times New Roman" w:eastAsia="宋体"/>
        <w:b w:val="0"/>
        <w:i w:val="0"/>
        <w:sz w:val="21"/>
      </w:rPr>
    </w:tblStylePr>
  </w:style>
  <w:style w:type="character" w:styleId="72">
    <w:name w:val="Placeholder Text"/>
    <w:basedOn w:val="43"/>
    <w:autoRedefine/>
    <w:semiHidden/>
    <w:qFormat/>
    <w:uiPriority w:val="99"/>
    <w:rPr>
      <w:color w:val="808080"/>
    </w:rPr>
  </w:style>
  <w:style w:type="table" w:customStyle="1" w:styleId="73">
    <w:name w:val="两色网格表1"/>
    <w:basedOn w:val="41"/>
    <w:autoRedefine/>
    <w:qFormat/>
    <w:uiPriority w:val="0"/>
    <w:pPr>
      <w:jc w:val="center"/>
    </w:pPr>
    <w:rPr>
      <w:kern w:val="2"/>
      <w:sz w:val="21"/>
      <w:szCs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b/>
      </w:rPr>
      <w:tblPr/>
      <w:trPr>
        <w:tblHeader/>
      </w:trPr>
      <w:tcPr>
        <w:shd w:val="clear" w:color="auto" w:fill="DBE5F1"/>
      </w:tcPr>
    </w:tblStylePr>
  </w:style>
  <w:style w:type="table" w:customStyle="1" w:styleId="74">
    <w:name w:val="标准样式"/>
    <w:basedOn w:val="41"/>
    <w:autoRedefine/>
    <w:qFormat/>
    <w:uiPriority w:val="99"/>
    <w:pPr>
      <w:jc w:val="center"/>
    </w:p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9D9D9"/>
      <w:vAlign w:val="center"/>
    </w:tcPr>
    <w:tblStylePr w:type="firstRow">
      <w:rPr>
        <w:rFonts w:eastAsia="宋体"/>
        <w:b/>
        <w:bCs/>
        <w:sz w:val="21"/>
      </w:rPr>
      <w:tcPr>
        <w:shd w:val="clear" w:color="auto" w:fill="B4C6E7"/>
      </w:tcPr>
    </w:tblStylePr>
    <w:tblStylePr w:type="firstCol">
      <w:rPr>
        <w:rFonts w:eastAsia="宋体"/>
        <w:b/>
        <w:bCs/>
        <w:sz w:val="21"/>
      </w:rPr>
      <w:tcPr>
        <w:shd w:val="clear" w:color="auto" w:fill="FBD4B4"/>
      </w:tcPr>
    </w:tblStylePr>
  </w:style>
  <w:style w:type="paragraph" w:customStyle="1" w:styleId="75">
    <w:name w:val="表左字1"/>
    <w:basedOn w:val="69"/>
    <w:autoRedefine/>
    <w:qFormat/>
    <w:uiPriority w:val="0"/>
    <w:pPr>
      <w:numPr>
        <w:ilvl w:val="0"/>
        <w:numId w:val="3"/>
      </w:numPr>
      <w:jc w:val="both"/>
    </w:pPr>
  </w:style>
  <w:style w:type="table" w:customStyle="1" w:styleId="76">
    <w:name w:val="Table Normal"/>
    <w:autoRedefine/>
    <w:unhideWhenUsed/>
    <w:qFormat/>
    <w:uiPriority w:val="0"/>
    <w:tblPr>
      <w:tblCellMar>
        <w:top w:w="0" w:type="dxa"/>
        <w:left w:w="0" w:type="dxa"/>
        <w:bottom w:w="0" w:type="dxa"/>
        <w:right w:w="0" w:type="dxa"/>
      </w:tblCellMar>
    </w:tblPr>
  </w:style>
  <w:style w:type="character" w:customStyle="1" w:styleId="77">
    <w:name w:val="未处理的提及1"/>
    <w:basedOn w:val="43"/>
    <w:autoRedefine/>
    <w:semiHidden/>
    <w:unhideWhenUsed/>
    <w:qFormat/>
    <w:uiPriority w:val="99"/>
    <w:rPr>
      <w:color w:val="605E5C"/>
      <w:shd w:val="clear" w:color="auto" w:fill="E1DFDD"/>
    </w:rPr>
  </w:style>
  <w:style w:type="paragraph" w:customStyle="1" w:styleId="78">
    <w:name w:val="表左字"/>
    <w:basedOn w:val="69"/>
    <w:link w:val="79"/>
    <w:autoRedefine/>
    <w:qFormat/>
    <w:uiPriority w:val="0"/>
    <w:pPr>
      <w:adjustRightInd w:val="0"/>
      <w:snapToGrid w:val="0"/>
      <w:jc w:val="left"/>
    </w:pPr>
    <w:rPr>
      <w:rFonts w:cstheme="minorBidi"/>
      <w:szCs w:val="21"/>
    </w:rPr>
  </w:style>
  <w:style w:type="character" w:customStyle="1" w:styleId="79">
    <w:name w:val="表左字 Char"/>
    <w:basedOn w:val="43"/>
    <w:link w:val="78"/>
    <w:autoRedefine/>
    <w:qFormat/>
    <w:uiPriority w:val="0"/>
    <w:rPr>
      <w:rFonts w:cstheme="minorBidi"/>
      <w:kern w:val="2"/>
      <w:sz w:val="21"/>
      <w:szCs w:val="21"/>
    </w:rPr>
  </w:style>
  <w:style w:type="table" w:customStyle="1" w:styleId="80">
    <w:name w:val="标准样式2"/>
    <w:basedOn w:val="41"/>
    <w:autoRedefine/>
    <w:qFormat/>
    <w:uiPriority w:val="99"/>
    <w:pPr>
      <w:jc w:val="both"/>
    </w:pPr>
    <w:rPr>
      <w:rFonts w:cstheme="minorBidi"/>
      <w:kern w:val="2"/>
    </w:r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E5DFEC" w:themeFill="accent4" w:themeFillTint="33"/>
      <w:vAlign w:val="center"/>
    </w:tcPr>
    <w:tblStylePr w:type="firstRow">
      <w:rPr>
        <w:b/>
      </w:rPr>
      <w:tcPr>
        <w:shd w:val="clear" w:color="auto" w:fill="B6DDE8" w:themeFill="accent5" w:themeFillTint="66"/>
      </w:tcPr>
    </w:tblStylePr>
    <w:tblStylePr w:type="firstCol">
      <w:tcPr>
        <w:shd w:val="clear" w:color="auto" w:fill="FBD4B4" w:themeFill="accent6" w:themeFillTint="66"/>
      </w:tcPr>
    </w:tblStylePr>
  </w:style>
  <w:style w:type="table" w:customStyle="1" w:styleId="81">
    <w:name w:val="57"/>
    <w:autoRedefine/>
    <w:qFormat/>
    <w:uiPriority w:val="0"/>
    <w:pPr>
      <w:widowControl w:val="0"/>
      <w:autoSpaceDE w:val="0"/>
      <w:autoSpaceDN w:val="0"/>
      <w:adjustRightInd w:val="0"/>
    </w:pPr>
    <w:rPr>
      <w:sz w:val="24"/>
      <w:szCs w:val="24"/>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top w:w="0" w:type="dxa"/>
        <w:left w:w="57" w:type="dxa"/>
        <w:bottom w:w="0" w:type="dxa"/>
        <w:right w:w="57" w:type="dxa"/>
      </w:tblCellMar>
    </w:tblPr>
    <w:trPr>
      <w:jc w:val="center"/>
    </w:trPr>
  </w:style>
  <w:style w:type="table" w:customStyle="1" w:styleId="82">
    <w:name w:val="标准样式311"/>
    <w:basedOn w:val="41"/>
    <w:autoRedefine/>
    <w:qFormat/>
    <w:uiPriority w:val="99"/>
    <w:pPr>
      <w:jc w:val="center"/>
    </w:p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9D9D9"/>
      <w:vAlign w:val="center"/>
    </w:tcPr>
    <w:tblStylePr w:type="firstRow">
      <w:rPr>
        <w:rFonts w:eastAsia="宋体"/>
        <w:b/>
        <w:sz w:val="21"/>
      </w:rPr>
      <w:tcPr>
        <w:shd w:val="clear" w:color="auto" w:fill="B4C6E7"/>
      </w:tcPr>
    </w:tblStylePr>
    <w:tblStylePr w:type="firstCol">
      <w:rPr>
        <w:rFonts w:eastAsia="宋体"/>
        <w:b/>
        <w:sz w:val="21"/>
      </w:rPr>
      <w:tcPr>
        <w:shd w:val="clear" w:color="auto" w:fill="FBD4B4"/>
      </w:tcPr>
    </w:tblStylePr>
  </w:style>
  <w:style w:type="table" w:customStyle="1" w:styleId="83">
    <w:name w:val="000"/>
    <w:basedOn w:val="41"/>
    <w:autoRedefine/>
    <w:qFormat/>
    <w:uiPriority w:val="99"/>
    <w:pPr>
      <w:jc w:val="center"/>
    </w:pPr>
    <w:rPr>
      <w:rFonts w:cstheme="minorBidi"/>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shd w:val="clear" w:color="auto" w:fill="FFFFFF" w:themeFill="background1"/>
      <w:vAlign w:val="center"/>
    </w:tcPr>
    <w:tblStylePr w:type="firstRow">
      <w:rPr>
        <w:rFonts w:eastAsia="宋体"/>
        <w:b/>
        <w:sz w:val="21"/>
      </w:rPr>
      <w:tcPr>
        <w:shd w:val="clear" w:color="auto" w:fill="C6D9F0" w:themeFill="text2" w:themeFillTint="33"/>
      </w:tcPr>
    </w:tblStylePr>
  </w:style>
  <w:style w:type="paragraph" w:customStyle="1" w:styleId="84">
    <w:name w:val="表左字△"/>
    <w:basedOn w:val="1"/>
    <w:autoRedefine/>
    <w:qFormat/>
    <w:uiPriority w:val="0"/>
    <w:pPr>
      <w:numPr>
        <w:ilvl w:val="0"/>
        <w:numId w:val="4"/>
      </w:numPr>
      <w:adjustRightInd w:val="0"/>
      <w:snapToGrid w:val="0"/>
      <w:spacing w:line="300" w:lineRule="auto"/>
      <w:ind w:firstLineChars="0"/>
      <w:jc w:val="left"/>
    </w:pPr>
    <w:rPr>
      <w:rFonts w:cstheme="minorBidi"/>
      <w:kern w:val="0"/>
      <w:sz w:val="21"/>
      <w:szCs w:val="20"/>
    </w:rPr>
  </w:style>
  <w:style w:type="table" w:customStyle="1" w:styleId="85">
    <w:name w:val="方案编制"/>
    <w:basedOn w:val="41"/>
    <w:autoRedefine/>
    <w:qFormat/>
    <w:uiPriority w:val="0"/>
    <w:pPr>
      <w:jc w:val="center"/>
    </w:pPr>
    <w:rPr>
      <w:rFonts w:ascii="Calibri" w:hAnsi="Calibri" w:cstheme="minorBidi"/>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eastAsia="宋体"/>
        <w:b/>
        <w:sz w:val="21"/>
      </w:rPr>
      <w:tcPr>
        <w:shd w:val="clear" w:color="auto" w:fill="FFFFFF" w:themeFill="background1"/>
      </w:tcPr>
    </w:tblStylePr>
  </w:style>
  <w:style w:type="paragraph" w:customStyle="1" w:styleId="86">
    <w:name w:val="表中字使用"/>
    <w:basedOn w:val="1"/>
    <w:autoRedefine/>
    <w:qFormat/>
    <w:uiPriority w:val="0"/>
    <w:pPr>
      <w:spacing w:line="240" w:lineRule="auto"/>
      <w:ind w:firstLine="0" w:firstLineChars="0"/>
      <w:jc w:val="center"/>
    </w:pPr>
    <w:rPr>
      <w:rFonts w:cs="宋体"/>
      <w:sz w:val="21"/>
      <w:szCs w:val="24"/>
    </w:rPr>
  </w:style>
  <w:style w:type="paragraph" w:customStyle="1" w:styleId="87">
    <w:name w:val="ZG-ZW"/>
    <w:basedOn w:val="1"/>
    <w:link w:val="88"/>
    <w:autoRedefine/>
    <w:qFormat/>
    <w:uiPriority w:val="0"/>
    <w:pPr>
      <w:ind w:firstLine="420"/>
    </w:pPr>
  </w:style>
  <w:style w:type="character" w:customStyle="1" w:styleId="88">
    <w:name w:val="ZG-ZW Char"/>
    <w:link w:val="87"/>
    <w:autoRedefine/>
    <w:qFormat/>
    <w:uiPriority w:val="0"/>
    <w:rPr>
      <w:kern w:val="2"/>
      <w:sz w:val="24"/>
      <w:szCs w:val="21"/>
    </w:rPr>
  </w:style>
  <w:style w:type="paragraph" w:customStyle="1" w:styleId="89">
    <w:name w:val="图表名"/>
    <w:basedOn w:val="1"/>
    <w:link w:val="90"/>
    <w:autoRedefine/>
    <w:qFormat/>
    <w:uiPriority w:val="0"/>
    <w:pPr>
      <w:spacing w:line="240" w:lineRule="auto"/>
      <w:ind w:firstLine="0" w:firstLineChars="0"/>
      <w:jc w:val="center"/>
    </w:pPr>
    <w:rPr>
      <w:rFonts w:cstheme="minorBidi"/>
      <w:b/>
      <w:szCs w:val="24"/>
    </w:rPr>
  </w:style>
  <w:style w:type="character" w:customStyle="1" w:styleId="90">
    <w:name w:val="图表名 Char"/>
    <w:link w:val="89"/>
    <w:autoRedefine/>
    <w:qFormat/>
    <w:uiPriority w:val="0"/>
    <w:rPr>
      <w:rFonts w:cstheme="minorBidi"/>
      <w:b/>
      <w:kern w:val="2"/>
      <w:sz w:val="24"/>
      <w:szCs w:val="24"/>
    </w:rPr>
  </w:style>
  <w:style w:type="paragraph" w:customStyle="1" w:styleId="91">
    <w:name w:val="图表字-居中"/>
    <w:basedOn w:val="1"/>
    <w:autoRedefine/>
    <w:qFormat/>
    <w:uiPriority w:val="0"/>
    <w:pPr>
      <w:spacing w:line="240" w:lineRule="auto"/>
      <w:ind w:firstLine="0" w:firstLineChars="0"/>
      <w:jc w:val="center"/>
    </w:pPr>
    <w:rPr>
      <w:rFonts w:cs="宋体"/>
      <w:sz w:val="21"/>
      <w:szCs w:val="24"/>
    </w:rPr>
  </w:style>
  <w:style w:type="character" w:customStyle="1" w:styleId="92">
    <w:name w:val="无间隔 字符"/>
    <w:link w:val="93"/>
    <w:autoRedefine/>
    <w:qFormat/>
    <w:uiPriority w:val="0"/>
    <w:rPr>
      <w:rFonts w:ascii="Arial" w:hAnsi="Arial" w:cs="Arial"/>
      <w:kern w:val="2"/>
      <w:sz w:val="18"/>
      <w:szCs w:val="18"/>
    </w:rPr>
  </w:style>
  <w:style w:type="paragraph" w:styleId="93">
    <w:name w:val="No Spacing"/>
    <w:basedOn w:val="1"/>
    <w:next w:val="1"/>
    <w:link w:val="92"/>
    <w:autoRedefine/>
    <w:qFormat/>
    <w:uiPriority w:val="0"/>
    <w:pPr>
      <w:spacing w:line="240" w:lineRule="auto"/>
      <w:ind w:firstLine="0" w:firstLineChars="0"/>
      <w:jc w:val="center"/>
      <w:textAlignment w:val="center"/>
    </w:pPr>
    <w:rPr>
      <w:rFonts w:ascii="Arial" w:hAnsi="Arial" w:cs="Arial"/>
      <w:sz w:val="18"/>
      <w:szCs w:val="18"/>
      <w:shd w:val="clear" w:color="auto" w:fill="FFFFFF"/>
    </w:rPr>
  </w:style>
  <w:style w:type="paragraph" w:customStyle="1" w:styleId="94">
    <w:name w:val="图表题注"/>
    <w:basedOn w:val="1"/>
    <w:next w:val="1"/>
    <w:link w:val="95"/>
    <w:autoRedefine/>
    <w:qFormat/>
    <w:uiPriority w:val="0"/>
    <w:pPr>
      <w:spacing w:line="240" w:lineRule="auto"/>
      <w:ind w:firstLine="0" w:firstLineChars="0"/>
      <w:jc w:val="center"/>
    </w:pPr>
    <w:rPr>
      <w:rFonts w:cstheme="minorBidi"/>
      <w:b/>
      <w:szCs w:val="24"/>
    </w:rPr>
  </w:style>
  <w:style w:type="character" w:customStyle="1" w:styleId="95">
    <w:name w:val="图表题注 Char"/>
    <w:link w:val="94"/>
    <w:autoRedefine/>
    <w:qFormat/>
    <w:uiPriority w:val="0"/>
    <w:rPr>
      <w:rFonts w:cstheme="minorBidi"/>
      <w:b/>
      <w:kern w:val="2"/>
      <w:sz w:val="24"/>
      <w:szCs w:val="24"/>
    </w:rPr>
  </w:style>
  <w:style w:type="paragraph" w:customStyle="1" w:styleId="96">
    <w:name w:val="k4级"/>
    <w:basedOn w:val="1"/>
    <w:next w:val="1"/>
    <w:autoRedefine/>
    <w:qFormat/>
    <w:uiPriority w:val="0"/>
    <w:pPr>
      <w:outlineLvl w:val="3"/>
    </w:pPr>
  </w:style>
  <w:style w:type="paragraph" w:customStyle="1" w:styleId="97">
    <w:name w:val="图表名称"/>
    <w:basedOn w:val="1"/>
    <w:link w:val="181"/>
    <w:autoRedefine/>
    <w:qFormat/>
    <w:uiPriority w:val="0"/>
    <w:pPr>
      <w:ind w:firstLine="0" w:firstLineChars="0"/>
      <w:jc w:val="center"/>
    </w:pPr>
    <w:rPr>
      <w:b/>
      <w:bCs/>
      <w:color w:val="000000" w:themeColor="text1"/>
      <w:sz w:val="21"/>
      <w14:textFill>
        <w14:solidFill>
          <w14:schemeClr w14:val="tx1"/>
        </w14:solidFill>
      </w14:textFill>
    </w:rPr>
  </w:style>
  <w:style w:type="paragraph" w:customStyle="1" w:styleId="98">
    <w:name w:val="表格文字"/>
    <w:basedOn w:val="1"/>
    <w:autoRedefine/>
    <w:qFormat/>
    <w:uiPriority w:val="0"/>
    <w:pPr>
      <w:spacing w:line="240" w:lineRule="auto"/>
      <w:ind w:firstLine="0" w:firstLineChars="0"/>
      <w:jc w:val="center"/>
    </w:pPr>
    <w:rPr>
      <w:rFonts w:hint="eastAsia"/>
      <w:sz w:val="21"/>
      <w:szCs w:val="18"/>
    </w:rPr>
  </w:style>
  <w:style w:type="paragraph" w:customStyle="1" w:styleId="99">
    <w:name w:val="图表标题1"/>
    <w:basedOn w:val="1"/>
    <w:autoRedefine/>
    <w:qFormat/>
    <w:uiPriority w:val="0"/>
    <w:pPr>
      <w:ind w:firstLine="0" w:firstLineChars="0"/>
      <w:jc w:val="center"/>
    </w:pPr>
    <w:rPr>
      <w:b/>
      <w:bCs/>
      <w:sz w:val="21"/>
    </w:rPr>
  </w:style>
  <w:style w:type="table" w:customStyle="1" w:styleId="100">
    <w:name w:val="样式3"/>
    <w:basedOn w:val="41"/>
    <w:autoRedefine/>
    <w:qFormat/>
    <w:uiPriority w:val="99"/>
    <w:rPr>
      <w:rFonts w:ascii="Calibri" w:hAnsi="Calibri" w:cs="Calibr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tcPr>
        <w:shd w:val="clear" w:color="auto" w:fill="D8D8D8" w:themeFill="background1" w:themeFillShade="D9"/>
      </w:tcPr>
    </w:tblStylePr>
  </w:style>
  <w:style w:type="character" w:customStyle="1" w:styleId="101">
    <w:name w:val="表内文字 Char"/>
    <w:autoRedefine/>
    <w:qFormat/>
    <w:uiPriority w:val="0"/>
    <w:rPr>
      <w:rFonts w:ascii="Times New Roman" w:hAnsi="Times New Roman" w:eastAsia="宋体" w:cs="Times New Roman"/>
      <w:color w:val="000000" w:themeColor="text1"/>
      <w:kern w:val="2"/>
      <w:sz w:val="21"/>
      <w:szCs w:val="21"/>
      <w14:textFill>
        <w14:solidFill>
          <w14:schemeClr w14:val="tx1"/>
        </w14:solidFill>
      </w14:textFill>
    </w:rPr>
  </w:style>
  <w:style w:type="character" w:customStyle="1" w:styleId="102">
    <w:name w:val="表中字 Char"/>
    <w:basedOn w:val="43"/>
    <w:autoRedefine/>
    <w:qFormat/>
    <w:uiPriority w:val="0"/>
    <w:rPr>
      <w:rFonts w:ascii="Times New Roman" w:hAnsi="Times New Roman" w:eastAsia="宋体"/>
    </w:rPr>
  </w:style>
  <w:style w:type="character" w:customStyle="1" w:styleId="103">
    <w:name w:val="批注框文本 字符"/>
    <w:basedOn w:val="43"/>
    <w:link w:val="25"/>
    <w:autoRedefine/>
    <w:qFormat/>
    <w:uiPriority w:val="0"/>
    <w:rPr>
      <w:kern w:val="2"/>
      <w:sz w:val="18"/>
      <w:szCs w:val="18"/>
    </w:rPr>
  </w:style>
  <w:style w:type="paragraph" w:customStyle="1" w:styleId="104">
    <w:name w:val="k 表中字"/>
    <w:basedOn w:val="1"/>
    <w:link w:val="105"/>
    <w:autoRedefine/>
    <w:qFormat/>
    <w:uiPriority w:val="0"/>
    <w:pPr>
      <w:widowControl/>
      <w:adjustRightInd w:val="0"/>
      <w:ind w:hanging="420" w:hangingChars="189"/>
      <w:jc w:val="center"/>
      <w:textAlignment w:val="baseline"/>
    </w:pPr>
    <w:rPr>
      <w:sz w:val="21"/>
      <w:szCs w:val="22"/>
    </w:rPr>
  </w:style>
  <w:style w:type="character" w:customStyle="1" w:styleId="105">
    <w:name w:val="k 表中字 Char Char"/>
    <w:basedOn w:val="43"/>
    <w:link w:val="104"/>
    <w:autoRedefine/>
    <w:qFormat/>
    <w:uiPriority w:val="0"/>
    <w:rPr>
      <w:kern w:val="2"/>
      <w:sz w:val="21"/>
      <w:szCs w:val="22"/>
    </w:rPr>
  </w:style>
  <w:style w:type="paragraph" w:customStyle="1" w:styleId="106">
    <w:name w:val="表格"/>
    <w:next w:val="1"/>
    <w:link w:val="107"/>
    <w:autoRedefine/>
    <w:qFormat/>
    <w:uiPriority w:val="0"/>
    <w:pPr>
      <w:jc w:val="center"/>
    </w:pPr>
    <w:rPr>
      <w:rFonts w:ascii="Times New Roman" w:hAnsi="Times New Roman" w:eastAsia="宋体" w:cs="Times New Roman"/>
      <w:kern w:val="2"/>
      <w:sz w:val="21"/>
      <w:szCs w:val="22"/>
      <w:lang w:val="en-US" w:eastAsia="zh-CN" w:bidi="ar-SA"/>
    </w:rPr>
  </w:style>
  <w:style w:type="character" w:customStyle="1" w:styleId="107">
    <w:name w:val="表格 Char"/>
    <w:link w:val="106"/>
    <w:autoRedefine/>
    <w:qFormat/>
    <w:uiPriority w:val="0"/>
    <w:rPr>
      <w:kern w:val="2"/>
      <w:sz w:val="21"/>
      <w:szCs w:val="22"/>
    </w:rPr>
  </w:style>
  <w:style w:type="paragraph" w:customStyle="1" w:styleId="108">
    <w:name w:val="官新图名"/>
    <w:basedOn w:val="1"/>
    <w:next w:val="1"/>
    <w:autoRedefine/>
    <w:qFormat/>
    <w:uiPriority w:val="0"/>
    <w:pPr>
      <w:spacing w:line="240" w:lineRule="auto"/>
      <w:ind w:firstLine="0" w:firstLineChars="0"/>
      <w:jc w:val="center"/>
    </w:pPr>
    <w:rPr>
      <w:rFonts w:hint="eastAsia"/>
      <w:b/>
      <w:bCs/>
      <w:sz w:val="21"/>
    </w:rPr>
  </w:style>
  <w:style w:type="paragraph" w:customStyle="1" w:styleId="109">
    <w:name w:val="官新表格"/>
    <w:next w:val="1"/>
    <w:autoRedefine/>
    <w:qFormat/>
    <w:uiPriority w:val="0"/>
    <w:pPr>
      <w:jc w:val="center"/>
    </w:pPr>
    <w:rPr>
      <w:rFonts w:ascii="Times New Roman" w:hAnsi="Times New Roman" w:eastAsia="宋体" w:cs="Times New Roman"/>
      <w:kern w:val="2"/>
      <w:sz w:val="21"/>
      <w:szCs w:val="22"/>
      <w:lang w:val="en-US" w:eastAsia="zh-CN" w:bidi="ar-SA"/>
    </w:rPr>
  </w:style>
  <w:style w:type="character" w:customStyle="1" w:styleId="110">
    <w:name w:val="标题 9 字符"/>
    <w:basedOn w:val="43"/>
    <w:link w:val="10"/>
    <w:autoRedefine/>
    <w:qFormat/>
    <w:uiPriority w:val="0"/>
    <w:rPr>
      <w:rFonts w:asciiTheme="majorHAnsi" w:hAnsiTheme="majorHAnsi" w:eastAsiaTheme="majorEastAsia" w:cstheme="majorBidi"/>
      <w:kern w:val="2"/>
      <w:sz w:val="21"/>
      <w:szCs w:val="21"/>
    </w:rPr>
  </w:style>
  <w:style w:type="paragraph" w:customStyle="1" w:styleId="111">
    <w:name w:val="列表段落1）"/>
    <w:basedOn w:val="66"/>
    <w:autoRedefine/>
    <w:qFormat/>
    <w:uiPriority w:val="0"/>
    <w:pPr>
      <w:widowControl/>
      <w:numPr>
        <w:ilvl w:val="0"/>
        <w:numId w:val="5"/>
      </w:numPr>
      <w:adjustRightInd w:val="0"/>
      <w:snapToGrid w:val="0"/>
      <w:ind w:left="0" w:firstLine="300" w:firstLineChars="300"/>
    </w:pPr>
    <w:rPr>
      <w:rFonts w:cs="宋体"/>
      <w:kern w:val="0"/>
      <w:szCs w:val="24"/>
    </w:rPr>
  </w:style>
  <w:style w:type="table" w:customStyle="1" w:styleId="112">
    <w:name w:val="网格表 7 彩色 - 着色 61"/>
    <w:basedOn w:val="41"/>
    <w:autoRedefine/>
    <w:qFormat/>
    <w:uiPriority w:val="52"/>
    <w:rPr>
      <w:rFonts w:asciiTheme="minorHAnsi" w:hAnsiTheme="minorHAnsi" w:eastAsiaTheme="minorEastAsia" w:cstheme="minorBidi"/>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DE9D9" w:themeFill="accent6" w:themeFillTint="33"/>
      </w:tcPr>
    </w:tblStylePr>
    <w:tblStylePr w:type="band1Horz">
      <w:tcPr>
        <w:shd w:val="clear" w:color="auto" w:fill="FDE9D9" w:themeFill="accent6" w:themeFillTint="33"/>
      </w:tcPr>
    </w:tblStylePr>
    <w:tblStylePr w:type="neCell">
      <w:tcPr>
        <w:tcBorders>
          <w:bottom w:val="single" w:color="FABF8F" w:themeColor="accent6" w:themeTint="99" w:sz="4" w:space="0"/>
        </w:tcBorders>
      </w:tcPr>
    </w:tblStylePr>
    <w:tblStylePr w:type="nwCell">
      <w:tcPr>
        <w:tcBorders>
          <w:bottom w:val="single" w:color="FABF8F" w:themeColor="accent6" w:themeTint="99" w:sz="4" w:space="0"/>
        </w:tcBorders>
      </w:tcPr>
    </w:tblStylePr>
    <w:tblStylePr w:type="seCell">
      <w:tcPr>
        <w:tcBorders>
          <w:top w:val="single" w:color="FABF8F" w:themeColor="accent6" w:themeTint="99" w:sz="4" w:space="0"/>
        </w:tcBorders>
      </w:tcPr>
    </w:tblStylePr>
    <w:tblStylePr w:type="swCell">
      <w:tcPr>
        <w:tcBorders>
          <w:top w:val="single" w:color="FABF8F" w:themeColor="accent6" w:themeTint="99" w:sz="4" w:space="0"/>
        </w:tcBorders>
      </w:tcPr>
    </w:tblStylePr>
  </w:style>
  <w:style w:type="paragraph" w:customStyle="1" w:styleId="113">
    <w:name w:val="表左字段落标识"/>
    <w:basedOn w:val="1"/>
    <w:link w:val="114"/>
    <w:autoRedefine/>
    <w:qFormat/>
    <w:uiPriority w:val="0"/>
    <w:pPr>
      <w:numPr>
        <w:ilvl w:val="0"/>
        <w:numId w:val="6"/>
      </w:numPr>
      <w:spacing w:line="240" w:lineRule="auto"/>
      <w:ind w:left="0" w:firstLine="200"/>
      <w:jc w:val="left"/>
    </w:pPr>
    <w:rPr>
      <w:rFonts w:cstheme="minorBidi"/>
      <w:sz w:val="21"/>
    </w:rPr>
  </w:style>
  <w:style w:type="character" w:customStyle="1" w:styleId="114">
    <w:name w:val="表左字段落标识 字符"/>
    <w:basedOn w:val="67"/>
    <w:link w:val="113"/>
    <w:autoRedefine/>
    <w:qFormat/>
    <w:uiPriority w:val="0"/>
    <w:rPr>
      <w:rFonts w:cstheme="minorBidi"/>
      <w:kern w:val="2"/>
      <w:sz w:val="21"/>
      <w:szCs w:val="21"/>
    </w:rPr>
  </w:style>
  <w:style w:type="paragraph" w:customStyle="1" w:styleId="115">
    <w:name w:val="表左字缩进"/>
    <w:basedOn w:val="1"/>
    <w:link w:val="116"/>
    <w:autoRedefine/>
    <w:qFormat/>
    <w:uiPriority w:val="0"/>
    <w:pPr>
      <w:widowControl/>
      <w:adjustRightInd w:val="0"/>
      <w:snapToGrid w:val="0"/>
      <w:spacing w:line="240" w:lineRule="auto"/>
      <w:ind w:firstLine="0" w:firstLineChars="0"/>
    </w:pPr>
    <w:rPr>
      <w:rFonts w:cs="宋体"/>
      <w:kern w:val="0"/>
      <w:sz w:val="21"/>
      <w:szCs w:val="24"/>
    </w:rPr>
  </w:style>
  <w:style w:type="character" w:customStyle="1" w:styleId="116">
    <w:name w:val="表左字缩进 字符"/>
    <w:basedOn w:val="43"/>
    <w:link w:val="115"/>
    <w:autoRedefine/>
    <w:qFormat/>
    <w:uiPriority w:val="0"/>
    <w:rPr>
      <w:rFonts w:cs="宋体"/>
      <w:sz w:val="21"/>
      <w:szCs w:val="24"/>
    </w:rPr>
  </w:style>
  <w:style w:type="character" w:customStyle="1" w:styleId="117">
    <w:name w:val="副标题 字符"/>
    <w:basedOn w:val="43"/>
    <w:link w:val="30"/>
    <w:autoRedefine/>
    <w:qFormat/>
    <w:uiPriority w:val="11"/>
    <w:rPr>
      <w:rFonts w:asciiTheme="majorHAnsi" w:hAnsiTheme="majorHAnsi" w:cstheme="majorBidi"/>
      <w:b/>
      <w:bCs/>
      <w:kern w:val="28"/>
      <w:sz w:val="32"/>
      <w:szCs w:val="32"/>
    </w:rPr>
  </w:style>
  <w:style w:type="paragraph" w:customStyle="1" w:styleId="118">
    <w:name w:val="XX正文"/>
    <w:basedOn w:val="1"/>
    <w:link w:val="119"/>
    <w:autoRedefine/>
    <w:qFormat/>
    <w:uiPriority w:val="0"/>
    <w:pPr>
      <w:widowControl/>
    </w:pPr>
    <w:rPr>
      <w:rFonts w:cs="宋体"/>
      <w:kern w:val="0"/>
      <w:szCs w:val="24"/>
    </w:rPr>
  </w:style>
  <w:style w:type="character" w:customStyle="1" w:styleId="119">
    <w:name w:val="XX正文 字符"/>
    <w:link w:val="118"/>
    <w:autoRedefine/>
    <w:qFormat/>
    <w:uiPriority w:val="0"/>
    <w:rPr>
      <w:rFonts w:cs="宋体"/>
      <w:sz w:val="24"/>
      <w:szCs w:val="24"/>
    </w:rPr>
  </w:style>
  <w:style w:type="character" w:customStyle="1" w:styleId="120">
    <w:name w:val="标题 6 字符"/>
    <w:basedOn w:val="43"/>
    <w:link w:val="7"/>
    <w:autoRedefine/>
    <w:qFormat/>
    <w:uiPriority w:val="0"/>
    <w:rPr>
      <w:b/>
      <w:kern w:val="2"/>
      <w:sz w:val="24"/>
      <w:szCs w:val="21"/>
    </w:rPr>
  </w:style>
  <w:style w:type="table" w:customStyle="1" w:styleId="121">
    <w:name w:val="W"/>
    <w:basedOn w:val="41"/>
    <w:autoRedefine/>
    <w:qFormat/>
    <w:uiPriority w:val="99"/>
    <w:pPr>
      <w:adjustRightInd w:val="0"/>
      <w:snapToGrid w:val="0"/>
      <w:jc w:val="center"/>
    </w:pPr>
    <w:rPr>
      <w:rFonts w:cstheme="minorBidi"/>
      <w:sz w:val="21"/>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tblStylePr w:type="firstRow">
      <w:rPr>
        <w:rFonts w:ascii="Times New Roman" w:hAnsi="Times New Roman" w:eastAsia="宋体"/>
        <w:b/>
        <w:i w:val="0"/>
        <w:sz w:val="21"/>
      </w:rPr>
      <w:tcPr>
        <w:shd w:val="clear" w:color="auto" w:fill="C6D9F0" w:themeFill="text2" w:themeFillTint="33"/>
      </w:tcPr>
    </w:tblStylePr>
  </w:style>
  <w:style w:type="paragraph" w:customStyle="1" w:styleId="122">
    <w:name w:val="修订1"/>
    <w:autoRedefine/>
    <w:hidden/>
    <w:qFormat/>
    <w:uiPriority w:val="99"/>
    <w:rPr>
      <w:rFonts w:ascii="Times New Roman" w:hAnsi="Times New Roman" w:eastAsia="宋体" w:cs="宋体"/>
      <w:sz w:val="24"/>
      <w:szCs w:val="24"/>
      <w:lang w:val="en-US" w:eastAsia="zh-CN" w:bidi="ar-SA"/>
    </w:rPr>
  </w:style>
  <w:style w:type="table" w:customStyle="1" w:styleId="123">
    <w:name w:val="网格表 1 浅色1"/>
    <w:basedOn w:val="41"/>
    <w:autoRedefine/>
    <w:qFormat/>
    <w:uiPriority w:val="46"/>
    <w:rPr>
      <w:rFonts w:asciiTheme="minorHAnsi" w:hAnsiTheme="minorHAnsi" w:eastAsiaTheme="minorEastAsia" w:cstheme="minorBidi"/>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24">
    <w:name w:val="两色网格表"/>
    <w:basedOn w:val="41"/>
    <w:autoRedefine/>
    <w:qFormat/>
    <w:uiPriority w:val="0"/>
    <w:pPr>
      <w:jc w:val="center"/>
    </w:pPr>
    <w:rPr>
      <w:rFonts w:cstheme="minorBidi"/>
      <w:kern w:val="2"/>
      <w:sz w:val="21"/>
      <w:szCs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b/>
      </w:rPr>
      <w:tcPr>
        <w:shd w:val="clear" w:color="auto" w:fill="C6D9F0" w:themeFill="text2" w:themeFillTint="33"/>
      </w:tcPr>
    </w:tblStylePr>
  </w:style>
  <w:style w:type="table" w:customStyle="1" w:styleId="125">
    <w:name w:val="方案编制标准"/>
    <w:basedOn w:val="41"/>
    <w:autoRedefine/>
    <w:qFormat/>
    <w:uiPriority w:val="99"/>
    <w:rPr>
      <w:rFonts w:cstheme="minorBidi"/>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shd w:val="clear" w:color="auto" w:fill="auto"/>
      <w:vAlign w:val="center"/>
    </w:tcPr>
    <w:tblStylePr w:type="firstRow">
      <w:pPr>
        <w:jc w:val="center"/>
      </w:pPr>
      <w:rPr>
        <w:rFonts w:ascii="Times New Roman" w:hAnsi="Times New Roman" w:eastAsia="宋体"/>
        <w:b/>
        <w:i w:val="0"/>
        <w:sz w:val="18"/>
      </w:rPr>
      <w:tcPr>
        <w:shd w:val="clear" w:color="auto" w:fill="FFFFFF" w:themeFill="background1"/>
      </w:tcPr>
    </w:tblStylePr>
  </w:style>
  <w:style w:type="table" w:customStyle="1" w:styleId="126">
    <w:name w:val="样式1"/>
    <w:basedOn w:val="41"/>
    <w:autoRedefine/>
    <w:qFormat/>
    <w:uiPriority w:val="99"/>
    <w:rPr>
      <w:rFonts w:asciiTheme="minorHAnsi" w:hAnsiTheme="minorHAnsi"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shd w:val="clear" w:color="auto" w:fill="auto"/>
    </w:tcPr>
  </w:style>
  <w:style w:type="paragraph" w:customStyle="1" w:styleId="127">
    <w:name w:val="图名称"/>
    <w:basedOn w:val="1"/>
    <w:link w:val="128"/>
    <w:autoRedefine/>
    <w:qFormat/>
    <w:uiPriority w:val="0"/>
    <w:pPr>
      <w:spacing w:line="240" w:lineRule="auto"/>
      <w:ind w:firstLine="0" w:firstLineChars="0"/>
      <w:jc w:val="center"/>
    </w:pPr>
    <w:rPr>
      <w:b/>
      <w:sz w:val="21"/>
    </w:rPr>
  </w:style>
  <w:style w:type="character" w:customStyle="1" w:styleId="128">
    <w:name w:val="图名称 字符"/>
    <w:basedOn w:val="43"/>
    <w:link w:val="127"/>
    <w:autoRedefine/>
    <w:qFormat/>
    <w:uiPriority w:val="0"/>
    <w:rPr>
      <w:b/>
      <w:kern w:val="2"/>
      <w:sz w:val="21"/>
      <w:szCs w:val="21"/>
    </w:rPr>
  </w:style>
  <w:style w:type="paragraph" w:customStyle="1" w:styleId="129">
    <w:name w:val="缩进2"/>
    <w:basedOn w:val="1"/>
    <w:link w:val="130"/>
    <w:autoRedefine/>
    <w:qFormat/>
    <w:uiPriority w:val="0"/>
    <w:rPr>
      <w:rFonts w:cstheme="minorBidi"/>
      <w:szCs w:val="22"/>
    </w:rPr>
  </w:style>
  <w:style w:type="character" w:customStyle="1" w:styleId="130">
    <w:name w:val="缩进2 字符"/>
    <w:basedOn w:val="43"/>
    <w:link w:val="129"/>
    <w:autoRedefine/>
    <w:qFormat/>
    <w:uiPriority w:val="0"/>
    <w:rPr>
      <w:rFonts w:cstheme="minorBidi"/>
      <w:kern w:val="2"/>
      <w:sz w:val="24"/>
      <w:szCs w:val="22"/>
    </w:rPr>
  </w:style>
  <w:style w:type="paragraph" w:customStyle="1" w:styleId="131">
    <w:name w:val="缩进1.5"/>
    <w:basedOn w:val="1"/>
    <w:next w:val="1"/>
    <w:link w:val="132"/>
    <w:autoRedefine/>
    <w:qFormat/>
    <w:uiPriority w:val="0"/>
    <w:pPr>
      <w:ind w:firstLine="150" w:firstLineChars="150"/>
    </w:pPr>
    <w:rPr>
      <w:rFonts w:cstheme="minorBidi"/>
      <w:szCs w:val="22"/>
    </w:rPr>
  </w:style>
  <w:style w:type="character" w:customStyle="1" w:styleId="132">
    <w:name w:val="缩进1.5 字符"/>
    <w:basedOn w:val="43"/>
    <w:link w:val="131"/>
    <w:autoRedefine/>
    <w:qFormat/>
    <w:uiPriority w:val="0"/>
    <w:rPr>
      <w:rFonts w:cstheme="minorBidi"/>
      <w:kern w:val="2"/>
      <w:sz w:val="24"/>
      <w:szCs w:val="22"/>
    </w:rPr>
  </w:style>
  <w:style w:type="paragraph" w:customStyle="1" w:styleId="133">
    <w:name w:val="XX图表字-居中"/>
    <w:basedOn w:val="1"/>
    <w:autoRedefine/>
    <w:qFormat/>
    <w:uiPriority w:val="0"/>
    <w:pPr>
      <w:spacing w:line="240" w:lineRule="auto"/>
      <w:ind w:firstLine="0" w:firstLineChars="0"/>
      <w:jc w:val="center"/>
    </w:pPr>
    <w:rPr>
      <w:rFonts w:cs="宋体"/>
      <w:sz w:val="21"/>
      <w:szCs w:val="24"/>
    </w:rPr>
  </w:style>
  <w:style w:type="character" w:customStyle="1" w:styleId="134">
    <w:name w:val="普通(网站) 字符"/>
    <w:link w:val="36"/>
    <w:autoRedefine/>
    <w:qFormat/>
    <w:locked/>
    <w:uiPriority w:val="99"/>
    <w:rPr>
      <w:color w:val="000000"/>
      <w:sz w:val="14"/>
    </w:rPr>
  </w:style>
  <w:style w:type="paragraph" w:customStyle="1" w:styleId="135">
    <w:name w:val="表头"/>
    <w:next w:val="106"/>
    <w:link w:val="136"/>
    <w:autoRedefine/>
    <w:qFormat/>
    <w:uiPriority w:val="1"/>
    <w:pPr>
      <w:keepNext/>
      <w:spacing w:line="360" w:lineRule="auto"/>
      <w:jc w:val="center"/>
    </w:pPr>
    <w:rPr>
      <w:rFonts w:ascii="Times New Roman" w:hAnsi="Times New Roman" w:eastAsia="宋体" w:cstheme="minorBidi"/>
      <w:b/>
      <w:kern w:val="2"/>
      <w:sz w:val="21"/>
      <w:szCs w:val="22"/>
      <w:lang w:val="en-US" w:eastAsia="zh-CN" w:bidi="ar-SA"/>
    </w:rPr>
  </w:style>
  <w:style w:type="character" w:customStyle="1" w:styleId="136">
    <w:name w:val="表头 Char"/>
    <w:basedOn w:val="43"/>
    <w:link w:val="135"/>
    <w:autoRedefine/>
    <w:qFormat/>
    <w:uiPriority w:val="1"/>
    <w:rPr>
      <w:rFonts w:cstheme="minorBidi"/>
      <w:b/>
      <w:kern w:val="2"/>
      <w:sz w:val="21"/>
      <w:szCs w:val="22"/>
    </w:rPr>
  </w:style>
  <w:style w:type="table" w:customStyle="1" w:styleId="137">
    <w:name w:val="两色网格表2"/>
    <w:basedOn w:val="41"/>
    <w:autoRedefine/>
    <w:qFormat/>
    <w:uiPriority w:val="99"/>
    <w:pPr>
      <w:jc w:val="center"/>
    </w:pPr>
    <w:rPr>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b/>
      </w:rPr>
      <w:tcPr>
        <w:shd w:val="clear" w:color="auto" w:fill="FFFFFF"/>
      </w:tcPr>
    </w:tblStylePr>
  </w:style>
  <w:style w:type="paragraph" w:customStyle="1" w:styleId="138">
    <w:name w:val="列表段落）"/>
    <w:basedOn w:val="1"/>
    <w:autoRedefine/>
    <w:qFormat/>
    <w:uiPriority w:val="0"/>
    <w:pPr>
      <w:numPr>
        <w:ilvl w:val="0"/>
        <w:numId w:val="7"/>
      </w:numPr>
      <w:ind w:left="0" w:firstLine="200"/>
    </w:pPr>
  </w:style>
  <w:style w:type="paragraph" w:customStyle="1" w:styleId="139">
    <w:name w:val="说明"/>
    <w:basedOn w:val="1"/>
    <w:autoRedefine/>
    <w:semiHidden/>
    <w:qFormat/>
    <w:uiPriority w:val="1"/>
    <w:pPr>
      <w:jc w:val="left"/>
      <w:textAlignment w:val="center"/>
    </w:pPr>
    <w:rPr>
      <w:rFonts w:ascii="楷体_GB2312" w:hAnsi="Calibri" w:eastAsia="楷体_GB2312" w:cstheme="minorBidi"/>
      <w:kern w:val="0"/>
      <w:szCs w:val="24"/>
    </w:rPr>
  </w:style>
  <w:style w:type="paragraph" w:customStyle="1" w:styleId="140">
    <w:name w:val="K正文"/>
    <w:basedOn w:val="1"/>
    <w:link w:val="141"/>
    <w:autoRedefine/>
    <w:qFormat/>
    <w:uiPriority w:val="0"/>
    <w:pPr>
      <w:ind w:firstLine="480"/>
    </w:pPr>
    <w:rPr>
      <w:rFonts w:cs="宋体"/>
      <w:szCs w:val="24"/>
    </w:rPr>
  </w:style>
  <w:style w:type="character" w:customStyle="1" w:styleId="141">
    <w:name w:val="K正文 Char"/>
    <w:link w:val="140"/>
    <w:autoRedefine/>
    <w:qFormat/>
    <w:uiPriority w:val="0"/>
    <w:rPr>
      <w:rFonts w:cs="宋体"/>
      <w:kern w:val="2"/>
      <w:sz w:val="24"/>
      <w:szCs w:val="24"/>
    </w:rPr>
  </w:style>
  <w:style w:type="paragraph" w:customStyle="1" w:styleId="142">
    <w:name w:val="表不缩进"/>
    <w:basedOn w:val="1"/>
    <w:autoRedefine/>
    <w:qFormat/>
    <w:uiPriority w:val="0"/>
    <w:pPr>
      <w:widowControl/>
      <w:spacing w:line="240" w:lineRule="auto"/>
      <w:ind w:firstLine="0" w:firstLineChars="0"/>
      <w:jc w:val="left"/>
    </w:pPr>
    <w:rPr>
      <w:rFonts w:cs="宋体"/>
      <w:sz w:val="21"/>
      <w:szCs w:val="24"/>
    </w:rPr>
  </w:style>
  <w:style w:type="paragraph" w:customStyle="1" w:styleId="143">
    <w:name w:val="表格居中"/>
    <w:basedOn w:val="97"/>
    <w:link w:val="144"/>
    <w:autoRedefine/>
    <w:qFormat/>
    <w:uiPriority w:val="0"/>
    <w:pPr>
      <w:spacing w:line="240" w:lineRule="auto"/>
    </w:pPr>
    <w:rPr>
      <w:b w:val="0"/>
      <w:bCs w:val="0"/>
    </w:rPr>
  </w:style>
  <w:style w:type="character" w:customStyle="1" w:styleId="144">
    <w:name w:val="表格居中 Char"/>
    <w:link w:val="143"/>
    <w:autoRedefine/>
    <w:qFormat/>
    <w:uiPriority w:val="0"/>
    <w:rPr>
      <w:color w:val="000000" w:themeColor="text1"/>
      <w:kern w:val="2"/>
      <w:sz w:val="21"/>
      <w:szCs w:val="21"/>
      <w14:textFill>
        <w14:solidFill>
          <w14:schemeClr w14:val="tx1"/>
        </w14:solidFill>
      </w14:textFill>
    </w:rPr>
  </w:style>
  <w:style w:type="paragraph" w:customStyle="1" w:styleId="145">
    <w:name w:val="缩进-左表字"/>
    <w:basedOn w:val="115"/>
    <w:autoRedefine/>
    <w:qFormat/>
    <w:uiPriority w:val="0"/>
    <w:pPr>
      <w:ind w:firstLine="200" w:firstLineChars="200"/>
      <w:jc w:val="left"/>
    </w:pPr>
  </w:style>
  <w:style w:type="character" w:customStyle="1" w:styleId="146">
    <w:name w:val="表格正文 Char"/>
    <w:link w:val="147"/>
    <w:autoRedefine/>
    <w:qFormat/>
    <w:uiPriority w:val="0"/>
    <w:rPr>
      <w:rFonts w:ascii="宋体" w:hAnsi="宋体" w:eastAsia="仿宋_GB2312"/>
      <w:color w:val="0000FF"/>
      <w:sz w:val="24"/>
      <w:szCs w:val="24"/>
    </w:rPr>
  </w:style>
  <w:style w:type="paragraph" w:customStyle="1" w:styleId="147">
    <w:name w:val="表格正文"/>
    <w:basedOn w:val="1"/>
    <w:link w:val="146"/>
    <w:autoRedefine/>
    <w:qFormat/>
    <w:uiPriority w:val="0"/>
    <w:pPr>
      <w:ind w:firstLine="0" w:firstLineChars="0"/>
      <w:jc w:val="center"/>
    </w:pPr>
    <w:rPr>
      <w:rFonts w:ascii="宋体" w:hAnsi="宋体" w:eastAsia="仿宋_GB2312"/>
      <w:color w:val="0000FF"/>
      <w:kern w:val="0"/>
      <w:szCs w:val="24"/>
    </w:rPr>
  </w:style>
  <w:style w:type="character" w:customStyle="1" w:styleId="148">
    <w:name w:val="Char Char5"/>
    <w:autoRedefine/>
    <w:semiHidden/>
    <w:qFormat/>
    <w:uiPriority w:val="0"/>
    <w:rPr>
      <w:rFonts w:eastAsia="Verdana"/>
      <w:kern w:val="2"/>
      <w:sz w:val="18"/>
      <w:szCs w:val="18"/>
      <w:lang w:val="en-US" w:eastAsia="zh-CN" w:bidi="ar-SA"/>
    </w:rPr>
  </w:style>
  <w:style w:type="paragraph" w:customStyle="1" w:styleId="149">
    <w:name w:val="K图表字-居中"/>
    <w:basedOn w:val="140"/>
    <w:link w:val="150"/>
    <w:autoRedefine/>
    <w:qFormat/>
    <w:uiPriority w:val="0"/>
    <w:pPr>
      <w:spacing w:line="240" w:lineRule="auto"/>
      <w:ind w:firstLine="0" w:firstLineChars="0"/>
      <w:jc w:val="center"/>
    </w:pPr>
    <w:rPr>
      <w:rFonts w:ascii="宋体" w:hAnsi="宋体"/>
      <w:sz w:val="21"/>
    </w:rPr>
  </w:style>
  <w:style w:type="character" w:customStyle="1" w:styleId="150">
    <w:name w:val="K图表字-居中 Char"/>
    <w:link w:val="149"/>
    <w:autoRedefine/>
    <w:qFormat/>
    <w:uiPriority w:val="0"/>
    <w:rPr>
      <w:rFonts w:ascii="宋体" w:hAnsi="宋体" w:cs="宋体"/>
      <w:kern w:val="2"/>
      <w:sz w:val="21"/>
      <w:szCs w:val="24"/>
    </w:rPr>
  </w:style>
  <w:style w:type="paragraph" w:customStyle="1" w:styleId="151">
    <w:name w:val="表左缩进"/>
    <w:basedOn w:val="84"/>
    <w:autoRedefine/>
    <w:qFormat/>
    <w:uiPriority w:val="0"/>
    <w:pPr>
      <w:numPr>
        <w:ilvl w:val="0"/>
        <w:numId w:val="8"/>
      </w:numPr>
      <w:ind w:left="0" w:firstLine="0"/>
    </w:pPr>
  </w:style>
  <w:style w:type="character" w:customStyle="1" w:styleId="152">
    <w:name w:val="文档结构图 字符"/>
    <w:basedOn w:val="43"/>
    <w:link w:val="14"/>
    <w:autoRedefine/>
    <w:qFormat/>
    <w:uiPriority w:val="99"/>
    <w:rPr>
      <w:rFonts w:ascii="Microsoft YaHei UI" w:eastAsia="Microsoft YaHei UI"/>
      <w:kern w:val="2"/>
      <w:sz w:val="18"/>
      <w:szCs w:val="18"/>
    </w:rPr>
  </w:style>
  <w:style w:type="character" w:customStyle="1" w:styleId="153">
    <w:name w:val="日期 字符"/>
    <w:basedOn w:val="43"/>
    <w:link w:val="23"/>
    <w:autoRedefine/>
    <w:qFormat/>
    <w:uiPriority w:val="0"/>
    <w:rPr>
      <w:rFonts w:asciiTheme="minorHAnsi" w:hAnsiTheme="minorHAnsi" w:eastAsiaTheme="minorEastAsia" w:cstheme="minorBidi"/>
      <w:kern w:val="2"/>
      <w:sz w:val="21"/>
      <w:szCs w:val="21"/>
    </w:rPr>
  </w:style>
  <w:style w:type="table" w:customStyle="1" w:styleId="154">
    <w:name w:val="XX表格1"/>
    <w:basedOn w:val="41"/>
    <w:autoRedefine/>
    <w:qFormat/>
    <w:uiPriority w:val="99"/>
    <w:rPr>
      <w:rFonts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C6D9F0" w:themeFill="text2" w:themeFillTint="33"/>
      </w:tcPr>
    </w:tblStylePr>
    <w:tblStylePr w:type="firstCol">
      <w:rPr>
        <w:rFonts w:ascii="Times New Roman" w:hAnsi="Times New Roman" w:eastAsia="宋体"/>
        <w:b w:val="0"/>
        <w:i w:val="0"/>
        <w:sz w:val="21"/>
      </w:rPr>
    </w:tblStylePr>
  </w:style>
  <w:style w:type="table" w:customStyle="1" w:styleId="155">
    <w:name w:val="11111"/>
    <w:basedOn w:val="41"/>
    <w:autoRedefine/>
    <w:qFormat/>
    <w:uiPriority w:val="99"/>
    <w:pPr>
      <w:jc w:val="center"/>
    </w:pPr>
    <w:rPr>
      <w:sz w:val="24"/>
      <w:szCs w:val="24"/>
    </w:rPr>
    <w:tblPr>
      <w:jc w:val="center"/>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Pr>
    <w:trPr>
      <w:jc w:val="center"/>
    </w:trPr>
    <w:tcPr>
      <w:shd w:val="clear" w:color="auto" w:fill="auto"/>
      <w:vAlign w:val="center"/>
    </w:tcPr>
    <w:tblStylePr w:type="firstRow">
      <w:rPr>
        <w:rFonts w:eastAsia="宋体"/>
        <w:b/>
        <w:sz w:val="21"/>
      </w:rPr>
      <w:tcPr>
        <w:tcBorders>
          <w:top w:val="double" w:color="auto" w:sz="4" w:space="0"/>
          <w:left w:val="double" w:color="auto" w:sz="4" w:space="0"/>
          <w:bottom w:val="single" w:color="auto" w:sz="4" w:space="0"/>
          <w:right w:val="double" w:color="auto" w:sz="4" w:space="0"/>
          <w:insideH w:val="nil"/>
          <w:insideV w:val="single" w:sz="4" w:space="0"/>
          <w:tl2br w:val="nil"/>
          <w:tr2bl w:val="nil"/>
        </w:tcBorders>
      </w:tcPr>
    </w:tblStylePr>
    <w:tblStylePr w:type="firstCol">
      <w:rPr>
        <w:rFonts w:eastAsia="宋体"/>
        <w:b/>
        <w:sz w:val="21"/>
      </w:rPr>
      <w:tcPr>
        <w:tcBorders>
          <w:top w:val="double" w:color="auto" w:sz="4" w:space="0"/>
          <w:left w:val="double" w:color="auto" w:sz="4" w:space="0"/>
          <w:bottom w:val="double" w:color="auto" w:sz="4" w:space="0"/>
          <w:right w:val="single" w:color="auto" w:sz="4" w:space="0"/>
          <w:insideH w:val="nil"/>
          <w:insideV w:val="nil"/>
          <w:tl2br w:val="nil"/>
          <w:tr2bl w:val="nil"/>
        </w:tcBorders>
      </w:tcPr>
    </w:tblStylePr>
  </w:style>
  <w:style w:type="table" w:customStyle="1" w:styleId="156">
    <w:name w:val="无格式表格 11"/>
    <w:basedOn w:val="41"/>
    <w:autoRedefine/>
    <w:qFormat/>
    <w:uiPriority w:val="41"/>
    <w:rPr>
      <w:rFonts w:cstheme="minorBidi"/>
      <w:sz w:val="24"/>
      <w:szCs w:val="24"/>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57">
    <w:name w:val="图片"/>
    <w:basedOn w:val="1"/>
    <w:next w:val="158"/>
    <w:autoRedefine/>
    <w:qFormat/>
    <w:uiPriority w:val="0"/>
    <w:pPr>
      <w:keepNext/>
      <w:framePr w:wrap="around" w:vAnchor="margin" w:hAnchor="text" w:xAlign="center" w:yAlign="center"/>
      <w:ind w:firstLine="0" w:firstLineChars="0"/>
      <w:jc w:val="center"/>
    </w:pPr>
    <w:rPr>
      <w:rFonts w:cstheme="minorBidi"/>
      <w:kern w:val="0"/>
      <w:szCs w:val="24"/>
    </w:rPr>
  </w:style>
  <w:style w:type="paragraph" w:customStyle="1" w:styleId="158">
    <w:name w:val="题注—图片"/>
    <w:next w:val="1"/>
    <w:autoRedefine/>
    <w:qFormat/>
    <w:uiPriority w:val="0"/>
    <w:pPr>
      <w:widowControl w:val="0"/>
      <w:spacing w:line="360" w:lineRule="auto"/>
      <w:jc w:val="center"/>
    </w:pPr>
    <w:rPr>
      <w:rFonts w:ascii="Times New Roman" w:hAnsi="Times New Roman" w:eastAsia="宋体" w:cs="Times New Roman"/>
      <w:b/>
      <w:kern w:val="2"/>
      <w:sz w:val="21"/>
      <w:szCs w:val="21"/>
      <w:lang w:val="en-US" w:eastAsia="zh-CN" w:bidi="ar-SA"/>
    </w:rPr>
  </w:style>
  <w:style w:type="table" w:customStyle="1" w:styleId="159">
    <w:name w:val="网格型浅色1"/>
    <w:basedOn w:val="41"/>
    <w:autoRedefine/>
    <w:qFormat/>
    <w:uiPriority w:val="40"/>
    <w:rPr>
      <w:rFonts w:cstheme="minorBidi"/>
      <w:sz w:val="24"/>
      <w:szCs w:val="24"/>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60">
    <w:name w:val="表2"/>
    <w:basedOn w:val="41"/>
    <w:autoRedefine/>
    <w:qFormat/>
    <w:uiPriority w:val="99"/>
    <w:rPr>
      <w:rFonts w:cstheme="minorBidi"/>
      <w:sz w:val="24"/>
      <w:szCs w:val="24"/>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tblStylePr w:type="firstRow">
      <w:rPr>
        <w:b/>
      </w:rPr>
      <w:tblPr>
        <w:jc w:val="center"/>
      </w:tblPr>
      <w:trPr>
        <w:jc w:val="center"/>
      </w:trPr>
      <w:tcPr>
        <w:vAlign w:val="center"/>
      </w:tcPr>
    </w:tblStylePr>
  </w:style>
  <w:style w:type="table" w:customStyle="1" w:styleId="161">
    <w:name w:val="k 表格1"/>
    <w:basedOn w:val="41"/>
    <w:autoRedefine/>
    <w:qFormat/>
    <w:uiPriority w:val="99"/>
    <w:rPr>
      <w:rFonts w:ascii="宋体" w:hAnsi="宋体" w:cs="Calibri"/>
      <w:sz w:val="21"/>
      <w:szCs w:val="24"/>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left w:w="57" w:type="dxa"/>
        <w:right w:w="57" w:type="dxa"/>
      </w:tblCellMar>
    </w:tblPr>
    <w:tcPr>
      <w:vAlign w:val="center"/>
    </w:tcPr>
    <w:tblStylePr w:type="firstRow">
      <w:rPr>
        <w:rFonts w:hint="default" w:ascii="Times New Roman" w:hAnsi="Times New Roman" w:eastAsia="宋体" w:cs="Times New Roman"/>
        <w:b/>
        <w:sz w:val="21"/>
        <w:szCs w:val="21"/>
      </w:rPr>
    </w:tblStylePr>
  </w:style>
  <w:style w:type="table" w:customStyle="1" w:styleId="162">
    <w:name w:val="K表格"/>
    <w:basedOn w:val="41"/>
    <w:autoRedefine/>
    <w:qFormat/>
    <w:uiPriority w:val="99"/>
    <w:pPr>
      <w:jc w:val="center"/>
    </w:pPr>
    <w:rPr>
      <w:sz w:val="21"/>
      <w:szCs w:val="24"/>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tblHeader/>
      <w:jc w:val="center"/>
    </w:trPr>
    <w:tcPr>
      <w:tcMar>
        <w:top w:w="28" w:type="dxa"/>
        <w:left w:w="28" w:type="dxa"/>
        <w:bottom w:w="28" w:type="dxa"/>
        <w:right w:w="28" w:type="dxa"/>
      </w:tcMar>
      <w:vAlign w:val="center"/>
    </w:tcPr>
    <w:tblStylePr w:type="firstRow">
      <w:rPr>
        <w:rFonts w:ascii="Times New Roman" w:hAnsi="Times New Roman" w:eastAsia="宋体"/>
        <w:b w:val="0"/>
        <w:i w:val="0"/>
        <w:sz w:val="21"/>
      </w:rPr>
    </w:tblStylePr>
  </w:style>
  <w:style w:type="character" w:customStyle="1" w:styleId="163">
    <w:name w:val="日期 字符1"/>
    <w:basedOn w:val="43"/>
    <w:autoRedefine/>
    <w:semiHidden/>
    <w:qFormat/>
    <w:uiPriority w:val="99"/>
    <w:rPr>
      <w:rFonts w:ascii="Times New Roman" w:hAnsi="Times New Roman" w:eastAsia="宋体" w:cs="Times New Roman"/>
      <w:kern w:val="2"/>
      <w:sz w:val="24"/>
      <w:szCs w:val="21"/>
    </w:rPr>
  </w:style>
  <w:style w:type="paragraph" w:customStyle="1" w:styleId="164">
    <w:name w:val="段落正文"/>
    <w:autoRedefine/>
    <w:qFormat/>
    <w:uiPriority w:val="0"/>
    <w:pPr>
      <w:spacing w:before="50" w:beforeLines="50" w:after="50" w:afterLines="50" w:line="320" w:lineRule="exact"/>
      <w:jc w:val="both"/>
    </w:pPr>
    <w:rPr>
      <w:rFonts w:ascii="Arial" w:hAnsi="Arial" w:eastAsia="Arial" w:cs="Times New Roman"/>
      <w:bCs/>
      <w:kern w:val="2"/>
      <w:sz w:val="24"/>
      <w:szCs w:val="24"/>
      <w:lang w:val="en-US" w:eastAsia="zh-CN" w:bidi="ar-SA"/>
    </w:rPr>
  </w:style>
  <w:style w:type="character" w:customStyle="1" w:styleId="165">
    <w:name w:val="批注文字 字符1"/>
    <w:basedOn w:val="43"/>
    <w:autoRedefine/>
    <w:semiHidden/>
    <w:qFormat/>
    <w:uiPriority w:val="99"/>
    <w:rPr>
      <w:rFonts w:ascii="Times New Roman" w:hAnsi="Times New Roman" w:eastAsia="宋体"/>
      <w:sz w:val="24"/>
      <w:szCs w:val="24"/>
    </w:rPr>
  </w:style>
  <w:style w:type="character" w:customStyle="1" w:styleId="166">
    <w:name w:val="批注主题 字符1"/>
    <w:basedOn w:val="165"/>
    <w:autoRedefine/>
    <w:semiHidden/>
    <w:qFormat/>
    <w:uiPriority w:val="99"/>
    <w:rPr>
      <w:rFonts w:ascii="Times New Roman" w:hAnsi="Times New Roman" w:eastAsia="宋体"/>
      <w:b/>
      <w:bCs/>
      <w:sz w:val="24"/>
      <w:szCs w:val="24"/>
    </w:rPr>
  </w:style>
  <w:style w:type="paragraph" w:customStyle="1" w:styleId="167">
    <w:name w:val="文字"/>
    <w:basedOn w:val="1"/>
    <w:autoRedefine/>
    <w:qFormat/>
    <w:uiPriority w:val="0"/>
    <w:pPr>
      <w:spacing w:after="50" w:afterLines="50" w:line="300" w:lineRule="auto"/>
    </w:pPr>
    <w:rPr>
      <w:rFonts w:ascii="仿宋_GB2312" w:eastAsia="仿宋_GB2312" w:cstheme="minorBidi"/>
      <w:kern w:val="0"/>
      <w:szCs w:val="24"/>
    </w:rPr>
  </w:style>
  <w:style w:type="paragraph" w:customStyle="1" w:styleId="168">
    <w:name w:val="图表"/>
    <w:basedOn w:val="1"/>
    <w:autoRedefine/>
    <w:qFormat/>
    <w:uiPriority w:val="1"/>
    <w:pPr>
      <w:spacing w:line="240" w:lineRule="auto"/>
      <w:ind w:firstLine="0" w:firstLineChars="0"/>
      <w:jc w:val="center"/>
      <w:textAlignment w:val="center"/>
    </w:pPr>
    <w:rPr>
      <w:rFonts w:ascii="仿宋_GB2312" w:hAnsi="Calibri" w:eastAsia="仿宋_GB2312" w:cstheme="minorBidi"/>
      <w:kern w:val="0"/>
      <w:sz w:val="21"/>
      <w:szCs w:val="24"/>
    </w:rPr>
  </w:style>
  <w:style w:type="table" w:customStyle="1" w:styleId="169">
    <w:name w:val="网格型3"/>
    <w:basedOn w:val="41"/>
    <w:autoRedefine/>
    <w:qFormat/>
    <w:uiPriority w:val="39"/>
    <w:rPr>
      <w:sz w:val="24"/>
      <w:szCs w:val="24"/>
    </w:rPr>
    <w:tblPr>
      <w:tblBorders>
        <w:top w:val="single" w:color="000000" w:sz="4" w:space="0"/>
        <w:bottom w:val="single" w:color="000000" w:sz="4" w:space="0"/>
        <w:insideH w:val="single" w:color="000000" w:sz="4" w:space="0"/>
        <w:insideV w:val="single" w:color="000000" w:sz="4" w:space="0"/>
      </w:tblBorders>
    </w:tblPr>
    <w:tcPr>
      <w:vAlign w:val="center"/>
    </w:tcPr>
  </w:style>
  <w:style w:type="table" w:customStyle="1" w:styleId="170">
    <w:name w:val="LBY样式"/>
    <w:basedOn w:val="41"/>
    <w:autoRedefine/>
    <w:qFormat/>
    <w:uiPriority w:val="99"/>
    <w:pPr>
      <w:jc w:val="center"/>
    </w:pPr>
    <w:rPr>
      <w:sz w:val="24"/>
      <w:szCs w:val="24"/>
    </w:rPr>
    <w:tblPr>
      <w:jc w:val="cente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rPr>
      <w:jc w:val="center"/>
    </w:trPr>
    <w:tcPr>
      <w:shd w:val="clear" w:color="auto" w:fill="FFFFFF"/>
      <w:vAlign w:val="center"/>
    </w:tcPr>
    <w:tblStylePr w:type="firstRow">
      <w:rPr>
        <w:rFonts w:ascii="Times New Roman" w:hAnsi="Times New Roman" w:eastAsia="Courier New"/>
        <w:b/>
        <w:i w:val="0"/>
        <w:sz w:val="21"/>
      </w:rPr>
      <w:tcPr>
        <w:shd w:val="clear" w:color="auto" w:fill="8DB3E2"/>
      </w:tcPr>
    </w:tblStylePr>
    <w:tblStylePr w:type="firstCol">
      <w:tcPr>
        <w:shd w:val="clear" w:color="auto" w:fill="FFFFFF"/>
      </w:tcPr>
    </w:tblStylePr>
  </w:style>
  <w:style w:type="table" w:customStyle="1" w:styleId="171">
    <w:name w:val="标准样式1"/>
    <w:basedOn w:val="41"/>
    <w:autoRedefine/>
    <w:qFormat/>
    <w:uiPriority w:val="99"/>
    <w:rPr>
      <w:rFonts w:ascii="Calibri" w:hAnsi="Calibri"/>
      <w:sz w:val="24"/>
      <w:szCs w:val="24"/>
    </w:r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BE5F1"/>
      <w:vAlign w:val="center"/>
    </w:tcPr>
    <w:tblStylePr w:type="firstRow">
      <w:rPr>
        <w:b/>
        <w:color w:val="auto"/>
      </w:rPr>
      <w:tcPr>
        <w:shd w:val="clear" w:color="auto" w:fill="B6DDE8"/>
      </w:tcPr>
    </w:tblStylePr>
    <w:tblStylePr w:type="firstCol">
      <w:tcPr>
        <w:shd w:val="clear" w:color="auto" w:fill="FDE9D9"/>
      </w:tcPr>
    </w:tblStylePr>
  </w:style>
  <w:style w:type="table" w:customStyle="1" w:styleId="172">
    <w:name w:val="1111"/>
    <w:basedOn w:val="41"/>
    <w:autoRedefine/>
    <w:qFormat/>
    <w:uiPriority w:val="99"/>
    <w:pPr>
      <w:jc w:val="center"/>
    </w:pPr>
    <w:rPr>
      <w:rFonts w:cstheme="minorBidi"/>
      <w:sz w:val="21"/>
      <w:szCs w:val="24"/>
    </w:rPr>
    <w:tcPr>
      <w:shd w:val="clear" w:color="auto" w:fill="auto"/>
    </w:tcPr>
  </w:style>
  <w:style w:type="table" w:customStyle="1" w:styleId="173">
    <w:name w:val="LB样式"/>
    <w:basedOn w:val="41"/>
    <w:autoRedefine/>
    <w:qFormat/>
    <w:uiPriority w:val="99"/>
    <w:rPr>
      <w:rFonts w:cstheme="minorBidi"/>
      <w:sz w:val="21"/>
      <w:szCs w:val="24"/>
    </w:rPr>
  </w:style>
  <w:style w:type="character" w:customStyle="1" w:styleId="174">
    <w:name w:val="font11"/>
    <w:basedOn w:val="43"/>
    <w:autoRedefine/>
    <w:qFormat/>
    <w:uiPriority w:val="0"/>
    <w:rPr>
      <w:rFonts w:hint="eastAsia" w:ascii="宋体" w:hAnsi="宋体" w:eastAsia="宋体"/>
      <w:color w:val="000000"/>
      <w:sz w:val="18"/>
      <w:szCs w:val="18"/>
      <w:u w:val="none"/>
    </w:rPr>
  </w:style>
  <w:style w:type="character" w:customStyle="1" w:styleId="175">
    <w:name w:val="font51"/>
    <w:basedOn w:val="43"/>
    <w:autoRedefine/>
    <w:qFormat/>
    <w:uiPriority w:val="0"/>
    <w:rPr>
      <w:rFonts w:hint="eastAsia" w:ascii="宋体" w:hAnsi="宋体" w:eastAsia="宋体"/>
      <w:color w:val="000000"/>
      <w:sz w:val="9"/>
      <w:szCs w:val="9"/>
      <w:u w:val="none"/>
      <w:vertAlign w:val="subscript"/>
    </w:rPr>
  </w:style>
  <w:style w:type="character" w:customStyle="1" w:styleId="176">
    <w:name w:val="font41"/>
    <w:basedOn w:val="43"/>
    <w:autoRedefine/>
    <w:qFormat/>
    <w:uiPriority w:val="0"/>
    <w:rPr>
      <w:rFonts w:hint="eastAsia" w:ascii="宋体" w:hAnsi="宋体" w:eastAsia="宋体"/>
      <w:color w:val="000000"/>
      <w:sz w:val="9"/>
      <w:szCs w:val="9"/>
      <w:u w:val="none"/>
    </w:rPr>
  </w:style>
  <w:style w:type="character" w:customStyle="1" w:styleId="177">
    <w:name w:val="font31"/>
    <w:basedOn w:val="43"/>
    <w:autoRedefine/>
    <w:qFormat/>
    <w:uiPriority w:val="0"/>
    <w:rPr>
      <w:rFonts w:hint="eastAsia" w:ascii="宋体" w:hAnsi="宋体" w:eastAsia="宋体"/>
      <w:color w:val="000000"/>
      <w:sz w:val="18"/>
      <w:szCs w:val="18"/>
      <w:u w:val="none"/>
      <w:vertAlign w:val="subscript"/>
    </w:rPr>
  </w:style>
  <w:style w:type="paragraph" w:customStyle="1" w:styleId="178">
    <w:name w:val="Char Char Char Char Char Char Char"/>
    <w:basedOn w:val="14"/>
    <w:autoRedefine/>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character" w:customStyle="1" w:styleId="179">
    <w:name w:val="k 正文 Char"/>
    <w:link w:val="180"/>
    <w:autoRedefine/>
    <w:qFormat/>
    <w:uiPriority w:val="0"/>
    <w:rPr>
      <w:kern w:val="2"/>
      <w:sz w:val="24"/>
      <w:szCs w:val="24"/>
    </w:rPr>
  </w:style>
  <w:style w:type="paragraph" w:customStyle="1" w:styleId="180">
    <w:name w:val="k 正文"/>
    <w:basedOn w:val="1"/>
    <w:link w:val="179"/>
    <w:autoRedefine/>
    <w:qFormat/>
    <w:uiPriority w:val="0"/>
    <w:rPr>
      <w:szCs w:val="24"/>
    </w:rPr>
  </w:style>
  <w:style w:type="character" w:customStyle="1" w:styleId="181">
    <w:name w:val="图表名称 Char"/>
    <w:link w:val="97"/>
    <w:autoRedefine/>
    <w:qFormat/>
    <w:uiPriority w:val="0"/>
    <w:rPr>
      <w:b/>
      <w:bCs/>
      <w:color w:val="000000" w:themeColor="text1"/>
      <w:kern w:val="2"/>
      <w:sz w:val="21"/>
      <w:szCs w:val="21"/>
      <w14:textFill>
        <w14:solidFill>
          <w14:schemeClr w14:val="tx1"/>
        </w14:solidFill>
      </w14:textFill>
    </w:rPr>
  </w:style>
  <w:style w:type="paragraph" w:customStyle="1" w:styleId="182">
    <w:name w:val="图居中、图表标题"/>
    <w:basedOn w:val="1"/>
    <w:next w:val="1"/>
    <w:link w:val="183"/>
    <w:autoRedefine/>
    <w:qFormat/>
    <w:uiPriority w:val="0"/>
    <w:pPr>
      <w:adjustRightInd w:val="0"/>
      <w:snapToGrid w:val="0"/>
      <w:ind w:firstLine="0" w:firstLineChars="0"/>
      <w:jc w:val="center"/>
    </w:pPr>
    <w:rPr>
      <w:rFonts w:cs="宋体" w:asciiTheme="minorHAnsi" w:hAnsiTheme="minorHAnsi"/>
      <w:b/>
      <w:color w:val="0000C8"/>
      <w:kern w:val="0"/>
      <w:sz w:val="20"/>
      <w:szCs w:val="20"/>
    </w:rPr>
  </w:style>
  <w:style w:type="character" w:customStyle="1" w:styleId="183">
    <w:name w:val="图居中、图表标题 Char"/>
    <w:basedOn w:val="43"/>
    <w:link w:val="182"/>
    <w:autoRedefine/>
    <w:qFormat/>
    <w:uiPriority w:val="0"/>
    <w:rPr>
      <w:rFonts w:cs="宋体" w:asciiTheme="minorHAnsi" w:hAnsiTheme="minorHAnsi"/>
      <w:b/>
      <w:color w:val="0000C8"/>
    </w:rPr>
  </w:style>
  <w:style w:type="paragraph" w:customStyle="1" w:styleId="184">
    <w:name w:val="WFS正文"/>
    <w:basedOn w:val="1"/>
    <w:link w:val="185"/>
    <w:autoRedefine/>
    <w:qFormat/>
    <w:uiPriority w:val="0"/>
    <w:pPr>
      <w:adjustRightInd w:val="0"/>
      <w:ind w:firstLine="480"/>
    </w:pPr>
    <w:rPr>
      <w:rFonts w:cs="宋体"/>
      <w:szCs w:val="24"/>
    </w:rPr>
  </w:style>
  <w:style w:type="character" w:customStyle="1" w:styleId="185">
    <w:name w:val="WFS正文 Char"/>
    <w:link w:val="184"/>
    <w:autoRedefine/>
    <w:qFormat/>
    <w:uiPriority w:val="0"/>
    <w:rPr>
      <w:rFonts w:cs="宋体"/>
      <w:kern w:val="2"/>
      <w:sz w:val="24"/>
      <w:szCs w:val="24"/>
    </w:rPr>
  </w:style>
  <w:style w:type="character" w:customStyle="1" w:styleId="186">
    <w:name w:val="k 正文 Char Char"/>
    <w:autoRedefine/>
    <w:qFormat/>
    <w:uiPriority w:val="0"/>
    <w:rPr>
      <w:kern w:val="2"/>
      <w:sz w:val="24"/>
      <w:szCs w:val="22"/>
    </w:rPr>
  </w:style>
  <w:style w:type="paragraph" w:customStyle="1" w:styleId="187">
    <w:name w:val="k 图表标题"/>
    <w:basedOn w:val="1"/>
    <w:next w:val="1"/>
    <w:link w:val="188"/>
    <w:autoRedefine/>
    <w:qFormat/>
    <w:uiPriority w:val="0"/>
    <w:pPr>
      <w:adjustRightInd w:val="0"/>
      <w:snapToGrid w:val="0"/>
      <w:spacing w:before="120" w:beforeLines="50" w:after="120" w:afterLines="50" w:line="240" w:lineRule="auto"/>
      <w:ind w:firstLine="0" w:firstLineChars="0"/>
      <w:jc w:val="center"/>
    </w:pPr>
    <w:rPr>
      <w:b/>
      <w:color w:val="0000FF"/>
      <w:sz w:val="28"/>
      <w:szCs w:val="22"/>
      <w:lang w:val="zh-CN"/>
    </w:rPr>
  </w:style>
  <w:style w:type="character" w:customStyle="1" w:styleId="188">
    <w:name w:val="k 图表标题 Char"/>
    <w:link w:val="187"/>
    <w:autoRedefine/>
    <w:qFormat/>
    <w:uiPriority w:val="0"/>
    <w:rPr>
      <w:b/>
      <w:color w:val="0000FF"/>
      <w:kern w:val="2"/>
      <w:sz w:val="28"/>
      <w:szCs w:val="22"/>
      <w:lang w:val="zh-CN" w:eastAsia="zh-CN"/>
    </w:rPr>
  </w:style>
  <w:style w:type="paragraph" w:customStyle="1" w:styleId="189">
    <w:name w:val="WFS图表字-居中"/>
    <w:basedOn w:val="1"/>
    <w:link w:val="190"/>
    <w:autoRedefine/>
    <w:qFormat/>
    <w:uiPriority w:val="0"/>
    <w:pPr>
      <w:adjustRightInd w:val="0"/>
      <w:spacing w:line="240" w:lineRule="auto"/>
      <w:ind w:firstLine="0" w:firstLineChars="0"/>
      <w:jc w:val="center"/>
    </w:pPr>
    <w:rPr>
      <w:sz w:val="21"/>
      <w:szCs w:val="24"/>
    </w:rPr>
  </w:style>
  <w:style w:type="character" w:customStyle="1" w:styleId="190">
    <w:name w:val="WFS图表字-居中 Char"/>
    <w:link w:val="189"/>
    <w:autoRedefine/>
    <w:qFormat/>
    <w:uiPriority w:val="0"/>
    <w:rPr>
      <w:kern w:val="2"/>
      <w:sz w:val="21"/>
      <w:szCs w:val="24"/>
    </w:rPr>
  </w:style>
  <w:style w:type="table" w:customStyle="1" w:styleId="191">
    <w:name w:val="网格型2"/>
    <w:basedOn w:val="41"/>
    <w:autoRedefine/>
    <w:qFormat/>
    <w:uiPriority w:val="59"/>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2">
    <w:name w:val="图表标题"/>
    <w:link w:val="193"/>
    <w:autoRedefine/>
    <w:qFormat/>
    <w:uiPriority w:val="0"/>
    <w:pPr>
      <w:widowControl w:val="0"/>
      <w:snapToGrid w:val="0"/>
      <w:spacing w:line="360" w:lineRule="auto"/>
      <w:ind w:firstLine="723" w:firstLineChars="200"/>
      <w:jc w:val="center"/>
    </w:pPr>
    <w:rPr>
      <w:rFonts w:ascii="仿宋" w:hAnsi="仿宋" w:eastAsia="仿宋" w:cs="仿宋"/>
      <w:b/>
      <w:kern w:val="3"/>
      <w:sz w:val="24"/>
      <w:szCs w:val="24"/>
      <w:lang w:val="en-US" w:eastAsia="zh-CN" w:bidi="ar-SA"/>
    </w:rPr>
  </w:style>
  <w:style w:type="character" w:customStyle="1" w:styleId="193">
    <w:name w:val="图表标题 Char"/>
    <w:link w:val="192"/>
    <w:autoRedefine/>
    <w:qFormat/>
    <w:uiPriority w:val="0"/>
    <w:rPr>
      <w:rFonts w:ascii="仿宋" w:hAnsi="仿宋" w:eastAsia="仿宋" w:cs="仿宋"/>
      <w:b/>
      <w:kern w:val="3"/>
      <w:sz w:val="24"/>
      <w:szCs w:val="24"/>
    </w:rPr>
  </w:style>
  <w:style w:type="paragraph" w:customStyle="1" w:styleId="194">
    <w:name w:val="40正文(1)"/>
    <w:basedOn w:val="1"/>
    <w:link w:val="200"/>
    <w:autoRedefine/>
    <w:qFormat/>
    <w:uiPriority w:val="0"/>
    <w:pPr>
      <w:tabs>
        <w:tab w:val="left" w:pos="0"/>
        <w:tab w:val="left" w:pos="420"/>
        <w:tab w:val="left" w:pos="478"/>
        <w:tab w:val="left" w:pos="510"/>
      </w:tabs>
      <w:adjustRightInd w:val="0"/>
      <w:ind w:left="58" w:firstLine="0" w:firstLineChars="0"/>
      <w:jc w:val="left"/>
    </w:pPr>
    <w:rPr>
      <w:rFonts w:ascii="宋体" w:hAnsi="宋体" w:cs="宋体"/>
      <w:snapToGrid w:val="0"/>
      <w:kern w:val="0"/>
      <w:szCs w:val="24"/>
    </w:rPr>
  </w:style>
  <w:style w:type="paragraph" w:customStyle="1" w:styleId="195">
    <w:name w:val="正文 1）"/>
    <w:basedOn w:val="1"/>
    <w:next w:val="1"/>
    <w:autoRedefine/>
    <w:qFormat/>
    <w:uiPriority w:val="0"/>
    <w:pPr>
      <w:tabs>
        <w:tab w:val="left" w:pos="-204"/>
        <w:tab w:val="left" w:pos="0"/>
      </w:tabs>
      <w:adjustRightInd w:val="0"/>
      <w:ind w:left="-624" w:firstLine="0" w:firstLineChars="0"/>
      <w:jc w:val="left"/>
    </w:pPr>
    <w:rPr>
      <w:rFonts w:ascii="宋体" w:hAnsi="宋体" w:cs="宋体"/>
      <w:snapToGrid w:val="0"/>
      <w:kern w:val="0"/>
      <w:szCs w:val="24"/>
    </w:rPr>
  </w:style>
  <w:style w:type="paragraph" w:customStyle="1" w:styleId="196">
    <w:name w:val="正文 a"/>
    <w:basedOn w:val="1"/>
    <w:next w:val="1"/>
    <w:autoRedefine/>
    <w:qFormat/>
    <w:uiPriority w:val="0"/>
    <w:pPr>
      <w:tabs>
        <w:tab w:val="left" w:pos="420"/>
        <w:tab w:val="left" w:pos="568"/>
      </w:tabs>
      <w:adjustRightInd w:val="0"/>
      <w:ind w:left="-56" w:firstLine="0" w:firstLineChars="0"/>
      <w:jc w:val="left"/>
    </w:pPr>
    <w:rPr>
      <w:rFonts w:ascii="宋体" w:hAnsi="宋体" w:cs="宋体"/>
      <w:snapToGrid w:val="0"/>
      <w:kern w:val="0"/>
      <w:szCs w:val="24"/>
    </w:rPr>
  </w:style>
  <w:style w:type="paragraph" w:customStyle="1" w:styleId="197">
    <w:name w:val="70标题表格"/>
    <w:basedOn w:val="1"/>
    <w:next w:val="1"/>
    <w:link w:val="202"/>
    <w:autoRedefine/>
    <w:qFormat/>
    <w:uiPriority w:val="0"/>
    <w:pPr>
      <w:tabs>
        <w:tab w:val="left" w:pos="420"/>
      </w:tabs>
      <w:adjustRightInd w:val="0"/>
      <w:ind w:firstLine="0" w:firstLineChars="0"/>
      <w:jc w:val="center"/>
    </w:pPr>
    <w:rPr>
      <w:rFonts w:ascii="宋体" w:hAnsi="宋体" w:cs="宋体"/>
      <w:b/>
      <w:bCs/>
      <w:snapToGrid w:val="0"/>
      <w:color w:val="0766D4"/>
      <w:kern w:val="0"/>
      <w:sz w:val="21"/>
    </w:rPr>
  </w:style>
  <w:style w:type="paragraph" w:customStyle="1" w:styleId="198">
    <w:name w:val="80标题图片"/>
    <w:basedOn w:val="1"/>
    <w:next w:val="1"/>
    <w:autoRedefine/>
    <w:qFormat/>
    <w:uiPriority w:val="0"/>
    <w:pPr>
      <w:tabs>
        <w:tab w:val="left" w:pos="0"/>
        <w:tab w:val="left" w:pos="2973"/>
        <w:tab w:val="left" w:pos="3540"/>
        <w:tab w:val="left" w:pos="3681"/>
        <w:tab w:val="left" w:pos="4107"/>
      </w:tabs>
      <w:adjustRightInd w:val="0"/>
      <w:ind w:firstLine="0" w:firstLineChars="0"/>
      <w:jc w:val="center"/>
    </w:pPr>
    <w:rPr>
      <w:rFonts w:ascii="宋体" w:hAnsi="宋体" w:cs="宋体"/>
      <w:b/>
      <w:snapToGrid w:val="0"/>
      <w:color w:val="0766D4"/>
      <w:kern w:val="0"/>
      <w:sz w:val="21"/>
    </w:rPr>
  </w:style>
  <w:style w:type="paragraph" w:customStyle="1" w:styleId="199">
    <w:name w:val="90表格序号"/>
    <w:basedOn w:val="1"/>
    <w:next w:val="1"/>
    <w:autoRedefine/>
    <w:qFormat/>
    <w:uiPriority w:val="0"/>
    <w:pPr>
      <w:tabs>
        <w:tab w:val="left" w:pos="0"/>
      </w:tabs>
      <w:adjustRightInd w:val="0"/>
      <w:spacing w:line="240" w:lineRule="auto"/>
      <w:ind w:firstLine="0" w:firstLineChars="0"/>
      <w:jc w:val="center"/>
    </w:pPr>
    <w:rPr>
      <w:rFonts w:ascii="宋体" w:hAnsi="宋体" w:cs="宋体"/>
      <w:snapToGrid w:val="0"/>
      <w:kern w:val="0"/>
      <w:sz w:val="21"/>
    </w:rPr>
  </w:style>
  <w:style w:type="character" w:customStyle="1" w:styleId="200">
    <w:name w:val="正文（1） Char"/>
    <w:link w:val="194"/>
    <w:autoRedefine/>
    <w:qFormat/>
    <w:uiPriority w:val="0"/>
    <w:rPr>
      <w:rFonts w:ascii="宋体" w:hAnsi="宋体" w:cs="宋体"/>
      <w:snapToGrid w:val="0"/>
      <w:sz w:val="24"/>
      <w:szCs w:val="24"/>
    </w:rPr>
  </w:style>
  <w:style w:type="paragraph" w:customStyle="1" w:styleId="201">
    <w:name w:val="72表格小五"/>
    <w:basedOn w:val="1"/>
    <w:autoRedefine/>
    <w:qFormat/>
    <w:uiPriority w:val="0"/>
    <w:pPr>
      <w:adjustRightInd w:val="0"/>
      <w:spacing w:line="240" w:lineRule="auto"/>
      <w:ind w:firstLine="0" w:firstLineChars="0"/>
      <w:jc w:val="center"/>
    </w:pPr>
    <w:rPr>
      <w:rFonts w:ascii="宋体" w:hAnsi="宋体" w:cs="宋体"/>
      <w:snapToGrid w:val="0"/>
      <w:kern w:val="0"/>
      <w:sz w:val="18"/>
      <w:szCs w:val="18"/>
    </w:rPr>
  </w:style>
  <w:style w:type="character" w:customStyle="1" w:styleId="202">
    <w:name w:val="70标题表格 Char"/>
    <w:link w:val="197"/>
    <w:autoRedefine/>
    <w:qFormat/>
    <w:uiPriority w:val="0"/>
    <w:rPr>
      <w:rFonts w:ascii="宋体" w:hAnsi="宋体" w:cs="宋体"/>
      <w:b/>
      <w:bCs/>
      <w:snapToGrid w:val="0"/>
      <w:color w:val="0766D4"/>
      <w:sz w:val="21"/>
      <w:szCs w:val="21"/>
    </w:rPr>
  </w:style>
  <w:style w:type="character" w:customStyle="1" w:styleId="203">
    <w:name w:val="正文文本 3 字符"/>
    <w:basedOn w:val="43"/>
    <w:link w:val="16"/>
    <w:autoRedefine/>
    <w:qFormat/>
    <w:uiPriority w:val="0"/>
    <w:rPr>
      <w:kern w:val="2"/>
      <w:sz w:val="24"/>
      <w:szCs w:val="24"/>
    </w:rPr>
  </w:style>
  <w:style w:type="character" w:customStyle="1" w:styleId="204">
    <w:name w:val="纯文本 字符"/>
    <w:basedOn w:val="43"/>
    <w:link w:val="21"/>
    <w:autoRedefine/>
    <w:qFormat/>
    <w:uiPriority w:val="0"/>
    <w:rPr>
      <w:rFonts w:ascii="宋体" w:hAnsi="宋体" w:eastAsia="仿宋" w:cstheme="minorBidi"/>
      <w:kern w:val="2"/>
      <w:sz w:val="24"/>
      <w:szCs w:val="24"/>
    </w:rPr>
  </w:style>
  <w:style w:type="character" w:customStyle="1" w:styleId="205">
    <w:name w:val="正文文本缩进 2 字符"/>
    <w:basedOn w:val="43"/>
    <w:link w:val="24"/>
    <w:autoRedefine/>
    <w:qFormat/>
    <w:uiPriority w:val="99"/>
    <w:rPr>
      <w:rFonts w:ascii="仿宋_GB2312" w:hAnsi="宋体" w:eastAsia="仿宋_GB2312" w:cstheme="minorBidi"/>
      <w:kern w:val="2"/>
      <w:sz w:val="28"/>
      <w:szCs w:val="24"/>
    </w:rPr>
  </w:style>
  <w:style w:type="character" w:customStyle="1" w:styleId="206">
    <w:name w:val="正文文本缩进 3 字符"/>
    <w:basedOn w:val="43"/>
    <w:link w:val="32"/>
    <w:autoRedefine/>
    <w:qFormat/>
    <w:uiPriority w:val="0"/>
    <w:rPr>
      <w:kern w:val="2"/>
      <w:sz w:val="16"/>
      <w:szCs w:val="16"/>
    </w:rPr>
  </w:style>
  <w:style w:type="character" w:customStyle="1" w:styleId="207">
    <w:name w:val="标题 字符"/>
    <w:basedOn w:val="43"/>
    <w:link w:val="37"/>
    <w:autoRedefine/>
    <w:qFormat/>
    <w:uiPriority w:val="10"/>
    <w:rPr>
      <w:rFonts w:asciiTheme="majorHAnsi" w:hAnsiTheme="majorHAnsi" w:eastAsiaTheme="majorEastAsia" w:cstheme="majorBidi"/>
      <w:b/>
      <w:bCs/>
      <w:color w:val="000000" w:themeColor="text1"/>
      <w:kern w:val="2"/>
      <w:sz w:val="32"/>
      <w:szCs w:val="32"/>
      <w14:textFill>
        <w14:solidFill>
          <w14:schemeClr w14:val="tx1"/>
        </w14:solidFill>
      </w14:textFill>
    </w:rPr>
  </w:style>
  <w:style w:type="paragraph" w:customStyle="1" w:styleId="208">
    <w:name w:val="表格内容"/>
    <w:link w:val="376"/>
    <w:autoRedefine/>
    <w:qFormat/>
    <w:uiPriority w:val="0"/>
    <w:pPr>
      <w:jc w:val="center"/>
    </w:pPr>
    <w:rPr>
      <w:rFonts w:ascii="楷体_GB2312" w:hAnsi="Times New Roman" w:eastAsia="楷体_GB2312" w:cs="Times New Roman"/>
      <w:sz w:val="24"/>
      <w:lang w:val="en-US" w:eastAsia="zh-CN" w:bidi="ar-SA"/>
    </w:rPr>
  </w:style>
  <w:style w:type="character" w:customStyle="1" w:styleId="209">
    <w:name w:val="font01"/>
    <w:basedOn w:val="43"/>
    <w:autoRedefine/>
    <w:qFormat/>
    <w:uiPriority w:val="0"/>
    <w:rPr>
      <w:rFonts w:hint="eastAsia" w:ascii="宋体" w:hAnsi="宋体" w:eastAsia="宋体" w:cs="宋体"/>
      <w:b/>
      <w:color w:val="000000"/>
      <w:sz w:val="20"/>
      <w:szCs w:val="20"/>
      <w:u w:val="none"/>
    </w:rPr>
  </w:style>
  <w:style w:type="paragraph" w:customStyle="1" w:styleId="210">
    <w:name w:val="方案正文"/>
    <w:basedOn w:val="1"/>
    <w:autoRedefine/>
    <w:qFormat/>
    <w:uiPriority w:val="0"/>
    <w:pPr>
      <w:spacing w:after="50" w:afterLines="50" w:line="300" w:lineRule="auto"/>
      <w:ind w:firstLine="420"/>
      <w:jc w:val="left"/>
    </w:pPr>
    <w:rPr>
      <w:rFonts w:ascii="宋体" w:hAnsi="宋体" w:eastAsia="仿宋"/>
      <w:sz w:val="28"/>
      <w:szCs w:val="20"/>
    </w:rPr>
  </w:style>
  <w:style w:type="table" w:customStyle="1" w:styleId="211">
    <w:name w:val="网格型1"/>
    <w:basedOn w:val="41"/>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2">
    <w:name w:val="fontstyle01"/>
    <w:autoRedefine/>
    <w:qFormat/>
    <w:uiPriority w:val="0"/>
    <w:rPr>
      <w:rFonts w:hint="eastAsia" w:ascii="仿宋_GB2312" w:eastAsia="仿宋_GB2312"/>
      <w:color w:val="000000"/>
      <w:sz w:val="24"/>
      <w:szCs w:val="24"/>
    </w:rPr>
  </w:style>
  <w:style w:type="paragraph" w:customStyle="1" w:styleId="213">
    <w:name w:val="余杭图表"/>
    <w:next w:val="1"/>
    <w:autoRedefine/>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paragraph" w:customStyle="1" w:styleId="214">
    <w:name w:val="Default"/>
    <w:autoRedefine/>
    <w:qFormat/>
    <w:uiPriority w:val="0"/>
    <w:pPr>
      <w:widowControl w:val="0"/>
      <w:autoSpaceDE w:val="0"/>
      <w:autoSpaceDN w:val="0"/>
      <w:adjustRightInd w:val="0"/>
    </w:pPr>
    <w:rPr>
      <w:rFonts w:ascii="ST Kaiti" w:hAnsi="Times New Roman" w:eastAsia="ST Kaiti" w:cs="Times New Roman"/>
      <w:color w:val="000000"/>
      <w:sz w:val="24"/>
      <w:szCs w:val="24"/>
      <w:lang w:val="en-US" w:eastAsia="zh-CN" w:bidi="ar-SA"/>
    </w:rPr>
  </w:style>
  <w:style w:type="character" w:customStyle="1" w:styleId="215">
    <w:name w:val="表格内文字"/>
    <w:autoRedefine/>
    <w:qFormat/>
    <w:uiPriority w:val="0"/>
    <w:rPr>
      <w:rFonts w:ascii="Times New Roman" w:hAnsi="Times New Roman" w:eastAsia="宋体"/>
      <w:color w:val="auto"/>
      <w:sz w:val="21"/>
    </w:rPr>
  </w:style>
  <w:style w:type="paragraph" w:customStyle="1" w:styleId="216">
    <w:name w:val="列出段落"/>
    <w:autoRedefine/>
    <w:qFormat/>
    <w:uiPriority w:val="0"/>
    <w:pPr>
      <w:widowControl w:val="0"/>
      <w:spacing w:line="360" w:lineRule="auto"/>
      <w:ind w:firstLine="420" w:firstLineChars="200"/>
      <w:jc w:val="both"/>
    </w:pPr>
    <w:rPr>
      <w:rFonts w:ascii="Calibri" w:hAnsi="Calibri" w:eastAsia="宋体" w:cs="Times New Roman"/>
      <w:kern w:val="2"/>
      <w:sz w:val="24"/>
      <w:lang w:val="zh-CN" w:eastAsia="zh-CN" w:bidi="ar-SA"/>
    </w:rPr>
  </w:style>
  <w:style w:type="paragraph" w:customStyle="1" w:styleId="217">
    <w:name w:val="标准正文"/>
    <w:autoRedefine/>
    <w:qFormat/>
    <w:uiPriority w:val="0"/>
    <w:pPr>
      <w:widowControl w:val="0"/>
      <w:spacing w:line="360" w:lineRule="auto"/>
      <w:ind w:firstLine="200" w:firstLineChars="200"/>
      <w:jc w:val="both"/>
    </w:pPr>
    <w:rPr>
      <w:rFonts w:ascii="宋体" w:hAnsi="宋体" w:eastAsia="宋体" w:cs="Times New Roman"/>
      <w:kern w:val="2"/>
      <w:sz w:val="24"/>
      <w:lang w:val="en-US" w:eastAsia="zh-CN" w:bidi="ar-SA"/>
    </w:rPr>
  </w:style>
  <w:style w:type="table" w:customStyle="1" w:styleId="218">
    <w:name w:val="自建11"/>
    <w:autoRedefine/>
    <w:qFormat/>
    <w:uiPriority w:val="99"/>
    <w:pPr>
      <w:adjustRightInd w:val="0"/>
      <w:snapToGrid w:val="0"/>
      <w:jc w:val="center"/>
    </w:pPr>
    <w:tblP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0" w:type="dxa"/>
        <w:bottom w:w="0" w:type="dxa"/>
        <w:right w:w="0" w:type="dxa"/>
      </w:tblCellMar>
    </w:tblPr>
    <w:tcPr>
      <w:shd w:val="clear" w:color="auto" w:fill="DAEEF3"/>
      <w:vAlign w:val="center"/>
    </w:tcPr>
    <w:tblStylePr w:type="firstRow">
      <w:tcPr>
        <w:shd w:val="clear" w:color="auto" w:fill="92CDDC"/>
      </w:tcPr>
    </w:tblStylePr>
  </w:style>
  <w:style w:type="paragraph" w:customStyle="1" w:styleId="219">
    <w:name w:val="图表文字"/>
    <w:link w:val="334"/>
    <w:autoRedefine/>
    <w:qFormat/>
    <w:uiPriority w:val="0"/>
    <w:pPr>
      <w:widowControl w:val="0"/>
      <w:adjustRightInd w:val="0"/>
      <w:snapToGrid w:val="0"/>
      <w:ind w:firstLine="200" w:firstLineChars="200"/>
      <w:jc w:val="center"/>
    </w:pPr>
    <w:rPr>
      <w:rFonts w:ascii="宋体" w:hAnsi="宋体" w:eastAsia="宋体" w:cs="Times New Roman"/>
      <w:kern w:val="2"/>
      <w:sz w:val="22"/>
      <w:szCs w:val="21"/>
      <w:lang w:val="zh-CN" w:eastAsia="zh-CN" w:bidi="ar-SA"/>
    </w:rPr>
  </w:style>
  <w:style w:type="table" w:customStyle="1" w:styleId="220">
    <w:name w:val="方案编制常用表格样式1"/>
    <w:autoRedefine/>
    <w:qFormat/>
    <w:uiPriority w:val="99"/>
    <w:pPr>
      <w:adjustRightInd w:val="0"/>
      <w:snapToGrid w:val="0"/>
      <w:jc w:val="center"/>
    </w:pPr>
    <w:rPr>
      <w:szCs w:val="21"/>
    </w:rPr>
    <w:tblPr>
      <w:jc w:val="center"/>
      <w:tblBorders>
        <w:top w:val="double" w:color="0070C0" w:sz="6" w:space="0"/>
        <w:left w:val="double" w:color="0070C0" w:sz="6" w:space="0"/>
        <w:bottom w:val="double" w:color="0070C0" w:sz="6" w:space="0"/>
        <w:right w:val="double" w:color="0070C0" w:sz="6" w:space="0"/>
        <w:insideH w:val="single" w:color="0070C0" w:sz="6" w:space="0"/>
        <w:insideV w:val="single" w:color="0070C0" w:sz="6" w:space="0"/>
      </w:tblBorders>
      <w:tblCellMar>
        <w:top w:w="0" w:type="dxa"/>
        <w:left w:w="0" w:type="dxa"/>
        <w:bottom w:w="0" w:type="dxa"/>
        <w:right w:w="0" w:type="dxa"/>
      </w:tblCellMar>
    </w:tblPr>
    <w:trPr>
      <w:jc w:val="center"/>
    </w:trPr>
    <w:tcPr>
      <w:shd w:val="clear" w:color="auto" w:fill="DAEEF3"/>
      <w:vAlign w:val="center"/>
    </w:tcPr>
    <w:tblStylePr w:type="firstRow">
      <w:tcPr>
        <w:shd w:val="clear" w:color="auto" w:fill="92CDDC"/>
      </w:tcPr>
    </w:tblStylePr>
  </w:style>
  <w:style w:type="paragraph" w:customStyle="1" w:styleId="221">
    <w:name w:val="普通文字"/>
    <w:autoRedefine/>
    <w:qFormat/>
    <w:uiPriority w:val="0"/>
    <w:pPr>
      <w:widowControl w:val="0"/>
      <w:spacing w:line="360" w:lineRule="auto"/>
      <w:ind w:firstLine="200" w:firstLineChars="200"/>
      <w:jc w:val="both"/>
    </w:pPr>
    <w:rPr>
      <w:rFonts w:ascii="宋体" w:hAnsi="宋体" w:eastAsia="宋体" w:cs="Times New Roman"/>
      <w:kern w:val="2"/>
      <w:sz w:val="24"/>
      <w:szCs w:val="24"/>
      <w:lang w:val="en-US" w:eastAsia="zh-CN" w:bidi="ar-SA"/>
    </w:rPr>
  </w:style>
  <w:style w:type="paragraph" w:customStyle="1" w:styleId="222">
    <w:name w:val="图名"/>
    <w:next w:val="1"/>
    <w:link w:val="293"/>
    <w:autoRedefine/>
    <w:qFormat/>
    <w:uiPriority w:val="0"/>
    <w:pPr>
      <w:widowControl w:val="0"/>
      <w:numPr>
        <w:ilvl w:val="5"/>
        <w:numId w:val="9"/>
      </w:numPr>
      <w:tabs>
        <w:tab w:val="left" w:pos="0"/>
      </w:tabs>
      <w:spacing w:line="360" w:lineRule="auto"/>
      <w:jc w:val="center"/>
    </w:pPr>
    <w:rPr>
      <w:rFonts w:ascii="宋体" w:hAnsi="宋体" w:eastAsia="宋体" w:cs="Times New Roman"/>
      <w:b/>
      <w:kern w:val="2"/>
      <w:sz w:val="21"/>
      <w:szCs w:val="24"/>
      <w:lang w:val="en-US" w:eastAsia="zh-CN" w:bidi="ar-SA"/>
    </w:rPr>
  </w:style>
  <w:style w:type="paragraph" w:customStyle="1" w:styleId="223">
    <w:name w:val="正文X"/>
    <w:autoRedefine/>
    <w:qFormat/>
    <w:uiPriority w:val="0"/>
    <w:pPr>
      <w:snapToGrid w:val="0"/>
      <w:spacing w:line="360" w:lineRule="auto"/>
      <w:ind w:firstLine="482"/>
      <w:jc w:val="both"/>
    </w:pPr>
    <w:rPr>
      <w:rFonts w:ascii="宋体" w:hAnsi="宋体" w:eastAsia="宋体" w:cs="Times New Roman"/>
      <w:color w:val="000000"/>
      <w:kern w:val="2"/>
      <w:sz w:val="24"/>
      <w:szCs w:val="21"/>
      <w:lang w:val="zh-CN" w:eastAsia="zh-CN" w:bidi="ar-SA"/>
    </w:rPr>
  </w:style>
  <w:style w:type="paragraph" w:customStyle="1" w:styleId="224">
    <w:name w:val="表格字体"/>
    <w:next w:val="217"/>
    <w:autoRedefine/>
    <w:qFormat/>
    <w:uiPriority w:val="0"/>
    <w:pPr>
      <w:jc w:val="center"/>
    </w:pPr>
    <w:rPr>
      <w:rFonts w:ascii="Times New Roman" w:hAnsi="Times New Roman" w:eastAsia="宋体" w:cs="Times New Roman"/>
      <w:sz w:val="21"/>
      <w:szCs w:val="21"/>
      <w:lang w:val="en-US" w:eastAsia="zh-CN" w:bidi="ar-SA"/>
    </w:rPr>
  </w:style>
  <w:style w:type="paragraph" w:customStyle="1" w:styleId="225">
    <w:name w:val="图表文字-合安"/>
    <w:next w:val="1"/>
    <w:autoRedefine/>
    <w:qFormat/>
    <w:uiPriority w:val="0"/>
    <w:pPr>
      <w:widowControl w:val="0"/>
      <w:jc w:val="center"/>
    </w:pPr>
    <w:rPr>
      <w:rFonts w:ascii="宋体" w:hAnsi="Times New Roman" w:eastAsia="Times New Roman" w:cs="Times New Roman"/>
      <w:lang w:val="zh-CN" w:eastAsia="zh-CN" w:bidi="ar-SA"/>
    </w:rPr>
  </w:style>
  <w:style w:type="paragraph" w:customStyle="1" w:styleId="226">
    <w:name w:val="Body text|1"/>
    <w:autoRedefine/>
    <w:qFormat/>
    <w:uiPriority w:val="0"/>
    <w:pPr>
      <w:widowControl w:val="0"/>
      <w:spacing w:after="160" w:afterLines="50" w:line="384" w:lineRule="auto"/>
      <w:ind w:firstLine="400" w:firstLineChars="200"/>
    </w:pPr>
    <w:rPr>
      <w:rFonts w:ascii="宋体" w:hAnsi="宋体" w:eastAsia="宋体" w:cs="宋体"/>
      <w:kern w:val="2"/>
      <w:sz w:val="28"/>
      <w:szCs w:val="28"/>
      <w:lang w:val="zh-TW" w:eastAsia="zh-TW" w:bidi="zh-TW"/>
    </w:rPr>
  </w:style>
  <w:style w:type="character" w:customStyle="1" w:styleId="227">
    <w:name w:val="font21"/>
    <w:basedOn w:val="43"/>
    <w:autoRedefine/>
    <w:qFormat/>
    <w:uiPriority w:val="0"/>
    <w:rPr>
      <w:rFonts w:hint="eastAsia" w:ascii="宋体" w:hAnsi="宋体" w:eastAsia="宋体" w:cs="宋体"/>
      <w:color w:val="000000"/>
      <w:sz w:val="20"/>
      <w:szCs w:val="20"/>
      <w:u w:val="none"/>
    </w:rPr>
  </w:style>
  <w:style w:type="character" w:customStyle="1" w:styleId="228">
    <w:name w:val="封面标题 Char"/>
    <w:basedOn w:val="43"/>
    <w:link w:val="65"/>
    <w:autoRedefine/>
    <w:qFormat/>
    <w:uiPriority w:val="0"/>
    <w:rPr>
      <w:rFonts w:eastAsia="黑体"/>
      <w:b/>
      <w:kern w:val="2"/>
      <w:sz w:val="52"/>
      <w:szCs w:val="21"/>
    </w:rPr>
  </w:style>
  <w:style w:type="paragraph" w:customStyle="1" w:styleId="229">
    <w:name w:val="单位及日期"/>
    <w:basedOn w:val="65"/>
    <w:link w:val="230"/>
    <w:autoRedefine/>
    <w:qFormat/>
    <w:uiPriority w:val="0"/>
    <w:rPr>
      <w:sz w:val="28"/>
    </w:rPr>
  </w:style>
  <w:style w:type="character" w:customStyle="1" w:styleId="230">
    <w:name w:val="单位及日期 Char"/>
    <w:basedOn w:val="228"/>
    <w:link w:val="229"/>
    <w:autoRedefine/>
    <w:qFormat/>
    <w:uiPriority w:val="0"/>
    <w:rPr>
      <w:rFonts w:eastAsia="黑体"/>
      <w:kern w:val="2"/>
      <w:sz w:val="28"/>
      <w:szCs w:val="21"/>
    </w:rPr>
  </w:style>
  <w:style w:type="paragraph" w:customStyle="1" w:styleId="231">
    <w:name w:val="校审"/>
    <w:basedOn w:val="1"/>
    <w:link w:val="232"/>
    <w:autoRedefine/>
    <w:qFormat/>
    <w:uiPriority w:val="0"/>
    <w:pPr>
      <w:ind w:firstLine="0" w:firstLineChars="0"/>
      <w:jc w:val="left"/>
    </w:pPr>
    <w:rPr>
      <w:bCs/>
      <w:color w:val="000000" w:themeColor="text1"/>
      <w:sz w:val="28"/>
      <w:szCs w:val="28"/>
      <w14:textFill>
        <w14:solidFill>
          <w14:schemeClr w14:val="tx1"/>
        </w14:solidFill>
      </w14:textFill>
    </w:rPr>
  </w:style>
  <w:style w:type="character" w:customStyle="1" w:styleId="232">
    <w:name w:val="校审 Char"/>
    <w:basedOn w:val="43"/>
    <w:link w:val="231"/>
    <w:autoRedefine/>
    <w:qFormat/>
    <w:uiPriority w:val="0"/>
    <w:rPr>
      <w:bCs/>
      <w:color w:val="000000" w:themeColor="text1"/>
      <w:kern w:val="2"/>
      <w:sz w:val="28"/>
      <w:szCs w:val="28"/>
      <w14:textFill>
        <w14:solidFill>
          <w14:schemeClr w14:val="tx1"/>
        </w14:solidFill>
      </w14:textFill>
    </w:rPr>
  </w:style>
  <w:style w:type="character" w:customStyle="1" w:styleId="233">
    <w:name w:val="TOC 1 字符"/>
    <w:link w:val="28"/>
    <w:autoRedefine/>
    <w:qFormat/>
    <w:uiPriority w:val="39"/>
    <w:rPr>
      <w:rFonts w:cstheme="minorHAnsi"/>
      <w:bCs/>
      <w:caps/>
      <w:kern w:val="2"/>
      <w:sz w:val="24"/>
    </w:rPr>
  </w:style>
  <w:style w:type="paragraph" w:customStyle="1" w:styleId="234">
    <w:name w:val="燕矶图片样式"/>
    <w:basedOn w:val="1"/>
    <w:link w:val="235"/>
    <w:autoRedefine/>
    <w:qFormat/>
    <w:uiPriority w:val="0"/>
    <w:pPr>
      <w:adjustRightInd w:val="0"/>
      <w:snapToGrid w:val="0"/>
      <w:spacing w:line="240" w:lineRule="auto"/>
      <w:ind w:firstLine="0" w:firstLineChars="0"/>
      <w:jc w:val="center"/>
    </w:pPr>
    <w:rPr>
      <w:sz w:val="21"/>
    </w:rPr>
  </w:style>
  <w:style w:type="character" w:customStyle="1" w:styleId="235">
    <w:name w:val="燕矶图片样式 字符"/>
    <w:basedOn w:val="43"/>
    <w:link w:val="234"/>
    <w:autoRedefine/>
    <w:qFormat/>
    <w:uiPriority w:val="0"/>
    <w:rPr>
      <w:kern w:val="2"/>
      <w:sz w:val="21"/>
      <w:szCs w:val="21"/>
    </w:rPr>
  </w:style>
  <w:style w:type="paragraph" w:customStyle="1" w:styleId="236">
    <w:name w:val="燕矶图名"/>
    <w:basedOn w:val="1"/>
    <w:next w:val="1"/>
    <w:autoRedefine/>
    <w:qFormat/>
    <w:uiPriority w:val="0"/>
    <w:pPr>
      <w:spacing w:line="240" w:lineRule="auto"/>
      <w:ind w:firstLine="0" w:firstLineChars="0"/>
      <w:jc w:val="center"/>
    </w:pPr>
    <w:rPr>
      <w:rFonts w:hint="eastAsia"/>
      <w:b/>
      <w:bCs/>
      <w:sz w:val="21"/>
    </w:rPr>
  </w:style>
  <w:style w:type="paragraph" w:customStyle="1" w:styleId="237">
    <w:name w:val="插图"/>
    <w:basedOn w:val="13"/>
    <w:next w:val="222"/>
    <w:autoRedefine/>
    <w:qFormat/>
    <w:uiPriority w:val="0"/>
    <w:pPr>
      <w:spacing w:line="360" w:lineRule="auto"/>
    </w:pPr>
  </w:style>
  <w:style w:type="paragraph" w:customStyle="1" w:styleId="238">
    <w:name w:val="表名"/>
    <w:basedOn w:val="1"/>
    <w:link w:val="290"/>
    <w:autoRedefine/>
    <w:qFormat/>
    <w:uiPriority w:val="0"/>
    <w:pPr>
      <w:tabs>
        <w:tab w:val="left" w:pos="0"/>
      </w:tabs>
      <w:spacing w:before="50" w:beforeLines="50" w:line="240" w:lineRule="auto"/>
      <w:ind w:firstLine="0" w:firstLineChars="0"/>
      <w:jc w:val="center"/>
    </w:pPr>
    <w:rPr>
      <w:b/>
      <w:sz w:val="21"/>
    </w:rPr>
  </w:style>
  <w:style w:type="character" w:customStyle="1" w:styleId="239">
    <w:name w:val="图表标题 字符"/>
    <w:autoRedefine/>
    <w:qFormat/>
    <w:uiPriority w:val="0"/>
    <w:rPr>
      <w:rFonts w:ascii="Times New Roman" w:hAnsi="Times New Roman" w:cstheme="minorBidi"/>
      <w:b/>
      <w:sz w:val="24"/>
      <w:szCs w:val="21"/>
    </w:rPr>
  </w:style>
  <w:style w:type="table" w:customStyle="1" w:styleId="240">
    <w:name w:val="网格表 4 - 着色 11"/>
    <w:basedOn w:val="41"/>
    <w:autoRedefine/>
    <w:qFormat/>
    <w:uiPriority w:val="49"/>
    <w:rPr>
      <w:rFonts w:ascii="Calibri" w:hAnsi="Calibri"/>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paragraph" w:customStyle="1" w:styleId="241">
    <w:name w:val="msonormal"/>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42">
    <w:name w:val="font5"/>
    <w:basedOn w:val="1"/>
    <w:autoRedefine/>
    <w:qFormat/>
    <w:uiPriority w:val="0"/>
    <w:pPr>
      <w:widowControl/>
      <w:spacing w:before="100" w:beforeAutospacing="1" w:after="100" w:afterAutospacing="1" w:line="240" w:lineRule="auto"/>
      <w:ind w:firstLine="0" w:firstLineChars="0"/>
      <w:jc w:val="left"/>
    </w:pPr>
    <w:rPr>
      <w:rFonts w:ascii="宋体" w:hAnsi="宋体" w:cs="宋体"/>
      <w:b/>
      <w:bCs/>
      <w:color w:val="000000"/>
      <w:kern w:val="0"/>
      <w:sz w:val="21"/>
    </w:rPr>
  </w:style>
  <w:style w:type="paragraph" w:customStyle="1" w:styleId="243">
    <w:name w:val="font6"/>
    <w:basedOn w:val="1"/>
    <w:autoRedefine/>
    <w:qFormat/>
    <w:uiPriority w:val="0"/>
    <w:pPr>
      <w:widowControl/>
      <w:spacing w:before="100" w:beforeAutospacing="1" w:after="100" w:afterAutospacing="1" w:line="240" w:lineRule="auto"/>
      <w:ind w:firstLine="0" w:firstLineChars="0"/>
      <w:jc w:val="left"/>
    </w:pPr>
    <w:rPr>
      <w:b/>
      <w:bCs/>
      <w:color w:val="000000"/>
      <w:kern w:val="0"/>
      <w:sz w:val="21"/>
    </w:rPr>
  </w:style>
  <w:style w:type="paragraph" w:customStyle="1" w:styleId="244">
    <w:name w:val="font7"/>
    <w:basedOn w:val="1"/>
    <w:autoRedefine/>
    <w:qFormat/>
    <w:uiPriority w:val="0"/>
    <w:pPr>
      <w:widowControl/>
      <w:spacing w:before="100" w:beforeAutospacing="1" w:after="100" w:afterAutospacing="1" w:line="240" w:lineRule="auto"/>
      <w:ind w:firstLine="0" w:firstLineChars="0"/>
      <w:jc w:val="left"/>
    </w:pPr>
    <w:rPr>
      <w:color w:val="000000"/>
      <w:kern w:val="0"/>
      <w:sz w:val="21"/>
    </w:rPr>
  </w:style>
  <w:style w:type="paragraph" w:customStyle="1" w:styleId="245">
    <w:name w:val="font8"/>
    <w:basedOn w:val="1"/>
    <w:autoRedefine/>
    <w:qFormat/>
    <w:uiPriority w:val="0"/>
    <w:pPr>
      <w:widowControl/>
      <w:spacing w:before="100" w:beforeAutospacing="1" w:after="100" w:afterAutospacing="1" w:line="240" w:lineRule="auto"/>
      <w:ind w:firstLine="0" w:firstLineChars="0"/>
      <w:jc w:val="left"/>
    </w:pPr>
    <w:rPr>
      <w:color w:val="000000"/>
      <w:kern w:val="0"/>
      <w:sz w:val="21"/>
    </w:rPr>
  </w:style>
  <w:style w:type="paragraph" w:customStyle="1" w:styleId="246">
    <w:name w:val="font9"/>
    <w:basedOn w:val="1"/>
    <w:autoRedefine/>
    <w:qFormat/>
    <w:uiPriority w:val="0"/>
    <w:pPr>
      <w:widowControl/>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247">
    <w:name w:val="font10"/>
    <w:basedOn w:val="1"/>
    <w:autoRedefine/>
    <w:qFormat/>
    <w:uiPriority w:val="0"/>
    <w:pPr>
      <w:widowControl/>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248">
    <w:name w:val="font12"/>
    <w:basedOn w:val="1"/>
    <w:autoRedefine/>
    <w:qFormat/>
    <w:uiPriority w:val="0"/>
    <w:pPr>
      <w:widowControl/>
      <w:spacing w:before="100" w:beforeAutospacing="1" w:after="100" w:afterAutospacing="1" w:line="240" w:lineRule="auto"/>
      <w:ind w:firstLine="0" w:firstLineChars="0"/>
      <w:jc w:val="left"/>
    </w:pPr>
    <w:rPr>
      <w:rFonts w:ascii="宋体" w:hAnsi="宋体" w:cs="宋体"/>
      <w:b/>
      <w:bCs/>
      <w:color w:val="000000"/>
      <w:kern w:val="0"/>
      <w:sz w:val="21"/>
    </w:rPr>
  </w:style>
  <w:style w:type="paragraph" w:customStyle="1" w:styleId="249">
    <w:name w:val="font13"/>
    <w:basedOn w:val="1"/>
    <w:autoRedefine/>
    <w:qFormat/>
    <w:uiPriority w:val="0"/>
    <w:pPr>
      <w:widowControl/>
      <w:spacing w:before="100" w:beforeAutospacing="1" w:after="100" w:afterAutospacing="1" w:line="240" w:lineRule="auto"/>
      <w:ind w:firstLine="0" w:firstLineChars="0"/>
      <w:jc w:val="left"/>
    </w:pPr>
    <w:rPr>
      <w:b/>
      <w:bCs/>
      <w:color w:val="000000"/>
      <w:kern w:val="0"/>
      <w:sz w:val="21"/>
    </w:rPr>
  </w:style>
  <w:style w:type="paragraph" w:customStyle="1" w:styleId="250">
    <w:name w:val="xl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51">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color w:val="000000"/>
      <w:kern w:val="0"/>
      <w:sz w:val="21"/>
    </w:rPr>
  </w:style>
  <w:style w:type="paragraph" w:customStyle="1" w:styleId="252">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color w:val="000000"/>
      <w:kern w:val="0"/>
      <w:sz w:val="21"/>
    </w:rPr>
  </w:style>
  <w:style w:type="paragraph" w:customStyle="1" w:styleId="253">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254">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255">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256">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57">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Cs w:val="24"/>
    </w:rPr>
  </w:style>
  <w:style w:type="paragraph" w:customStyle="1" w:styleId="258">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59">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260">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261">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1"/>
    </w:rPr>
  </w:style>
  <w:style w:type="paragraph" w:customStyle="1" w:styleId="262">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63">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264">
    <w:name w:val="xl77"/>
    <w:basedOn w:val="1"/>
    <w:autoRedefine/>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65">
    <w:name w:val="xl78"/>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66">
    <w:name w:val="xl79"/>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67">
    <w:name w:val="xl80"/>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68">
    <w:name w:val="xl81"/>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color w:val="000000"/>
      <w:kern w:val="0"/>
      <w:sz w:val="21"/>
    </w:rPr>
  </w:style>
  <w:style w:type="paragraph" w:customStyle="1" w:styleId="269">
    <w:name w:val="xl82"/>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color w:val="000000"/>
      <w:kern w:val="0"/>
      <w:sz w:val="21"/>
    </w:rPr>
  </w:style>
  <w:style w:type="paragraph" w:customStyle="1" w:styleId="270">
    <w:name w:val="xl83"/>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1">
    <w:name w:val="xl84"/>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2">
    <w:name w:val="xl85"/>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273">
    <w:name w:val="xl86"/>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274">
    <w:name w:val="xl87"/>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275">
    <w:name w:val="xl88"/>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276">
    <w:name w:val="xl89"/>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7">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278">
    <w:name w:val="xl91"/>
    <w:basedOn w:val="1"/>
    <w:autoRedefine/>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79">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kern w:val="0"/>
      <w:sz w:val="21"/>
    </w:rPr>
  </w:style>
  <w:style w:type="paragraph" w:customStyle="1" w:styleId="280">
    <w:name w:val="xl93"/>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81">
    <w:name w:val="xl94"/>
    <w:basedOn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240" w:lineRule="auto"/>
      <w:ind w:firstLine="0" w:firstLineChars="0"/>
      <w:jc w:val="center"/>
    </w:pPr>
    <w:rPr>
      <w:color w:val="000000"/>
      <w:kern w:val="0"/>
      <w:sz w:val="21"/>
    </w:rPr>
  </w:style>
  <w:style w:type="paragraph" w:customStyle="1" w:styleId="282">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83">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1"/>
    </w:rPr>
  </w:style>
  <w:style w:type="paragraph" w:customStyle="1" w:styleId="284">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b/>
      <w:bCs/>
      <w:kern w:val="0"/>
      <w:sz w:val="21"/>
    </w:rPr>
  </w:style>
  <w:style w:type="paragraph" w:customStyle="1" w:styleId="285">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1"/>
    </w:rPr>
  </w:style>
  <w:style w:type="paragraph" w:customStyle="1" w:styleId="286">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Cs w:val="24"/>
    </w:rPr>
  </w:style>
  <w:style w:type="paragraph" w:customStyle="1" w:styleId="287">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1"/>
    </w:rPr>
  </w:style>
  <w:style w:type="paragraph" w:customStyle="1" w:styleId="288">
    <w:name w:val="xl10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Cs w:val="24"/>
    </w:rPr>
  </w:style>
  <w:style w:type="table" w:customStyle="1" w:styleId="289">
    <w:name w:val="网格型4"/>
    <w:basedOn w:val="41"/>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0">
    <w:name w:val="表名 Char"/>
    <w:link w:val="238"/>
    <w:autoRedefine/>
    <w:qFormat/>
    <w:uiPriority w:val="0"/>
    <w:rPr>
      <w:b/>
      <w:kern w:val="2"/>
      <w:sz w:val="21"/>
      <w:szCs w:val="21"/>
    </w:rPr>
  </w:style>
  <w:style w:type="paragraph" w:customStyle="1" w:styleId="291">
    <w:name w:val="正文文本1"/>
    <w:basedOn w:val="1"/>
    <w:autoRedefine/>
    <w:qFormat/>
    <w:uiPriority w:val="0"/>
    <w:rPr>
      <w:rFonts w:ascii="宋体" w:hAnsi="Calibri"/>
      <w:kern w:val="0"/>
      <w:szCs w:val="32"/>
    </w:rPr>
  </w:style>
  <w:style w:type="table" w:customStyle="1" w:styleId="292">
    <w:name w:val="样式31"/>
    <w:basedOn w:val="41"/>
    <w:autoRedefine/>
    <w:qFormat/>
    <w:uiPriority w:val="99"/>
    <w:rPr>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tcPr>
        <w:shd w:val="clear" w:color="auto" w:fill="D8D8D8" w:themeFill="background1" w:themeFillShade="D9"/>
      </w:tcPr>
    </w:tblStylePr>
  </w:style>
  <w:style w:type="character" w:customStyle="1" w:styleId="293">
    <w:name w:val="图名 Char"/>
    <w:link w:val="222"/>
    <w:autoRedefine/>
    <w:qFormat/>
    <w:uiPriority w:val="0"/>
    <w:rPr>
      <w:rFonts w:ascii="宋体" w:hAnsi="宋体"/>
      <w:b/>
      <w:kern w:val="2"/>
      <w:sz w:val="21"/>
      <w:szCs w:val="24"/>
    </w:rPr>
  </w:style>
  <w:style w:type="paragraph" w:customStyle="1" w:styleId="294">
    <w:name w:val="表格后首段正文"/>
    <w:basedOn w:val="1"/>
    <w:link w:val="295"/>
    <w:autoRedefine/>
    <w:qFormat/>
    <w:uiPriority w:val="0"/>
    <w:pPr>
      <w:adjustRightInd w:val="0"/>
      <w:snapToGrid w:val="0"/>
      <w:spacing w:before="70" w:beforeLines="70"/>
    </w:pPr>
    <w:rPr>
      <w:rFonts w:cstheme="minorBidi"/>
    </w:rPr>
  </w:style>
  <w:style w:type="character" w:customStyle="1" w:styleId="295">
    <w:name w:val="表格后首段正文 字符"/>
    <w:basedOn w:val="43"/>
    <w:link w:val="294"/>
    <w:autoRedefine/>
    <w:qFormat/>
    <w:uiPriority w:val="0"/>
    <w:rPr>
      <w:rFonts w:cstheme="minorBidi"/>
      <w:kern w:val="2"/>
      <w:sz w:val="24"/>
      <w:szCs w:val="21"/>
    </w:rPr>
  </w:style>
  <w:style w:type="table" w:customStyle="1" w:styleId="296">
    <w:name w:val="方案模板样式"/>
    <w:basedOn w:val="41"/>
    <w:autoRedefine/>
    <w:qFormat/>
    <w:uiPriority w:val="99"/>
    <w:pPr>
      <w:jc w:val="center"/>
    </w:pPr>
    <w:rPr>
      <w:rFonts w:ascii="Calibri" w:hAnsi="Calibri"/>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ascii="Times New Roman" w:hAnsi="Times New Roman" w:eastAsia="宋体"/>
        <w:b/>
        <w:sz w:val="21"/>
      </w:rPr>
      <w:tcPr>
        <w:shd w:val="clear" w:color="auto" w:fill="D8D8D8" w:themeFill="background1" w:themeFillShade="D9"/>
      </w:tcPr>
    </w:tblStylePr>
  </w:style>
  <w:style w:type="paragraph" w:customStyle="1" w:styleId="297">
    <w:name w:val="仙新图表"/>
    <w:basedOn w:val="1"/>
    <w:next w:val="1"/>
    <w:autoRedefine/>
    <w:qFormat/>
    <w:uiPriority w:val="0"/>
    <w:pPr>
      <w:adjustRightInd w:val="0"/>
      <w:snapToGrid w:val="0"/>
      <w:ind w:firstLine="0" w:firstLineChars="0"/>
      <w:jc w:val="center"/>
    </w:pPr>
    <w:rPr>
      <w:rFonts w:cstheme="minorBidi"/>
      <w:b/>
    </w:rPr>
  </w:style>
  <w:style w:type="paragraph" w:customStyle="1" w:styleId="298">
    <w:name w:val="xl102"/>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299">
    <w:name w:val="xl103"/>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00">
    <w:name w:val="xl104"/>
    <w:basedOn w:val="1"/>
    <w:autoRedefine/>
    <w:qFormat/>
    <w:uiPriority w:val="0"/>
    <w:pPr>
      <w:widowControl/>
      <w:pBdr>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01">
    <w:name w:val="xl105"/>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02">
    <w:name w:val="xl106"/>
    <w:basedOn w:val="1"/>
    <w:autoRedefine/>
    <w:qFormat/>
    <w:uiPriority w:val="0"/>
    <w:pPr>
      <w:widowControl/>
      <w:pBdr>
        <w:top w:val="single" w:color="auto" w:sz="8" w:space="0"/>
        <w:left w:val="single" w:color="auto" w:sz="8" w:space="0"/>
        <w:right w:val="single" w:color="auto" w:sz="12" w:space="0"/>
      </w:pBdr>
      <w:spacing w:before="100" w:beforeAutospacing="1" w:after="100" w:afterAutospacing="1" w:line="240" w:lineRule="auto"/>
      <w:ind w:firstLine="0" w:firstLineChars="0"/>
      <w:jc w:val="center"/>
    </w:pPr>
    <w:rPr>
      <w:kern w:val="0"/>
      <w:sz w:val="21"/>
    </w:rPr>
  </w:style>
  <w:style w:type="paragraph" w:customStyle="1" w:styleId="303">
    <w:name w:val="xl107"/>
    <w:basedOn w:val="1"/>
    <w:autoRedefine/>
    <w:qFormat/>
    <w:uiPriority w:val="0"/>
    <w:pPr>
      <w:widowControl/>
      <w:pBdr>
        <w:left w:val="single" w:color="auto" w:sz="8" w:space="0"/>
        <w:right w:val="single" w:color="auto" w:sz="12" w:space="0"/>
      </w:pBdr>
      <w:spacing w:before="100" w:beforeAutospacing="1" w:after="100" w:afterAutospacing="1" w:line="240" w:lineRule="auto"/>
      <w:ind w:firstLine="0" w:firstLineChars="0"/>
      <w:jc w:val="center"/>
    </w:pPr>
    <w:rPr>
      <w:kern w:val="0"/>
      <w:sz w:val="21"/>
    </w:rPr>
  </w:style>
  <w:style w:type="paragraph" w:customStyle="1" w:styleId="304">
    <w:name w:val="xl108"/>
    <w:basedOn w:val="1"/>
    <w:autoRedefine/>
    <w:qFormat/>
    <w:uiPriority w:val="0"/>
    <w:pPr>
      <w:widowControl/>
      <w:pBdr>
        <w:left w:val="single" w:color="auto" w:sz="8" w:space="0"/>
        <w:bottom w:val="single" w:color="auto" w:sz="12" w:space="0"/>
        <w:right w:val="single" w:color="auto" w:sz="12" w:space="0"/>
      </w:pBdr>
      <w:spacing w:before="100" w:beforeAutospacing="1" w:after="100" w:afterAutospacing="1" w:line="240" w:lineRule="auto"/>
      <w:ind w:firstLine="0" w:firstLineChars="0"/>
      <w:jc w:val="center"/>
    </w:pPr>
    <w:rPr>
      <w:kern w:val="0"/>
      <w:sz w:val="21"/>
    </w:rPr>
  </w:style>
  <w:style w:type="paragraph" w:customStyle="1" w:styleId="305">
    <w:name w:val="xl109"/>
    <w:basedOn w:val="1"/>
    <w:autoRedefine/>
    <w:qFormat/>
    <w:uiPriority w:val="0"/>
    <w:pPr>
      <w:widowControl/>
      <w:pBdr>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306">
    <w:name w:val="xl110"/>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307">
    <w:name w:val="xl111"/>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308">
    <w:name w:val="xl112"/>
    <w:basedOn w:val="1"/>
    <w:autoRedefine/>
    <w:qFormat/>
    <w:uiPriority w:val="0"/>
    <w:pPr>
      <w:widowControl/>
      <w:pBdr>
        <w:top w:val="single" w:color="auto" w:sz="12" w:space="0"/>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1"/>
    </w:rPr>
  </w:style>
  <w:style w:type="paragraph" w:customStyle="1" w:styleId="309">
    <w:name w:val="xl113"/>
    <w:basedOn w:val="1"/>
    <w:autoRedefine/>
    <w:qFormat/>
    <w:uiPriority w:val="0"/>
    <w:pPr>
      <w:widowControl/>
      <w:pBdr>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1"/>
    </w:rPr>
  </w:style>
  <w:style w:type="paragraph" w:customStyle="1" w:styleId="310">
    <w:name w:val="xl114"/>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1"/>
    </w:rPr>
  </w:style>
  <w:style w:type="paragraph" w:customStyle="1" w:styleId="311">
    <w:name w:val="列出段落1"/>
    <w:basedOn w:val="1"/>
    <w:autoRedefine/>
    <w:qFormat/>
    <w:uiPriority w:val="0"/>
    <w:pPr>
      <w:widowControl/>
      <w:spacing w:after="200" w:line="276" w:lineRule="auto"/>
      <w:ind w:firstLine="420"/>
      <w:jc w:val="left"/>
    </w:pPr>
    <w:rPr>
      <w:rFonts w:ascii="Arial Unicode MS" w:hAnsi="Arial Unicode MS"/>
      <w:kern w:val="0"/>
      <w:sz w:val="22"/>
      <w:szCs w:val="22"/>
      <w:lang w:eastAsia="en-US" w:bidi="en-US"/>
    </w:rPr>
  </w:style>
  <w:style w:type="paragraph" w:customStyle="1" w:styleId="312">
    <w:name w:val="仙新表格"/>
    <w:basedOn w:val="1"/>
    <w:next w:val="1"/>
    <w:link w:val="313"/>
    <w:autoRedefine/>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 w:type="character" w:customStyle="1" w:styleId="313">
    <w:name w:val="仙新表格 字符"/>
    <w:basedOn w:val="43"/>
    <w:link w:val="312"/>
    <w:autoRedefine/>
    <w:qFormat/>
    <w:uiPriority w:val="0"/>
    <w:rPr>
      <w:rFonts w:cstheme="minorBidi"/>
      <w:color w:val="000000" w:themeColor="text1"/>
      <w:kern w:val="2"/>
      <w:sz w:val="21"/>
      <w:szCs w:val="21"/>
      <w14:textFill>
        <w14:solidFill>
          <w14:schemeClr w14:val="tx1"/>
        </w14:solidFill>
      </w14:textFill>
    </w:rPr>
  </w:style>
  <w:style w:type="table" w:customStyle="1" w:styleId="314">
    <w:name w:val="网格表 1 浅色 - 着色 11"/>
    <w:basedOn w:val="41"/>
    <w:autoRedefine/>
    <w:qFormat/>
    <w:uiPriority w:val="46"/>
    <w:rPr>
      <w:rFonts w:asciiTheme="minorHAnsi" w:hAnsiTheme="minorHAnsi" w:eastAsiaTheme="minorEastAsia" w:cstheme="minorBidi"/>
      <w:kern w:val="2"/>
      <w:sz w:val="21"/>
      <w:szCs w:val="22"/>
    </w:rPr>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character" w:customStyle="1" w:styleId="315">
    <w:name w:val="正文缩进 字符"/>
    <w:link w:val="12"/>
    <w:autoRedefine/>
    <w:qFormat/>
    <w:uiPriority w:val="0"/>
    <w:rPr>
      <w:rFonts w:ascii="Calibri" w:hAnsi="Calibri"/>
      <w:kern w:val="2"/>
      <w:sz w:val="24"/>
      <w:szCs w:val="22"/>
    </w:rPr>
  </w:style>
  <w:style w:type="paragraph" w:customStyle="1" w:styleId="316">
    <w:name w:val="Char Char Char Char Char Char Char1"/>
    <w:basedOn w:val="14"/>
    <w:autoRedefine/>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table" w:customStyle="1" w:styleId="317">
    <w:name w:val="k网格型1"/>
    <w:basedOn w:val="41"/>
    <w:autoRedefine/>
    <w:qFormat/>
    <w:uiPriority w:val="59"/>
    <w:pPr>
      <w:jc w:val="center"/>
    </w:pPr>
    <w:rPr>
      <w:kern w:val="2"/>
      <w:sz w:val="21"/>
      <w:szCs w:val="22"/>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tblStylePr w:type="firstRow">
      <w:rPr>
        <w:b/>
      </w:rPr>
    </w:tblStylePr>
  </w:style>
  <w:style w:type="paragraph" w:customStyle="1" w:styleId="318">
    <w:name w:val="列出段落2"/>
    <w:basedOn w:val="1"/>
    <w:autoRedefine/>
    <w:qFormat/>
    <w:uiPriority w:val="34"/>
    <w:pPr>
      <w:ind w:firstLine="420"/>
    </w:pPr>
    <w:rPr>
      <w:rFonts w:ascii="宋体" w:hAnsi="Calibri"/>
      <w:szCs w:val="22"/>
    </w:rPr>
  </w:style>
  <w:style w:type="paragraph" w:customStyle="1" w:styleId="319">
    <w:name w:val="Char Char Char Char Char Char Char2"/>
    <w:basedOn w:val="14"/>
    <w:autoRedefine/>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table" w:customStyle="1" w:styleId="320">
    <w:name w:val="网格表 4 - 着色 111"/>
    <w:basedOn w:val="41"/>
    <w:autoRedefine/>
    <w:qFormat/>
    <w:uiPriority w:val="49"/>
    <w:rPr>
      <w:rFonts w:ascii="Calibri" w:hAnsi="Calibri"/>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21">
    <w:name w:val="方案模板样式1"/>
    <w:basedOn w:val="41"/>
    <w:autoRedefine/>
    <w:qFormat/>
    <w:uiPriority w:val="99"/>
    <w:pPr>
      <w:jc w:val="center"/>
    </w:pPr>
    <w:rPr>
      <w:rFonts w:ascii="Calibri" w:hAnsi="Calibr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hint="default" w:ascii="Times New Roman" w:hAnsi="Times New Roman" w:eastAsia="宋体" w:cs="Times New Roman"/>
        <w:b/>
        <w:sz w:val="21"/>
        <w:szCs w:val="21"/>
      </w:rPr>
      <w:tcPr>
        <w:shd w:val="clear" w:color="auto" w:fill="D8D8D8" w:themeFill="background1" w:themeFillShade="D9"/>
      </w:tcPr>
    </w:tblStylePr>
  </w:style>
  <w:style w:type="table" w:customStyle="1" w:styleId="322">
    <w:name w:val="571"/>
    <w:autoRedefine/>
    <w:qFormat/>
    <w:uiPriority w:val="0"/>
    <w:pPr>
      <w:widowControl w:val="0"/>
      <w:autoSpaceDE w:val="0"/>
      <w:autoSpaceDN w:val="0"/>
      <w:adjustRightInd w:val="0"/>
    </w:pPr>
    <w:rPr>
      <w:sz w:val="24"/>
      <w:szCs w:val="24"/>
    </w:rPr>
    <w:tblP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top w:w="0" w:type="dxa"/>
        <w:left w:w="57" w:type="dxa"/>
        <w:bottom w:w="0" w:type="dxa"/>
        <w:right w:w="57" w:type="dxa"/>
      </w:tblCellMar>
    </w:tblPr>
    <w:tcPr>
      <w:vAlign w:val="center"/>
    </w:tcPr>
    <w:tblStylePr w:type="firstRow">
      <w:rPr>
        <w:b/>
      </w:rPr>
    </w:tblStylePr>
  </w:style>
  <w:style w:type="paragraph" w:customStyle="1" w:styleId="323">
    <w:name w:val="新生正文"/>
    <w:basedOn w:val="1"/>
    <w:link w:val="324"/>
    <w:autoRedefine/>
    <w:qFormat/>
    <w:uiPriority w:val="0"/>
    <w:pPr>
      <w:adjustRightInd w:val="0"/>
      <w:jc w:val="left"/>
    </w:pPr>
    <w:rPr>
      <w:szCs w:val="28"/>
      <w:lang w:bidi="en-US"/>
    </w:rPr>
  </w:style>
  <w:style w:type="character" w:customStyle="1" w:styleId="324">
    <w:name w:val="新生正文 Char"/>
    <w:link w:val="323"/>
    <w:autoRedefine/>
    <w:qFormat/>
    <w:locked/>
    <w:uiPriority w:val="0"/>
    <w:rPr>
      <w:kern w:val="2"/>
      <w:sz w:val="24"/>
      <w:szCs w:val="28"/>
      <w:lang w:bidi="en-US"/>
    </w:rPr>
  </w:style>
  <w:style w:type="paragraph" w:customStyle="1" w:styleId="325">
    <w:name w:val="Table Paragraph"/>
    <w:basedOn w:val="1"/>
    <w:autoRedefine/>
    <w:qFormat/>
    <w:uiPriority w:val="1"/>
    <w:pPr>
      <w:jc w:val="center"/>
    </w:pPr>
    <w:rPr>
      <w:rFonts w:ascii="宋体" w:hAnsi="宋体" w:cs="宋体"/>
    </w:rPr>
  </w:style>
  <w:style w:type="paragraph" w:customStyle="1" w:styleId="326">
    <w:name w:val="燕矶表格文字"/>
    <w:basedOn w:val="1"/>
    <w:link w:val="327"/>
    <w:autoRedefine/>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 w:type="character" w:customStyle="1" w:styleId="327">
    <w:name w:val="燕矶表格文字 字符"/>
    <w:basedOn w:val="43"/>
    <w:link w:val="326"/>
    <w:autoRedefine/>
    <w:qFormat/>
    <w:uiPriority w:val="0"/>
    <w:rPr>
      <w:rFonts w:cstheme="minorBidi"/>
      <w:color w:val="000000" w:themeColor="text1"/>
      <w:kern w:val="2"/>
      <w:sz w:val="21"/>
      <w:szCs w:val="21"/>
      <w14:textFill>
        <w14:solidFill>
          <w14:schemeClr w14:val="tx1"/>
        </w14:solidFill>
      </w14:textFill>
    </w:rPr>
  </w:style>
  <w:style w:type="character" w:customStyle="1" w:styleId="328">
    <w:name w:val="正文文本缩进 字符"/>
    <w:basedOn w:val="43"/>
    <w:link w:val="18"/>
    <w:autoRedefine/>
    <w:qFormat/>
    <w:uiPriority w:val="0"/>
    <w:rPr>
      <w:color w:val="000000"/>
      <w:kern w:val="2"/>
      <w:sz w:val="28"/>
      <w:szCs w:val="24"/>
    </w:rPr>
  </w:style>
  <w:style w:type="character" w:customStyle="1" w:styleId="329">
    <w:name w:val="正文文本首行缩进 2 字符"/>
    <w:basedOn w:val="328"/>
    <w:link w:val="40"/>
    <w:autoRedefine/>
    <w:qFormat/>
    <w:uiPriority w:val="0"/>
    <w:rPr>
      <w:color w:val="000000"/>
      <w:kern w:val="2"/>
      <w:sz w:val="24"/>
      <w:szCs w:val="24"/>
    </w:rPr>
  </w:style>
  <w:style w:type="paragraph" w:customStyle="1" w:styleId="330">
    <w:name w:val="燕矶图表名"/>
    <w:basedOn w:val="1"/>
    <w:next w:val="1"/>
    <w:autoRedefine/>
    <w:qFormat/>
    <w:uiPriority w:val="0"/>
    <w:pPr>
      <w:spacing w:line="240" w:lineRule="auto"/>
      <w:ind w:firstLine="0" w:firstLineChars="0"/>
      <w:jc w:val="center"/>
    </w:pPr>
    <w:rPr>
      <w:rFonts w:hint="eastAsia"/>
      <w:b/>
      <w:bCs/>
      <w:color w:val="000000" w:themeColor="text1"/>
      <w:sz w:val="21"/>
      <w14:textFill>
        <w14:solidFill>
          <w14:schemeClr w14:val="tx1"/>
        </w14:solidFill>
      </w14:textFill>
    </w:rPr>
  </w:style>
  <w:style w:type="paragraph" w:customStyle="1" w:styleId="331">
    <w:name w:val="正文文本缩进3"/>
    <w:basedOn w:val="1"/>
    <w:autoRedefine/>
    <w:qFormat/>
    <w:uiPriority w:val="99"/>
    <w:pPr>
      <w:adjustRightInd w:val="0"/>
      <w:snapToGrid w:val="0"/>
      <w:spacing w:after="120"/>
      <w:ind w:left="420" w:leftChars="200"/>
      <w:jc w:val="left"/>
    </w:pPr>
    <w:rPr>
      <w:rFonts w:ascii="Calibri" w:hAnsi="Calibri"/>
      <w:sz w:val="21"/>
      <w:szCs w:val="24"/>
    </w:rPr>
  </w:style>
  <w:style w:type="paragraph" w:customStyle="1" w:styleId="332">
    <w:name w:val="Char Char Char Char Char Char Char4"/>
    <w:basedOn w:val="14"/>
    <w:autoRedefine/>
    <w:qFormat/>
    <w:uiPriority w:val="0"/>
    <w:pPr>
      <w:shd w:val="clear" w:color="auto" w:fill="000080"/>
      <w:adjustRightInd w:val="0"/>
      <w:snapToGrid w:val="0"/>
      <w:spacing w:line="436" w:lineRule="exact"/>
      <w:ind w:left="357" w:firstLine="883"/>
      <w:jc w:val="left"/>
      <w:outlineLvl w:val="3"/>
    </w:pPr>
    <w:rPr>
      <w:rFonts w:ascii="Tahoma" w:hAnsi="Tahoma" w:eastAsia="宋体"/>
      <w:b/>
      <w:sz w:val="24"/>
      <w:szCs w:val="24"/>
    </w:rPr>
  </w:style>
  <w:style w:type="paragraph" w:customStyle="1" w:styleId="333">
    <w:name w:val="Char Char Char Char Char Char Char3"/>
    <w:basedOn w:val="14"/>
    <w:autoRedefine/>
    <w:qFormat/>
    <w:uiPriority w:val="0"/>
    <w:pPr>
      <w:shd w:val="clear" w:color="auto" w:fill="000080"/>
      <w:adjustRightInd w:val="0"/>
      <w:snapToGrid w:val="0"/>
      <w:spacing w:line="436" w:lineRule="exact"/>
      <w:ind w:left="357" w:firstLine="883"/>
      <w:jc w:val="left"/>
      <w:outlineLvl w:val="3"/>
    </w:pPr>
    <w:rPr>
      <w:rFonts w:ascii="Tahoma" w:hAnsi="Tahoma" w:eastAsia="宋体"/>
      <w:b/>
      <w:sz w:val="24"/>
      <w:szCs w:val="24"/>
    </w:rPr>
  </w:style>
  <w:style w:type="character" w:customStyle="1" w:styleId="334">
    <w:name w:val="图表文字 字符"/>
    <w:link w:val="219"/>
    <w:autoRedefine/>
    <w:qFormat/>
    <w:uiPriority w:val="0"/>
    <w:rPr>
      <w:rFonts w:ascii="宋体" w:hAnsi="宋体"/>
      <w:kern w:val="2"/>
      <w:sz w:val="22"/>
      <w:szCs w:val="21"/>
      <w:lang w:val="zh-CN"/>
    </w:rPr>
  </w:style>
  <w:style w:type="paragraph" w:customStyle="1" w:styleId="335">
    <w:name w:val="标正文"/>
    <w:basedOn w:val="1"/>
    <w:link w:val="336"/>
    <w:autoRedefine/>
    <w:qFormat/>
    <w:uiPriority w:val="0"/>
    <w:rPr>
      <w:rFonts w:cstheme="minorBidi"/>
      <w:szCs w:val="22"/>
    </w:rPr>
  </w:style>
  <w:style w:type="character" w:customStyle="1" w:styleId="336">
    <w:name w:val="标正文 Char"/>
    <w:basedOn w:val="43"/>
    <w:link w:val="335"/>
    <w:autoRedefine/>
    <w:qFormat/>
    <w:uiPriority w:val="0"/>
    <w:rPr>
      <w:rFonts w:cstheme="minorBidi"/>
      <w:kern w:val="2"/>
      <w:sz w:val="24"/>
      <w:szCs w:val="22"/>
    </w:rPr>
  </w:style>
  <w:style w:type="paragraph" w:customStyle="1" w:styleId="337">
    <w:name w:val="正文文本C"/>
    <w:basedOn w:val="1"/>
    <w:autoRedefine/>
    <w:qFormat/>
    <w:uiPriority w:val="0"/>
    <w:pPr>
      <w:widowControl/>
      <w:adjustRightInd w:val="0"/>
      <w:snapToGrid w:val="0"/>
      <w:jc w:val="left"/>
    </w:pPr>
    <w:rPr>
      <w:rFonts w:ascii="宋体" w:hAnsi="宋体" w:cs="宋体"/>
      <w:kern w:val="0"/>
      <w:szCs w:val="24"/>
    </w:rPr>
  </w:style>
  <w:style w:type="paragraph" w:customStyle="1" w:styleId="338">
    <w:name w:val="msolistparagraph"/>
    <w:basedOn w:val="1"/>
    <w:autoRedefine/>
    <w:qFormat/>
    <w:uiPriority w:val="0"/>
    <w:pPr>
      <w:adjustRightInd w:val="0"/>
      <w:snapToGrid w:val="0"/>
      <w:ind w:firstLine="420"/>
    </w:pPr>
    <w:rPr>
      <w:rFonts w:hint="eastAsia" w:ascii="等线" w:hAnsi="等线" w:eastAsia="仿宋"/>
      <w:sz w:val="21"/>
      <w:szCs w:val="22"/>
    </w:rPr>
  </w:style>
  <w:style w:type="character" w:customStyle="1" w:styleId="339">
    <w:name w:val="标题 2 Char"/>
    <w:autoRedefine/>
    <w:qFormat/>
    <w:uiPriority w:val="9"/>
    <w:rPr>
      <w:rFonts w:ascii="Times New Roman" w:hAnsi="Times New Roman" w:eastAsia="宋体"/>
      <w:b/>
      <w:bCs/>
      <w:sz w:val="30"/>
      <w:szCs w:val="32"/>
    </w:rPr>
  </w:style>
  <w:style w:type="character" w:customStyle="1" w:styleId="340">
    <w:name w:val="标题 4 Char"/>
    <w:autoRedefine/>
    <w:qFormat/>
    <w:uiPriority w:val="99"/>
    <w:rPr>
      <w:rFonts w:ascii="Times New Roman" w:hAnsi="Times New Roman" w:eastAsia="宋体" w:cs="Times New Roman"/>
      <w:b/>
      <w:bCs/>
      <w:kern w:val="2"/>
      <w:sz w:val="24"/>
      <w:szCs w:val="28"/>
    </w:rPr>
  </w:style>
  <w:style w:type="character" w:customStyle="1" w:styleId="341">
    <w:name w:val="Char Char1"/>
    <w:autoRedefine/>
    <w:qFormat/>
    <w:uiPriority w:val="0"/>
    <w:rPr>
      <w:rFonts w:eastAsia="宋体"/>
      <w:kern w:val="2"/>
      <w:sz w:val="18"/>
      <w:szCs w:val="18"/>
      <w:lang w:val="en-US" w:eastAsia="zh-CN" w:bidi="ar-SA"/>
    </w:rPr>
  </w:style>
  <w:style w:type="character" w:customStyle="1" w:styleId="342">
    <w:name w:val="fontstyle21"/>
    <w:basedOn w:val="43"/>
    <w:autoRedefine/>
    <w:qFormat/>
    <w:uiPriority w:val="0"/>
    <w:rPr>
      <w:rFonts w:hint="eastAsia" w:ascii="宋体" w:hAnsi="宋体" w:eastAsia="宋体"/>
      <w:color w:val="000000"/>
      <w:sz w:val="24"/>
      <w:szCs w:val="24"/>
    </w:rPr>
  </w:style>
  <w:style w:type="character" w:customStyle="1" w:styleId="343">
    <w:name w:val="Char Char2"/>
    <w:autoRedefine/>
    <w:qFormat/>
    <w:uiPriority w:val="0"/>
    <w:rPr>
      <w:rFonts w:ascii="仿宋_GB2312" w:eastAsia="仿宋_GB2312"/>
      <w:kern w:val="2"/>
      <w:sz w:val="21"/>
      <w:szCs w:val="21"/>
    </w:rPr>
  </w:style>
  <w:style w:type="paragraph" w:customStyle="1" w:styleId="344">
    <w:name w:val="表格、图名"/>
    <w:basedOn w:val="1"/>
    <w:link w:val="345"/>
    <w:autoRedefine/>
    <w:qFormat/>
    <w:uiPriority w:val="0"/>
    <w:pPr>
      <w:adjustRightInd w:val="0"/>
      <w:snapToGrid w:val="0"/>
      <w:ind w:firstLine="883"/>
      <w:jc w:val="center"/>
    </w:pPr>
    <w:rPr>
      <w:rFonts w:ascii="宋体" w:hAnsi="宋体" w:eastAsia="仿宋_GB2312" w:cs="宋体"/>
      <w:b/>
      <w:color w:val="0000FF"/>
      <w:kern w:val="0"/>
      <w:szCs w:val="24"/>
    </w:rPr>
  </w:style>
  <w:style w:type="character" w:customStyle="1" w:styleId="345">
    <w:name w:val="表格、图名 Char"/>
    <w:link w:val="344"/>
    <w:autoRedefine/>
    <w:qFormat/>
    <w:uiPriority w:val="0"/>
    <w:rPr>
      <w:rFonts w:ascii="宋体" w:hAnsi="宋体" w:eastAsia="仿宋_GB2312" w:cs="宋体"/>
      <w:b/>
      <w:color w:val="0000FF"/>
      <w:sz w:val="24"/>
      <w:szCs w:val="24"/>
    </w:rPr>
  </w:style>
  <w:style w:type="character" w:customStyle="1" w:styleId="346">
    <w:name w:val="正文 Char"/>
    <w:autoRedefine/>
    <w:qFormat/>
    <w:uiPriority w:val="0"/>
    <w:rPr>
      <w:rFonts w:cs="Times New Roman"/>
      <w:sz w:val="24"/>
      <w:lang w:val="en-US" w:eastAsia="zh-CN" w:bidi="ar-SA"/>
    </w:rPr>
  </w:style>
  <w:style w:type="character" w:customStyle="1" w:styleId="347">
    <w:name w:val="HT正文 Char"/>
    <w:link w:val="348"/>
    <w:autoRedefine/>
    <w:qFormat/>
    <w:uiPriority w:val="99"/>
    <w:rPr>
      <w:rFonts w:ascii="仿宋_GB2312" w:hAnsi="仿宋_GB2312" w:eastAsia="仿宋_GB2312"/>
      <w:kern w:val="28"/>
      <w:sz w:val="28"/>
      <w:szCs w:val="28"/>
    </w:rPr>
  </w:style>
  <w:style w:type="paragraph" w:customStyle="1" w:styleId="348">
    <w:name w:val="HT正文"/>
    <w:basedOn w:val="1"/>
    <w:link w:val="347"/>
    <w:autoRedefine/>
    <w:qFormat/>
    <w:uiPriority w:val="99"/>
    <w:pPr>
      <w:adjustRightInd w:val="0"/>
      <w:snapToGrid w:val="0"/>
      <w:spacing w:line="460" w:lineRule="exact"/>
      <w:jc w:val="left"/>
    </w:pPr>
    <w:rPr>
      <w:rFonts w:ascii="仿宋_GB2312" w:hAnsi="仿宋_GB2312" w:eastAsia="仿宋_GB2312"/>
      <w:kern w:val="28"/>
      <w:sz w:val="28"/>
      <w:szCs w:val="28"/>
    </w:rPr>
  </w:style>
  <w:style w:type="paragraph" w:customStyle="1" w:styleId="349">
    <w:name w:val="！正文"/>
    <w:autoRedefine/>
    <w:qFormat/>
    <w:uiPriority w:val="0"/>
    <w:pPr>
      <w:widowControl w:val="0"/>
      <w:spacing w:line="360" w:lineRule="auto"/>
      <w:ind w:firstLine="200" w:firstLineChars="200"/>
      <w:jc w:val="both"/>
      <w:textAlignment w:val="baseline"/>
    </w:pPr>
    <w:rPr>
      <w:rFonts w:ascii="Times New Roman" w:hAnsi="Times New Roman" w:eastAsia="仿宋_GB2312" w:cs="Times New Roman"/>
      <w:bCs/>
      <w:color w:val="000000"/>
      <w:sz w:val="24"/>
      <w:szCs w:val="28"/>
      <w:lang w:val="en-US" w:eastAsia="zh-CN" w:bidi="ar-SA"/>
    </w:rPr>
  </w:style>
  <w:style w:type="paragraph" w:customStyle="1" w:styleId="350">
    <w:name w:val="71表格五号"/>
    <w:basedOn w:val="1"/>
    <w:autoRedefine/>
    <w:qFormat/>
    <w:uiPriority w:val="0"/>
    <w:pPr>
      <w:adjustRightInd w:val="0"/>
      <w:snapToGrid w:val="0"/>
      <w:ind w:firstLine="883"/>
      <w:jc w:val="center"/>
    </w:pPr>
    <w:rPr>
      <w:rFonts w:ascii="宋体" w:hAnsi="宋体" w:cs="宋体"/>
      <w:snapToGrid w:val="0"/>
      <w:kern w:val="0"/>
    </w:rPr>
  </w:style>
  <w:style w:type="paragraph" w:customStyle="1" w:styleId="351">
    <w:name w:val="正文缩进0.88"/>
    <w:basedOn w:val="1"/>
    <w:autoRedefine/>
    <w:qFormat/>
    <w:uiPriority w:val="0"/>
    <w:pPr>
      <w:widowControl/>
      <w:adjustRightInd w:val="0"/>
      <w:snapToGrid w:val="0"/>
      <w:spacing w:line="440" w:lineRule="exact"/>
      <w:ind w:firstLine="499"/>
      <w:jc w:val="left"/>
    </w:pPr>
    <w:rPr>
      <w:rFonts w:ascii="宋体" w:hAnsi="宋体"/>
      <w:bCs/>
      <w:szCs w:val="22"/>
    </w:rPr>
  </w:style>
  <w:style w:type="paragraph" w:customStyle="1" w:styleId="352">
    <w:name w:val="样式 目录 1 + 行距: 固定值 20 磅"/>
    <w:basedOn w:val="28"/>
    <w:autoRedefine/>
    <w:qFormat/>
    <w:uiPriority w:val="0"/>
    <w:pPr>
      <w:tabs>
        <w:tab w:val="right" w:leader="dot" w:pos="8778"/>
      </w:tabs>
      <w:adjustRightInd w:val="0"/>
      <w:snapToGrid w:val="0"/>
      <w:spacing w:before="100" w:after="100"/>
      <w:jc w:val="both"/>
    </w:pPr>
    <w:rPr>
      <w:rFonts w:cs="宋体"/>
      <w:b/>
      <w:caps w:val="0"/>
      <w:sz w:val="21"/>
    </w:rPr>
  </w:style>
  <w:style w:type="paragraph" w:customStyle="1" w:styleId="353">
    <w:name w:val="正文C"/>
    <w:basedOn w:val="1"/>
    <w:link w:val="379"/>
    <w:autoRedefine/>
    <w:qFormat/>
    <w:uiPriority w:val="0"/>
    <w:pPr>
      <w:widowControl/>
      <w:adjustRightInd w:val="0"/>
      <w:snapToGrid w:val="0"/>
      <w:jc w:val="left"/>
    </w:pPr>
    <w:rPr>
      <w:rFonts w:ascii="宋体" w:hAnsi="宋体" w:cs="宋体"/>
      <w:color w:val="4F6228"/>
      <w:kern w:val="0"/>
      <w:szCs w:val="24"/>
    </w:rPr>
  </w:style>
  <w:style w:type="paragraph" w:customStyle="1" w:styleId="354">
    <w:name w:val="图表名1"/>
    <w:autoRedefine/>
    <w:qFormat/>
    <w:uiPriority w:val="1"/>
    <w:pPr>
      <w:widowControl w:val="0"/>
      <w:jc w:val="center"/>
    </w:pPr>
    <w:rPr>
      <w:rFonts w:ascii="Times New Roman" w:hAnsi="Times New Roman" w:eastAsia="仿宋" w:cs="Times New Roman"/>
      <w:kern w:val="2"/>
      <w:sz w:val="21"/>
      <w:szCs w:val="24"/>
      <w:lang w:val="en-US" w:eastAsia="zh-CN" w:bidi="ar-SA"/>
    </w:rPr>
  </w:style>
  <w:style w:type="paragraph" w:customStyle="1" w:styleId="355">
    <w:name w:val="k 表格文字"/>
    <w:basedOn w:val="1"/>
    <w:next w:val="1"/>
    <w:autoRedefine/>
    <w:qFormat/>
    <w:uiPriority w:val="0"/>
    <w:pPr>
      <w:adjustRightInd w:val="0"/>
      <w:snapToGrid w:val="0"/>
      <w:ind w:firstLine="883"/>
      <w:jc w:val="center"/>
    </w:pPr>
    <w:rPr>
      <w:rFonts w:ascii="仿宋_GB2312" w:eastAsia="仿宋_GB2312"/>
      <w:szCs w:val="22"/>
    </w:rPr>
  </w:style>
  <w:style w:type="paragraph" w:customStyle="1" w:styleId="356">
    <w:name w:val="表格小五"/>
    <w:basedOn w:val="1"/>
    <w:autoRedefine/>
    <w:qFormat/>
    <w:uiPriority w:val="0"/>
    <w:pPr>
      <w:adjustRightInd w:val="0"/>
      <w:snapToGrid w:val="0"/>
      <w:ind w:firstLine="883"/>
      <w:jc w:val="center"/>
    </w:pPr>
    <w:rPr>
      <w:rFonts w:ascii="宋体" w:hAnsi="宋体" w:cs="宋体"/>
      <w:snapToGrid w:val="0"/>
      <w:kern w:val="0"/>
      <w:sz w:val="18"/>
      <w:szCs w:val="18"/>
    </w:rPr>
  </w:style>
  <w:style w:type="paragraph" w:customStyle="1" w:styleId="357">
    <w:name w:val="样式 标题 3 + 加粗"/>
    <w:basedOn w:val="4"/>
    <w:next w:val="1"/>
    <w:autoRedefine/>
    <w:qFormat/>
    <w:uiPriority w:val="0"/>
    <w:pPr>
      <w:numPr>
        <w:ilvl w:val="0"/>
        <w:numId w:val="0"/>
      </w:numPr>
      <w:adjustRightInd w:val="0"/>
      <w:snapToGrid w:val="0"/>
      <w:spacing w:before="60" w:after="60" w:line="240" w:lineRule="auto"/>
    </w:pPr>
    <w:rPr>
      <w:color w:val="000000"/>
    </w:rPr>
  </w:style>
  <w:style w:type="paragraph" w:customStyle="1" w:styleId="358">
    <w:name w:val="!表内仿宋"/>
    <w:autoRedefine/>
    <w:qFormat/>
    <w:uiPriority w:val="0"/>
    <w:pPr>
      <w:widowControl w:val="0"/>
      <w:adjustRightInd w:val="0"/>
      <w:jc w:val="center"/>
      <w:textAlignment w:val="baseline"/>
    </w:pPr>
    <w:rPr>
      <w:rFonts w:ascii="Times New Roman" w:hAnsi="Times New Roman" w:eastAsia="仿宋_GB2312" w:cs="Times New Roman"/>
      <w:bCs/>
      <w:color w:val="000000"/>
      <w:sz w:val="21"/>
      <w:szCs w:val="28"/>
      <w:lang w:val="en-US" w:eastAsia="zh-CN" w:bidi="ar-SA"/>
    </w:rPr>
  </w:style>
  <w:style w:type="paragraph" w:customStyle="1" w:styleId="359">
    <w:name w:val="aa"/>
    <w:basedOn w:val="1"/>
    <w:autoRedefine/>
    <w:qFormat/>
    <w:uiPriority w:val="0"/>
    <w:pPr>
      <w:adjustRightInd w:val="0"/>
      <w:snapToGrid w:val="0"/>
      <w:ind w:firstLine="883"/>
    </w:pPr>
    <w:rPr>
      <w:szCs w:val="24"/>
    </w:rPr>
  </w:style>
  <w:style w:type="paragraph" w:customStyle="1" w:styleId="360">
    <w:name w:val="三级标题"/>
    <w:autoRedefine/>
    <w:qFormat/>
    <w:uiPriority w:val="0"/>
    <w:pPr>
      <w:tabs>
        <w:tab w:val="left" w:pos="709"/>
      </w:tabs>
      <w:spacing w:before="160" w:after="160" w:line="460" w:lineRule="exact"/>
      <w:outlineLvl w:val="2"/>
    </w:pPr>
    <w:rPr>
      <w:rFonts w:ascii="黑体" w:hAnsi="宋体" w:eastAsia="黑体" w:cs="Times New Roman"/>
      <w:kern w:val="2"/>
      <w:sz w:val="28"/>
      <w:szCs w:val="22"/>
      <w:lang w:val="en-US" w:eastAsia="zh-CN" w:bidi="ar-SA"/>
    </w:rPr>
  </w:style>
  <w:style w:type="paragraph" w:customStyle="1" w:styleId="361">
    <w:name w:val="澳氹图及题注"/>
    <w:basedOn w:val="1"/>
    <w:next w:val="1"/>
    <w:autoRedefine/>
    <w:qFormat/>
    <w:uiPriority w:val="0"/>
    <w:pPr>
      <w:adjustRightInd w:val="0"/>
      <w:snapToGrid w:val="0"/>
      <w:spacing w:line="300" w:lineRule="auto"/>
      <w:ind w:firstLine="883"/>
      <w:jc w:val="center"/>
    </w:pPr>
    <w:rPr>
      <w:b/>
      <w:szCs w:val="22"/>
    </w:rPr>
  </w:style>
  <w:style w:type="paragraph" w:customStyle="1" w:styleId="362">
    <w:name w:val="!正文仿小四"/>
    <w:basedOn w:val="1"/>
    <w:autoRedefine/>
    <w:qFormat/>
    <w:uiPriority w:val="0"/>
    <w:pPr>
      <w:adjustRightInd w:val="0"/>
      <w:snapToGrid w:val="0"/>
      <w:jc w:val="left"/>
    </w:pPr>
    <w:rPr>
      <w:rFonts w:ascii="Courier New" w:hAnsi="Courier New" w:eastAsia="Tahoma" w:cs="Courier New"/>
      <w:szCs w:val="24"/>
    </w:rPr>
  </w:style>
  <w:style w:type="paragraph" w:customStyle="1" w:styleId="363">
    <w:name w:val="i正文"/>
    <w:autoRedefine/>
    <w:qFormat/>
    <w:uiPriority w:val="0"/>
    <w:pPr>
      <w:topLinePunct/>
      <w:spacing w:line="500" w:lineRule="exact"/>
      <w:ind w:firstLine="200" w:firstLineChars="200"/>
      <w:textAlignment w:val="top"/>
    </w:pPr>
    <w:rPr>
      <w:rFonts w:ascii="仿宋_GB2312" w:hAnsi="宋体" w:eastAsia="仿宋_GB2312" w:cs="Times New Roman"/>
      <w:color w:val="000000"/>
      <w:sz w:val="24"/>
      <w:szCs w:val="24"/>
      <w:lang w:val="en-US" w:eastAsia="zh-CN" w:bidi="ar-SA"/>
    </w:rPr>
  </w:style>
  <w:style w:type="paragraph" w:customStyle="1" w:styleId="364">
    <w:name w:val="正文部分"/>
    <w:basedOn w:val="1"/>
    <w:autoRedefine/>
    <w:qFormat/>
    <w:uiPriority w:val="0"/>
    <w:pPr>
      <w:adjustRightInd w:val="0"/>
      <w:snapToGrid w:val="0"/>
    </w:pPr>
    <w:rPr>
      <w:rFonts w:eastAsia="仿宋_GB2312"/>
      <w:szCs w:val="24"/>
    </w:rPr>
  </w:style>
  <w:style w:type="paragraph" w:customStyle="1" w:styleId="365">
    <w:name w:val="样式 目录 1 + 行距: 固定值 20 磅1"/>
    <w:basedOn w:val="28"/>
    <w:autoRedefine/>
    <w:qFormat/>
    <w:uiPriority w:val="0"/>
    <w:pPr>
      <w:tabs>
        <w:tab w:val="right" w:leader="dot" w:pos="8778"/>
      </w:tabs>
      <w:adjustRightInd w:val="0"/>
      <w:snapToGrid w:val="0"/>
      <w:spacing w:before="100" w:after="100"/>
      <w:jc w:val="both"/>
    </w:pPr>
    <w:rPr>
      <w:rFonts w:cs="宋体"/>
      <w:b/>
      <w:caps w:val="0"/>
      <w:sz w:val="21"/>
    </w:rPr>
  </w:style>
  <w:style w:type="paragraph" w:customStyle="1" w:styleId="366">
    <w:name w:val="正文样式"/>
    <w:basedOn w:val="1"/>
    <w:autoRedefine/>
    <w:qFormat/>
    <w:uiPriority w:val="0"/>
    <w:pPr>
      <w:widowControl/>
      <w:adjustRightInd w:val="0"/>
      <w:snapToGrid w:val="0"/>
      <w:ind w:firstLine="883"/>
    </w:pPr>
    <w:rPr>
      <w:rFonts w:cs="宋体"/>
      <w:szCs w:val="24"/>
    </w:rPr>
  </w:style>
  <w:style w:type="paragraph" w:customStyle="1" w:styleId="367">
    <w:name w:val="正文首行缩进1"/>
    <w:autoRedefine/>
    <w:qFormat/>
    <w:uiPriority w:val="0"/>
    <w:pPr>
      <w:widowControl w:val="0"/>
      <w:autoSpaceDE w:val="0"/>
      <w:autoSpaceDN w:val="0"/>
      <w:adjustRightInd w:val="0"/>
      <w:spacing w:line="360" w:lineRule="auto"/>
      <w:ind w:firstLine="420" w:firstLineChars="100"/>
      <w:jc w:val="both"/>
    </w:pPr>
    <w:rPr>
      <w:rFonts w:ascii="Times New Roman" w:hAnsi="Times New Roman" w:eastAsia="宋体" w:cs="宋体"/>
      <w:sz w:val="18"/>
      <w:szCs w:val="28"/>
      <w:lang w:val="en-US" w:eastAsia="zh-CN" w:bidi="ar-SA"/>
    </w:rPr>
  </w:style>
  <w:style w:type="paragraph" w:customStyle="1" w:styleId="368">
    <w:name w:val="k正文"/>
    <w:basedOn w:val="1"/>
    <w:autoRedefine/>
    <w:qFormat/>
    <w:uiPriority w:val="0"/>
    <w:pPr>
      <w:adjustRightInd w:val="0"/>
      <w:snapToGrid w:val="0"/>
    </w:pPr>
    <w:rPr>
      <w:szCs w:val="24"/>
    </w:rPr>
  </w:style>
  <w:style w:type="table" w:customStyle="1" w:styleId="369">
    <w:name w:val="标准样式27"/>
    <w:basedOn w:val="41"/>
    <w:autoRedefine/>
    <w:qFormat/>
    <w:uiPriority w:val="99"/>
    <w:pPr>
      <w:jc w:val="center"/>
    </w:pPr>
    <w:tblPr>
      <w:jc w:val="cente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rPr>
      <w:jc w:val="center"/>
    </w:trPr>
    <w:tcPr>
      <w:shd w:val="clear" w:color="auto" w:fill="FFFFFF"/>
      <w:vAlign w:val="center"/>
    </w:tcPr>
    <w:tblStylePr w:type="firstRow">
      <w:rPr>
        <w:rFonts w:ascii="Courier New" w:hAnsi="Courier New" w:eastAsia="Symbol"/>
        <w:b/>
        <w:i w:val="0"/>
        <w:sz w:val="21"/>
      </w:rPr>
      <w:tcPr>
        <w:shd w:val="clear" w:color="auto" w:fill="8DB3E2"/>
      </w:tcPr>
    </w:tblStylePr>
    <w:tblStylePr w:type="firstCol">
      <w:tcPr>
        <w:shd w:val="clear" w:color="auto" w:fill="FFFFFF"/>
      </w:tcPr>
    </w:tblStylePr>
  </w:style>
  <w:style w:type="paragraph" w:customStyle="1" w:styleId="370">
    <w:name w:val="6正文"/>
    <w:basedOn w:val="1"/>
    <w:autoRedefine/>
    <w:qFormat/>
    <w:uiPriority w:val="0"/>
    <w:pPr>
      <w:widowControl/>
      <w:adjustRightInd w:val="0"/>
      <w:snapToGrid w:val="0"/>
      <w:ind w:firstLine="480"/>
    </w:pPr>
    <w:rPr>
      <w:rFonts w:ascii="宋体" w:hAnsi="宋体" w:cs="宋体"/>
      <w:kern w:val="0"/>
      <w:szCs w:val="24"/>
    </w:rPr>
  </w:style>
  <w:style w:type="character" w:customStyle="1" w:styleId="371">
    <w:name w:val="图表文字 Char"/>
    <w:autoRedefine/>
    <w:qFormat/>
    <w:uiPriority w:val="0"/>
    <w:rPr>
      <w:rFonts w:ascii="Times New Roman" w:hAnsi="Times New Roman" w:cs="宋体"/>
      <w:color w:val="000000"/>
      <w:sz w:val="21"/>
      <w:szCs w:val="24"/>
    </w:rPr>
  </w:style>
  <w:style w:type="character" w:customStyle="1" w:styleId="372">
    <w:name w:val="图名 字符"/>
    <w:basedOn w:val="43"/>
    <w:autoRedefine/>
    <w:qFormat/>
    <w:uiPriority w:val="0"/>
    <w:rPr>
      <w:rFonts w:ascii="Times New Roman" w:hAnsi="Times New Roman"/>
      <w:b/>
      <w:kern w:val="2"/>
      <w:sz w:val="21"/>
      <w:szCs w:val="22"/>
    </w:rPr>
  </w:style>
  <w:style w:type="paragraph" w:customStyle="1" w:styleId="373">
    <w:name w:val="列表段落1"/>
    <w:basedOn w:val="1"/>
    <w:autoRedefine/>
    <w:qFormat/>
    <w:uiPriority w:val="34"/>
    <w:pPr>
      <w:spacing w:line="320" w:lineRule="atLeast"/>
      <w:ind w:firstLine="420"/>
    </w:pPr>
    <w:rPr>
      <w:sz w:val="28"/>
    </w:rPr>
  </w:style>
  <w:style w:type="paragraph" w:customStyle="1" w:styleId="374">
    <w:name w:val="正文①"/>
    <w:basedOn w:val="10"/>
    <w:next w:val="1"/>
    <w:link w:val="375"/>
    <w:autoRedefine/>
    <w:qFormat/>
    <w:uiPriority w:val="0"/>
    <w:pPr>
      <w:keepNext w:val="0"/>
      <w:keepLines w:val="0"/>
      <w:adjustRightInd w:val="0"/>
      <w:snapToGrid w:val="0"/>
      <w:spacing w:before="0" w:after="0" w:line="360" w:lineRule="auto"/>
      <w:ind w:firstLine="200" w:firstLineChars="200"/>
      <w:jc w:val="left"/>
      <w:outlineLvl w:val="9"/>
    </w:pPr>
    <w:rPr>
      <w:rFonts w:ascii="Times New Roman" w:hAnsi="Times New Roman" w:eastAsia="宋体" w:cs="Times New Roman"/>
      <w:sz w:val="24"/>
    </w:rPr>
  </w:style>
  <w:style w:type="character" w:customStyle="1" w:styleId="375">
    <w:name w:val="正文① 字符"/>
    <w:link w:val="374"/>
    <w:autoRedefine/>
    <w:qFormat/>
    <w:uiPriority w:val="0"/>
    <w:rPr>
      <w:kern w:val="2"/>
      <w:sz w:val="24"/>
      <w:szCs w:val="21"/>
    </w:rPr>
  </w:style>
  <w:style w:type="character" w:customStyle="1" w:styleId="376">
    <w:name w:val="表格内容 字符"/>
    <w:link w:val="208"/>
    <w:autoRedefine/>
    <w:qFormat/>
    <w:uiPriority w:val="0"/>
    <w:rPr>
      <w:rFonts w:ascii="楷体_GB2312" w:eastAsia="楷体_GB2312"/>
      <w:sz w:val="24"/>
    </w:rPr>
  </w:style>
  <w:style w:type="character" w:customStyle="1" w:styleId="377">
    <w:name w:val="列表段落 字符1"/>
    <w:autoRedefine/>
    <w:qFormat/>
    <w:uiPriority w:val="0"/>
    <w:rPr>
      <w:rFonts w:ascii="Times New Roman" w:hAnsi="Times New Roman"/>
      <w:kern w:val="2"/>
      <w:sz w:val="24"/>
      <w:szCs w:val="21"/>
    </w:rPr>
  </w:style>
  <w:style w:type="character" w:customStyle="1" w:styleId="378">
    <w:name w:val="明显引用 字符3"/>
    <w:autoRedefine/>
    <w:semiHidden/>
    <w:qFormat/>
    <w:uiPriority w:val="0"/>
    <w:rPr>
      <w:rFonts w:ascii="Tahoma" w:eastAsia="Tahoma"/>
      <w:b/>
      <w:bCs/>
      <w:i/>
      <w:iCs/>
      <w:color w:val="4F81BD"/>
      <w:kern w:val="2"/>
      <w:sz w:val="21"/>
      <w:szCs w:val="24"/>
    </w:rPr>
  </w:style>
  <w:style w:type="character" w:customStyle="1" w:styleId="379">
    <w:name w:val="正文C Char"/>
    <w:link w:val="353"/>
    <w:autoRedefine/>
    <w:qFormat/>
    <w:uiPriority w:val="0"/>
    <w:rPr>
      <w:rFonts w:ascii="宋体" w:hAnsi="宋体" w:cs="宋体"/>
      <w:color w:val="4F6228"/>
      <w:sz w:val="24"/>
      <w:szCs w:val="24"/>
    </w:rPr>
  </w:style>
  <w:style w:type="paragraph" w:customStyle="1" w:styleId="380">
    <w:name w:val="标题3"/>
    <w:basedOn w:val="1"/>
    <w:autoRedefine/>
    <w:qFormat/>
    <w:uiPriority w:val="0"/>
    <w:pPr>
      <w:spacing w:before="20" w:after="20"/>
      <w:ind w:firstLine="100" w:firstLineChars="100"/>
      <w:jc w:val="left"/>
      <w:outlineLvl w:val="2"/>
    </w:pPr>
    <w:rPr>
      <w:rFonts w:ascii="宋体" w:hAnsi="宋体" w:eastAsia="仿宋"/>
      <w:b/>
      <w:bCs/>
      <w:color w:val="000000"/>
      <w:szCs w:val="24"/>
    </w:rPr>
  </w:style>
  <w:style w:type="paragraph" w:customStyle="1" w:styleId="381">
    <w:name w:val="方案样式：图片、表格居中"/>
    <w:next w:val="1"/>
    <w:autoRedefine/>
    <w:qFormat/>
    <w:uiPriority w:val="0"/>
    <w:pPr>
      <w:widowControl w:val="0"/>
      <w:spacing w:line="288" w:lineRule="auto"/>
      <w:jc w:val="center"/>
    </w:pPr>
    <w:rPr>
      <w:rFonts w:asciiTheme="minorHAnsi" w:hAnsiTheme="minorHAnsi" w:eastAsiaTheme="minorEastAsia" w:cstheme="minorBidi"/>
      <w:szCs w:val="24"/>
      <w:lang w:val="en-US" w:eastAsia="zh-CN" w:bidi="ar-SA"/>
    </w:rPr>
  </w:style>
  <w:style w:type="paragraph" w:customStyle="1" w:styleId="382">
    <w:name w:val="双柳图名"/>
    <w:next w:val="1"/>
    <w:autoRedefine/>
    <w:qFormat/>
    <w:uiPriority w:val="0"/>
    <w:pPr>
      <w:widowControl w:val="0"/>
      <w:jc w:val="center"/>
    </w:pPr>
    <w:rPr>
      <w:rFonts w:hint="eastAsia" w:ascii="Times New Roman" w:hAnsi="Times New Roman" w:eastAsia="宋体" w:cs="Times New Roman"/>
      <w:b/>
      <w:bCs/>
      <w:kern w:val="2"/>
      <w:sz w:val="21"/>
      <w:szCs w:val="21"/>
      <w:lang w:val="en-US" w:eastAsia="zh-CN" w:bidi="ar-SA"/>
    </w:rPr>
  </w:style>
  <w:style w:type="paragraph" w:customStyle="1" w:styleId="383">
    <w:name w:val="方案样式：图片名称"/>
    <w:next w:val="1"/>
    <w:autoRedefine/>
    <w:qFormat/>
    <w:uiPriority w:val="0"/>
    <w:pPr>
      <w:tabs>
        <w:tab w:val="left" w:pos="420"/>
      </w:tabs>
      <w:jc w:val="center"/>
    </w:pPr>
    <w:rPr>
      <w:rFonts w:asciiTheme="minorHAnsi" w:hAnsiTheme="minorHAnsi" w:eastAsiaTheme="minorEastAsia" w:cstheme="minorBidi"/>
      <w:b/>
      <w:sz w:val="21"/>
      <w:lang w:val="en-US" w:eastAsia="zh-CN" w:bidi="ar-SA"/>
    </w:rPr>
  </w:style>
  <w:style w:type="paragraph" w:customStyle="1" w:styleId="384">
    <w:name w:val="双柳正文文本"/>
    <w:autoRedefine/>
    <w:qFormat/>
    <w:uiPriority w:val="0"/>
    <w:pPr>
      <w:widowControl w:val="0"/>
      <w:wordWrap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customStyle="1" w:styleId="385">
    <w:name w:val="双柳表格"/>
    <w:next w:val="1"/>
    <w:autoRedefine/>
    <w:qFormat/>
    <w:uiPriority w:val="0"/>
    <w:pPr>
      <w:jc w:val="center"/>
    </w:pPr>
    <w:rPr>
      <w:rFonts w:ascii="Times New Roman" w:hAnsi="Times New Roman" w:eastAsia="宋体" w:cs="Times New Roman"/>
      <w:kern w:val="2"/>
      <w:sz w:val="21"/>
      <w:szCs w:val="22"/>
      <w:lang w:val="en-US" w:eastAsia="zh-CN" w:bidi="ar-SA"/>
    </w:rPr>
  </w:style>
  <w:style w:type="paragraph" w:customStyle="1" w:styleId="386">
    <w:name w:val="方案样式：表格名称（ALT+E）"/>
    <w:next w:val="1"/>
    <w:autoRedefine/>
    <w:qFormat/>
    <w:uiPriority w:val="0"/>
    <w:pPr>
      <w:keepNext/>
      <w:tabs>
        <w:tab w:val="left" w:pos="420"/>
      </w:tabs>
      <w:jc w:val="center"/>
    </w:pPr>
    <w:rPr>
      <w:rFonts w:ascii="Times New Roman" w:hAnsi="Times New Roman" w:eastAsia="宋体" w:cs="Times New Roman"/>
      <w:b/>
      <w:kern w:val="2"/>
      <w:sz w:val="21"/>
      <w:szCs w:val="24"/>
      <w:lang w:val="en-US" w:eastAsia="zh-CN" w:bidi="ar-SA"/>
    </w:rPr>
  </w:style>
  <w:style w:type="table" w:customStyle="1" w:styleId="387">
    <w:name w:val="网格型5"/>
    <w:autoRedefine/>
    <w:unhideWhenUsed/>
    <w:qFormat/>
    <w:uiPriority w:val="59"/>
    <w:rPr>
      <w:rFonts w:ascii="Calibri" w:hAnsi="Calibri" w:eastAsia="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
  </w:style>
  <w:style w:type="paragraph" w:customStyle="1" w:styleId="388">
    <w:name w:val="基准-无缩进"/>
    <w:autoRedefine/>
    <w:qFormat/>
    <w:uiPriority w:val="0"/>
    <w:pPr>
      <w:keepNext/>
      <w:keepLines/>
      <w:widowControl w:val="0"/>
      <w:spacing w:line="360" w:lineRule="auto"/>
      <w:ind w:firstLine="200"/>
      <w:outlineLvl w:val="2"/>
    </w:pPr>
    <w:rPr>
      <w:rFonts w:ascii="Times New Roman" w:hAnsi="Times New Roman" w:eastAsia="宋体" w:cstheme="majorBidi"/>
      <w:b/>
      <w:bCs/>
      <w:kern w:val="2"/>
      <w:sz w:val="24"/>
      <w:szCs w:val="32"/>
      <w:lang w:val="en-US" w:eastAsia="zh-CN" w:bidi="ar-SA"/>
    </w:rPr>
  </w:style>
  <w:style w:type="paragraph" w:customStyle="1" w:styleId="389">
    <w:name w:val="余杭表内"/>
    <w:autoRedefine/>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390">
    <w:name w:val="5级标题"/>
    <w:next w:val="1"/>
    <w:autoRedefine/>
    <w:qFormat/>
    <w:uiPriority w:val="0"/>
    <w:pPr>
      <w:keepNext/>
      <w:keepLines/>
      <w:widowControl w:val="0"/>
      <w:numPr>
        <w:ilvl w:val="4"/>
        <w:numId w:val="10"/>
      </w:numPr>
      <w:spacing w:line="360" w:lineRule="auto"/>
      <w:ind w:firstLine="0" w:firstLineChars="0"/>
      <w:jc w:val="both"/>
      <w:outlineLvl w:val="4"/>
    </w:pPr>
    <w:rPr>
      <w:rFonts w:ascii="Times New Roman" w:hAnsi="Times New Roman" w:eastAsia="宋体" w:cs="Times New Roman"/>
      <w:b/>
      <w:bCs/>
      <w:kern w:val="2"/>
      <w:sz w:val="24"/>
      <w:szCs w:val="28"/>
      <w:lang w:val="en-US" w:eastAsia="zh-CN" w:bidi="ar-SA"/>
    </w:rPr>
  </w:style>
  <w:style w:type="table" w:customStyle="1" w:styleId="391">
    <w:name w:val="表格标准1"/>
    <w:autoRedefine/>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392">
    <w:name w:val="表格标准15"/>
    <w:autoRedefine/>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393">
    <w:name w:val="Grid Table 5 Dark Accent 1"/>
    <w:autoRedefine/>
    <w:qFormat/>
    <w:uiPriority w:val="50"/>
    <w:rPr>
      <w:szCs w:val="21"/>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9E2F3"/>
    </w:tcPr>
    <w:tblStylePr w:type="firstRow">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4472C4"/>
      </w:tcPr>
    </w:tblStylePr>
    <w:tblStylePr w:type="lastRow">
      <w:rPr>
        <w:b/>
        <w:bCs/>
        <w:color w:val="FFFFFF"/>
      </w:rPr>
      <w:tcPr>
        <w:tcBorders>
          <w:top w:val="nil"/>
          <w:left w:val="single" w:color="FFFFFF" w:sz="4" w:space="0"/>
          <w:bottom w:val="single" w:color="FFFFFF" w:sz="4" w:space="0"/>
          <w:right w:val="single" w:color="FFFFFF" w:sz="4" w:space="0"/>
          <w:insideH w:val="nil"/>
          <w:insideV w:val="nil"/>
          <w:tl2br w:val="nil"/>
          <w:tr2bl w:val="nil"/>
        </w:tcBorders>
        <w:shd w:val="clear" w:color="auto" w:fill="4472C4"/>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4472C4"/>
      </w:tcPr>
    </w:tblStylePr>
    <w:tblStylePr w:type="lastCol">
      <w:rPr>
        <w:b/>
        <w:bCs/>
        <w:color w:val="FFFFFF"/>
      </w:rPr>
      <w:tcPr>
        <w:tcBorders>
          <w:top w:val="single" w:color="FFFFFF" w:sz="4" w:space="0"/>
          <w:left w:val="nil"/>
          <w:bottom w:val="single" w:color="FFFFFF" w:sz="4" w:space="0"/>
          <w:right w:val="single" w:color="FFFFFF" w:sz="4" w:space="0"/>
          <w:insideH w:val="nil"/>
          <w:insideV w:val="nil"/>
          <w:tl2br w:val="nil"/>
          <w:tr2bl w:val="nil"/>
        </w:tcBorders>
        <w:shd w:val="clear" w:color="auto" w:fill="4472C4"/>
      </w:tcPr>
    </w:tblStylePr>
    <w:tblStylePr w:type="band1Vert">
      <w:tcPr>
        <w:shd w:val="clear" w:color="auto" w:fill="B4C6E7"/>
      </w:tcPr>
    </w:tblStylePr>
    <w:tblStylePr w:type="band1Horz">
      <w:tcPr>
        <w:shd w:val="clear" w:color="auto" w:fill="B4C6E7"/>
      </w:tcPr>
    </w:tblStylePr>
  </w:style>
  <w:style w:type="paragraph" w:customStyle="1" w:styleId="394">
    <w:name w:val="空港正文"/>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395">
    <w:name w:val="空港图表"/>
    <w:next w:val="394"/>
    <w:qFormat/>
    <w:uiPriority w:val="6"/>
    <w:pPr>
      <w:adjustRightInd w:val="0"/>
      <w:snapToGrid w:val="0"/>
      <w:spacing w:line="360" w:lineRule="auto"/>
      <w:jc w:val="center"/>
    </w:pPr>
    <w:rPr>
      <w:rFonts w:ascii="Times New Roman" w:hAnsi="Times New Roman" w:eastAsia="宋体" w:cs="Times New Roman"/>
      <w:b/>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1.wmf"/><Relationship Id="rId54" Type="http://schemas.openxmlformats.org/officeDocument/2006/relationships/oleObject" Target="embeddings/oleObject2.bin"/><Relationship Id="rId53" Type="http://schemas.openxmlformats.org/officeDocument/2006/relationships/image" Target="media/image40.wmf"/><Relationship Id="rId52" Type="http://schemas.openxmlformats.org/officeDocument/2006/relationships/oleObject" Target="embeddings/oleObject1.bin"/><Relationship Id="rId51" Type="http://schemas.openxmlformats.org/officeDocument/2006/relationships/image" Target="media/image39.png"/><Relationship Id="rId50" Type="http://schemas.openxmlformats.org/officeDocument/2006/relationships/image" Target="media/image38.GIF"/><Relationship Id="rId5" Type="http://schemas.openxmlformats.org/officeDocument/2006/relationships/header" Target="header1.xml"/><Relationship Id="rId49" Type="http://schemas.openxmlformats.org/officeDocument/2006/relationships/hyperlink" Target="javascript:void(0);" TargetMode="External"/><Relationship Id="rId48" Type="http://schemas.openxmlformats.org/officeDocument/2006/relationships/image" Target="media/image37.emf"/><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EC4BF0-6190-4B8A-B6FB-291946CAFBCE}">
  <ds:schemaRefs/>
</ds:datastoreItem>
</file>

<file path=docProps/app.xml><?xml version="1.0" encoding="utf-8"?>
<Properties xmlns="http://schemas.openxmlformats.org/officeDocument/2006/extended-properties" xmlns:vt="http://schemas.openxmlformats.org/officeDocument/2006/docPropsVTypes">
  <Template>Normal.dotm</Template>
  <Pages>87</Pages>
  <Words>7538</Words>
  <Characters>9384</Characters>
  <Lines>570</Lines>
  <Paragraphs>160</Paragraphs>
  <TotalTime>3</TotalTime>
  <ScaleCrop>false</ScaleCrop>
  <LinksUpToDate>false</LinksUpToDate>
  <CharactersWithSpaces>9668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2022-12-28T10:24:00Z</dcterms:created>
  <dc:creator>刘丹</dc:creator>
  <cp:lastModifiedBy>StudentWenB</cp:lastModifiedBy>
  <cp:lastPrinted>2023-11-02T01:15:00Z</cp:lastPrinted>
  <dcterms:modified xsi:type="dcterms:W3CDTF">2024-11-17T03:11:07Z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6DC3BD8196FC439D80FC943046F0D725_13</vt:lpwstr>
  </property>
</Properties>
</file>