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2003-2010___1.vsd" ContentType="application/vnd.visio"/>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60DE7A1">
      <w:pPr>
        <w:widowControl/>
        <w:spacing w:line="240" w:lineRule="auto"/>
        <w:ind w:firstLine="0" w:firstLineChars="0"/>
        <w:jc w:val="center"/>
        <w:rPr>
          <w:highlight w:val="none"/>
        </w:rPr>
        <w:sectPr>
          <w:headerReference r:id="rId7" w:type="first"/>
          <w:footerReference r:id="rId10" w:type="first"/>
          <w:headerReference r:id="rId5" w:type="default"/>
          <w:footerReference r:id="rId8" w:type="default"/>
          <w:headerReference r:id="rId6" w:type="even"/>
          <w:footerReference r:id="rId9" w:type="even"/>
          <w:pgSz w:w="11906" w:h="16838"/>
          <w:pgMar w:top="1418" w:right="1418" w:bottom="1134" w:left="1418" w:header="851" w:footer="992" w:gutter="0"/>
          <w:pgNumType w:start="1"/>
          <w:cols w:space="425" w:num="1"/>
          <w:docGrid w:type="lines" w:linePitch="326" w:charSpace="0"/>
        </w:sectPr>
      </w:pPr>
      <w:bookmarkStart w:id="0" w:name="_Toc26437"/>
      <w:bookmarkStart w:id="1" w:name="_Toc40778426"/>
      <w:bookmarkStart w:id="2" w:name="_Toc102481185"/>
      <w:bookmarkStart w:id="3" w:name="_Toc102481236"/>
      <w:r>
        <w:rPr>
          <w:highlight w:val="none"/>
        </w:rPr>
        <w:drawing>
          <wp:inline distT="0" distB="0" distL="114300" distR="114300">
            <wp:extent cx="5755005" cy="7451090"/>
            <wp:effectExtent l="0" t="0" r="17145" b="16510"/>
            <wp:docPr id="6" name="图片 6" descr="f63d9f90158256fd32100dad6a6ad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63d9f90158256fd32100dad6a6ad07"/>
                    <pic:cNvPicPr>
                      <a:picLocks noChangeAspect="1"/>
                    </pic:cNvPicPr>
                  </pic:nvPicPr>
                  <pic:blipFill>
                    <a:blip r:embed="rId18"/>
                    <a:stretch>
                      <a:fillRect/>
                    </a:stretch>
                  </pic:blipFill>
                  <pic:spPr>
                    <a:xfrm>
                      <a:off x="0" y="0"/>
                      <a:ext cx="5755005" cy="7451090"/>
                    </a:xfrm>
                    <a:prstGeom prst="rect">
                      <a:avLst/>
                    </a:prstGeom>
                  </pic:spPr>
                </pic:pic>
              </a:graphicData>
            </a:graphic>
          </wp:inline>
        </w:drawing>
      </w:r>
      <w:r>
        <w:rPr>
          <w:highlight w:val="none"/>
        </w:rPr>
        <w:drawing>
          <wp:inline distT="0" distB="0" distL="114300" distR="114300">
            <wp:extent cx="5293360" cy="8375015"/>
            <wp:effectExtent l="0" t="0" r="2540" b="6985"/>
            <wp:docPr id="17" name="图片 17" descr="f059c1e49fb04b622f7bd64d28a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f059c1e49fb04b622f7bd64d28a8423"/>
                    <pic:cNvPicPr>
                      <a:picLocks noChangeAspect="1"/>
                    </pic:cNvPicPr>
                  </pic:nvPicPr>
                  <pic:blipFill>
                    <a:blip r:embed="rId19"/>
                    <a:stretch>
                      <a:fillRect/>
                    </a:stretch>
                  </pic:blipFill>
                  <pic:spPr>
                    <a:xfrm>
                      <a:off x="0" y="0"/>
                      <a:ext cx="5293360" cy="8375015"/>
                    </a:xfrm>
                    <a:prstGeom prst="rect">
                      <a:avLst/>
                    </a:prstGeom>
                  </pic:spPr>
                </pic:pic>
              </a:graphicData>
            </a:graphic>
          </wp:inline>
        </w:drawing>
      </w:r>
      <w:r>
        <w:rPr>
          <w:highlight w:val="none"/>
        </w:rPr>
        <w:drawing>
          <wp:inline distT="0" distB="0" distL="114300" distR="114300">
            <wp:extent cx="5758180" cy="7325995"/>
            <wp:effectExtent l="0" t="0" r="13970" b="8255"/>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20"/>
                    <a:stretch>
                      <a:fillRect/>
                    </a:stretch>
                  </pic:blipFill>
                  <pic:spPr>
                    <a:xfrm>
                      <a:off x="0" y="0"/>
                      <a:ext cx="5758180" cy="7325995"/>
                    </a:xfrm>
                    <a:prstGeom prst="rect">
                      <a:avLst/>
                    </a:prstGeom>
                    <a:noFill/>
                    <a:ln>
                      <a:noFill/>
                    </a:ln>
                  </pic:spPr>
                </pic:pic>
              </a:graphicData>
            </a:graphic>
          </wp:inline>
        </w:drawing>
      </w:r>
    </w:p>
    <w:p w14:paraId="27273394">
      <w:pPr>
        <w:widowControl/>
        <w:spacing w:line="240" w:lineRule="auto"/>
        <w:ind w:firstLine="0" w:firstLineChars="0"/>
        <w:jc w:val="center"/>
        <w:rPr>
          <w:highlight w:val="none"/>
        </w:rPr>
        <w:sectPr>
          <w:pgSz w:w="11906" w:h="16838"/>
          <w:pgMar w:top="1418" w:right="1418" w:bottom="1134" w:left="1418" w:header="851" w:footer="992" w:gutter="0"/>
          <w:pgNumType w:start="1"/>
          <w:cols w:space="425" w:num="1"/>
          <w:docGrid w:type="lines" w:linePitch="326" w:charSpace="0"/>
        </w:sectPr>
      </w:pPr>
      <w:r>
        <w:rPr>
          <w:highlight w:val="none"/>
        </w:rPr>
        <w:drawing>
          <wp:inline distT="0" distB="0" distL="114300" distR="114300">
            <wp:extent cx="5760720" cy="7134225"/>
            <wp:effectExtent l="0" t="0" r="11430" b="9525"/>
            <wp:docPr id="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
                    <pic:cNvPicPr>
                      <a:picLocks noChangeAspect="1"/>
                    </pic:cNvPicPr>
                  </pic:nvPicPr>
                  <pic:blipFill>
                    <a:blip r:embed="rId21"/>
                    <a:stretch>
                      <a:fillRect/>
                    </a:stretch>
                  </pic:blipFill>
                  <pic:spPr>
                    <a:xfrm>
                      <a:off x="0" y="0"/>
                      <a:ext cx="5760720" cy="7134225"/>
                    </a:xfrm>
                    <a:prstGeom prst="rect">
                      <a:avLst/>
                    </a:prstGeom>
                    <a:noFill/>
                    <a:ln>
                      <a:noFill/>
                    </a:ln>
                  </pic:spPr>
                </pic:pic>
              </a:graphicData>
            </a:graphic>
          </wp:inline>
        </w:drawing>
      </w:r>
    </w:p>
    <w:p w14:paraId="28E49604">
      <w:pPr>
        <w:widowControl/>
        <w:spacing w:line="240" w:lineRule="auto"/>
        <w:ind w:firstLine="0" w:firstLineChars="0"/>
        <w:jc w:val="center"/>
        <w:rPr>
          <w:highlight w:val="none"/>
        </w:rPr>
      </w:pPr>
      <w:r>
        <w:rPr>
          <w:highlight w:val="none"/>
        </w:rPr>
        <w:drawing>
          <wp:inline distT="0" distB="0" distL="114300" distR="114300">
            <wp:extent cx="5801360" cy="8134350"/>
            <wp:effectExtent l="0" t="0" r="8890" b="0"/>
            <wp:docPr id="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
                    <pic:cNvPicPr>
                      <a:picLocks noChangeAspect="1"/>
                    </pic:cNvPicPr>
                  </pic:nvPicPr>
                  <pic:blipFill>
                    <a:blip r:embed="rId22"/>
                    <a:stretch>
                      <a:fillRect/>
                    </a:stretch>
                  </pic:blipFill>
                  <pic:spPr>
                    <a:xfrm>
                      <a:off x="0" y="0"/>
                      <a:ext cx="5801360" cy="8134350"/>
                    </a:xfrm>
                    <a:prstGeom prst="rect">
                      <a:avLst/>
                    </a:prstGeom>
                    <a:noFill/>
                    <a:ln>
                      <a:noFill/>
                    </a:ln>
                  </pic:spPr>
                </pic:pic>
              </a:graphicData>
            </a:graphic>
          </wp:inline>
        </w:drawing>
      </w:r>
    </w:p>
    <w:p w14:paraId="510CA6BD">
      <w:pPr>
        <w:spacing w:beforeLines="0"/>
        <w:jc w:val="center"/>
        <w:rPr>
          <w:highlight w:val="none"/>
        </w:rPr>
      </w:pPr>
      <w:r>
        <w:rPr>
          <w:highlight w:val="none"/>
        </w:rPr>
        <w:drawing>
          <wp:inline distT="0" distB="0" distL="114300" distR="114300">
            <wp:extent cx="5758180" cy="4310380"/>
            <wp:effectExtent l="0" t="0" r="13970" b="13970"/>
            <wp:docPr id="1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9"/>
                    <pic:cNvPicPr>
                      <a:picLocks noChangeAspect="1"/>
                    </pic:cNvPicPr>
                  </pic:nvPicPr>
                  <pic:blipFill>
                    <a:blip r:embed="rId23"/>
                    <a:stretch>
                      <a:fillRect/>
                    </a:stretch>
                  </pic:blipFill>
                  <pic:spPr>
                    <a:xfrm>
                      <a:off x="0" y="0"/>
                      <a:ext cx="5758180" cy="4310380"/>
                    </a:xfrm>
                    <a:prstGeom prst="rect">
                      <a:avLst/>
                    </a:prstGeom>
                    <a:noFill/>
                    <a:ln>
                      <a:noFill/>
                    </a:ln>
                  </pic:spPr>
                </pic:pic>
              </a:graphicData>
            </a:graphic>
          </wp:inline>
        </w:drawing>
      </w:r>
    </w:p>
    <w:p w14:paraId="16D3B846">
      <w:pPr>
        <w:bidi w:val="0"/>
        <w:rPr>
          <w:rFonts w:hint="eastAsia"/>
          <w:sz w:val="24"/>
          <w:szCs w:val="24"/>
          <w:highlight w:val="none"/>
        </w:rPr>
      </w:pPr>
    </w:p>
    <w:p w14:paraId="63595780">
      <w:pPr>
        <w:spacing w:beforeLines="0"/>
        <w:jc w:val="center"/>
        <w:rPr>
          <w:highlight w:val="none"/>
        </w:rPr>
      </w:pPr>
    </w:p>
    <w:p w14:paraId="13102FF9">
      <w:pPr>
        <w:spacing w:beforeLines="0"/>
        <w:jc w:val="center"/>
        <w:rPr>
          <w:highlight w:val="none"/>
        </w:rPr>
      </w:pPr>
    </w:p>
    <w:p w14:paraId="257A8B2B">
      <w:pPr>
        <w:spacing w:beforeLines="0"/>
        <w:jc w:val="center"/>
        <w:rPr>
          <w:highlight w:val="none"/>
        </w:rPr>
      </w:pPr>
    </w:p>
    <w:p w14:paraId="6AB56E80">
      <w:pPr>
        <w:spacing w:beforeLines="0"/>
        <w:jc w:val="center"/>
        <w:rPr>
          <w:highlight w:val="none"/>
        </w:rPr>
      </w:pPr>
    </w:p>
    <w:p w14:paraId="346ED02A">
      <w:pPr>
        <w:spacing w:beforeLines="0"/>
        <w:ind w:left="0" w:leftChars="0" w:firstLine="0" w:firstLineChars="0"/>
        <w:jc w:val="center"/>
        <w:rPr>
          <w:rFonts w:hint="eastAsia" w:eastAsia="宋体"/>
          <w:highlight w:val="none"/>
          <w:lang w:eastAsia="zh-CN"/>
        </w:rPr>
      </w:pPr>
      <w:r>
        <w:rPr>
          <w:rFonts w:hint="eastAsia" w:eastAsia="宋体"/>
          <w:highlight w:val="none"/>
          <w:lang w:eastAsia="zh-CN"/>
        </w:rPr>
        <w:drawing>
          <wp:inline distT="0" distB="0" distL="114300" distR="114300">
            <wp:extent cx="5560060" cy="7905115"/>
            <wp:effectExtent l="0" t="0" r="2540" b="0"/>
            <wp:docPr id="89" name="图片 89" descr="西主塔3#、4#塔式起重机安装专项施工方案审批表(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西主塔3#、4#塔式起重机安装专项施工方案审批表(1)_00"/>
                    <pic:cNvPicPr>
                      <a:picLocks noChangeAspect="1"/>
                    </pic:cNvPicPr>
                  </pic:nvPicPr>
                  <pic:blipFill>
                    <a:blip r:embed="rId24"/>
                    <a:srcRect l="5227" t="2890" r="5413" b="-1032"/>
                    <a:stretch>
                      <a:fillRect/>
                    </a:stretch>
                  </pic:blipFill>
                  <pic:spPr>
                    <a:xfrm>
                      <a:off x="0" y="0"/>
                      <a:ext cx="5560060" cy="7905115"/>
                    </a:xfrm>
                    <a:prstGeom prst="rect">
                      <a:avLst/>
                    </a:prstGeom>
                  </pic:spPr>
                </pic:pic>
              </a:graphicData>
            </a:graphic>
          </wp:inline>
        </w:drawing>
      </w:r>
    </w:p>
    <w:p w14:paraId="2B2432AA">
      <w:pPr>
        <w:spacing w:beforeLines="0"/>
        <w:jc w:val="center"/>
        <w:rPr>
          <w:highlight w:val="none"/>
        </w:rPr>
      </w:pPr>
    </w:p>
    <w:p w14:paraId="7A0945B0">
      <w:pPr>
        <w:spacing w:beforeLines="0"/>
        <w:jc w:val="center"/>
        <w:rPr>
          <w:highlight w:val="none"/>
        </w:rPr>
      </w:pPr>
    </w:p>
    <w:p w14:paraId="3EF05DC7">
      <w:pPr>
        <w:pStyle w:val="2"/>
        <w:ind w:left="0" w:leftChars="0" w:firstLine="0" w:firstLineChars="0"/>
        <w:jc w:val="center"/>
        <w:rPr>
          <w:rFonts w:hint="eastAsia" w:eastAsia="宋体"/>
          <w:highlight w:val="none"/>
          <w:lang w:eastAsia="zh-CN"/>
        </w:rPr>
      </w:pPr>
      <w:r>
        <w:rPr>
          <w:rFonts w:hint="eastAsia" w:eastAsia="宋体"/>
          <w:highlight w:val="none"/>
          <w:lang w:eastAsia="zh-CN"/>
        </w:rPr>
        <w:drawing>
          <wp:inline distT="0" distB="0" distL="114300" distR="114300">
            <wp:extent cx="5602605" cy="7790815"/>
            <wp:effectExtent l="0" t="0" r="17145" b="635"/>
            <wp:docPr id="118" name="图片 118" descr="西主塔3#、4#塔式起重机安装专项施工方案审批表(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西主塔3#、4#塔式起重机安装专项施工方案审批表(1)_01"/>
                    <pic:cNvPicPr>
                      <a:picLocks noChangeAspect="1"/>
                    </pic:cNvPicPr>
                  </pic:nvPicPr>
                  <pic:blipFill>
                    <a:blip r:embed="rId25"/>
                    <a:srcRect l="5248" t="2855" r="5554" b="1312"/>
                    <a:stretch>
                      <a:fillRect/>
                    </a:stretch>
                  </pic:blipFill>
                  <pic:spPr>
                    <a:xfrm>
                      <a:off x="0" y="0"/>
                      <a:ext cx="5602605" cy="7790815"/>
                    </a:xfrm>
                    <a:prstGeom prst="rect">
                      <a:avLst/>
                    </a:prstGeom>
                  </pic:spPr>
                </pic:pic>
              </a:graphicData>
            </a:graphic>
          </wp:inline>
        </w:drawing>
      </w:r>
    </w:p>
    <w:p w14:paraId="47B13317">
      <w:pPr>
        <w:pStyle w:val="2"/>
        <w:rPr>
          <w:highlight w:val="none"/>
        </w:rPr>
      </w:pPr>
    </w:p>
    <w:p w14:paraId="6335B2F3">
      <w:pPr>
        <w:rPr>
          <w:rFonts w:hint="eastAsia" w:asciiTheme="minorEastAsia" w:hAnsiTheme="minorEastAsia" w:eastAsiaTheme="minorEastAsia"/>
          <w:b/>
          <w:sz w:val="28"/>
          <w:szCs w:val="28"/>
          <w:highlight w:val="none"/>
          <w:lang w:val="en-US" w:eastAsia="zh-CN"/>
        </w:rPr>
      </w:pPr>
      <w:r>
        <w:rPr>
          <w:rFonts w:hint="eastAsia" w:asciiTheme="minorEastAsia" w:hAnsiTheme="minorEastAsia" w:eastAsiaTheme="minorEastAsia"/>
          <w:b/>
          <w:sz w:val="28"/>
          <w:szCs w:val="28"/>
          <w:highlight w:val="none"/>
          <w:lang w:val="en-US" w:eastAsia="zh-CN"/>
        </w:rPr>
        <w:br w:type="page"/>
      </w:r>
    </w:p>
    <w:p w14:paraId="1FA4630B">
      <w:pPr>
        <w:spacing w:beforeLines="0"/>
        <w:jc w:val="center"/>
        <w:rPr>
          <w:rFonts w:hint="eastAsia" w:asciiTheme="minorEastAsia" w:hAnsiTheme="minorEastAsia" w:eastAsiaTheme="minorEastAsia"/>
          <w:b/>
          <w:sz w:val="28"/>
          <w:szCs w:val="28"/>
          <w:highlight w:val="none"/>
        </w:rPr>
      </w:pPr>
      <w:r>
        <w:rPr>
          <w:rFonts w:hint="eastAsia" w:asciiTheme="minorEastAsia" w:hAnsiTheme="minorEastAsia" w:eastAsiaTheme="minorEastAsia"/>
          <w:b/>
          <w:sz w:val="28"/>
          <w:szCs w:val="28"/>
          <w:highlight w:val="none"/>
          <w:lang w:val="en-US" w:eastAsia="zh-CN"/>
        </w:rPr>
        <w:t>公司</w:t>
      </w:r>
      <w:r>
        <w:rPr>
          <w:rFonts w:hint="eastAsia" w:asciiTheme="minorEastAsia" w:hAnsiTheme="minorEastAsia" w:eastAsiaTheme="minorEastAsia"/>
          <w:b/>
          <w:sz w:val="28"/>
          <w:szCs w:val="28"/>
          <w:highlight w:val="none"/>
        </w:rPr>
        <w:t>评审</w:t>
      </w:r>
      <w:r>
        <w:rPr>
          <w:rFonts w:asciiTheme="minorEastAsia" w:hAnsiTheme="minorEastAsia" w:eastAsiaTheme="minorEastAsia"/>
          <w:b/>
          <w:sz w:val="28"/>
          <w:szCs w:val="28"/>
          <w:highlight w:val="none"/>
        </w:rPr>
        <w:t>意见回复确认单</w:t>
      </w:r>
    </w:p>
    <w:tbl>
      <w:tblPr>
        <w:tblStyle w:val="45"/>
        <w:tblpPr w:leftFromText="180" w:rightFromText="180" w:vertAnchor="text" w:horzAnchor="page" w:tblpXSpec="center" w:tblpY="622"/>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6"/>
        <w:gridCol w:w="1345"/>
        <w:gridCol w:w="4252"/>
        <w:gridCol w:w="2803"/>
      </w:tblGrid>
      <w:tr w14:paraId="74EEF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01" w:type="pct"/>
            <w:gridSpan w:val="2"/>
            <w:vAlign w:val="center"/>
          </w:tcPr>
          <w:p w14:paraId="00784ED4">
            <w:pPr>
              <w:pStyle w:val="2"/>
              <w:spacing w:line="240" w:lineRule="auto"/>
              <w:ind w:firstLine="0" w:firstLineChars="0"/>
              <w:jc w:val="center"/>
              <w:rPr>
                <w:rFonts w:hint="eastAsia" w:cs="Times New Roman" w:asciiTheme="majorEastAsia" w:hAnsiTheme="majorEastAsia" w:eastAsiaTheme="majorEastAsia"/>
                <w:sz w:val="21"/>
                <w:szCs w:val="21"/>
                <w:highlight w:val="none"/>
                <w:lang w:eastAsia="zh-CN"/>
              </w:rPr>
            </w:pPr>
            <w:r>
              <w:rPr>
                <w:rFonts w:cs="Times New Roman" w:asciiTheme="majorEastAsia" w:hAnsiTheme="majorEastAsia" w:eastAsiaTheme="majorEastAsia"/>
                <w:sz w:val="21"/>
                <w:szCs w:val="21"/>
                <w:highlight w:val="none"/>
                <w:lang w:eastAsia="zh-CN"/>
              </w:rPr>
              <w:t>项目名称</w:t>
            </w:r>
          </w:p>
        </w:tc>
        <w:tc>
          <w:tcPr>
            <w:tcW w:w="3798" w:type="pct"/>
            <w:gridSpan w:val="2"/>
            <w:vAlign w:val="center"/>
          </w:tcPr>
          <w:p w14:paraId="2274C67A">
            <w:pPr>
              <w:widowControl/>
              <w:spacing w:beforeLines="0" w:line="240" w:lineRule="auto"/>
              <w:jc w:val="center"/>
              <w:rPr>
                <w:rFonts w:hint="eastAsia" w:asciiTheme="majorEastAsia" w:hAnsiTheme="majorEastAsia" w:eastAsiaTheme="majorEastAsia"/>
                <w:szCs w:val="21"/>
                <w:highlight w:val="none"/>
              </w:rPr>
            </w:pPr>
            <w:r>
              <w:rPr>
                <w:rFonts w:hint="eastAsia" w:asciiTheme="majorEastAsia" w:hAnsiTheme="majorEastAsia" w:eastAsiaTheme="majorEastAsia"/>
                <w:color w:val="000000"/>
                <w:kern w:val="0"/>
                <w:szCs w:val="21"/>
                <w:highlight w:val="none"/>
                <w:lang w:bidi="ar"/>
              </w:rPr>
              <w:t>厦门第三东通道工程A1标段</w:t>
            </w:r>
          </w:p>
        </w:tc>
      </w:tr>
      <w:tr w14:paraId="79857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01" w:type="pct"/>
            <w:gridSpan w:val="2"/>
            <w:vAlign w:val="center"/>
          </w:tcPr>
          <w:p w14:paraId="0E917D02">
            <w:pPr>
              <w:pStyle w:val="2"/>
              <w:ind w:firstLine="0" w:firstLineChars="0"/>
              <w:jc w:val="center"/>
              <w:rPr>
                <w:rFonts w:hint="eastAsia" w:cs="Times New Roman" w:asciiTheme="majorEastAsia" w:hAnsiTheme="majorEastAsia" w:eastAsiaTheme="majorEastAsia"/>
                <w:sz w:val="21"/>
                <w:szCs w:val="21"/>
                <w:highlight w:val="none"/>
                <w:lang w:eastAsia="zh-CN"/>
              </w:rPr>
            </w:pPr>
            <w:r>
              <w:rPr>
                <w:rFonts w:cs="Times New Roman" w:asciiTheme="majorEastAsia" w:hAnsiTheme="majorEastAsia" w:eastAsiaTheme="majorEastAsia"/>
                <w:sz w:val="21"/>
                <w:szCs w:val="21"/>
                <w:highlight w:val="none"/>
                <w:lang w:eastAsia="zh-CN"/>
              </w:rPr>
              <w:t>方案名称</w:t>
            </w:r>
          </w:p>
        </w:tc>
        <w:tc>
          <w:tcPr>
            <w:tcW w:w="3798" w:type="pct"/>
            <w:gridSpan w:val="2"/>
            <w:vAlign w:val="center"/>
          </w:tcPr>
          <w:p w14:paraId="2318C137">
            <w:pPr>
              <w:pStyle w:val="2"/>
              <w:ind w:firstLine="0" w:firstLineChars="0"/>
              <w:jc w:val="center"/>
              <w:rPr>
                <w:rFonts w:hint="eastAsia" w:cs="Times New Roman" w:asciiTheme="majorEastAsia" w:hAnsiTheme="majorEastAsia" w:eastAsiaTheme="majorEastAsia"/>
                <w:sz w:val="21"/>
                <w:szCs w:val="21"/>
                <w:highlight w:val="none"/>
                <w:lang w:eastAsia="zh-CN"/>
              </w:rPr>
            </w:pPr>
            <w:r>
              <w:rPr>
                <w:rFonts w:hint="eastAsia" w:cs="Times New Roman" w:asciiTheme="majorEastAsia" w:hAnsiTheme="majorEastAsia" w:eastAsiaTheme="majorEastAsia"/>
                <w:sz w:val="21"/>
                <w:szCs w:val="21"/>
                <w:highlight w:val="none"/>
                <w:lang w:val="en-US" w:eastAsia="zh-CN"/>
              </w:rPr>
              <w:t>西主塔5#、6#塔式起重机安装专项施工方案</w:t>
            </w:r>
          </w:p>
        </w:tc>
      </w:tr>
      <w:tr w14:paraId="641FA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77" w:type="pct"/>
            <w:vAlign w:val="center"/>
          </w:tcPr>
          <w:p w14:paraId="116EFCBD">
            <w:pPr>
              <w:pStyle w:val="2"/>
              <w:ind w:firstLine="0" w:firstLineChars="0"/>
              <w:jc w:val="center"/>
              <w:rPr>
                <w:rFonts w:hint="eastAsia" w:cs="Times New Roman" w:asciiTheme="majorEastAsia" w:hAnsiTheme="majorEastAsia" w:eastAsiaTheme="majorEastAsia"/>
                <w:sz w:val="21"/>
                <w:szCs w:val="21"/>
                <w:highlight w:val="none"/>
                <w:lang w:eastAsia="zh-CN"/>
              </w:rPr>
            </w:pPr>
            <w:r>
              <w:rPr>
                <w:rFonts w:cs="Times New Roman" w:asciiTheme="majorEastAsia" w:hAnsiTheme="majorEastAsia" w:eastAsiaTheme="majorEastAsia"/>
                <w:sz w:val="21"/>
                <w:szCs w:val="21"/>
                <w:highlight w:val="none"/>
                <w:lang w:eastAsia="zh-CN"/>
              </w:rPr>
              <w:t>序号</w:t>
            </w:r>
          </w:p>
        </w:tc>
        <w:tc>
          <w:tcPr>
            <w:tcW w:w="3013" w:type="pct"/>
            <w:gridSpan w:val="2"/>
            <w:vAlign w:val="center"/>
          </w:tcPr>
          <w:p w14:paraId="69E28D57">
            <w:pPr>
              <w:pStyle w:val="2"/>
              <w:ind w:firstLine="0" w:firstLineChars="0"/>
              <w:jc w:val="center"/>
              <w:rPr>
                <w:rFonts w:hint="eastAsia" w:cs="Times New Roman" w:asciiTheme="majorEastAsia" w:hAnsiTheme="majorEastAsia" w:eastAsiaTheme="majorEastAsia"/>
                <w:sz w:val="21"/>
                <w:szCs w:val="21"/>
                <w:highlight w:val="none"/>
                <w:lang w:eastAsia="zh-CN"/>
              </w:rPr>
            </w:pPr>
            <w:r>
              <w:rPr>
                <w:rFonts w:cs="Times New Roman" w:asciiTheme="majorEastAsia" w:hAnsiTheme="majorEastAsia" w:eastAsiaTheme="majorEastAsia"/>
                <w:sz w:val="21"/>
                <w:szCs w:val="21"/>
                <w:highlight w:val="none"/>
                <w:lang w:eastAsia="zh-CN"/>
              </w:rPr>
              <w:t>评审意见</w:t>
            </w:r>
          </w:p>
        </w:tc>
        <w:tc>
          <w:tcPr>
            <w:tcW w:w="1509" w:type="pct"/>
            <w:vAlign w:val="center"/>
          </w:tcPr>
          <w:p w14:paraId="335522AA">
            <w:pPr>
              <w:pStyle w:val="2"/>
              <w:ind w:firstLine="0" w:firstLineChars="0"/>
              <w:jc w:val="center"/>
              <w:rPr>
                <w:rFonts w:hint="eastAsia" w:cs="Times New Roman" w:asciiTheme="majorEastAsia" w:hAnsiTheme="majorEastAsia" w:eastAsiaTheme="majorEastAsia"/>
                <w:sz w:val="21"/>
                <w:szCs w:val="21"/>
                <w:highlight w:val="none"/>
                <w:lang w:eastAsia="zh-CN"/>
              </w:rPr>
            </w:pPr>
            <w:r>
              <w:rPr>
                <w:rFonts w:hint="eastAsia" w:cs="Times New Roman" w:asciiTheme="majorEastAsia" w:hAnsiTheme="majorEastAsia" w:eastAsiaTheme="majorEastAsia"/>
                <w:sz w:val="21"/>
                <w:szCs w:val="21"/>
                <w:highlight w:val="none"/>
                <w:lang w:val="en-US" w:eastAsia="zh-CN"/>
              </w:rPr>
              <w:t>修改情况/回</w:t>
            </w:r>
            <w:r>
              <w:rPr>
                <w:rFonts w:cs="Times New Roman" w:asciiTheme="majorEastAsia" w:hAnsiTheme="majorEastAsia" w:eastAsiaTheme="majorEastAsia"/>
                <w:sz w:val="21"/>
                <w:szCs w:val="21"/>
                <w:highlight w:val="none"/>
                <w:lang w:eastAsia="zh-CN"/>
              </w:rPr>
              <w:t>复</w:t>
            </w:r>
          </w:p>
        </w:tc>
      </w:tr>
      <w:tr w14:paraId="24AEB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477" w:type="pct"/>
            <w:vAlign w:val="center"/>
          </w:tcPr>
          <w:p w14:paraId="2D8A614F">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eastAsia" w:cs="Times New Roman" w:asciiTheme="majorEastAsia" w:hAnsiTheme="majorEastAsia" w:eastAsiaTheme="majorEastAsia"/>
                <w:sz w:val="21"/>
                <w:szCs w:val="21"/>
                <w:highlight w:val="none"/>
                <w:lang w:eastAsia="zh-CN"/>
              </w:rPr>
            </w:pPr>
          </w:p>
        </w:tc>
        <w:tc>
          <w:tcPr>
            <w:tcW w:w="3013" w:type="pct"/>
            <w:gridSpan w:val="2"/>
            <w:vAlign w:val="center"/>
          </w:tcPr>
          <w:p w14:paraId="30C3DAA8">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补充安装单位及项目部内审意见，方案编制、校核及审批未签字盖章。</w:t>
            </w:r>
          </w:p>
        </w:tc>
        <w:tc>
          <w:tcPr>
            <w:tcW w:w="1509" w:type="pct"/>
            <w:vAlign w:val="center"/>
          </w:tcPr>
          <w:p w14:paraId="64A83965">
            <w:pPr>
              <w:pStyle w:val="402"/>
              <w:adjustRightInd/>
              <w:snapToGrid/>
              <w:spacing w:line="240" w:lineRule="atLeast"/>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已补充</w:t>
            </w:r>
          </w:p>
        </w:tc>
      </w:tr>
      <w:tr w14:paraId="076FE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477" w:type="pct"/>
            <w:vAlign w:val="center"/>
          </w:tcPr>
          <w:p w14:paraId="10643EB1">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cs="Times New Roman" w:asciiTheme="majorEastAsia" w:hAnsiTheme="majorEastAsia" w:eastAsiaTheme="majorEastAsia"/>
                <w:sz w:val="21"/>
                <w:szCs w:val="21"/>
                <w:highlight w:val="none"/>
                <w:lang w:eastAsia="zh-CN"/>
              </w:rPr>
            </w:pPr>
          </w:p>
        </w:tc>
        <w:tc>
          <w:tcPr>
            <w:tcW w:w="3013" w:type="pct"/>
            <w:gridSpan w:val="2"/>
            <w:vAlign w:val="center"/>
          </w:tcPr>
          <w:p w14:paraId="76E33E27">
            <w:pPr>
              <w:pStyle w:val="2"/>
              <w:spacing w:line="276" w:lineRule="auto"/>
              <w:ind w:firstLine="0" w:firstLineChars="0"/>
              <w:rPr>
                <w:rFonts w:hint="eastAsia"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编制依据中，《起重机械安全保护装置型式试验细则》、《起重机械安装改造重大修理监督检验规则》已废止，由《起重机械安全技术规程》（TSG 51-2023）代替，《施工现场临时用电安全技术规范》（JGJ46-2005）已废止，由《建筑与市政工程施工现场临时用电安全技术标准》（JGJ/T46-2024）替代。补充《公路水运危险性较大工程专项施工方案编制审查规程》（JT/T1495-2024）、《公路工程施工安全技术规范》（JTG F90-2015）、《危险性较大的分部分项工程专项施工方案严重缺陷清单（试行）》的通知（建办质〔2024〕63号）、《施工技术交底工作标准》（二航科字【2024】162号）、补充《塔式起重机安装、拆卸与爬升规则》GB/T 26471-2023、《中交二航局生产过程危险有害因素辨识及评价管理办法》（二航安委〔2019〕440号）、《中交二航局危险有害因素辨识及评价一览表（指导版）》（二航安字〔2022〕56号）。</w:t>
            </w:r>
          </w:p>
        </w:tc>
        <w:tc>
          <w:tcPr>
            <w:tcW w:w="1509" w:type="pct"/>
            <w:vAlign w:val="center"/>
          </w:tcPr>
          <w:p w14:paraId="57D4EF33">
            <w:pPr>
              <w:pStyle w:val="402"/>
              <w:adjustRightInd/>
              <w:snapToGrid/>
              <w:spacing w:line="240" w:lineRule="atLeast"/>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已修改，详见1.2章节和4.3.5章节</w:t>
            </w:r>
          </w:p>
        </w:tc>
      </w:tr>
      <w:tr w14:paraId="583A3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77" w:type="pct"/>
            <w:vAlign w:val="center"/>
          </w:tcPr>
          <w:p w14:paraId="5D33BC32">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eastAsia" w:cs="Times New Roman" w:asciiTheme="majorEastAsia" w:hAnsiTheme="majorEastAsia" w:eastAsiaTheme="majorEastAsia"/>
                <w:sz w:val="21"/>
                <w:szCs w:val="21"/>
                <w:highlight w:val="none"/>
                <w:lang w:eastAsia="zh-CN"/>
              </w:rPr>
            </w:pPr>
          </w:p>
        </w:tc>
        <w:tc>
          <w:tcPr>
            <w:tcW w:w="3013" w:type="pct"/>
            <w:gridSpan w:val="2"/>
            <w:shd w:val="clear" w:color="auto" w:fill="auto"/>
            <w:vAlign w:val="center"/>
          </w:tcPr>
          <w:p w14:paraId="24C7C161">
            <w:pPr>
              <w:pStyle w:val="2"/>
              <w:spacing w:line="276" w:lineRule="auto"/>
              <w:ind w:left="0" w:leftChars="0" w:firstLine="0" w:firstLineChars="0"/>
              <w:rPr>
                <w:rFonts w:hint="default"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安装现在环境描述中应明确安装现场作业环境，明确可能对塔吊安装、使用过程中存可能在相互干扰等安全隐患，细化安装环境设备平面占位与立面图。</w:t>
            </w:r>
          </w:p>
        </w:tc>
        <w:tc>
          <w:tcPr>
            <w:tcW w:w="1509" w:type="pct"/>
            <w:shd w:val="clear" w:color="auto" w:fill="auto"/>
            <w:vAlign w:val="center"/>
          </w:tcPr>
          <w:p w14:paraId="1E525957">
            <w:pPr>
              <w:pStyle w:val="402"/>
              <w:adjustRightInd/>
              <w:snapToGrid/>
              <w:spacing w:line="240" w:lineRule="atLeast"/>
              <w:ind w:firstLine="0" w:firstLineChars="0"/>
              <w:jc w:val="left"/>
              <w:rPr>
                <w:rFonts w:hint="default"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sz w:val="21"/>
                <w:szCs w:val="21"/>
                <w:highlight w:val="none"/>
                <w:lang w:val="en-US" w:eastAsia="zh-CN"/>
              </w:rPr>
              <w:t>已细化</w:t>
            </w:r>
          </w:p>
        </w:tc>
      </w:tr>
      <w:tr w14:paraId="7E052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77" w:type="pct"/>
            <w:vAlign w:val="center"/>
          </w:tcPr>
          <w:p w14:paraId="493FCE9B">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sz w:val="21"/>
                <w:szCs w:val="21"/>
                <w:highlight w:val="none"/>
                <w:lang w:val="en-US" w:eastAsia="zh-CN"/>
              </w:rPr>
            </w:pPr>
          </w:p>
        </w:tc>
        <w:tc>
          <w:tcPr>
            <w:tcW w:w="3013" w:type="pct"/>
            <w:gridSpan w:val="2"/>
            <w:shd w:val="clear" w:color="auto" w:fill="auto"/>
            <w:vAlign w:val="center"/>
          </w:tcPr>
          <w:p w14:paraId="2FE5ECFF">
            <w:pPr>
              <w:pStyle w:val="2"/>
              <w:spacing w:line="276" w:lineRule="auto"/>
              <w:ind w:left="0" w:leftChars="0" w:firstLine="0" w:firstLineChars="0"/>
              <w:rPr>
                <w:rFonts w:hint="default"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完善表 2.1.4-1 塔式起重机极限吊装工况。</w:t>
            </w:r>
          </w:p>
        </w:tc>
        <w:tc>
          <w:tcPr>
            <w:tcW w:w="1509" w:type="pct"/>
            <w:shd w:val="clear" w:color="auto" w:fill="auto"/>
            <w:vAlign w:val="center"/>
          </w:tcPr>
          <w:p w14:paraId="22C1C090">
            <w:pPr>
              <w:pStyle w:val="402"/>
              <w:adjustRightInd/>
              <w:snapToGrid/>
              <w:spacing w:line="240" w:lineRule="atLeast"/>
              <w:ind w:firstLine="0" w:firstLineChars="0"/>
              <w:jc w:val="left"/>
              <w:rPr>
                <w:rFonts w:hint="default"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极限吊装工况为塔机在使用过程中吊物的工况</w:t>
            </w:r>
          </w:p>
        </w:tc>
      </w:tr>
      <w:tr w14:paraId="34B05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77" w:type="pct"/>
            <w:shd w:val="clear" w:color="auto" w:fill="auto"/>
            <w:vAlign w:val="center"/>
          </w:tcPr>
          <w:p w14:paraId="468FB16E">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eastAsia" w:cs="Times New Roman" w:asciiTheme="majorEastAsia" w:hAnsiTheme="majorEastAsia" w:eastAsiaTheme="majorEastAsia"/>
                <w:kern w:val="0"/>
                <w:sz w:val="21"/>
                <w:szCs w:val="21"/>
                <w:highlight w:val="none"/>
                <w:lang w:val="en-US" w:eastAsia="zh-CN" w:bidi="ar-SA"/>
              </w:rPr>
            </w:pPr>
          </w:p>
        </w:tc>
        <w:tc>
          <w:tcPr>
            <w:tcW w:w="3013" w:type="pct"/>
            <w:gridSpan w:val="2"/>
            <w:shd w:val="clear" w:color="auto" w:fill="auto"/>
            <w:vAlign w:val="center"/>
          </w:tcPr>
          <w:p w14:paraId="4FD1D930">
            <w:pPr>
              <w:pStyle w:val="2"/>
              <w:spacing w:line="276" w:lineRule="auto"/>
              <w:ind w:firstLine="0" w:firstLineChars="0"/>
              <w:rPr>
                <w:rFonts w:hint="default"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完善表2.1.6-1项目参建方信息。</w:t>
            </w:r>
          </w:p>
        </w:tc>
        <w:tc>
          <w:tcPr>
            <w:tcW w:w="1509" w:type="pct"/>
            <w:shd w:val="clear" w:color="auto" w:fill="auto"/>
            <w:vAlign w:val="center"/>
          </w:tcPr>
          <w:p w14:paraId="0576576B">
            <w:pPr>
              <w:pStyle w:val="402"/>
              <w:adjustRightInd/>
              <w:snapToGrid/>
              <w:spacing w:line="240" w:lineRule="atLeast"/>
              <w:ind w:firstLine="0" w:firstLineChars="0"/>
              <w:jc w:val="left"/>
              <w:rPr>
                <w:rFonts w:hint="default"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已完善，详见表2.1.6-1</w:t>
            </w:r>
          </w:p>
        </w:tc>
      </w:tr>
      <w:tr w14:paraId="678A8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477" w:type="pct"/>
            <w:shd w:val="clear" w:color="auto" w:fill="auto"/>
            <w:vAlign w:val="center"/>
          </w:tcPr>
          <w:p w14:paraId="0C00416C">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eastAsia" w:cs="Times New Roman" w:asciiTheme="majorEastAsia" w:hAnsiTheme="majorEastAsia" w:eastAsiaTheme="majorEastAsia"/>
                <w:kern w:val="0"/>
                <w:sz w:val="21"/>
                <w:szCs w:val="21"/>
                <w:highlight w:val="none"/>
                <w:lang w:val="en-US" w:eastAsia="zh-CN" w:bidi="ar-SA"/>
              </w:rPr>
            </w:pPr>
          </w:p>
        </w:tc>
        <w:tc>
          <w:tcPr>
            <w:tcW w:w="3013" w:type="pct"/>
            <w:gridSpan w:val="2"/>
            <w:shd w:val="clear" w:color="auto" w:fill="auto"/>
            <w:vAlign w:val="center"/>
          </w:tcPr>
          <w:p w14:paraId="3C485A88">
            <w:pPr>
              <w:pStyle w:val="2"/>
              <w:spacing w:line="276" w:lineRule="auto"/>
              <w:ind w:firstLine="0" w:firstLineChars="0"/>
              <w:rPr>
                <w:rFonts w:hint="eastAsia"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表3.2-1材料及设备计划表中，补充风速仪；工索具、起重设备准备，根据实际安装投入，复核“所有手动吊装、焊接、测量等工具，均需经计量检验合格，方可用于本工程”，明确具体哪些。</w:t>
            </w:r>
          </w:p>
        </w:tc>
        <w:tc>
          <w:tcPr>
            <w:tcW w:w="1509" w:type="pct"/>
            <w:shd w:val="clear" w:color="auto" w:fill="auto"/>
            <w:vAlign w:val="center"/>
          </w:tcPr>
          <w:p w14:paraId="444E6326">
            <w:pPr>
              <w:pStyle w:val="402"/>
              <w:adjustRightInd/>
              <w:snapToGrid/>
              <w:spacing w:line="240" w:lineRule="atLeast"/>
              <w:ind w:firstLine="0" w:firstLineChars="0"/>
              <w:jc w:val="left"/>
              <w:rPr>
                <w:rFonts w:hint="default"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已补充</w:t>
            </w:r>
          </w:p>
        </w:tc>
      </w:tr>
      <w:tr w14:paraId="36E51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7" w:type="pct"/>
            <w:shd w:val="clear" w:color="auto" w:fill="auto"/>
            <w:vAlign w:val="center"/>
          </w:tcPr>
          <w:p w14:paraId="273E660D">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kern w:val="0"/>
                <w:sz w:val="21"/>
                <w:szCs w:val="21"/>
                <w:highlight w:val="none"/>
                <w:lang w:val="en-US" w:eastAsia="zh-CN" w:bidi="ar-SA"/>
              </w:rPr>
            </w:pPr>
          </w:p>
        </w:tc>
        <w:tc>
          <w:tcPr>
            <w:tcW w:w="3013" w:type="pct"/>
            <w:gridSpan w:val="2"/>
            <w:shd w:val="clear" w:color="auto" w:fill="auto"/>
            <w:vAlign w:val="center"/>
          </w:tcPr>
          <w:p w14:paraId="1FDDB9E5">
            <w:pPr>
              <w:pStyle w:val="2"/>
              <w:spacing w:line="276" w:lineRule="auto"/>
              <w:ind w:firstLine="0" w:firstLineChars="0"/>
              <w:rPr>
                <w:rFonts w:hint="eastAsia"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材料及设备计划表，补充完善构件运输、装卸、拼装等小型设备及吊装工索具投入。</w:t>
            </w:r>
          </w:p>
        </w:tc>
        <w:tc>
          <w:tcPr>
            <w:tcW w:w="1509" w:type="pct"/>
            <w:shd w:val="clear" w:color="auto" w:fill="auto"/>
            <w:vAlign w:val="center"/>
          </w:tcPr>
          <w:p w14:paraId="18315060">
            <w:pPr>
              <w:pStyle w:val="402"/>
              <w:adjustRightInd/>
              <w:snapToGrid/>
              <w:spacing w:line="240" w:lineRule="atLeast"/>
              <w:ind w:firstLine="0" w:firstLineChars="0"/>
              <w:jc w:val="left"/>
              <w:rPr>
                <w:rFonts w:hint="default"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已补充</w:t>
            </w:r>
          </w:p>
        </w:tc>
      </w:tr>
      <w:tr w14:paraId="7727E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7" w:type="pct"/>
            <w:shd w:val="clear" w:color="auto" w:fill="auto"/>
            <w:vAlign w:val="center"/>
          </w:tcPr>
          <w:p w14:paraId="6EE308BE">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kern w:val="0"/>
                <w:sz w:val="21"/>
                <w:szCs w:val="21"/>
                <w:highlight w:val="none"/>
                <w:lang w:val="en-US" w:eastAsia="zh-CN" w:bidi="ar-SA"/>
              </w:rPr>
            </w:pPr>
          </w:p>
        </w:tc>
        <w:tc>
          <w:tcPr>
            <w:tcW w:w="3013" w:type="pct"/>
            <w:gridSpan w:val="2"/>
            <w:shd w:val="clear" w:color="auto" w:fill="auto"/>
            <w:vAlign w:val="center"/>
          </w:tcPr>
          <w:p w14:paraId="59542462">
            <w:pPr>
              <w:pStyle w:val="2"/>
              <w:spacing w:line="276" w:lineRule="auto"/>
              <w:ind w:firstLine="0" w:firstLineChars="0"/>
              <w:rPr>
                <w:rFonts w:hint="default"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sz w:val="21"/>
                <w:szCs w:val="21"/>
                <w:highlight w:val="none"/>
                <w:lang w:val="en-US" w:eastAsia="zh-CN"/>
              </w:rPr>
              <w:t>明确初次安装高度及安装检验时的高度；明确每次附墙安装时，塔机的高度。</w:t>
            </w:r>
          </w:p>
        </w:tc>
        <w:tc>
          <w:tcPr>
            <w:tcW w:w="1509" w:type="pct"/>
            <w:shd w:val="clear" w:color="auto" w:fill="auto"/>
            <w:vAlign w:val="center"/>
          </w:tcPr>
          <w:p w14:paraId="450F4DC9">
            <w:pPr>
              <w:pStyle w:val="402"/>
              <w:adjustRightInd/>
              <w:snapToGrid/>
              <w:spacing w:line="240" w:lineRule="atLeast"/>
              <w:ind w:firstLine="0" w:firstLineChars="0"/>
              <w:jc w:val="left"/>
              <w:rPr>
                <w:rFonts w:hint="default"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已修改，详见2.1.4.1章节</w:t>
            </w:r>
          </w:p>
        </w:tc>
      </w:tr>
      <w:tr w14:paraId="2A844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7" w:type="pct"/>
            <w:shd w:val="clear" w:color="auto" w:fill="auto"/>
            <w:vAlign w:val="center"/>
          </w:tcPr>
          <w:p w14:paraId="512605B9">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kern w:val="0"/>
                <w:sz w:val="21"/>
                <w:szCs w:val="21"/>
                <w:highlight w:val="none"/>
                <w:lang w:val="en-US" w:eastAsia="zh-CN" w:bidi="ar-SA"/>
              </w:rPr>
            </w:pPr>
          </w:p>
        </w:tc>
        <w:tc>
          <w:tcPr>
            <w:tcW w:w="3013" w:type="pct"/>
            <w:gridSpan w:val="2"/>
            <w:shd w:val="clear" w:color="auto" w:fill="auto"/>
            <w:vAlign w:val="center"/>
          </w:tcPr>
          <w:p w14:paraId="3AB6797A">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补充基础节验收要求。</w:t>
            </w:r>
          </w:p>
        </w:tc>
        <w:tc>
          <w:tcPr>
            <w:tcW w:w="1509" w:type="pct"/>
            <w:shd w:val="clear" w:color="auto" w:fill="auto"/>
            <w:vAlign w:val="center"/>
          </w:tcPr>
          <w:p w14:paraId="055F0D0C">
            <w:pPr>
              <w:pStyle w:val="402"/>
              <w:adjustRightInd/>
              <w:snapToGrid/>
              <w:spacing w:line="240" w:lineRule="atLeast"/>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已补充，详见4.4.2.2章节和4.5.2.2章节</w:t>
            </w:r>
          </w:p>
        </w:tc>
      </w:tr>
      <w:tr w14:paraId="24573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77" w:type="pct"/>
            <w:shd w:val="clear" w:color="auto" w:fill="auto"/>
            <w:vAlign w:val="center"/>
          </w:tcPr>
          <w:p w14:paraId="2F0C29D4">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eastAsia" w:cs="Times New Roman" w:asciiTheme="majorEastAsia" w:hAnsiTheme="majorEastAsia" w:eastAsiaTheme="majorEastAsia"/>
                <w:kern w:val="0"/>
                <w:sz w:val="21"/>
                <w:szCs w:val="21"/>
                <w:highlight w:val="none"/>
                <w:lang w:val="en-US" w:eastAsia="zh-CN" w:bidi="ar-SA"/>
              </w:rPr>
            </w:pPr>
          </w:p>
        </w:tc>
        <w:tc>
          <w:tcPr>
            <w:tcW w:w="3013" w:type="pct"/>
            <w:gridSpan w:val="2"/>
            <w:shd w:val="clear" w:color="auto" w:fill="auto"/>
            <w:vAlign w:val="center"/>
          </w:tcPr>
          <w:p w14:paraId="00AD6C08">
            <w:pPr>
              <w:pStyle w:val="2"/>
              <w:spacing w:line="276" w:lineRule="auto"/>
              <w:ind w:left="0" w:leftChars="0" w:firstLine="0" w:firstLineChars="0"/>
              <w:rPr>
                <w:rFonts w:hint="default"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补充3#、4#塔吊之间的距离，并满足要求。</w:t>
            </w:r>
          </w:p>
        </w:tc>
        <w:tc>
          <w:tcPr>
            <w:tcW w:w="1509" w:type="pct"/>
            <w:shd w:val="clear" w:color="auto" w:fill="auto"/>
            <w:vAlign w:val="center"/>
          </w:tcPr>
          <w:p w14:paraId="1816235C">
            <w:pPr>
              <w:pStyle w:val="402"/>
              <w:adjustRightInd/>
              <w:snapToGrid/>
              <w:spacing w:line="240" w:lineRule="atLeast"/>
              <w:ind w:firstLine="0" w:firstLineChars="0"/>
              <w:jc w:val="left"/>
              <w:rPr>
                <w:rFonts w:hint="default" w:cs="Times New Roman" w:asciiTheme="majorEastAsia" w:hAnsiTheme="majorEastAsia" w:eastAsiaTheme="majorEastAsia"/>
                <w:sz w:val="21"/>
                <w:szCs w:val="21"/>
                <w:highlight w:val="none"/>
                <w:lang w:val="en-US" w:eastAsia="zh-CN" w:bidi="ar-SA"/>
              </w:rPr>
            </w:pPr>
            <w:r>
              <w:rPr>
                <w:rFonts w:hint="eastAsia" w:cs="Times New Roman" w:asciiTheme="majorEastAsia" w:hAnsiTheme="majorEastAsia" w:eastAsiaTheme="majorEastAsia"/>
                <w:sz w:val="21"/>
                <w:szCs w:val="21"/>
                <w:highlight w:val="none"/>
                <w:lang w:val="en-US" w:eastAsia="zh-CN" w:bidi="ar-SA"/>
              </w:rPr>
              <w:t>已补充，详见2.2章节</w:t>
            </w:r>
          </w:p>
        </w:tc>
      </w:tr>
      <w:tr w14:paraId="12A4E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77" w:type="pct"/>
            <w:shd w:val="clear" w:color="auto" w:fill="auto"/>
            <w:vAlign w:val="center"/>
          </w:tcPr>
          <w:p w14:paraId="5EB34445">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eastAsia" w:cs="Times New Roman" w:asciiTheme="majorEastAsia" w:hAnsiTheme="majorEastAsia" w:eastAsiaTheme="majorEastAsia"/>
                <w:kern w:val="0"/>
                <w:sz w:val="21"/>
                <w:szCs w:val="21"/>
                <w:highlight w:val="none"/>
                <w:lang w:val="en-US" w:eastAsia="zh-CN" w:bidi="ar-SA"/>
              </w:rPr>
            </w:pPr>
          </w:p>
        </w:tc>
        <w:tc>
          <w:tcPr>
            <w:tcW w:w="3013" w:type="pct"/>
            <w:gridSpan w:val="2"/>
            <w:shd w:val="clear" w:color="auto" w:fill="auto"/>
            <w:vAlign w:val="center"/>
          </w:tcPr>
          <w:p w14:paraId="3F727C2B">
            <w:pPr>
              <w:pStyle w:val="2"/>
              <w:spacing w:line="276" w:lineRule="auto"/>
              <w:ind w:left="0" w:leftChars="0" w:firstLine="0" w:firstLineChars="0"/>
              <w:rPr>
                <w:rFonts w:hint="default"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补充变幅小车安装和固定措施。</w:t>
            </w:r>
          </w:p>
        </w:tc>
        <w:tc>
          <w:tcPr>
            <w:tcW w:w="1509" w:type="pct"/>
            <w:shd w:val="clear" w:color="auto" w:fill="auto"/>
            <w:vAlign w:val="center"/>
          </w:tcPr>
          <w:p w14:paraId="2601E61C">
            <w:pPr>
              <w:pStyle w:val="402"/>
              <w:adjustRightInd/>
              <w:snapToGrid/>
              <w:spacing w:line="240" w:lineRule="atLeast"/>
              <w:ind w:firstLine="0" w:firstLineChars="0"/>
              <w:jc w:val="left"/>
              <w:rPr>
                <w:rFonts w:hint="default" w:cs="Times New Roman" w:asciiTheme="majorEastAsia" w:hAnsiTheme="majorEastAsia" w:eastAsiaTheme="majorEastAsia"/>
                <w:sz w:val="21"/>
                <w:szCs w:val="21"/>
                <w:highlight w:val="none"/>
                <w:lang w:val="en-US" w:eastAsia="zh-CN" w:bidi="ar-SA"/>
              </w:rPr>
            </w:pPr>
            <w:r>
              <w:rPr>
                <w:rFonts w:hint="eastAsia" w:cs="Times New Roman" w:asciiTheme="majorEastAsia" w:hAnsiTheme="majorEastAsia" w:eastAsiaTheme="majorEastAsia"/>
                <w:sz w:val="21"/>
                <w:szCs w:val="21"/>
                <w:highlight w:val="none"/>
                <w:lang w:val="en-US" w:eastAsia="zh-CN" w:bidi="ar-SA"/>
              </w:rPr>
              <w:t>已补充，详见4.4.6章节和4.5.6章节</w:t>
            </w:r>
          </w:p>
        </w:tc>
      </w:tr>
      <w:tr w14:paraId="19775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jc w:val="center"/>
        </w:trPr>
        <w:tc>
          <w:tcPr>
            <w:tcW w:w="477" w:type="pct"/>
            <w:shd w:val="clear" w:color="auto" w:fill="auto"/>
            <w:vAlign w:val="center"/>
          </w:tcPr>
          <w:p w14:paraId="4A8049FD">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eastAsia" w:cs="Times New Roman" w:asciiTheme="majorEastAsia" w:hAnsiTheme="majorEastAsia" w:eastAsiaTheme="majorEastAsia"/>
                <w:kern w:val="0"/>
                <w:sz w:val="21"/>
                <w:szCs w:val="21"/>
                <w:highlight w:val="none"/>
                <w:lang w:val="en-US" w:eastAsia="zh-CN" w:bidi="ar-SA"/>
              </w:rPr>
            </w:pPr>
          </w:p>
        </w:tc>
        <w:tc>
          <w:tcPr>
            <w:tcW w:w="3013" w:type="pct"/>
            <w:gridSpan w:val="2"/>
            <w:vAlign w:val="center"/>
          </w:tcPr>
          <w:p w14:paraId="403310BC">
            <w:pPr>
              <w:pStyle w:val="2"/>
              <w:spacing w:line="276" w:lineRule="auto"/>
              <w:ind w:firstLine="0" w:firstLineChars="0"/>
              <w:rPr>
                <w:rFonts w:hint="eastAsia" w:cs="Times New Roman" w:asciiTheme="majorEastAsia" w:hAnsiTheme="majorEastAsia" w:eastAsiaTheme="majorEastAsia"/>
                <w:sz w:val="21"/>
                <w:szCs w:val="21"/>
                <w:highlight w:val="none"/>
                <w:lang w:eastAsia="zh-CN"/>
              </w:rPr>
            </w:pPr>
            <w:r>
              <w:rPr>
                <w:rFonts w:hint="eastAsia" w:cs="Times New Roman" w:asciiTheme="majorEastAsia" w:hAnsiTheme="majorEastAsia" w:eastAsiaTheme="majorEastAsia"/>
                <w:sz w:val="21"/>
                <w:szCs w:val="21"/>
                <w:highlight w:val="none"/>
                <w:lang w:eastAsia="zh-CN"/>
              </w:rPr>
              <w:t>顶升作业应明确人员站位、分工、操作细则及监测检查要点等。</w:t>
            </w:r>
          </w:p>
        </w:tc>
        <w:tc>
          <w:tcPr>
            <w:tcW w:w="1509" w:type="pct"/>
            <w:vAlign w:val="center"/>
          </w:tcPr>
          <w:p w14:paraId="0215CD73">
            <w:pPr>
              <w:pStyle w:val="402"/>
              <w:adjustRightInd/>
              <w:snapToGrid/>
              <w:spacing w:line="240" w:lineRule="atLeast"/>
              <w:ind w:firstLine="0" w:firstLineChars="0"/>
              <w:jc w:val="left"/>
              <w:rPr>
                <w:rFonts w:hint="default"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已补充，人员站位分工详见4.4.13.4章节和4.5.13.4章节，监测要点详见4.4.13.6章节和4.5.13.6章节。</w:t>
            </w:r>
          </w:p>
        </w:tc>
      </w:tr>
      <w:tr w14:paraId="703ED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jc w:val="center"/>
        </w:trPr>
        <w:tc>
          <w:tcPr>
            <w:tcW w:w="477" w:type="pct"/>
            <w:shd w:val="clear" w:color="auto" w:fill="auto"/>
            <w:vAlign w:val="center"/>
          </w:tcPr>
          <w:p w14:paraId="2C953D43">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eastAsia" w:cs="Times New Roman" w:asciiTheme="majorEastAsia" w:hAnsiTheme="majorEastAsia" w:eastAsiaTheme="majorEastAsia"/>
                <w:kern w:val="0"/>
                <w:sz w:val="21"/>
                <w:szCs w:val="21"/>
                <w:highlight w:val="none"/>
                <w:lang w:val="en-US" w:eastAsia="zh-CN" w:bidi="ar-SA"/>
              </w:rPr>
            </w:pPr>
          </w:p>
        </w:tc>
        <w:tc>
          <w:tcPr>
            <w:tcW w:w="3013" w:type="pct"/>
            <w:gridSpan w:val="2"/>
            <w:vAlign w:val="center"/>
          </w:tcPr>
          <w:p w14:paraId="3140F77A">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增加顶升作业、附着安装安全防护用品及设施投入。</w:t>
            </w:r>
          </w:p>
        </w:tc>
        <w:tc>
          <w:tcPr>
            <w:tcW w:w="1509" w:type="pct"/>
            <w:vAlign w:val="center"/>
          </w:tcPr>
          <w:p w14:paraId="64D20B8E">
            <w:pPr>
              <w:pStyle w:val="402"/>
              <w:adjustRightInd/>
              <w:snapToGrid/>
              <w:spacing w:line="240" w:lineRule="atLeast"/>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已补充，详见表3.2-1</w:t>
            </w:r>
          </w:p>
        </w:tc>
      </w:tr>
      <w:tr w14:paraId="22291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77" w:type="pct"/>
            <w:shd w:val="clear" w:color="auto" w:fill="auto"/>
            <w:vAlign w:val="center"/>
          </w:tcPr>
          <w:p w14:paraId="2F1E9C03">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kern w:val="0"/>
                <w:sz w:val="21"/>
                <w:szCs w:val="21"/>
                <w:highlight w:val="none"/>
                <w:lang w:val="en-US" w:eastAsia="zh-CN" w:bidi="ar-SA"/>
              </w:rPr>
            </w:pPr>
          </w:p>
        </w:tc>
        <w:tc>
          <w:tcPr>
            <w:tcW w:w="3013" w:type="pct"/>
            <w:gridSpan w:val="2"/>
            <w:vAlign w:val="center"/>
          </w:tcPr>
          <w:p w14:paraId="713D7DFE">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default" w:cs="Times New Roman" w:asciiTheme="majorEastAsia" w:hAnsiTheme="majorEastAsia" w:eastAsiaTheme="majorEastAsia"/>
                <w:sz w:val="21"/>
                <w:szCs w:val="21"/>
                <w:highlight w:val="none"/>
                <w:lang w:val="en-US" w:eastAsia="zh-CN"/>
              </w:rPr>
              <w:t>表6.1.3- 1各岗位或部门安全生产职责表应与表 6.1.1-1 安全管理组织机构表中人员对应；安全生产组织机构未明确安装单位体系，明确塔式起重机安拆主管职责，项目部人员的工作职责主要是提供基础资料、提供现场作业条件、监督安拆单位按方案施工、制止违章作业等。</w:t>
            </w:r>
          </w:p>
        </w:tc>
        <w:tc>
          <w:tcPr>
            <w:tcW w:w="1509" w:type="pct"/>
            <w:vAlign w:val="center"/>
          </w:tcPr>
          <w:p w14:paraId="5F17767A">
            <w:pPr>
              <w:pStyle w:val="402"/>
              <w:adjustRightInd/>
              <w:snapToGrid/>
              <w:spacing w:line="240" w:lineRule="atLeast"/>
              <w:ind w:firstLine="0" w:firstLineChars="0"/>
              <w:jc w:val="left"/>
              <w:rPr>
                <w:rFonts w:hint="default"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已修改，详见6.2.1章节</w:t>
            </w:r>
          </w:p>
        </w:tc>
      </w:tr>
      <w:tr w14:paraId="65EC6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477" w:type="pct"/>
            <w:shd w:val="clear" w:color="auto" w:fill="auto"/>
            <w:vAlign w:val="center"/>
          </w:tcPr>
          <w:p w14:paraId="16B85A64">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sz w:val="21"/>
                <w:szCs w:val="21"/>
                <w:highlight w:val="none"/>
                <w:lang w:val="en-US" w:eastAsia="zh-CN"/>
              </w:rPr>
            </w:pPr>
          </w:p>
        </w:tc>
        <w:tc>
          <w:tcPr>
            <w:tcW w:w="3013" w:type="pct"/>
            <w:gridSpan w:val="2"/>
            <w:vAlign w:val="center"/>
          </w:tcPr>
          <w:p w14:paraId="7CEB4EE7">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default" w:cs="Times New Roman" w:asciiTheme="majorEastAsia" w:hAnsiTheme="majorEastAsia" w:eastAsiaTheme="majorEastAsia"/>
                <w:sz w:val="21"/>
                <w:szCs w:val="21"/>
                <w:highlight w:val="none"/>
                <w:lang w:val="en-US" w:eastAsia="zh-CN"/>
              </w:rPr>
              <w:t>完善表6.2.8.2.1-1监测人员配备表，补充对吊车、安装作业环境监控检测措施。</w:t>
            </w:r>
          </w:p>
        </w:tc>
        <w:tc>
          <w:tcPr>
            <w:tcW w:w="1509" w:type="pct"/>
            <w:vAlign w:val="center"/>
          </w:tcPr>
          <w:p w14:paraId="528B1E36">
            <w:pPr>
              <w:pStyle w:val="2"/>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已完善，详见表6.3.8.2.1-1</w:t>
            </w:r>
          </w:p>
        </w:tc>
      </w:tr>
      <w:tr w14:paraId="39A3F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477" w:type="pct"/>
            <w:shd w:val="clear" w:color="auto" w:fill="auto"/>
            <w:vAlign w:val="center"/>
          </w:tcPr>
          <w:p w14:paraId="5AE37765">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sz w:val="21"/>
                <w:szCs w:val="21"/>
                <w:highlight w:val="none"/>
                <w:lang w:val="en-US" w:eastAsia="zh-CN"/>
              </w:rPr>
            </w:pPr>
          </w:p>
        </w:tc>
        <w:tc>
          <w:tcPr>
            <w:tcW w:w="3013" w:type="pct"/>
            <w:gridSpan w:val="2"/>
            <w:vAlign w:val="center"/>
          </w:tcPr>
          <w:p w14:paraId="1A2D2210">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default" w:cs="Times New Roman" w:asciiTheme="majorEastAsia" w:hAnsiTheme="majorEastAsia" w:eastAsiaTheme="majorEastAsia"/>
                <w:sz w:val="21"/>
                <w:szCs w:val="21"/>
                <w:highlight w:val="none"/>
                <w:lang w:val="en-US" w:eastAsia="zh-CN"/>
              </w:rPr>
              <w:t>补充危险源识别及管控措施。</w:t>
            </w:r>
          </w:p>
        </w:tc>
        <w:tc>
          <w:tcPr>
            <w:tcW w:w="1509" w:type="pct"/>
            <w:vAlign w:val="center"/>
          </w:tcPr>
          <w:p w14:paraId="113798A7">
            <w:pPr>
              <w:pStyle w:val="402"/>
              <w:adjustRightInd/>
              <w:snapToGrid/>
              <w:spacing w:line="240" w:lineRule="atLeast"/>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已补充，详见6.1章节</w:t>
            </w:r>
          </w:p>
        </w:tc>
      </w:tr>
      <w:tr w14:paraId="1F65D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77" w:type="pct"/>
            <w:vAlign w:val="center"/>
          </w:tcPr>
          <w:p w14:paraId="18114F91">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sz w:val="21"/>
                <w:szCs w:val="21"/>
                <w:highlight w:val="none"/>
                <w:lang w:val="en-US" w:eastAsia="zh-CN"/>
              </w:rPr>
            </w:pPr>
          </w:p>
        </w:tc>
        <w:tc>
          <w:tcPr>
            <w:tcW w:w="3013" w:type="pct"/>
            <w:gridSpan w:val="2"/>
            <w:vAlign w:val="center"/>
          </w:tcPr>
          <w:p w14:paraId="4521EEA9">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s="Times New Roman" w:asciiTheme="majorEastAsia" w:hAnsiTheme="majorEastAsia" w:eastAsiaTheme="majorEastAsia"/>
                <w:sz w:val="21"/>
                <w:szCs w:val="21"/>
                <w:highlight w:val="none"/>
                <w:lang w:val="en-US" w:eastAsia="zh-CN"/>
              </w:rPr>
            </w:pPr>
            <w:r>
              <w:rPr>
                <w:rFonts w:hint="default" w:cs="Times New Roman" w:asciiTheme="majorEastAsia" w:hAnsiTheme="majorEastAsia" w:eastAsiaTheme="majorEastAsia"/>
                <w:sz w:val="21"/>
                <w:szCs w:val="21"/>
                <w:highlight w:val="none"/>
                <w:lang w:val="en-US" w:eastAsia="zh-CN"/>
              </w:rPr>
              <w:t>何小兵证件过期，请更换；补充焊工人员</w:t>
            </w:r>
            <w:r>
              <w:rPr>
                <w:rFonts w:hint="eastAsia" w:cs="Times New Roman" w:asciiTheme="majorEastAsia" w:hAnsiTheme="majorEastAsia" w:eastAsiaTheme="majorEastAsia"/>
                <w:sz w:val="21"/>
                <w:szCs w:val="21"/>
                <w:highlight w:val="none"/>
                <w:lang w:val="en-US" w:eastAsia="zh-CN"/>
              </w:rPr>
              <w:t>及证件信息；补充安装单位现场起重指挥人员。</w:t>
            </w:r>
          </w:p>
        </w:tc>
        <w:tc>
          <w:tcPr>
            <w:tcW w:w="1509" w:type="pct"/>
            <w:vAlign w:val="center"/>
          </w:tcPr>
          <w:p w14:paraId="6E71ED8C">
            <w:pPr>
              <w:pStyle w:val="402"/>
              <w:adjustRightInd/>
              <w:snapToGrid/>
              <w:spacing w:line="240" w:lineRule="atLeast"/>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已更换，详见附件1，本方案人员配置不含焊工</w:t>
            </w:r>
          </w:p>
        </w:tc>
      </w:tr>
      <w:tr w14:paraId="5585A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477" w:type="pct"/>
            <w:vAlign w:val="center"/>
          </w:tcPr>
          <w:p w14:paraId="1C4C4C5E">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sz w:val="21"/>
                <w:szCs w:val="21"/>
                <w:highlight w:val="none"/>
                <w:lang w:val="en-US" w:eastAsia="zh-CN"/>
              </w:rPr>
            </w:pPr>
          </w:p>
        </w:tc>
        <w:tc>
          <w:tcPr>
            <w:tcW w:w="3013" w:type="pct"/>
            <w:gridSpan w:val="2"/>
            <w:vAlign w:val="center"/>
          </w:tcPr>
          <w:p w14:paraId="0D219DFE">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default" w:cs="Times New Roman" w:asciiTheme="majorEastAsia" w:hAnsiTheme="majorEastAsia" w:eastAsiaTheme="majorEastAsia"/>
                <w:sz w:val="21"/>
                <w:szCs w:val="21"/>
                <w:highlight w:val="none"/>
                <w:lang w:val="en-US" w:eastAsia="zh-CN"/>
              </w:rPr>
              <w:t>补充塔吊安装单位资格证书、生产安全许可证、塔吊出厂合格证书相等关证书并核实证件有效性。</w:t>
            </w:r>
          </w:p>
        </w:tc>
        <w:tc>
          <w:tcPr>
            <w:tcW w:w="1509" w:type="pct"/>
            <w:vAlign w:val="center"/>
          </w:tcPr>
          <w:p w14:paraId="7F3410A0">
            <w:pPr>
              <w:pStyle w:val="402"/>
              <w:adjustRightInd/>
              <w:snapToGrid/>
              <w:spacing w:line="240" w:lineRule="atLeast"/>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已补充；安装单位资格证书、生产安全许可证详见附件1，塔吊出厂合格证书详见附件4</w:t>
            </w:r>
          </w:p>
        </w:tc>
      </w:tr>
      <w:tr w14:paraId="68085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477" w:type="pct"/>
            <w:vAlign w:val="center"/>
          </w:tcPr>
          <w:p w14:paraId="7B08E3E4">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sz w:val="21"/>
                <w:szCs w:val="21"/>
                <w:highlight w:val="none"/>
                <w:lang w:val="en-US" w:eastAsia="zh-CN"/>
              </w:rPr>
            </w:pPr>
          </w:p>
        </w:tc>
        <w:tc>
          <w:tcPr>
            <w:tcW w:w="3013" w:type="pct"/>
            <w:gridSpan w:val="2"/>
            <w:vAlign w:val="center"/>
          </w:tcPr>
          <w:p w14:paraId="3A10A2FB">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根据《关于强化特种设备管理的通知》（二航生产〔2024〕275 号）的文件要求，塔机的安装需要双资质，补充起重设备安装工程专业承包二级资质。</w:t>
            </w:r>
          </w:p>
        </w:tc>
        <w:tc>
          <w:tcPr>
            <w:tcW w:w="1509" w:type="pct"/>
            <w:vAlign w:val="center"/>
          </w:tcPr>
          <w:p w14:paraId="44D44562">
            <w:pPr>
              <w:pStyle w:val="402"/>
              <w:adjustRightInd/>
              <w:snapToGrid/>
              <w:spacing w:line="240" w:lineRule="atLeast"/>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已补充，详见附件1，二级延期正在公示中，公示完毕可领取新证</w:t>
            </w:r>
          </w:p>
        </w:tc>
      </w:tr>
      <w:tr w14:paraId="50DCB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477" w:type="pct"/>
            <w:vAlign w:val="center"/>
          </w:tcPr>
          <w:p w14:paraId="297E6D94">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sz w:val="21"/>
                <w:szCs w:val="21"/>
                <w:highlight w:val="none"/>
                <w:lang w:val="en-US" w:eastAsia="zh-CN"/>
              </w:rPr>
            </w:pPr>
          </w:p>
        </w:tc>
        <w:tc>
          <w:tcPr>
            <w:tcW w:w="3013" w:type="pct"/>
            <w:gridSpan w:val="2"/>
            <w:vAlign w:val="center"/>
          </w:tcPr>
          <w:p w14:paraId="5486A936">
            <w:pPr>
              <w:pStyle w:val="2"/>
              <w:spacing w:line="276" w:lineRule="auto"/>
              <w:ind w:firstLine="0" w:firstLineChars="0"/>
              <w:rPr>
                <w:rFonts w:hint="eastAsia"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细化附墙的安装方案，明确操作平台、人行通道等临时结构设计，而不仅仅是示意；附墙杆全部采用塔机吊装，吊装角度是否存在可行性，至少应对最远端附墙杆的吊装进行分析。</w:t>
            </w:r>
          </w:p>
        </w:tc>
        <w:tc>
          <w:tcPr>
            <w:tcW w:w="1509" w:type="pct"/>
            <w:vAlign w:val="center"/>
          </w:tcPr>
          <w:p w14:paraId="0FE13925">
            <w:pPr>
              <w:pStyle w:val="402"/>
              <w:adjustRightInd/>
              <w:snapToGrid/>
              <w:spacing w:line="240" w:lineRule="atLeast"/>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塔机安装自身附着杆时，上部可进行360°回转变幅不存在角度问题</w:t>
            </w:r>
          </w:p>
        </w:tc>
      </w:tr>
      <w:tr w14:paraId="066D4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477" w:type="pct"/>
            <w:vAlign w:val="center"/>
          </w:tcPr>
          <w:p w14:paraId="521A0FD3">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sz w:val="21"/>
                <w:szCs w:val="21"/>
                <w:highlight w:val="none"/>
                <w:lang w:val="en-US" w:eastAsia="zh-CN"/>
              </w:rPr>
            </w:pPr>
          </w:p>
        </w:tc>
        <w:tc>
          <w:tcPr>
            <w:tcW w:w="3013" w:type="pct"/>
            <w:gridSpan w:val="2"/>
            <w:vAlign w:val="center"/>
          </w:tcPr>
          <w:p w14:paraId="3CEEBDCA">
            <w:pPr>
              <w:pStyle w:val="2"/>
              <w:spacing w:line="276" w:lineRule="auto"/>
              <w:ind w:firstLine="0" w:firstLineChars="0"/>
              <w:rPr>
                <w:rFonts w:hint="eastAsia"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补充签字盖章版塔吊基础计算书和附墙计算书。</w:t>
            </w:r>
          </w:p>
        </w:tc>
        <w:tc>
          <w:tcPr>
            <w:tcW w:w="1509" w:type="pct"/>
            <w:vAlign w:val="center"/>
          </w:tcPr>
          <w:p w14:paraId="3857C949">
            <w:pPr>
              <w:pStyle w:val="2"/>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已补充，详见附件9、附件10和附件13</w:t>
            </w:r>
          </w:p>
        </w:tc>
      </w:tr>
      <w:tr w14:paraId="6C997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477" w:type="pct"/>
            <w:vAlign w:val="center"/>
          </w:tcPr>
          <w:p w14:paraId="19FD7065">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sz w:val="21"/>
                <w:szCs w:val="21"/>
                <w:highlight w:val="none"/>
                <w:lang w:val="en-US" w:eastAsia="zh-CN"/>
              </w:rPr>
            </w:pPr>
          </w:p>
        </w:tc>
        <w:tc>
          <w:tcPr>
            <w:tcW w:w="3013" w:type="pct"/>
            <w:gridSpan w:val="2"/>
            <w:vAlign w:val="center"/>
          </w:tcPr>
          <w:p w14:paraId="35E7E2FF">
            <w:pPr>
              <w:pStyle w:val="2"/>
              <w:spacing w:line="276" w:lineRule="auto"/>
              <w:ind w:firstLine="0" w:firstLineChars="0"/>
              <w:rPr>
                <w:rFonts w:hint="eastAsia" w:cs="Times New Roman" w:asciiTheme="majorEastAsia" w:hAnsiTheme="majorEastAsia" w:eastAsiaTheme="majorEastAsia"/>
                <w:sz w:val="21"/>
                <w:szCs w:val="21"/>
                <w:highlight w:val="none"/>
                <w:lang w:val="en-US" w:eastAsia="zh-CN"/>
              </w:rPr>
            </w:pPr>
            <w:r>
              <w:rPr>
                <w:rFonts w:hint="default" w:cs="Times New Roman" w:asciiTheme="majorEastAsia" w:hAnsiTheme="majorEastAsia" w:eastAsiaTheme="majorEastAsia"/>
                <w:sz w:val="21"/>
                <w:szCs w:val="21"/>
                <w:highlight w:val="none"/>
                <w:lang w:val="en-US" w:eastAsia="zh-CN"/>
              </w:rPr>
              <w:t>主塔塔吊其起重臂覆盖范围存在交叉、干涉等现象，</w:t>
            </w:r>
            <w:r>
              <w:rPr>
                <w:rFonts w:hint="eastAsia" w:cs="Times New Roman" w:asciiTheme="majorEastAsia" w:hAnsiTheme="majorEastAsia" w:eastAsiaTheme="majorEastAsia"/>
                <w:sz w:val="21"/>
                <w:szCs w:val="21"/>
                <w:highlight w:val="none"/>
                <w:lang w:val="en-US" w:eastAsia="zh-CN"/>
              </w:rPr>
              <w:t>应</w:t>
            </w:r>
            <w:r>
              <w:rPr>
                <w:rFonts w:hint="default" w:cs="Times New Roman" w:asciiTheme="majorEastAsia" w:hAnsiTheme="majorEastAsia" w:eastAsiaTheme="majorEastAsia"/>
                <w:sz w:val="21"/>
                <w:szCs w:val="21"/>
                <w:highlight w:val="none"/>
                <w:lang w:val="en-US" w:eastAsia="zh-CN"/>
              </w:rPr>
              <w:t>补充群塔防碰撞措施，编制群塔作业方案。</w:t>
            </w:r>
          </w:p>
        </w:tc>
        <w:tc>
          <w:tcPr>
            <w:tcW w:w="1509" w:type="pct"/>
            <w:vAlign w:val="center"/>
          </w:tcPr>
          <w:p w14:paraId="6BF095BB">
            <w:pPr>
              <w:pStyle w:val="2"/>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已补充，详见附件11</w:t>
            </w:r>
          </w:p>
        </w:tc>
      </w:tr>
      <w:tr w14:paraId="181DE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77" w:type="pct"/>
            <w:vAlign w:val="center"/>
          </w:tcPr>
          <w:p w14:paraId="4336E2DB">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sz w:val="21"/>
                <w:szCs w:val="21"/>
                <w:highlight w:val="none"/>
                <w:lang w:val="en-US" w:eastAsia="zh-CN"/>
              </w:rPr>
            </w:pPr>
          </w:p>
        </w:tc>
        <w:tc>
          <w:tcPr>
            <w:tcW w:w="3013" w:type="pct"/>
            <w:gridSpan w:val="2"/>
            <w:vAlign w:val="center"/>
          </w:tcPr>
          <w:p w14:paraId="6403AB82">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default" w:cs="Times New Roman" w:asciiTheme="majorEastAsia" w:hAnsiTheme="majorEastAsia" w:eastAsiaTheme="majorEastAsia"/>
                <w:sz w:val="21"/>
                <w:szCs w:val="21"/>
                <w:highlight w:val="none"/>
                <w:lang w:val="en-US" w:eastAsia="zh-CN"/>
              </w:rPr>
              <w:t>对照《危险性较大的分部分项工程专项施工方案严重缺陷清单（试行）》进行检查完善。</w:t>
            </w:r>
          </w:p>
        </w:tc>
        <w:tc>
          <w:tcPr>
            <w:tcW w:w="1509" w:type="pct"/>
            <w:vAlign w:val="center"/>
          </w:tcPr>
          <w:p w14:paraId="6B476F7B">
            <w:pPr>
              <w:pStyle w:val="402"/>
              <w:adjustRightInd/>
              <w:snapToGrid/>
              <w:spacing w:line="240" w:lineRule="atLeast"/>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已完善</w:t>
            </w:r>
          </w:p>
        </w:tc>
      </w:tr>
      <w:tr w14:paraId="723C8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77" w:type="pct"/>
            <w:vAlign w:val="center"/>
          </w:tcPr>
          <w:p w14:paraId="68C58F79">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sz w:val="21"/>
                <w:szCs w:val="21"/>
                <w:highlight w:val="none"/>
                <w:lang w:val="en-US" w:eastAsia="zh-CN"/>
              </w:rPr>
            </w:pPr>
          </w:p>
        </w:tc>
        <w:tc>
          <w:tcPr>
            <w:tcW w:w="3013" w:type="pct"/>
            <w:gridSpan w:val="2"/>
            <w:vAlign w:val="center"/>
          </w:tcPr>
          <w:p w14:paraId="2165A79D">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请</w:t>
            </w:r>
            <w:r>
              <w:rPr>
                <w:rFonts w:hint="default" w:cs="Times New Roman" w:asciiTheme="majorEastAsia" w:hAnsiTheme="majorEastAsia" w:eastAsiaTheme="majorEastAsia"/>
                <w:sz w:val="21"/>
                <w:szCs w:val="21"/>
                <w:highlight w:val="none"/>
                <w:lang w:val="en-US" w:eastAsia="zh-CN"/>
              </w:rPr>
              <w:t>建立以安装单位为主体的安全管理组织架构并明确其安全生产职责，补充明确安装单位现场安全负责人及其相应的安全生产职责。</w:t>
            </w:r>
          </w:p>
        </w:tc>
        <w:tc>
          <w:tcPr>
            <w:tcW w:w="1509" w:type="pct"/>
            <w:vAlign w:val="center"/>
          </w:tcPr>
          <w:p w14:paraId="2C96FE95">
            <w:pPr>
              <w:pStyle w:val="2"/>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已补充，详见7.1章节</w:t>
            </w:r>
          </w:p>
        </w:tc>
      </w:tr>
      <w:tr w14:paraId="50DEF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77" w:type="pct"/>
            <w:vAlign w:val="center"/>
          </w:tcPr>
          <w:p w14:paraId="2C357556">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sz w:val="21"/>
                <w:szCs w:val="21"/>
                <w:highlight w:val="none"/>
                <w:lang w:val="en-US" w:eastAsia="zh-CN"/>
              </w:rPr>
            </w:pPr>
          </w:p>
        </w:tc>
        <w:tc>
          <w:tcPr>
            <w:tcW w:w="3013" w:type="pct"/>
            <w:gridSpan w:val="2"/>
            <w:vAlign w:val="center"/>
          </w:tcPr>
          <w:p w14:paraId="3FA0198F">
            <w:pPr>
              <w:pStyle w:val="2"/>
              <w:spacing w:line="276" w:lineRule="auto"/>
              <w:ind w:firstLine="0" w:firstLineChars="0"/>
              <w:rPr>
                <w:rFonts w:hint="eastAsia"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设备安装前请做好作业条件（吊装设备、作业人员、场地、工索具材料、劳动保护用品等）的验收和确认，并做好记录；对辅助起重设备和其他安装辅助用具的机械性能和安全性能进行检查，合格后方能投入作业。</w:t>
            </w:r>
          </w:p>
        </w:tc>
        <w:tc>
          <w:tcPr>
            <w:tcW w:w="1509" w:type="pct"/>
            <w:vAlign w:val="center"/>
          </w:tcPr>
          <w:p w14:paraId="4729E122">
            <w:pPr>
              <w:pStyle w:val="2"/>
              <w:ind w:firstLine="0" w:firstLineChars="0"/>
              <w:jc w:val="left"/>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按要求执行</w:t>
            </w:r>
          </w:p>
        </w:tc>
      </w:tr>
      <w:tr w14:paraId="62BC6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77" w:type="pct"/>
            <w:vAlign w:val="center"/>
          </w:tcPr>
          <w:p w14:paraId="3B630682">
            <w:pPr>
              <w:pStyle w:val="2"/>
              <w:keepNext w:val="0"/>
              <w:keepLines w:val="0"/>
              <w:pageBreakBefore w:val="0"/>
              <w:widowControl w:val="0"/>
              <w:numPr>
                <w:ilvl w:val="0"/>
                <w:numId w:val="11"/>
              </w:numPr>
              <w:kinsoku/>
              <w:wordWrap/>
              <w:overflowPunct/>
              <w:topLinePunct w:val="0"/>
              <w:autoSpaceDE/>
              <w:autoSpaceDN/>
              <w:bidi w:val="0"/>
              <w:adjustRightInd/>
              <w:snapToGrid/>
              <w:ind w:left="0" w:leftChars="0" w:firstLine="0" w:firstLineChars="0"/>
              <w:jc w:val="center"/>
              <w:textAlignment w:val="auto"/>
              <w:rPr>
                <w:rFonts w:hint="default" w:cs="Times New Roman" w:asciiTheme="majorEastAsia" w:hAnsiTheme="majorEastAsia" w:eastAsiaTheme="majorEastAsia"/>
                <w:sz w:val="21"/>
                <w:szCs w:val="21"/>
                <w:highlight w:val="none"/>
                <w:lang w:val="en-US" w:eastAsia="zh-CN"/>
              </w:rPr>
            </w:pPr>
          </w:p>
        </w:tc>
        <w:tc>
          <w:tcPr>
            <w:tcW w:w="3013" w:type="pct"/>
            <w:gridSpan w:val="2"/>
            <w:vAlign w:val="center"/>
          </w:tcPr>
          <w:p w14:paraId="6CBE88F8">
            <w:pPr>
              <w:pStyle w:val="2"/>
              <w:spacing w:line="276" w:lineRule="auto"/>
              <w:ind w:firstLine="0" w:firstLineChars="0"/>
              <w:rPr>
                <w:rFonts w:hint="eastAsia"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设备安装前请进行安全技术交底工作并留存记录。</w:t>
            </w:r>
          </w:p>
        </w:tc>
        <w:tc>
          <w:tcPr>
            <w:tcW w:w="1509" w:type="pct"/>
            <w:vAlign w:val="center"/>
          </w:tcPr>
          <w:p w14:paraId="338C6B1D">
            <w:pPr>
              <w:pStyle w:val="2"/>
              <w:ind w:firstLine="0" w:firstLineChars="0"/>
              <w:jc w:val="left"/>
              <w:rPr>
                <w:rFonts w:hint="eastAsia"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按要求执行</w:t>
            </w:r>
          </w:p>
        </w:tc>
      </w:tr>
    </w:tbl>
    <w:p w14:paraId="71EB456B">
      <w:pPr>
        <w:spacing w:beforeLines="0"/>
        <w:jc w:val="center"/>
        <w:rPr>
          <w:rFonts w:hint="eastAsia" w:eastAsia="宋体"/>
          <w:highlight w:val="none"/>
          <w:lang w:eastAsia="zh-CN"/>
        </w:rPr>
      </w:pPr>
      <w:r>
        <w:rPr>
          <w:highlight w:val="none"/>
        </w:rPr>
        <w:drawing>
          <wp:inline distT="0" distB="0" distL="114300" distR="114300">
            <wp:extent cx="5755005" cy="6009640"/>
            <wp:effectExtent l="0" t="0" r="17145" b="10160"/>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26"/>
                    <a:stretch>
                      <a:fillRect/>
                    </a:stretch>
                  </pic:blipFill>
                  <pic:spPr>
                    <a:xfrm>
                      <a:off x="0" y="0"/>
                      <a:ext cx="5755005" cy="6009640"/>
                    </a:xfrm>
                    <a:prstGeom prst="rect">
                      <a:avLst/>
                    </a:prstGeom>
                    <a:noFill/>
                    <a:ln>
                      <a:noFill/>
                    </a:ln>
                  </pic:spPr>
                </pic:pic>
              </a:graphicData>
            </a:graphic>
          </wp:inline>
        </w:drawing>
      </w:r>
      <w:r>
        <w:rPr>
          <w:highlight w:val="none"/>
        </w:rPr>
        <w:drawing>
          <wp:inline distT="0" distB="0" distL="114300" distR="114300">
            <wp:extent cx="5427980" cy="7740650"/>
            <wp:effectExtent l="0" t="0" r="1270" b="12700"/>
            <wp:docPr id="90" name="图片 90" descr="aab55addcee85ae90f757bc66ae6d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aab55addcee85ae90f757bc66ae6d9d"/>
                    <pic:cNvPicPr>
                      <a:picLocks noChangeAspect="1"/>
                    </pic:cNvPicPr>
                  </pic:nvPicPr>
                  <pic:blipFill>
                    <a:blip r:embed="rId27"/>
                    <a:stretch>
                      <a:fillRect/>
                    </a:stretch>
                  </pic:blipFill>
                  <pic:spPr>
                    <a:xfrm>
                      <a:off x="0" y="0"/>
                      <a:ext cx="5427980" cy="7740650"/>
                    </a:xfrm>
                    <a:prstGeom prst="rect">
                      <a:avLst/>
                    </a:prstGeom>
                  </pic:spPr>
                </pic:pic>
              </a:graphicData>
            </a:graphic>
          </wp:inline>
        </w:drawing>
      </w:r>
      <w:r>
        <w:rPr>
          <w:highlight w:val="none"/>
        </w:rPr>
        <w:drawing>
          <wp:inline distT="0" distB="0" distL="114300" distR="114300">
            <wp:extent cx="5758815" cy="8249285"/>
            <wp:effectExtent l="0" t="0" r="13335" b="18415"/>
            <wp:docPr id="121" name="图片 121" descr="扫描全能王 2025-04-24 10.0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扫描全能王 2025-04-24 10.09_1"/>
                    <pic:cNvPicPr>
                      <a:picLocks noChangeAspect="1"/>
                    </pic:cNvPicPr>
                  </pic:nvPicPr>
                  <pic:blipFill>
                    <a:blip r:embed="rId28"/>
                    <a:stretch>
                      <a:fillRect/>
                    </a:stretch>
                  </pic:blipFill>
                  <pic:spPr>
                    <a:xfrm>
                      <a:off x="0" y="0"/>
                      <a:ext cx="5758815" cy="8249285"/>
                    </a:xfrm>
                    <a:prstGeom prst="rect">
                      <a:avLst/>
                    </a:prstGeom>
                  </pic:spPr>
                </pic:pic>
              </a:graphicData>
            </a:graphic>
          </wp:inline>
        </w:drawing>
      </w:r>
      <w:r>
        <w:rPr>
          <w:rFonts w:hint="eastAsia" w:eastAsia="宋体"/>
          <w:highlight w:val="none"/>
          <w:lang w:eastAsia="zh-CN"/>
        </w:rPr>
        <w:drawing>
          <wp:inline distT="0" distB="0" distL="114300" distR="114300">
            <wp:extent cx="5759450" cy="8339455"/>
            <wp:effectExtent l="0" t="0" r="12700" b="4445"/>
            <wp:docPr id="122" name="图片 122" descr="意见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意见2_2"/>
                    <pic:cNvPicPr>
                      <a:picLocks noChangeAspect="1"/>
                    </pic:cNvPicPr>
                  </pic:nvPicPr>
                  <pic:blipFill>
                    <a:blip r:embed="rId29"/>
                    <a:stretch>
                      <a:fillRect/>
                    </a:stretch>
                  </pic:blipFill>
                  <pic:spPr>
                    <a:xfrm>
                      <a:off x="0" y="0"/>
                      <a:ext cx="5759450" cy="8339455"/>
                    </a:xfrm>
                    <a:prstGeom prst="rect">
                      <a:avLst/>
                    </a:prstGeom>
                  </pic:spPr>
                </pic:pic>
              </a:graphicData>
            </a:graphic>
          </wp:inline>
        </w:drawing>
      </w:r>
    </w:p>
    <w:p w14:paraId="3DDBAA13">
      <w:pPr>
        <w:spacing w:beforeLines="0"/>
        <w:jc w:val="center"/>
        <w:rPr>
          <w:highlight w:val="none"/>
        </w:rPr>
      </w:pPr>
    </w:p>
    <w:p w14:paraId="399134F2">
      <w:pPr>
        <w:spacing w:beforeLines="0"/>
        <w:jc w:val="center"/>
        <w:rPr>
          <w:rFonts w:hint="eastAsia" w:asciiTheme="minorEastAsia" w:hAnsiTheme="minorEastAsia" w:eastAsiaTheme="minorEastAsia"/>
          <w:b/>
          <w:sz w:val="28"/>
          <w:szCs w:val="28"/>
        </w:rPr>
      </w:pPr>
      <w:r>
        <w:rPr>
          <w:rFonts w:hint="eastAsia" w:asciiTheme="minorEastAsia" w:hAnsiTheme="minorEastAsia" w:eastAsiaTheme="minorEastAsia"/>
          <w:b/>
          <w:sz w:val="28"/>
          <w:szCs w:val="28"/>
          <w:lang w:val="en-US" w:eastAsia="zh-CN"/>
        </w:rPr>
        <w:t>专家</w:t>
      </w:r>
      <w:r>
        <w:rPr>
          <w:rFonts w:hint="eastAsia" w:asciiTheme="minorEastAsia" w:hAnsiTheme="minorEastAsia" w:eastAsiaTheme="minorEastAsia"/>
          <w:b/>
          <w:sz w:val="28"/>
          <w:szCs w:val="28"/>
        </w:rPr>
        <w:t>评审</w:t>
      </w:r>
      <w:r>
        <w:rPr>
          <w:rFonts w:asciiTheme="minorEastAsia" w:hAnsiTheme="minorEastAsia" w:eastAsiaTheme="minorEastAsia"/>
          <w:b/>
          <w:sz w:val="28"/>
          <w:szCs w:val="28"/>
        </w:rPr>
        <w:t>意见回复确认单</w:t>
      </w:r>
    </w:p>
    <w:tbl>
      <w:tblPr>
        <w:tblStyle w:val="45"/>
        <w:tblpPr w:leftFromText="180" w:rightFromText="180" w:vertAnchor="text" w:horzAnchor="page" w:tblpX="1790" w:tblpY="622"/>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6"/>
        <w:gridCol w:w="1345"/>
        <w:gridCol w:w="4252"/>
        <w:gridCol w:w="2803"/>
      </w:tblGrid>
      <w:tr w14:paraId="2D3D5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01" w:type="pct"/>
            <w:gridSpan w:val="2"/>
            <w:vAlign w:val="center"/>
          </w:tcPr>
          <w:p w14:paraId="311AF6C8">
            <w:pPr>
              <w:pStyle w:val="2"/>
              <w:spacing w:line="240" w:lineRule="auto"/>
              <w:ind w:firstLine="0" w:firstLineChars="0"/>
              <w:jc w:val="center"/>
              <w:rPr>
                <w:rFonts w:hint="eastAsia" w:cs="Times New Roman" w:asciiTheme="majorEastAsia" w:hAnsiTheme="majorEastAsia" w:eastAsiaTheme="majorEastAsia"/>
                <w:sz w:val="21"/>
                <w:szCs w:val="21"/>
                <w:lang w:eastAsia="zh-CN"/>
              </w:rPr>
            </w:pPr>
            <w:r>
              <w:rPr>
                <w:rFonts w:cs="Times New Roman" w:asciiTheme="majorEastAsia" w:hAnsiTheme="majorEastAsia" w:eastAsiaTheme="majorEastAsia"/>
                <w:sz w:val="21"/>
                <w:szCs w:val="21"/>
                <w:lang w:eastAsia="zh-CN"/>
              </w:rPr>
              <w:t>项目名称</w:t>
            </w:r>
          </w:p>
        </w:tc>
        <w:tc>
          <w:tcPr>
            <w:tcW w:w="3798" w:type="pct"/>
            <w:gridSpan w:val="2"/>
            <w:vAlign w:val="center"/>
          </w:tcPr>
          <w:p w14:paraId="29866D49">
            <w:pPr>
              <w:widowControl/>
              <w:spacing w:beforeLines="0" w:line="240" w:lineRule="auto"/>
              <w:jc w:val="center"/>
              <w:rPr>
                <w:rFonts w:hint="eastAsia" w:asciiTheme="majorEastAsia" w:hAnsiTheme="majorEastAsia" w:eastAsiaTheme="majorEastAsia"/>
                <w:szCs w:val="21"/>
              </w:rPr>
            </w:pPr>
            <w:r>
              <w:rPr>
                <w:rFonts w:hint="eastAsia" w:asciiTheme="majorEastAsia" w:hAnsiTheme="majorEastAsia" w:eastAsiaTheme="majorEastAsia"/>
                <w:color w:val="000000"/>
                <w:kern w:val="0"/>
                <w:szCs w:val="21"/>
                <w:lang w:bidi="ar"/>
              </w:rPr>
              <w:t>厦门第三东通道工程A1标段</w:t>
            </w:r>
          </w:p>
        </w:tc>
      </w:tr>
      <w:tr w14:paraId="5CD13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201" w:type="pct"/>
            <w:gridSpan w:val="2"/>
            <w:vAlign w:val="center"/>
          </w:tcPr>
          <w:p w14:paraId="50214D78">
            <w:pPr>
              <w:pStyle w:val="2"/>
              <w:ind w:firstLine="0" w:firstLineChars="0"/>
              <w:jc w:val="center"/>
              <w:rPr>
                <w:rFonts w:hint="eastAsia" w:cs="Times New Roman" w:asciiTheme="majorEastAsia" w:hAnsiTheme="majorEastAsia" w:eastAsiaTheme="majorEastAsia"/>
                <w:sz w:val="21"/>
                <w:szCs w:val="21"/>
                <w:lang w:eastAsia="zh-CN"/>
              </w:rPr>
            </w:pPr>
            <w:r>
              <w:rPr>
                <w:rFonts w:cs="Times New Roman" w:asciiTheme="majorEastAsia" w:hAnsiTheme="majorEastAsia" w:eastAsiaTheme="majorEastAsia"/>
                <w:sz w:val="21"/>
                <w:szCs w:val="21"/>
                <w:lang w:eastAsia="zh-CN"/>
              </w:rPr>
              <w:t>方案名称</w:t>
            </w:r>
          </w:p>
        </w:tc>
        <w:tc>
          <w:tcPr>
            <w:tcW w:w="3798" w:type="pct"/>
            <w:gridSpan w:val="2"/>
            <w:vAlign w:val="center"/>
          </w:tcPr>
          <w:p w14:paraId="1727872F">
            <w:pPr>
              <w:pStyle w:val="2"/>
              <w:ind w:firstLine="0" w:firstLineChars="0"/>
              <w:jc w:val="center"/>
              <w:rPr>
                <w:rFonts w:hint="eastAsia" w:cs="Times New Roman" w:asciiTheme="majorEastAsia" w:hAnsiTheme="majorEastAsia" w:eastAsiaTheme="majorEastAsia"/>
                <w:sz w:val="21"/>
                <w:szCs w:val="21"/>
                <w:lang w:eastAsia="zh-CN"/>
              </w:rPr>
            </w:pPr>
            <w:r>
              <w:rPr>
                <w:rFonts w:hint="eastAsia" w:cs="Times New Roman" w:asciiTheme="majorEastAsia" w:hAnsiTheme="majorEastAsia" w:eastAsiaTheme="majorEastAsia"/>
                <w:sz w:val="21"/>
                <w:szCs w:val="21"/>
                <w:lang w:val="en-US" w:eastAsia="zh-CN"/>
              </w:rPr>
              <w:t>西主塔3#、4#塔式起重机安装专项施工方案</w:t>
            </w:r>
          </w:p>
        </w:tc>
      </w:tr>
      <w:tr w14:paraId="2113F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7" w:type="pct"/>
            <w:vAlign w:val="center"/>
          </w:tcPr>
          <w:p w14:paraId="6FA060E7">
            <w:pPr>
              <w:pStyle w:val="2"/>
              <w:ind w:firstLine="0" w:firstLineChars="0"/>
              <w:jc w:val="center"/>
              <w:rPr>
                <w:rFonts w:hint="eastAsia" w:cs="Times New Roman" w:asciiTheme="majorEastAsia" w:hAnsiTheme="majorEastAsia" w:eastAsiaTheme="majorEastAsia"/>
                <w:sz w:val="21"/>
                <w:szCs w:val="21"/>
                <w:lang w:eastAsia="zh-CN"/>
              </w:rPr>
            </w:pPr>
            <w:r>
              <w:rPr>
                <w:rFonts w:cs="Times New Roman" w:asciiTheme="majorEastAsia" w:hAnsiTheme="majorEastAsia" w:eastAsiaTheme="majorEastAsia"/>
                <w:sz w:val="21"/>
                <w:szCs w:val="21"/>
                <w:lang w:eastAsia="zh-CN"/>
              </w:rPr>
              <w:t>序号</w:t>
            </w:r>
          </w:p>
        </w:tc>
        <w:tc>
          <w:tcPr>
            <w:tcW w:w="3013" w:type="pct"/>
            <w:gridSpan w:val="2"/>
            <w:vAlign w:val="center"/>
          </w:tcPr>
          <w:p w14:paraId="55F0440D">
            <w:pPr>
              <w:pStyle w:val="2"/>
              <w:ind w:firstLine="0" w:firstLineChars="0"/>
              <w:jc w:val="center"/>
              <w:rPr>
                <w:rFonts w:hint="eastAsia" w:cs="Times New Roman" w:asciiTheme="majorEastAsia" w:hAnsiTheme="majorEastAsia" w:eastAsiaTheme="majorEastAsia"/>
                <w:sz w:val="21"/>
                <w:szCs w:val="21"/>
                <w:lang w:eastAsia="zh-CN"/>
              </w:rPr>
            </w:pPr>
            <w:r>
              <w:rPr>
                <w:rFonts w:cs="Times New Roman" w:asciiTheme="majorEastAsia" w:hAnsiTheme="majorEastAsia" w:eastAsiaTheme="majorEastAsia"/>
                <w:sz w:val="21"/>
                <w:szCs w:val="21"/>
                <w:lang w:eastAsia="zh-CN"/>
              </w:rPr>
              <w:t>评审意见</w:t>
            </w:r>
          </w:p>
        </w:tc>
        <w:tc>
          <w:tcPr>
            <w:tcW w:w="1509" w:type="pct"/>
            <w:vAlign w:val="center"/>
          </w:tcPr>
          <w:p w14:paraId="11B1B731">
            <w:pPr>
              <w:pStyle w:val="2"/>
              <w:ind w:firstLine="0" w:firstLineChars="0"/>
              <w:jc w:val="center"/>
              <w:rPr>
                <w:rFonts w:hint="eastAsia" w:cs="Times New Roman" w:asciiTheme="majorEastAsia" w:hAnsiTheme="majorEastAsia" w:eastAsiaTheme="majorEastAsia"/>
                <w:sz w:val="21"/>
                <w:szCs w:val="21"/>
                <w:lang w:eastAsia="zh-CN"/>
              </w:rPr>
            </w:pPr>
            <w:r>
              <w:rPr>
                <w:rFonts w:hint="eastAsia" w:cs="Times New Roman" w:asciiTheme="majorEastAsia" w:hAnsiTheme="majorEastAsia" w:eastAsiaTheme="majorEastAsia"/>
                <w:sz w:val="21"/>
                <w:szCs w:val="21"/>
                <w:lang w:val="en-US" w:eastAsia="zh-CN"/>
              </w:rPr>
              <w:t>修改情况/回</w:t>
            </w:r>
            <w:r>
              <w:rPr>
                <w:rFonts w:cs="Times New Roman" w:asciiTheme="majorEastAsia" w:hAnsiTheme="majorEastAsia" w:eastAsiaTheme="majorEastAsia"/>
                <w:sz w:val="21"/>
                <w:szCs w:val="21"/>
                <w:lang w:eastAsia="zh-CN"/>
              </w:rPr>
              <w:t>复</w:t>
            </w:r>
          </w:p>
        </w:tc>
      </w:tr>
      <w:tr w14:paraId="7373C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477" w:type="pct"/>
            <w:vAlign w:val="center"/>
          </w:tcPr>
          <w:p w14:paraId="653B422C">
            <w:pPr>
              <w:pStyle w:val="2"/>
              <w:numPr>
                <w:ilvl w:val="0"/>
                <w:numId w:val="12"/>
              </w:numPr>
              <w:ind w:left="425" w:leftChars="0" w:hanging="425" w:firstLineChars="0"/>
              <w:jc w:val="right"/>
              <w:rPr>
                <w:rFonts w:hint="eastAsia" w:cs="Times New Roman" w:asciiTheme="majorEastAsia" w:hAnsiTheme="majorEastAsia" w:eastAsiaTheme="majorEastAsia"/>
                <w:sz w:val="21"/>
                <w:szCs w:val="21"/>
                <w:lang w:eastAsia="zh-CN"/>
              </w:rPr>
            </w:pPr>
          </w:p>
        </w:tc>
        <w:tc>
          <w:tcPr>
            <w:tcW w:w="3013" w:type="pct"/>
            <w:gridSpan w:val="2"/>
            <w:vAlign w:val="center"/>
          </w:tcPr>
          <w:p w14:paraId="5138460E">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补充塔式起重机基础节与钢平台基础连接的大样图；补充监测监控内容。</w:t>
            </w:r>
          </w:p>
        </w:tc>
        <w:tc>
          <w:tcPr>
            <w:tcW w:w="1509" w:type="pct"/>
            <w:vAlign w:val="center"/>
          </w:tcPr>
          <w:p w14:paraId="0EDEA7D3">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监测监控内容已补充，详见6.3.8章节</w:t>
            </w:r>
          </w:p>
        </w:tc>
      </w:tr>
      <w:tr w14:paraId="146DF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77" w:type="pct"/>
            <w:vAlign w:val="center"/>
          </w:tcPr>
          <w:p w14:paraId="224C3D0D">
            <w:pPr>
              <w:pStyle w:val="2"/>
              <w:numPr>
                <w:ilvl w:val="0"/>
                <w:numId w:val="12"/>
              </w:numPr>
              <w:ind w:left="425" w:leftChars="0" w:hanging="425" w:firstLineChars="0"/>
              <w:jc w:val="right"/>
              <w:rPr>
                <w:rFonts w:hint="eastAsia" w:cs="Times New Roman" w:asciiTheme="majorEastAsia" w:hAnsiTheme="majorEastAsia" w:eastAsiaTheme="majorEastAsia"/>
                <w:sz w:val="21"/>
                <w:szCs w:val="21"/>
                <w:lang w:eastAsia="zh-CN"/>
              </w:rPr>
            </w:pPr>
          </w:p>
        </w:tc>
        <w:tc>
          <w:tcPr>
            <w:tcW w:w="3013" w:type="pct"/>
            <w:gridSpan w:val="2"/>
            <w:shd w:val="clear" w:color="auto" w:fill="auto"/>
            <w:vAlign w:val="center"/>
          </w:tcPr>
          <w:p w14:paraId="1A71EB67">
            <w:pPr>
              <w:pStyle w:val="2"/>
              <w:spacing w:line="276" w:lineRule="auto"/>
              <w:ind w:firstLine="0" w:firstLineChars="0"/>
              <w:rPr>
                <w:rFonts w:hint="default"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按实际尺寸画出起重吊装作业平面图、立面图，明确各吊装单元起吊及就位的吊车站位图，分析工作半径及高度。</w:t>
            </w:r>
          </w:p>
        </w:tc>
        <w:tc>
          <w:tcPr>
            <w:tcW w:w="1509" w:type="pct"/>
            <w:shd w:val="clear" w:color="auto" w:fill="auto"/>
            <w:vAlign w:val="center"/>
          </w:tcPr>
          <w:p w14:paraId="03D8A9E2">
            <w:pPr>
              <w:pStyle w:val="2"/>
              <w:spacing w:line="276" w:lineRule="auto"/>
              <w:ind w:firstLine="0" w:firstLineChars="0"/>
              <w:rPr>
                <w:rFonts w:hint="default" w:cs="Times New Roman" w:asciiTheme="majorEastAsia" w:hAnsiTheme="majorEastAsia" w:eastAsiaTheme="majorEastAsia"/>
                <w:kern w:val="2"/>
                <w:sz w:val="21"/>
                <w:szCs w:val="21"/>
                <w:highlight w:val="none"/>
                <w:lang w:val="en-US" w:eastAsia="zh-CN" w:bidi="ar-SA"/>
              </w:rPr>
            </w:pPr>
            <w:r>
              <w:rPr>
                <w:rFonts w:hint="eastAsia" w:cs="Times New Roman" w:asciiTheme="majorEastAsia" w:hAnsiTheme="majorEastAsia" w:eastAsiaTheme="majorEastAsia"/>
                <w:sz w:val="21"/>
                <w:szCs w:val="21"/>
                <w:highlight w:val="none"/>
                <w:lang w:val="en-US" w:eastAsia="zh-CN"/>
              </w:rPr>
              <w:t>已完善，详见各部件安装步骤图</w:t>
            </w:r>
          </w:p>
        </w:tc>
      </w:tr>
      <w:tr w14:paraId="451D4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77" w:type="pct"/>
            <w:vAlign w:val="center"/>
          </w:tcPr>
          <w:p w14:paraId="7DDEE09F">
            <w:pPr>
              <w:pStyle w:val="2"/>
              <w:numPr>
                <w:ilvl w:val="0"/>
                <w:numId w:val="12"/>
              </w:numPr>
              <w:ind w:left="425" w:leftChars="0" w:hanging="425" w:firstLineChars="0"/>
              <w:jc w:val="right"/>
              <w:rPr>
                <w:rFonts w:cs="Times New Roman" w:asciiTheme="majorEastAsia" w:hAnsiTheme="majorEastAsia" w:eastAsiaTheme="majorEastAsia"/>
                <w:sz w:val="21"/>
                <w:szCs w:val="21"/>
                <w:lang w:eastAsia="zh-CN"/>
              </w:rPr>
            </w:pPr>
          </w:p>
        </w:tc>
        <w:tc>
          <w:tcPr>
            <w:tcW w:w="3013" w:type="pct"/>
            <w:gridSpan w:val="2"/>
            <w:shd w:val="clear" w:color="auto" w:fill="auto"/>
            <w:vAlign w:val="center"/>
          </w:tcPr>
          <w:p w14:paraId="7BA3D9A8">
            <w:pPr>
              <w:pStyle w:val="2"/>
              <w:spacing w:line="276" w:lineRule="auto"/>
              <w:ind w:firstLine="0" w:firstLineChars="0"/>
              <w:rPr>
                <w:rFonts w:hint="eastAsia"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完善群塔防碰撞或互相干扰措施。</w:t>
            </w:r>
          </w:p>
        </w:tc>
        <w:tc>
          <w:tcPr>
            <w:tcW w:w="1509" w:type="pct"/>
            <w:shd w:val="clear" w:color="auto" w:fill="auto"/>
            <w:vAlign w:val="center"/>
          </w:tcPr>
          <w:p w14:paraId="11008191">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已完善，详见附件11</w:t>
            </w:r>
          </w:p>
        </w:tc>
      </w:tr>
      <w:tr w14:paraId="0A2AC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77" w:type="pct"/>
            <w:vAlign w:val="center"/>
          </w:tcPr>
          <w:p w14:paraId="26E8E6EA">
            <w:pPr>
              <w:pStyle w:val="2"/>
              <w:numPr>
                <w:ilvl w:val="0"/>
                <w:numId w:val="12"/>
              </w:numPr>
              <w:ind w:left="425" w:leftChars="0" w:hanging="425" w:firstLineChars="0"/>
              <w:jc w:val="right"/>
              <w:rPr>
                <w:rFonts w:cs="Times New Roman" w:asciiTheme="majorEastAsia" w:hAnsiTheme="majorEastAsia" w:eastAsiaTheme="majorEastAsia"/>
                <w:sz w:val="21"/>
                <w:szCs w:val="21"/>
                <w:lang w:eastAsia="zh-CN"/>
              </w:rPr>
            </w:pPr>
          </w:p>
        </w:tc>
        <w:tc>
          <w:tcPr>
            <w:tcW w:w="3013" w:type="pct"/>
            <w:gridSpan w:val="2"/>
            <w:shd w:val="clear" w:color="auto" w:fill="auto"/>
            <w:vAlign w:val="center"/>
          </w:tcPr>
          <w:p w14:paraId="00A57DAA">
            <w:pPr>
              <w:pStyle w:val="2"/>
              <w:spacing w:line="276" w:lineRule="auto"/>
              <w:ind w:firstLine="0" w:firstLineChars="0"/>
              <w:rPr>
                <w:rFonts w:hint="eastAsia"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经相关管理部门的检测、验收和登记，合格后方可投入使用。</w:t>
            </w:r>
          </w:p>
        </w:tc>
        <w:tc>
          <w:tcPr>
            <w:tcW w:w="1509" w:type="pct"/>
            <w:shd w:val="clear" w:color="auto" w:fill="auto"/>
            <w:vAlign w:val="center"/>
          </w:tcPr>
          <w:p w14:paraId="453A2D20">
            <w:pPr>
              <w:pStyle w:val="2"/>
              <w:spacing w:line="276" w:lineRule="auto"/>
              <w:ind w:firstLine="0" w:firstLineChars="0"/>
              <w:rPr>
                <w:rFonts w:hint="eastAsia"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按要求执行</w:t>
            </w:r>
          </w:p>
        </w:tc>
      </w:tr>
      <w:tr w14:paraId="12442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477" w:type="pct"/>
            <w:vAlign w:val="center"/>
          </w:tcPr>
          <w:p w14:paraId="58BC4B1A">
            <w:pPr>
              <w:pStyle w:val="2"/>
              <w:numPr>
                <w:ilvl w:val="0"/>
                <w:numId w:val="12"/>
              </w:numPr>
              <w:ind w:left="425" w:leftChars="0" w:hanging="425" w:firstLineChars="0"/>
              <w:jc w:val="right"/>
              <w:rPr>
                <w:rFonts w:cs="Times New Roman" w:asciiTheme="majorEastAsia" w:hAnsiTheme="majorEastAsia" w:eastAsiaTheme="majorEastAsia"/>
                <w:sz w:val="21"/>
                <w:szCs w:val="21"/>
                <w:lang w:eastAsia="zh-CN"/>
              </w:rPr>
            </w:pPr>
          </w:p>
        </w:tc>
        <w:tc>
          <w:tcPr>
            <w:tcW w:w="3013" w:type="pct"/>
            <w:gridSpan w:val="2"/>
            <w:shd w:val="clear" w:color="auto" w:fill="auto"/>
            <w:vAlign w:val="center"/>
          </w:tcPr>
          <w:p w14:paraId="66CE9642">
            <w:pPr>
              <w:pStyle w:val="2"/>
              <w:spacing w:line="276" w:lineRule="auto"/>
              <w:ind w:firstLine="0" w:firstLineChars="0"/>
              <w:rPr>
                <w:rFonts w:hint="eastAsia"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本施工过程包含高空作业，安全风险较大，加强施工人员安全培训，严格遵守操作程序，安全设施规范使用。</w:t>
            </w:r>
          </w:p>
        </w:tc>
        <w:tc>
          <w:tcPr>
            <w:tcW w:w="1509" w:type="pct"/>
            <w:shd w:val="clear" w:color="auto" w:fill="auto"/>
            <w:vAlign w:val="center"/>
          </w:tcPr>
          <w:p w14:paraId="1F440A68">
            <w:pPr>
              <w:pStyle w:val="2"/>
              <w:spacing w:line="276" w:lineRule="auto"/>
              <w:ind w:firstLine="0" w:firstLineChars="0"/>
              <w:rPr>
                <w:rFonts w:hint="eastAsia"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按要求执行</w:t>
            </w:r>
          </w:p>
        </w:tc>
      </w:tr>
      <w:tr w14:paraId="57C26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77" w:type="pct"/>
            <w:vAlign w:val="center"/>
          </w:tcPr>
          <w:p w14:paraId="0AA2653F">
            <w:pPr>
              <w:pStyle w:val="2"/>
              <w:numPr>
                <w:ilvl w:val="0"/>
                <w:numId w:val="12"/>
              </w:numPr>
              <w:ind w:left="425" w:leftChars="0" w:hanging="425" w:firstLineChars="0"/>
              <w:jc w:val="right"/>
              <w:rPr>
                <w:rFonts w:cs="Times New Roman" w:asciiTheme="majorEastAsia" w:hAnsiTheme="majorEastAsia" w:eastAsiaTheme="majorEastAsia"/>
                <w:sz w:val="21"/>
                <w:szCs w:val="21"/>
                <w:lang w:eastAsia="zh-CN"/>
              </w:rPr>
            </w:pPr>
          </w:p>
        </w:tc>
        <w:tc>
          <w:tcPr>
            <w:tcW w:w="3013" w:type="pct"/>
            <w:gridSpan w:val="2"/>
            <w:shd w:val="clear" w:color="auto" w:fill="auto"/>
            <w:vAlign w:val="center"/>
          </w:tcPr>
          <w:p w14:paraId="359C80D2">
            <w:pPr>
              <w:pStyle w:val="2"/>
              <w:spacing w:line="276" w:lineRule="auto"/>
              <w:ind w:firstLine="0" w:firstLineChars="0"/>
              <w:rPr>
                <w:rFonts w:hint="eastAsia"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参照《福建省建筑起重机械防台风安全技术规程》完善防台预案。</w:t>
            </w:r>
          </w:p>
        </w:tc>
        <w:tc>
          <w:tcPr>
            <w:tcW w:w="1509" w:type="pct"/>
            <w:shd w:val="clear" w:color="auto" w:fill="auto"/>
            <w:vAlign w:val="center"/>
          </w:tcPr>
          <w:p w14:paraId="4E19F309">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已完善，详见6.3.14章节</w:t>
            </w:r>
          </w:p>
        </w:tc>
      </w:tr>
      <w:tr w14:paraId="79A74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77" w:type="pct"/>
            <w:vAlign w:val="center"/>
          </w:tcPr>
          <w:p w14:paraId="7191C8DE">
            <w:pPr>
              <w:pStyle w:val="2"/>
              <w:numPr>
                <w:ilvl w:val="0"/>
                <w:numId w:val="12"/>
              </w:numPr>
              <w:ind w:left="425" w:leftChars="0" w:hanging="425" w:firstLineChars="0"/>
              <w:jc w:val="right"/>
              <w:rPr>
                <w:rFonts w:cs="Times New Roman" w:asciiTheme="majorEastAsia" w:hAnsiTheme="majorEastAsia" w:eastAsiaTheme="majorEastAsia"/>
                <w:sz w:val="21"/>
                <w:szCs w:val="21"/>
                <w:lang w:eastAsia="zh-CN"/>
              </w:rPr>
            </w:pPr>
          </w:p>
        </w:tc>
        <w:tc>
          <w:tcPr>
            <w:tcW w:w="3013" w:type="pct"/>
            <w:gridSpan w:val="2"/>
            <w:shd w:val="clear" w:color="auto" w:fill="auto"/>
            <w:vAlign w:val="center"/>
          </w:tcPr>
          <w:p w14:paraId="468F5BD0">
            <w:pPr>
              <w:pStyle w:val="2"/>
              <w:spacing w:line="276" w:lineRule="auto"/>
              <w:ind w:firstLine="0" w:firstLineChars="0"/>
              <w:rPr>
                <w:rFonts w:hint="eastAsia"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荷载计算应考虑钢丝绳、附着杆的自重。</w:t>
            </w:r>
          </w:p>
        </w:tc>
        <w:tc>
          <w:tcPr>
            <w:tcW w:w="1509" w:type="pct"/>
            <w:shd w:val="clear" w:color="auto" w:fill="auto"/>
            <w:vAlign w:val="center"/>
          </w:tcPr>
          <w:p w14:paraId="3DC5A8DB">
            <w:pPr>
              <w:pStyle w:val="2"/>
              <w:spacing w:line="276" w:lineRule="auto"/>
              <w:ind w:firstLine="0" w:firstLineChars="0"/>
              <w:rPr>
                <w:rFonts w:hint="default"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已复核，详见4.2.1章节</w:t>
            </w:r>
          </w:p>
        </w:tc>
      </w:tr>
      <w:tr w14:paraId="3B932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77" w:type="pct"/>
            <w:vAlign w:val="center"/>
          </w:tcPr>
          <w:p w14:paraId="635A0A32">
            <w:pPr>
              <w:pStyle w:val="2"/>
              <w:numPr>
                <w:ilvl w:val="0"/>
                <w:numId w:val="12"/>
              </w:numPr>
              <w:ind w:left="425" w:leftChars="0" w:hanging="425" w:firstLineChars="0"/>
              <w:jc w:val="right"/>
              <w:rPr>
                <w:rFonts w:cs="Times New Roman" w:asciiTheme="majorEastAsia" w:hAnsiTheme="majorEastAsia" w:eastAsiaTheme="majorEastAsia"/>
                <w:sz w:val="21"/>
                <w:szCs w:val="21"/>
                <w:lang w:eastAsia="zh-CN"/>
              </w:rPr>
            </w:pPr>
          </w:p>
        </w:tc>
        <w:tc>
          <w:tcPr>
            <w:tcW w:w="3013" w:type="pct"/>
            <w:gridSpan w:val="2"/>
            <w:shd w:val="clear" w:color="auto" w:fill="auto"/>
            <w:vAlign w:val="center"/>
          </w:tcPr>
          <w:p w14:paraId="1CC5FC3E">
            <w:pPr>
              <w:pStyle w:val="2"/>
              <w:spacing w:line="276" w:lineRule="auto"/>
              <w:ind w:firstLine="0" w:firstLineChars="0"/>
              <w:rPr>
                <w:rFonts w:hint="eastAsia" w:cs="Times New Roman" w:asciiTheme="majorEastAsia" w:hAnsiTheme="majorEastAsia" w:eastAsiaTheme="majorEastAsia"/>
                <w:kern w:val="0"/>
                <w:sz w:val="21"/>
                <w:szCs w:val="21"/>
                <w:highlight w:val="none"/>
                <w:lang w:val="en-US" w:eastAsia="zh-CN" w:bidi="ar-SA"/>
              </w:rPr>
            </w:pPr>
            <w:r>
              <w:rPr>
                <w:rFonts w:hint="eastAsia" w:cs="Times New Roman" w:asciiTheme="majorEastAsia" w:hAnsiTheme="majorEastAsia" w:eastAsiaTheme="majorEastAsia"/>
                <w:kern w:val="0"/>
                <w:sz w:val="21"/>
                <w:szCs w:val="21"/>
                <w:highlight w:val="none"/>
                <w:lang w:val="en-US" w:eastAsia="zh-CN" w:bidi="ar-SA"/>
              </w:rPr>
              <w:t>控制塔身悬高，确保台风季的塔机安全。</w:t>
            </w:r>
          </w:p>
        </w:tc>
        <w:tc>
          <w:tcPr>
            <w:tcW w:w="1509" w:type="pct"/>
            <w:shd w:val="clear" w:color="auto" w:fill="auto"/>
            <w:vAlign w:val="center"/>
          </w:tcPr>
          <w:p w14:paraId="3B208AE2">
            <w:pPr>
              <w:pStyle w:val="2"/>
              <w:spacing w:line="276" w:lineRule="auto"/>
              <w:ind w:firstLine="0" w:firstLineChars="0"/>
              <w:rPr>
                <w:rFonts w:hint="eastAsia" w:cs="Times New Roman" w:asciiTheme="majorEastAsia" w:hAnsiTheme="majorEastAsia" w:eastAsiaTheme="majorEastAsia"/>
                <w:sz w:val="21"/>
                <w:szCs w:val="21"/>
                <w:highlight w:val="none"/>
                <w:lang w:val="en-US" w:eastAsia="zh-CN"/>
              </w:rPr>
            </w:pPr>
            <w:r>
              <w:rPr>
                <w:rFonts w:hint="eastAsia" w:cs="Times New Roman" w:asciiTheme="majorEastAsia" w:hAnsiTheme="majorEastAsia" w:eastAsiaTheme="majorEastAsia"/>
                <w:sz w:val="21"/>
                <w:szCs w:val="21"/>
                <w:highlight w:val="none"/>
                <w:lang w:val="en-US" w:eastAsia="zh-CN"/>
              </w:rPr>
              <w:t>按要求执行</w:t>
            </w:r>
          </w:p>
        </w:tc>
      </w:tr>
    </w:tbl>
    <w:p w14:paraId="48026E76">
      <w:pPr>
        <w:widowControl/>
        <w:spacing w:line="240" w:lineRule="auto"/>
        <w:ind w:firstLine="0" w:firstLineChars="0"/>
        <w:jc w:val="center"/>
      </w:pPr>
      <w:r>
        <w:br w:type="page"/>
      </w:r>
    </w:p>
    <w:p w14:paraId="6CD81B06">
      <w:pPr>
        <w:ind w:firstLine="0" w:firstLineChars="0"/>
        <w:jc w:val="center"/>
        <w:rPr>
          <w:sz w:val="32"/>
          <w:szCs w:val="32"/>
          <w:highlight w:val="none"/>
        </w:rPr>
      </w:pPr>
      <w:bookmarkStart w:id="4" w:name="_Toc102825360"/>
      <w:r>
        <w:rPr>
          <w:rFonts w:hint="eastAsia"/>
          <w:b/>
          <w:bCs/>
          <w:sz w:val="32"/>
          <w:szCs w:val="32"/>
          <w:highlight w:val="none"/>
        </w:rPr>
        <w:t xml:space="preserve">目 </w:t>
      </w:r>
      <w:r>
        <w:rPr>
          <w:b/>
          <w:bCs/>
          <w:sz w:val="32"/>
          <w:szCs w:val="32"/>
          <w:highlight w:val="none"/>
        </w:rPr>
        <w:t xml:space="preserve">   </w:t>
      </w:r>
      <w:r>
        <w:rPr>
          <w:rFonts w:hint="eastAsia"/>
          <w:b/>
          <w:bCs/>
          <w:sz w:val="32"/>
          <w:szCs w:val="32"/>
          <w:highlight w:val="none"/>
        </w:rPr>
        <w:t>录</w:t>
      </w:r>
    </w:p>
    <w:p w14:paraId="1574696C">
      <w:pPr>
        <w:pStyle w:val="32"/>
        <w:tabs>
          <w:tab w:val="right" w:leader="dot" w:pos="9070"/>
        </w:tabs>
      </w:pPr>
      <w:r>
        <w:rPr>
          <w:rFonts w:ascii="宋体" w:hAnsi="宋体"/>
          <w:b/>
          <w:bCs w:val="0"/>
          <w:caps w:val="0"/>
          <w:szCs w:val="24"/>
          <w:highlight w:val="none"/>
        </w:rPr>
        <w:fldChar w:fldCharType="begin"/>
      </w:r>
      <w:r>
        <w:rPr>
          <w:rFonts w:ascii="宋体" w:hAnsi="宋体"/>
          <w:b/>
          <w:bCs w:val="0"/>
          <w:caps w:val="0"/>
          <w:szCs w:val="24"/>
          <w:highlight w:val="none"/>
        </w:rPr>
        <w:instrText xml:space="preserve"> TOC \o "1-2" \h \z \u </w:instrText>
      </w:r>
      <w:r>
        <w:rPr>
          <w:rFonts w:ascii="宋体" w:hAnsi="宋体"/>
          <w:b/>
          <w:bCs w:val="0"/>
          <w:caps w:val="0"/>
          <w:szCs w:val="24"/>
          <w:highlight w:val="none"/>
        </w:rPr>
        <w:fldChar w:fldCharType="separate"/>
      </w:r>
      <w:r>
        <w:rPr>
          <w:rFonts w:ascii="宋体" w:hAnsi="宋体"/>
          <w:bCs w:val="0"/>
          <w:caps w:val="0"/>
          <w:szCs w:val="24"/>
          <w:highlight w:val="none"/>
        </w:rPr>
        <w:fldChar w:fldCharType="begin"/>
      </w:r>
      <w:r>
        <w:rPr>
          <w:rFonts w:ascii="宋体" w:hAnsi="宋体"/>
          <w:bCs w:val="0"/>
          <w:caps w:val="0"/>
          <w:szCs w:val="24"/>
          <w:highlight w:val="none"/>
        </w:rPr>
        <w:instrText xml:space="preserve"> HYPERLINK \l _Toc8769 </w:instrText>
      </w:r>
      <w:r>
        <w:rPr>
          <w:rFonts w:ascii="宋体" w:hAnsi="宋体"/>
          <w:bCs w:val="0"/>
          <w:caps w:val="0"/>
          <w:szCs w:val="24"/>
          <w:highlight w:val="none"/>
        </w:rPr>
        <w:fldChar w:fldCharType="separate"/>
      </w:r>
      <w:r>
        <w:rPr>
          <w:rFonts w:hint="default"/>
        </w:rPr>
        <w:t xml:space="preserve">1. </w:t>
      </w:r>
      <w:r>
        <w:rPr>
          <w:rFonts w:hint="eastAsia"/>
          <w:highlight w:val="none"/>
        </w:rPr>
        <w:t>编制说明、依据及适用范围</w:t>
      </w:r>
      <w:r>
        <w:tab/>
      </w:r>
      <w:r>
        <w:fldChar w:fldCharType="begin"/>
      </w:r>
      <w:r>
        <w:instrText xml:space="preserve"> PAGEREF _Toc8769 \h </w:instrText>
      </w:r>
      <w:r>
        <w:fldChar w:fldCharType="separate"/>
      </w:r>
      <w:r>
        <w:t>12</w:t>
      </w:r>
      <w:r>
        <w:fldChar w:fldCharType="end"/>
      </w:r>
      <w:r>
        <w:rPr>
          <w:rFonts w:ascii="宋体" w:hAnsi="宋体"/>
          <w:bCs w:val="0"/>
          <w:caps w:val="0"/>
          <w:szCs w:val="24"/>
          <w:highlight w:val="none"/>
        </w:rPr>
        <w:fldChar w:fldCharType="end"/>
      </w:r>
    </w:p>
    <w:p w14:paraId="27D3BE64">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_Toc19060 </w:instrText>
      </w:r>
      <w:r>
        <w:rPr>
          <w:rFonts w:ascii="宋体" w:hAnsi="宋体" w:cstheme="minorHAnsi"/>
          <w:bCs/>
          <w:caps/>
          <w:szCs w:val="24"/>
          <w:highlight w:val="none"/>
        </w:rPr>
        <w:fldChar w:fldCharType="separate"/>
      </w:r>
      <w:r>
        <w:rPr>
          <w:rFonts w:hint="default"/>
        </w:rPr>
        <w:t xml:space="preserve">1.1. </w:t>
      </w:r>
      <w:r>
        <w:rPr>
          <w:rFonts w:hint="eastAsia"/>
          <w:highlight w:val="none"/>
        </w:rPr>
        <w:t>编制说明</w:t>
      </w:r>
      <w:r>
        <w:tab/>
      </w:r>
      <w:r>
        <w:fldChar w:fldCharType="begin"/>
      </w:r>
      <w:r>
        <w:instrText xml:space="preserve"> PAGEREF _Toc19060 \h </w:instrText>
      </w:r>
      <w:r>
        <w:fldChar w:fldCharType="separate"/>
      </w:r>
      <w:r>
        <w:t>12</w:t>
      </w:r>
      <w:r>
        <w:fldChar w:fldCharType="end"/>
      </w:r>
      <w:r>
        <w:rPr>
          <w:rFonts w:ascii="宋体" w:hAnsi="宋体" w:cstheme="minorHAnsi"/>
          <w:bCs/>
          <w:caps/>
          <w:szCs w:val="24"/>
          <w:highlight w:val="none"/>
        </w:rPr>
        <w:fldChar w:fldCharType="end"/>
      </w:r>
    </w:p>
    <w:p w14:paraId="536AB07B">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_Toc5664 </w:instrText>
      </w:r>
      <w:r>
        <w:rPr>
          <w:rFonts w:ascii="宋体" w:hAnsi="宋体" w:cstheme="minorHAnsi"/>
          <w:bCs/>
          <w:caps/>
          <w:szCs w:val="24"/>
          <w:highlight w:val="none"/>
        </w:rPr>
        <w:fldChar w:fldCharType="separate"/>
      </w:r>
      <w:r>
        <w:rPr>
          <w:rFonts w:hint="default"/>
        </w:rPr>
        <w:t xml:space="preserve">1.2. </w:t>
      </w:r>
      <w:r>
        <w:rPr>
          <w:rFonts w:hint="eastAsia"/>
          <w:highlight w:val="none"/>
        </w:rPr>
        <w:t>编制依据</w:t>
      </w:r>
      <w:r>
        <w:tab/>
      </w:r>
      <w:r>
        <w:fldChar w:fldCharType="begin"/>
      </w:r>
      <w:r>
        <w:instrText xml:space="preserve"> PAGEREF _Toc5664 \h </w:instrText>
      </w:r>
      <w:r>
        <w:fldChar w:fldCharType="separate"/>
      </w:r>
      <w:r>
        <w:t>12</w:t>
      </w:r>
      <w:r>
        <w:fldChar w:fldCharType="end"/>
      </w:r>
      <w:r>
        <w:rPr>
          <w:rFonts w:ascii="宋体" w:hAnsi="宋体" w:cstheme="minorHAnsi"/>
          <w:bCs/>
          <w:caps/>
          <w:szCs w:val="24"/>
          <w:highlight w:val="none"/>
        </w:rPr>
        <w:fldChar w:fldCharType="end"/>
      </w:r>
    </w:p>
    <w:p w14:paraId="64E22A6F">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_Toc10240 </w:instrText>
      </w:r>
      <w:r>
        <w:rPr>
          <w:rFonts w:ascii="宋体" w:hAnsi="宋体" w:cstheme="minorHAnsi"/>
          <w:bCs/>
          <w:caps/>
          <w:szCs w:val="24"/>
          <w:highlight w:val="none"/>
        </w:rPr>
        <w:fldChar w:fldCharType="separate"/>
      </w:r>
      <w:r>
        <w:rPr>
          <w:rFonts w:hint="default"/>
        </w:rPr>
        <w:t xml:space="preserve">1.3. </w:t>
      </w:r>
      <w:r>
        <w:rPr>
          <w:rFonts w:hint="eastAsia"/>
          <w:highlight w:val="none"/>
        </w:rPr>
        <w:t>适用范围</w:t>
      </w:r>
      <w:r>
        <w:tab/>
      </w:r>
      <w:r>
        <w:fldChar w:fldCharType="begin"/>
      </w:r>
      <w:r>
        <w:instrText xml:space="preserve"> PAGEREF _Toc10240 \h </w:instrText>
      </w:r>
      <w:r>
        <w:fldChar w:fldCharType="separate"/>
      </w:r>
      <w:r>
        <w:t>13</w:t>
      </w:r>
      <w:r>
        <w:fldChar w:fldCharType="end"/>
      </w:r>
      <w:r>
        <w:rPr>
          <w:rFonts w:ascii="宋体" w:hAnsi="宋体" w:cstheme="minorHAnsi"/>
          <w:bCs/>
          <w:caps/>
          <w:szCs w:val="24"/>
          <w:highlight w:val="none"/>
        </w:rPr>
        <w:fldChar w:fldCharType="end"/>
      </w:r>
    </w:p>
    <w:p w14:paraId="3053BB13">
      <w:pPr>
        <w:pStyle w:val="32"/>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_Toc3755 </w:instrText>
      </w:r>
      <w:r>
        <w:rPr>
          <w:rFonts w:ascii="宋体" w:hAnsi="宋体" w:cstheme="minorHAnsi"/>
          <w:bCs/>
          <w:caps/>
          <w:szCs w:val="24"/>
          <w:highlight w:val="none"/>
        </w:rPr>
        <w:fldChar w:fldCharType="separate"/>
      </w:r>
      <w:r>
        <w:rPr>
          <w:rFonts w:hint="default"/>
        </w:rPr>
        <w:t xml:space="preserve">2. </w:t>
      </w:r>
      <w:r>
        <w:rPr>
          <w:rFonts w:hint="eastAsia"/>
          <w:highlight w:val="none"/>
        </w:rPr>
        <w:t>工程概况</w:t>
      </w:r>
      <w:r>
        <w:tab/>
      </w:r>
      <w:r>
        <w:fldChar w:fldCharType="begin"/>
      </w:r>
      <w:r>
        <w:instrText xml:space="preserve"> PAGEREF _Toc3755 \h </w:instrText>
      </w:r>
      <w:r>
        <w:fldChar w:fldCharType="separate"/>
      </w:r>
      <w:r>
        <w:t>14</w:t>
      </w:r>
      <w:r>
        <w:fldChar w:fldCharType="end"/>
      </w:r>
      <w:r>
        <w:rPr>
          <w:rFonts w:ascii="宋体" w:hAnsi="宋体" w:cstheme="minorHAnsi"/>
          <w:bCs/>
          <w:caps/>
          <w:szCs w:val="24"/>
          <w:highlight w:val="none"/>
        </w:rPr>
        <w:fldChar w:fldCharType="end"/>
      </w:r>
    </w:p>
    <w:p w14:paraId="197F8117">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_Toc21755 </w:instrText>
      </w:r>
      <w:r>
        <w:rPr>
          <w:rFonts w:ascii="宋体" w:hAnsi="宋体" w:cstheme="minorHAnsi"/>
          <w:bCs/>
          <w:caps/>
          <w:szCs w:val="24"/>
          <w:highlight w:val="none"/>
        </w:rPr>
        <w:fldChar w:fldCharType="separate"/>
      </w:r>
      <w:r>
        <w:rPr>
          <w:rFonts w:hint="default"/>
        </w:rPr>
        <w:t xml:space="preserve">2.1. </w:t>
      </w:r>
      <w:r>
        <w:rPr>
          <w:rFonts w:hint="eastAsia"/>
          <w:highlight w:val="none"/>
        </w:rPr>
        <w:t>工程概况</w:t>
      </w:r>
      <w:r>
        <w:tab/>
      </w:r>
      <w:r>
        <w:fldChar w:fldCharType="begin"/>
      </w:r>
      <w:r>
        <w:instrText xml:space="preserve"> PAGEREF _Toc21755 \h </w:instrText>
      </w:r>
      <w:r>
        <w:fldChar w:fldCharType="separate"/>
      </w:r>
      <w:r>
        <w:t>14</w:t>
      </w:r>
      <w:r>
        <w:fldChar w:fldCharType="end"/>
      </w:r>
      <w:r>
        <w:rPr>
          <w:rFonts w:ascii="宋体" w:hAnsi="宋体" w:cstheme="minorHAnsi"/>
          <w:bCs/>
          <w:caps/>
          <w:szCs w:val="24"/>
          <w:highlight w:val="none"/>
        </w:rPr>
        <w:fldChar w:fldCharType="end"/>
      </w:r>
    </w:p>
    <w:p w14:paraId="25582467">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_Toc25989 </w:instrText>
      </w:r>
      <w:r>
        <w:rPr>
          <w:rFonts w:ascii="宋体" w:hAnsi="宋体" w:cstheme="minorHAnsi"/>
          <w:bCs/>
          <w:caps/>
          <w:szCs w:val="24"/>
          <w:highlight w:val="none"/>
        </w:rPr>
        <w:fldChar w:fldCharType="separate"/>
      </w:r>
      <w:r>
        <w:rPr>
          <w:rFonts w:hint="default"/>
        </w:rPr>
        <w:t xml:space="preserve">2.2. </w:t>
      </w:r>
      <w:r>
        <w:rPr>
          <w:rFonts w:hint="eastAsia"/>
          <w:highlight w:val="none"/>
        </w:rPr>
        <w:t>工程特点</w:t>
      </w:r>
      <w:r>
        <w:tab/>
      </w:r>
      <w:r>
        <w:fldChar w:fldCharType="begin"/>
      </w:r>
      <w:r>
        <w:instrText xml:space="preserve"> PAGEREF _Toc25989 \h </w:instrText>
      </w:r>
      <w:r>
        <w:fldChar w:fldCharType="separate"/>
      </w:r>
      <w:r>
        <w:t>26</w:t>
      </w:r>
      <w:r>
        <w:fldChar w:fldCharType="end"/>
      </w:r>
      <w:r>
        <w:rPr>
          <w:rFonts w:ascii="宋体" w:hAnsi="宋体" w:cstheme="minorHAnsi"/>
          <w:bCs/>
          <w:caps/>
          <w:szCs w:val="24"/>
          <w:highlight w:val="none"/>
        </w:rPr>
        <w:fldChar w:fldCharType="end"/>
      </w:r>
    </w:p>
    <w:p w14:paraId="584A100B">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_Toc21030 </w:instrText>
      </w:r>
      <w:r>
        <w:rPr>
          <w:rFonts w:ascii="宋体" w:hAnsi="宋体" w:cstheme="minorHAnsi"/>
          <w:bCs/>
          <w:caps/>
          <w:szCs w:val="24"/>
          <w:highlight w:val="none"/>
        </w:rPr>
        <w:fldChar w:fldCharType="separate"/>
      </w:r>
      <w:r>
        <w:rPr>
          <w:rFonts w:hint="default"/>
        </w:rPr>
        <w:t xml:space="preserve">2.3. </w:t>
      </w:r>
      <w:r>
        <w:rPr>
          <w:rFonts w:hint="eastAsia"/>
          <w:highlight w:val="none"/>
        </w:rPr>
        <w:t>施工要求</w:t>
      </w:r>
      <w:r>
        <w:tab/>
      </w:r>
      <w:r>
        <w:fldChar w:fldCharType="begin"/>
      </w:r>
      <w:r>
        <w:instrText xml:space="preserve"> PAGEREF _Toc21030 \h </w:instrText>
      </w:r>
      <w:r>
        <w:fldChar w:fldCharType="separate"/>
      </w:r>
      <w:r>
        <w:t>27</w:t>
      </w:r>
      <w:r>
        <w:fldChar w:fldCharType="end"/>
      </w:r>
      <w:r>
        <w:rPr>
          <w:rFonts w:ascii="宋体" w:hAnsi="宋体" w:cstheme="minorHAnsi"/>
          <w:bCs/>
          <w:caps/>
          <w:szCs w:val="24"/>
          <w:highlight w:val="none"/>
        </w:rPr>
        <w:fldChar w:fldCharType="end"/>
      </w:r>
    </w:p>
    <w:p w14:paraId="7C86D844">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_Toc6002 </w:instrText>
      </w:r>
      <w:r>
        <w:rPr>
          <w:rFonts w:ascii="宋体" w:hAnsi="宋体" w:cstheme="minorHAnsi"/>
          <w:bCs/>
          <w:caps/>
          <w:szCs w:val="24"/>
          <w:highlight w:val="none"/>
        </w:rPr>
        <w:fldChar w:fldCharType="separate"/>
      </w:r>
      <w:r>
        <w:rPr>
          <w:rFonts w:hint="default"/>
        </w:rPr>
        <w:t xml:space="preserve">2.4. </w:t>
      </w:r>
      <w:r>
        <w:rPr>
          <w:rFonts w:hint="eastAsia"/>
          <w:highlight w:val="none"/>
        </w:rPr>
        <w:t>技术保证条件</w:t>
      </w:r>
      <w:r>
        <w:tab/>
      </w:r>
      <w:r>
        <w:fldChar w:fldCharType="begin"/>
      </w:r>
      <w:r>
        <w:instrText xml:space="preserve"> PAGEREF _Toc6002 \h </w:instrText>
      </w:r>
      <w:r>
        <w:fldChar w:fldCharType="separate"/>
      </w:r>
      <w:r>
        <w:t>29</w:t>
      </w:r>
      <w:r>
        <w:fldChar w:fldCharType="end"/>
      </w:r>
      <w:r>
        <w:rPr>
          <w:rFonts w:ascii="宋体" w:hAnsi="宋体" w:cstheme="minorHAnsi"/>
          <w:bCs/>
          <w:caps/>
          <w:szCs w:val="24"/>
          <w:highlight w:val="none"/>
        </w:rPr>
        <w:fldChar w:fldCharType="end"/>
      </w:r>
    </w:p>
    <w:p w14:paraId="3EBC7E10">
      <w:pPr>
        <w:pStyle w:val="32"/>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_Toc13364 </w:instrText>
      </w:r>
      <w:r>
        <w:rPr>
          <w:rFonts w:ascii="宋体" w:hAnsi="宋体" w:cstheme="minorHAnsi"/>
          <w:bCs/>
          <w:caps/>
          <w:szCs w:val="24"/>
          <w:highlight w:val="none"/>
        </w:rPr>
        <w:fldChar w:fldCharType="separate"/>
      </w:r>
      <w:r>
        <w:rPr>
          <w:rFonts w:hint="default"/>
        </w:rPr>
        <w:t xml:space="preserve">3. </w:t>
      </w:r>
      <w:r>
        <w:rPr>
          <w:rFonts w:hint="eastAsia"/>
          <w:highlight w:val="none"/>
        </w:rPr>
        <w:t>施工计划</w:t>
      </w:r>
      <w:r>
        <w:tab/>
      </w:r>
      <w:r>
        <w:fldChar w:fldCharType="begin"/>
      </w:r>
      <w:r>
        <w:instrText xml:space="preserve"> PAGEREF _Toc13364 \h </w:instrText>
      </w:r>
      <w:r>
        <w:fldChar w:fldCharType="separate"/>
      </w:r>
      <w:r>
        <w:t>30</w:t>
      </w:r>
      <w:r>
        <w:fldChar w:fldCharType="end"/>
      </w:r>
      <w:r>
        <w:rPr>
          <w:rFonts w:ascii="宋体" w:hAnsi="宋体" w:cstheme="minorHAnsi"/>
          <w:bCs/>
          <w:caps/>
          <w:szCs w:val="24"/>
          <w:highlight w:val="none"/>
        </w:rPr>
        <w:fldChar w:fldCharType="end"/>
      </w:r>
    </w:p>
    <w:p w14:paraId="58DE0DE8">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_Toc11628 </w:instrText>
      </w:r>
      <w:r>
        <w:rPr>
          <w:rFonts w:ascii="宋体" w:hAnsi="宋体" w:cstheme="minorHAnsi"/>
          <w:bCs/>
          <w:caps/>
          <w:szCs w:val="24"/>
          <w:highlight w:val="none"/>
        </w:rPr>
        <w:fldChar w:fldCharType="separate"/>
      </w:r>
      <w:r>
        <w:rPr>
          <w:rFonts w:hint="default"/>
        </w:rPr>
        <w:t xml:space="preserve">3.1. </w:t>
      </w:r>
      <w:r>
        <w:rPr>
          <w:rFonts w:hint="eastAsia"/>
          <w:highlight w:val="none"/>
        </w:rPr>
        <w:t>施工进度计划</w:t>
      </w:r>
      <w:r>
        <w:tab/>
      </w:r>
      <w:r>
        <w:fldChar w:fldCharType="begin"/>
      </w:r>
      <w:r>
        <w:instrText xml:space="preserve"> PAGEREF _Toc11628 \h </w:instrText>
      </w:r>
      <w:r>
        <w:fldChar w:fldCharType="separate"/>
      </w:r>
      <w:r>
        <w:t>30</w:t>
      </w:r>
      <w:r>
        <w:fldChar w:fldCharType="end"/>
      </w:r>
      <w:r>
        <w:rPr>
          <w:rFonts w:ascii="宋体" w:hAnsi="宋体" w:cstheme="minorHAnsi"/>
          <w:bCs/>
          <w:caps/>
          <w:szCs w:val="24"/>
          <w:highlight w:val="none"/>
        </w:rPr>
        <w:fldChar w:fldCharType="end"/>
      </w:r>
    </w:p>
    <w:p w14:paraId="17DEEC86">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_Toc21248 </w:instrText>
      </w:r>
      <w:r>
        <w:rPr>
          <w:rFonts w:ascii="宋体" w:hAnsi="宋体" w:cstheme="minorHAnsi"/>
          <w:bCs/>
          <w:caps/>
          <w:szCs w:val="24"/>
          <w:highlight w:val="none"/>
        </w:rPr>
        <w:fldChar w:fldCharType="separate"/>
      </w:r>
      <w:r>
        <w:rPr>
          <w:rFonts w:hint="default"/>
        </w:rPr>
        <w:t xml:space="preserve">3.2. </w:t>
      </w:r>
      <w:r>
        <w:rPr>
          <w:rFonts w:hint="eastAsia"/>
          <w:highlight w:val="none"/>
        </w:rPr>
        <w:t>材料及设备计划</w:t>
      </w:r>
      <w:r>
        <w:tab/>
      </w:r>
      <w:r>
        <w:fldChar w:fldCharType="begin"/>
      </w:r>
      <w:r>
        <w:instrText xml:space="preserve"> PAGEREF _Toc21248 \h </w:instrText>
      </w:r>
      <w:r>
        <w:fldChar w:fldCharType="separate"/>
      </w:r>
      <w:r>
        <w:t>30</w:t>
      </w:r>
      <w:r>
        <w:fldChar w:fldCharType="end"/>
      </w:r>
      <w:r>
        <w:rPr>
          <w:rFonts w:ascii="宋体" w:hAnsi="宋体" w:cstheme="minorHAnsi"/>
          <w:bCs/>
          <w:caps/>
          <w:szCs w:val="24"/>
          <w:highlight w:val="none"/>
        </w:rPr>
        <w:fldChar w:fldCharType="end"/>
      </w:r>
    </w:p>
    <w:p w14:paraId="1D50994A">
      <w:pPr>
        <w:pStyle w:val="32"/>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_Toc28545 </w:instrText>
      </w:r>
      <w:r>
        <w:rPr>
          <w:rFonts w:ascii="宋体" w:hAnsi="宋体" w:cstheme="minorHAnsi"/>
          <w:bCs/>
          <w:caps/>
          <w:szCs w:val="24"/>
          <w:highlight w:val="none"/>
        </w:rPr>
        <w:fldChar w:fldCharType="separate"/>
      </w:r>
      <w:r>
        <w:rPr>
          <w:rFonts w:hint="default"/>
        </w:rPr>
        <w:t xml:space="preserve">4. </w:t>
      </w:r>
      <w:r>
        <w:rPr>
          <w:rFonts w:hint="eastAsia"/>
          <w:highlight w:val="none"/>
        </w:rPr>
        <w:t>施工方案概述</w:t>
      </w:r>
      <w:r>
        <w:tab/>
      </w:r>
      <w:r>
        <w:fldChar w:fldCharType="begin"/>
      </w:r>
      <w:r>
        <w:instrText xml:space="preserve"> PAGEREF _Toc28545 \h </w:instrText>
      </w:r>
      <w:r>
        <w:fldChar w:fldCharType="separate"/>
      </w:r>
      <w:r>
        <w:t>32</w:t>
      </w:r>
      <w:r>
        <w:fldChar w:fldCharType="end"/>
      </w:r>
      <w:r>
        <w:rPr>
          <w:rFonts w:ascii="宋体" w:hAnsi="宋体" w:cstheme="minorHAnsi"/>
          <w:bCs/>
          <w:caps/>
          <w:szCs w:val="24"/>
          <w:highlight w:val="none"/>
        </w:rPr>
        <w:fldChar w:fldCharType="end"/>
      </w:r>
    </w:p>
    <w:p w14:paraId="083E7278">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_Toc28533 </w:instrText>
      </w:r>
      <w:r>
        <w:rPr>
          <w:rFonts w:ascii="宋体" w:hAnsi="宋体" w:cstheme="minorHAnsi"/>
          <w:bCs/>
          <w:caps/>
          <w:szCs w:val="24"/>
          <w:highlight w:val="none"/>
        </w:rPr>
        <w:fldChar w:fldCharType="separate"/>
      </w:r>
      <w:r>
        <w:rPr>
          <w:rFonts w:hint="default"/>
        </w:rPr>
        <w:t xml:space="preserve">4.1. </w:t>
      </w:r>
      <w:r>
        <w:rPr>
          <w:rFonts w:hint="eastAsia"/>
          <w:highlight w:val="none"/>
        </w:rPr>
        <w:t>塔吊安装施工工艺流程</w:t>
      </w:r>
      <w:r>
        <w:tab/>
      </w:r>
      <w:r>
        <w:fldChar w:fldCharType="begin"/>
      </w:r>
      <w:r>
        <w:instrText xml:space="preserve"> PAGEREF _Toc28533 \h </w:instrText>
      </w:r>
      <w:r>
        <w:fldChar w:fldCharType="separate"/>
      </w:r>
      <w:r>
        <w:t>32</w:t>
      </w:r>
      <w:r>
        <w:fldChar w:fldCharType="end"/>
      </w:r>
      <w:r>
        <w:rPr>
          <w:rFonts w:ascii="宋体" w:hAnsi="宋体" w:cstheme="minorHAnsi"/>
          <w:bCs/>
          <w:caps/>
          <w:szCs w:val="24"/>
          <w:highlight w:val="none"/>
        </w:rPr>
        <w:fldChar w:fldCharType="end"/>
      </w:r>
    </w:p>
    <w:p w14:paraId="4F0F8F68">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_Toc14241 </w:instrText>
      </w:r>
      <w:r>
        <w:rPr>
          <w:rFonts w:ascii="宋体" w:hAnsi="宋体" w:cstheme="minorHAnsi"/>
          <w:bCs/>
          <w:caps/>
          <w:szCs w:val="24"/>
          <w:highlight w:val="none"/>
        </w:rPr>
        <w:fldChar w:fldCharType="separate"/>
      </w:r>
      <w:r>
        <w:rPr>
          <w:rFonts w:hint="default"/>
        </w:rPr>
        <w:t xml:space="preserve">4.2. </w:t>
      </w:r>
      <w:r>
        <w:rPr>
          <w:rFonts w:hint="eastAsia"/>
          <w:highlight w:val="none"/>
        </w:rPr>
        <w:t>主要设备选型</w:t>
      </w:r>
      <w:r>
        <w:tab/>
      </w:r>
      <w:r>
        <w:fldChar w:fldCharType="begin"/>
      </w:r>
      <w:r>
        <w:instrText xml:space="preserve"> PAGEREF _Toc14241 \h </w:instrText>
      </w:r>
      <w:r>
        <w:fldChar w:fldCharType="separate"/>
      </w:r>
      <w:r>
        <w:t>32</w:t>
      </w:r>
      <w:r>
        <w:fldChar w:fldCharType="end"/>
      </w:r>
      <w:r>
        <w:rPr>
          <w:rFonts w:ascii="宋体" w:hAnsi="宋体" w:cstheme="minorHAnsi"/>
          <w:bCs/>
          <w:caps/>
          <w:szCs w:val="24"/>
          <w:highlight w:val="none"/>
        </w:rPr>
        <w:fldChar w:fldCharType="end"/>
      </w:r>
    </w:p>
    <w:p w14:paraId="58DC3C42">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_Toc28080 </w:instrText>
      </w:r>
      <w:r>
        <w:rPr>
          <w:rFonts w:ascii="宋体" w:hAnsi="宋体" w:cstheme="minorHAnsi"/>
          <w:bCs/>
          <w:caps/>
          <w:szCs w:val="24"/>
          <w:highlight w:val="none"/>
        </w:rPr>
        <w:fldChar w:fldCharType="separate"/>
      </w:r>
      <w:r>
        <w:rPr>
          <w:rFonts w:hint="default"/>
        </w:rPr>
        <w:t xml:space="preserve">4.3. </w:t>
      </w:r>
      <w:r>
        <w:rPr>
          <w:rFonts w:hint="eastAsia"/>
          <w:highlight w:val="none"/>
        </w:rPr>
        <w:t>塔吊安装前施工准备</w:t>
      </w:r>
      <w:r>
        <w:tab/>
      </w:r>
      <w:r>
        <w:fldChar w:fldCharType="begin"/>
      </w:r>
      <w:r>
        <w:instrText xml:space="preserve"> PAGEREF _Toc28080 \h </w:instrText>
      </w:r>
      <w:r>
        <w:fldChar w:fldCharType="separate"/>
      </w:r>
      <w:r>
        <w:t>37</w:t>
      </w:r>
      <w:r>
        <w:fldChar w:fldCharType="end"/>
      </w:r>
      <w:r>
        <w:rPr>
          <w:rFonts w:ascii="宋体" w:hAnsi="宋体" w:cstheme="minorHAnsi"/>
          <w:bCs/>
          <w:caps/>
          <w:szCs w:val="24"/>
          <w:highlight w:val="none"/>
        </w:rPr>
        <w:fldChar w:fldCharType="end"/>
      </w:r>
    </w:p>
    <w:p w14:paraId="1348CAE5">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_Toc11196 </w:instrText>
      </w:r>
      <w:r>
        <w:rPr>
          <w:rFonts w:ascii="宋体" w:hAnsi="宋体" w:cstheme="minorHAnsi"/>
          <w:bCs/>
          <w:caps/>
          <w:szCs w:val="24"/>
          <w:highlight w:val="none"/>
        </w:rPr>
        <w:fldChar w:fldCharType="separate"/>
      </w:r>
      <w:r>
        <w:rPr>
          <w:rFonts w:hint="default"/>
        </w:rPr>
        <w:t xml:space="preserve">4.4. </w:t>
      </w:r>
      <w:r>
        <w:rPr>
          <w:rFonts w:hint="eastAsia"/>
          <w:highlight w:val="none"/>
        </w:rPr>
        <w:t>安装具体步骤（XGT360-20S1型塔吊）</w:t>
      </w:r>
      <w:r>
        <w:tab/>
      </w:r>
      <w:r>
        <w:fldChar w:fldCharType="begin"/>
      </w:r>
      <w:r>
        <w:instrText xml:space="preserve"> PAGEREF _Toc11196 \h </w:instrText>
      </w:r>
      <w:r>
        <w:fldChar w:fldCharType="separate"/>
      </w:r>
      <w:r>
        <w:t>38</w:t>
      </w:r>
      <w:r>
        <w:fldChar w:fldCharType="end"/>
      </w:r>
      <w:r>
        <w:rPr>
          <w:rFonts w:ascii="宋体" w:hAnsi="宋体" w:cstheme="minorHAnsi"/>
          <w:bCs/>
          <w:caps/>
          <w:szCs w:val="24"/>
          <w:highlight w:val="none"/>
        </w:rPr>
        <w:fldChar w:fldCharType="end"/>
      </w:r>
    </w:p>
    <w:p w14:paraId="21B2E8A3">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_Toc27933 </w:instrText>
      </w:r>
      <w:r>
        <w:rPr>
          <w:rFonts w:ascii="宋体" w:hAnsi="宋体" w:cstheme="minorHAnsi"/>
          <w:bCs/>
          <w:caps/>
          <w:szCs w:val="24"/>
          <w:highlight w:val="none"/>
        </w:rPr>
        <w:fldChar w:fldCharType="separate"/>
      </w:r>
      <w:r>
        <w:rPr>
          <w:rFonts w:hint="default"/>
        </w:rPr>
        <w:t xml:space="preserve">4.5. </w:t>
      </w:r>
      <w:r>
        <w:rPr>
          <w:rFonts w:hint="eastAsia"/>
          <w:highlight w:val="none"/>
        </w:rPr>
        <w:t>安装具体步骤（XGT7026-12S1型塔吊）</w:t>
      </w:r>
      <w:r>
        <w:tab/>
      </w:r>
      <w:r>
        <w:fldChar w:fldCharType="begin"/>
      </w:r>
      <w:r>
        <w:instrText xml:space="preserve"> PAGEREF _Toc27933 \h </w:instrText>
      </w:r>
      <w:r>
        <w:fldChar w:fldCharType="separate"/>
      </w:r>
      <w:r>
        <w:t>81</w:t>
      </w:r>
      <w:r>
        <w:fldChar w:fldCharType="end"/>
      </w:r>
      <w:r>
        <w:rPr>
          <w:rFonts w:ascii="宋体" w:hAnsi="宋体" w:cstheme="minorHAnsi"/>
          <w:bCs/>
          <w:caps/>
          <w:szCs w:val="24"/>
          <w:highlight w:val="none"/>
        </w:rPr>
        <w:fldChar w:fldCharType="end"/>
      </w:r>
    </w:p>
    <w:p w14:paraId="5A5267AC">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_Toc8668 </w:instrText>
      </w:r>
      <w:r>
        <w:rPr>
          <w:rFonts w:ascii="宋体" w:hAnsi="宋体" w:cstheme="minorHAnsi"/>
          <w:bCs/>
          <w:caps/>
          <w:szCs w:val="24"/>
          <w:highlight w:val="none"/>
        </w:rPr>
        <w:fldChar w:fldCharType="separate"/>
      </w:r>
      <w:r>
        <w:rPr>
          <w:rFonts w:hint="default"/>
        </w:rPr>
        <w:t xml:space="preserve">4.6. </w:t>
      </w:r>
      <w:r>
        <w:rPr>
          <w:rFonts w:hint="eastAsia"/>
          <w:highlight w:val="none"/>
        </w:rPr>
        <w:t>试验</w:t>
      </w:r>
      <w:r>
        <w:tab/>
      </w:r>
      <w:r>
        <w:fldChar w:fldCharType="begin"/>
      </w:r>
      <w:r>
        <w:instrText xml:space="preserve"> PAGEREF _Toc8668 \h </w:instrText>
      </w:r>
      <w:r>
        <w:fldChar w:fldCharType="separate"/>
      </w:r>
      <w:r>
        <w:t>117</w:t>
      </w:r>
      <w:r>
        <w:fldChar w:fldCharType="end"/>
      </w:r>
      <w:r>
        <w:rPr>
          <w:rFonts w:ascii="宋体" w:hAnsi="宋体" w:cstheme="minorHAnsi"/>
          <w:bCs/>
          <w:caps/>
          <w:szCs w:val="24"/>
          <w:highlight w:val="none"/>
        </w:rPr>
        <w:fldChar w:fldCharType="end"/>
      </w:r>
    </w:p>
    <w:p w14:paraId="63365552">
      <w:pPr>
        <w:pStyle w:val="32"/>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_Toc5797 </w:instrText>
      </w:r>
      <w:r>
        <w:rPr>
          <w:rFonts w:ascii="宋体" w:hAnsi="宋体" w:cstheme="minorHAnsi"/>
          <w:bCs/>
          <w:caps/>
          <w:szCs w:val="24"/>
          <w:highlight w:val="none"/>
        </w:rPr>
        <w:fldChar w:fldCharType="separate"/>
      </w:r>
      <w:r>
        <w:rPr>
          <w:rFonts w:hint="default"/>
        </w:rPr>
        <w:t xml:space="preserve">5. </w:t>
      </w:r>
      <w:r>
        <w:rPr>
          <w:rFonts w:hint="eastAsia"/>
          <w:highlight w:val="none"/>
        </w:rPr>
        <w:t>质量控制措施</w:t>
      </w:r>
      <w:r>
        <w:tab/>
      </w:r>
      <w:r>
        <w:fldChar w:fldCharType="begin"/>
      </w:r>
      <w:r>
        <w:instrText xml:space="preserve"> PAGEREF _Toc5797 \h </w:instrText>
      </w:r>
      <w:r>
        <w:fldChar w:fldCharType="separate"/>
      </w:r>
      <w:r>
        <w:t>120</w:t>
      </w:r>
      <w:r>
        <w:fldChar w:fldCharType="end"/>
      </w:r>
      <w:r>
        <w:rPr>
          <w:rFonts w:ascii="宋体" w:hAnsi="宋体" w:cstheme="minorHAnsi"/>
          <w:bCs/>
          <w:caps/>
          <w:szCs w:val="24"/>
          <w:highlight w:val="none"/>
        </w:rPr>
        <w:fldChar w:fldCharType="end"/>
      </w:r>
    </w:p>
    <w:p w14:paraId="1658B32A">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_Toc17963 </w:instrText>
      </w:r>
      <w:r>
        <w:rPr>
          <w:rFonts w:ascii="宋体" w:hAnsi="宋体" w:cstheme="minorHAnsi"/>
          <w:bCs/>
          <w:caps/>
          <w:szCs w:val="24"/>
          <w:highlight w:val="none"/>
        </w:rPr>
        <w:fldChar w:fldCharType="separate"/>
      </w:r>
      <w:r>
        <w:rPr>
          <w:rFonts w:hint="default"/>
        </w:rPr>
        <w:t xml:space="preserve">5.1. </w:t>
      </w:r>
      <w:r>
        <w:rPr>
          <w:highlight w:val="none"/>
        </w:rPr>
        <w:t>质量管理组织机构</w:t>
      </w:r>
      <w:r>
        <w:tab/>
      </w:r>
      <w:r>
        <w:fldChar w:fldCharType="begin"/>
      </w:r>
      <w:r>
        <w:instrText xml:space="preserve"> PAGEREF _Toc17963 \h </w:instrText>
      </w:r>
      <w:r>
        <w:fldChar w:fldCharType="separate"/>
      </w:r>
      <w:r>
        <w:t>120</w:t>
      </w:r>
      <w:r>
        <w:fldChar w:fldCharType="end"/>
      </w:r>
      <w:r>
        <w:rPr>
          <w:rFonts w:ascii="宋体" w:hAnsi="宋体" w:cstheme="minorHAnsi"/>
          <w:bCs/>
          <w:caps/>
          <w:szCs w:val="24"/>
          <w:highlight w:val="none"/>
        </w:rPr>
        <w:fldChar w:fldCharType="end"/>
      </w:r>
    </w:p>
    <w:p w14:paraId="302BE307">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_Toc31014 </w:instrText>
      </w:r>
      <w:r>
        <w:rPr>
          <w:rFonts w:ascii="宋体" w:hAnsi="宋体" w:cstheme="minorHAnsi"/>
          <w:bCs/>
          <w:caps/>
          <w:szCs w:val="24"/>
          <w:highlight w:val="none"/>
        </w:rPr>
        <w:fldChar w:fldCharType="separate"/>
      </w:r>
      <w:r>
        <w:rPr>
          <w:rFonts w:hint="default"/>
        </w:rPr>
        <w:t xml:space="preserve">5.2. </w:t>
      </w:r>
      <w:r>
        <w:rPr>
          <w:highlight w:val="none"/>
        </w:rPr>
        <w:t>质量保证体系</w:t>
      </w:r>
      <w:r>
        <w:tab/>
      </w:r>
      <w:r>
        <w:fldChar w:fldCharType="begin"/>
      </w:r>
      <w:r>
        <w:instrText xml:space="preserve"> PAGEREF _Toc31014 \h </w:instrText>
      </w:r>
      <w:r>
        <w:fldChar w:fldCharType="separate"/>
      </w:r>
      <w:r>
        <w:t>120</w:t>
      </w:r>
      <w:r>
        <w:fldChar w:fldCharType="end"/>
      </w:r>
      <w:r>
        <w:rPr>
          <w:rFonts w:ascii="宋体" w:hAnsi="宋体" w:cstheme="minorHAnsi"/>
          <w:bCs/>
          <w:caps/>
          <w:szCs w:val="24"/>
          <w:highlight w:val="none"/>
        </w:rPr>
        <w:fldChar w:fldCharType="end"/>
      </w:r>
    </w:p>
    <w:p w14:paraId="272C697B">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_Toc6654 </w:instrText>
      </w:r>
      <w:r>
        <w:rPr>
          <w:rFonts w:ascii="宋体" w:hAnsi="宋体" w:cstheme="minorHAnsi"/>
          <w:bCs/>
          <w:caps/>
          <w:szCs w:val="24"/>
          <w:highlight w:val="none"/>
        </w:rPr>
        <w:fldChar w:fldCharType="separate"/>
      </w:r>
      <w:r>
        <w:rPr>
          <w:rFonts w:hint="default"/>
        </w:rPr>
        <w:t xml:space="preserve">5.3. </w:t>
      </w:r>
      <w:r>
        <w:rPr>
          <w:rFonts w:hint="eastAsia"/>
          <w:highlight w:val="none"/>
        </w:rPr>
        <w:t>质量通病及质量通病预防</w:t>
      </w:r>
      <w:r>
        <w:tab/>
      </w:r>
      <w:r>
        <w:fldChar w:fldCharType="begin"/>
      </w:r>
      <w:r>
        <w:instrText xml:space="preserve"> PAGEREF _Toc6654 \h </w:instrText>
      </w:r>
      <w:r>
        <w:fldChar w:fldCharType="separate"/>
      </w:r>
      <w:r>
        <w:t>121</w:t>
      </w:r>
      <w:r>
        <w:fldChar w:fldCharType="end"/>
      </w:r>
      <w:r>
        <w:rPr>
          <w:rFonts w:ascii="宋体" w:hAnsi="宋体" w:cstheme="minorHAnsi"/>
          <w:bCs/>
          <w:caps/>
          <w:szCs w:val="24"/>
          <w:highlight w:val="none"/>
        </w:rPr>
        <w:fldChar w:fldCharType="end"/>
      </w:r>
    </w:p>
    <w:p w14:paraId="050A8ADA">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_Toc20170 </w:instrText>
      </w:r>
      <w:r>
        <w:rPr>
          <w:rFonts w:ascii="宋体" w:hAnsi="宋体" w:cstheme="minorHAnsi"/>
          <w:bCs/>
          <w:caps/>
          <w:szCs w:val="24"/>
          <w:highlight w:val="none"/>
        </w:rPr>
        <w:fldChar w:fldCharType="separate"/>
      </w:r>
      <w:r>
        <w:rPr>
          <w:rFonts w:hint="default"/>
        </w:rPr>
        <w:t xml:space="preserve">5.4. </w:t>
      </w:r>
      <w:r>
        <w:rPr>
          <w:rFonts w:hint="eastAsia"/>
          <w:highlight w:val="none"/>
        </w:rPr>
        <w:t>质量保证措施</w:t>
      </w:r>
      <w:r>
        <w:tab/>
      </w:r>
      <w:r>
        <w:fldChar w:fldCharType="begin"/>
      </w:r>
      <w:r>
        <w:instrText xml:space="preserve"> PAGEREF _Toc20170 \h </w:instrText>
      </w:r>
      <w:r>
        <w:fldChar w:fldCharType="separate"/>
      </w:r>
      <w:r>
        <w:t>121</w:t>
      </w:r>
      <w:r>
        <w:fldChar w:fldCharType="end"/>
      </w:r>
      <w:r>
        <w:rPr>
          <w:rFonts w:ascii="宋体" w:hAnsi="宋体" w:cstheme="minorHAnsi"/>
          <w:bCs/>
          <w:caps/>
          <w:szCs w:val="24"/>
          <w:highlight w:val="none"/>
        </w:rPr>
        <w:fldChar w:fldCharType="end"/>
      </w:r>
    </w:p>
    <w:p w14:paraId="21606761">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_Toc23643 </w:instrText>
      </w:r>
      <w:r>
        <w:rPr>
          <w:rFonts w:ascii="宋体" w:hAnsi="宋体" w:cstheme="minorHAnsi"/>
          <w:bCs/>
          <w:caps/>
          <w:szCs w:val="24"/>
          <w:highlight w:val="none"/>
        </w:rPr>
        <w:fldChar w:fldCharType="separate"/>
      </w:r>
      <w:r>
        <w:rPr>
          <w:rFonts w:hint="default"/>
        </w:rPr>
        <w:t xml:space="preserve">5.5. </w:t>
      </w:r>
      <w:r>
        <w:rPr>
          <w:rFonts w:hint="eastAsia"/>
          <w:highlight w:val="none"/>
        </w:rPr>
        <w:t>作业过程中控制点的设置</w:t>
      </w:r>
      <w:r>
        <w:tab/>
      </w:r>
      <w:r>
        <w:fldChar w:fldCharType="begin"/>
      </w:r>
      <w:r>
        <w:instrText xml:space="preserve"> PAGEREF _Toc23643 \h </w:instrText>
      </w:r>
      <w:r>
        <w:fldChar w:fldCharType="separate"/>
      </w:r>
      <w:r>
        <w:t>122</w:t>
      </w:r>
      <w:r>
        <w:fldChar w:fldCharType="end"/>
      </w:r>
      <w:r>
        <w:rPr>
          <w:rFonts w:ascii="宋体" w:hAnsi="宋体" w:cstheme="minorHAnsi"/>
          <w:bCs/>
          <w:caps/>
          <w:szCs w:val="24"/>
          <w:highlight w:val="none"/>
        </w:rPr>
        <w:fldChar w:fldCharType="end"/>
      </w:r>
    </w:p>
    <w:p w14:paraId="568A234C">
      <w:pPr>
        <w:pStyle w:val="32"/>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_Toc6650 </w:instrText>
      </w:r>
      <w:r>
        <w:rPr>
          <w:rFonts w:ascii="宋体" w:hAnsi="宋体" w:cstheme="minorHAnsi"/>
          <w:bCs/>
          <w:caps/>
          <w:szCs w:val="24"/>
          <w:highlight w:val="none"/>
        </w:rPr>
        <w:fldChar w:fldCharType="separate"/>
      </w:r>
      <w:r>
        <w:rPr>
          <w:rFonts w:hint="default"/>
        </w:rPr>
        <w:t xml:space="preserve">6. </w:t>
      </w:r>
      <w:r>
        <w:rPr>
          <w:rFonts w:hint="eastAsia"/>
          <w:highlight w:val="none"/>
        </w:rPr>
        <w:t>施工安全保障措施</w:t>
      </w:r>
      <w:r>
        <w:tab/>
      </w:r>
      <w:r>
        <w:fldChar w:fldCharType="begin"/>
      </w:r>
      <w:r>
        <w:instrText xml:space="preserve"> PAGEREF _Toc6650 \h </w:instrText>
      </w:r>
      <w:r>
        <w:fldChar w:fldCharType="separate"/>
      </w:r>
      <w:r>
        <w:t>123</w:t>
      </w:r>
      <w:r>
        <w:fldChar w:fldCharType="end"/>
      </w:r>
      <w:r>
        <w:rPr>
          <w:rFonts w:ascii="宋体" w:hAnsi="宋体" w:cstheme="minorHAnsi"/>
          <w:bCs/>
          <w:caps/>
          <w:szCs w:val="24"/>
          <w:highlight w:val="none"/>
        </w:rPr>
        <w:fldChar w:fldCharType="end"/>
      </w:r>
    </w:p>
    <w:p w14:paraId="098C9EB1">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_Toc12184 </w:instrText>
      </w:r>
      <w:r>
        <w:rPr>
          <w:rFonts w:ascii="宋体" w:hAnsi="宋体" w:cstheme="minorHAnsi"/>
          <w:bCs/>
          <w:caps/>
          <w:szCs w:val="24"/>
          <w:highlight w:val="none"/>
        </w:rPr>
        <w:fldChar w:fldCharType="separate"/>
      </w:r>
      <w:r>
        <w:rPr>
          <w:rFonts w:hint="default"/>
          <w:lang w:val="en-US" w:eastAsia="zh-CN"/>
        </w:rPr>
        <w:t xml:space="preserve">6.1. </w:t>
      </w:r>
      <w:r>
        <w:rPr>
          <w:rFonts w:hint="eastAsia"/>
          <w:highlight w:val="none"/>
          <w:lang w:val="en-US" w:eastAsia="zh-CN"/>
        </w:rPr>
        <w:t>危险源辨识及方法</w:t>
      </w:r>
      <w:r>
        <w:tab/>
      </w:r>
      <w:r>
        <w:fldChar w:fldCharType="begin"/>
      </w:r>
      <w:r>
        <w:instrText xml:space="preserve"> PAGEREF _Toc12184 \h </w:instrText>
      </w:r>
      <w:r>
        <w:fldChar w:fldCharType="separate"/>
      </w:r>
      <w:r>
        <w:t>123</w:t>
      </w:r>
      <w:r>
        <w:fldChar w:fldCharType="end"/>
      </w:r>
      <w:r>
        <w:rPr>
          <w:rFonts w:ascii="宋体" w:hAnsi="宋体" w:cstheme="minorHAnsi"/>
          <w:bCs/>
          <w:caps/>
          <w:szCs w:val="24"/>
          <w:highlight w:val="none"/>
        </w:rPr>
        <w:fldChar w:fldCharType="end"/>
      </w:r>
    </w:p>
    <w:p w14:paraId="7B241E7F">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_Toc16125 </w:instrText>
      </w:r>
      <w:r>
        <w:rPr>
          <w:rFonts w:ascii="宋体" w:hAnsi="宋体" w:cstheme="minorHAnsi"/>
          <w:bCs/>
          <w:caps/>
          <w:szCs w:val="24"/>
          <w:highlight w:val="none"/>
        </w:rPr>
        <w:fldChar w:fldCharType="separate"/>
      </w:r>
      <w:r>
        <w:rPr>
          <w:rFonts w:hint="default"/>
        </w:rPr>
        <w:t xml:space="preserve">6.2. </w:t>
      </w:r>
      <w:r>
        <w:rPr>
          <w:highlight w:val="none"/>
        </w:rPr>
        <w:t>组织保障措施</w:t>
      </w:r>
      <w:r>
        <w:tab/>
      </w:r>
      <w:r>
        <w:fldChar w:fldCharType="begin"/>
      </w:r>
      <w:r>
        <w:instrText xml:space="preserve"> PAGEREF _Toc16125 \h </w:instrText>
      </w:r>
      <w:r>
        <w:fldChar w:fldCharType="separate"/>
      </w:r>
      <w:r>
        <w:t>125</w:t>
      </w:r>
      <w:r>
        <w:fldChar w:fldCharType="end"/>
      </w:r>
      <w:r>
        <w:rPr>
          <w:rFonts w:ascii="宋体" w:hAnsi="宋体" w:cstheme="minorHAnsi"/>
          <w:bCs/>
          <w:caps/>
          <w:szCs w:val="24"/>
          <w:highlight w:val="none"/>
        </w:rPr>
        <w:fldChar w:fldCharType="end"/>
      </w:r>
    </w:p>
    <w:p w14:paraId="3FB02545">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_Toc11521 </w:instrText>
      </w:r>
      <w:r>
        <w:rPr>
          <w:rFonts w:ascii="宋体" w:hAnsi="宋体" w:cstheme="minorHAnsi"/>
          <w:bCs/>
          <w:caps/>
          <w:szCs w:val="24"/>
          <w:highlight w:val="none"/>
        </w:rPr>
        <w:fldChar w:fldCharType="separate"/>
      </w:r>
      <w:r>
        <w:rPr>
          <w:rFonts w:hint="default"/>
        </w:rPr>
        <w:t xml:space="preserve">6.3. </w:t>
      </w:r>
      <w:r>
        <w:rPr>
          <w:rFonts w:hint="eastAsia"/>
          <w:highlight w:val="none"/>
        </w:rPr>
        <w:t>施工安全技术措施</w:t>
      </w:r>
      <w:r>
        <w:tab/>
      </w:r>
      <w:r>
        <w:fldChar w:fldCharType="begin"/>
      </w:r>
      <w:r>
        <w:instrText xml:space="preserve"> PAGEREF _Toc11521 \h </w:instrText>
      </w:r>
      <w:r>
        <w:fldChar w:fldCharType="separate"/>
      </w:r>
      <w:r>
        <w:t>129</w:t>
      </w:r>
      <w:r>
        <w:fldChar w:fldCharType="end"/>
      </w:r>
      <w:r>
        <w:rPr>
          <w:rFonts w:ascii="宋体" w:hAnsi="宋体" w:cstheme="minorHAnsi"/>
          <w:bCs/>
          <w:caps/>
          <w:szCs w:val="24"/>
          <w:highlight w:val="none"/>
        </w:rPr>
        <w:fldChar w:fldCharType="end"/>
      </w:r>
    </w:p>
    <w:p w14:paraId="21171638">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_Toc10120 </w:instrText>
      </w:r>
      <w:r>
        <w:rPr>
          <w:rFonts w:ascii="宋体" w:hAnsi="宋体" w:cstheme="minorHAnsi"/>
          <w:bCs/>
          <w:caps/>
          <w:szCs w:val="24"/>
          <w:highlight w:val="none"/>
        </w:rPr>
        <w:fldChar w:fldCharType="separate"/>
      </w:r>
      <w:r>
        <w:rPr>
          <w:rFonts w:hint="default"/>
        </w:rPr>
        <w:t xml:space="preserve">6.4. </w:t>
      </w:r>
      <w:r>
        <w:rPr>
          <w:rFonts w:hint="eastAsia"/>
          <w:highlight w:val="none"/>
        </w:rPr>
        <w:t>防碰撞措施</w:t>
      </w:r>
      <w:r>
        <w:tab/>
      </w:r>
      <w:r>
        <w:fldChar w:fldCharType="begin"/>
      </w:r>
      <w:r>
        <w:instrText xml:space="preserve"> PAGEREF _Toc10120 \h </w:instrText>
      </w:r>
      <w:r>
        <w:fldChar w:fldCharType="separate"/>
      </w:r>
      <w:r>
        <w:t>143</w:t>
      </w:r>
      <w:r>
        <w:fldChar w:fldCharType="end"/>
      </w:r>
      <w:r>
        <w:rPr>
          <w:rFonts w:ascii="宋体" w:hAnsi="宋体" w:cstheme="minorHAnsi"/>
          <w:bCs/>
          <w:caps/>
          <w:szCs w:val="24"/>
          <w:highlight w:val="none"/>
        </w:rPr>
        <w:fldChar w:fldCharType="end"/>
      </w:r>
    </w:p>
    <w:p w14:paraId="6814DDBC">
      <w:pPr>
        <w:pStyle w:val="32"/>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_Toc24237 </w:instrText>
      </w:r>
      <w:r>
        <w:rPr>
          <w:rFonts w:ascii="宋体" w:hAnsi="宋体" w:cstheme="minorHAnsi"/>
          <w:bCs/>
          <w:caps/>
          <w:szCs w:val="24"/>
          <w:highlight w:val="none"/>
        </w:rPr>
        <w:fldChar w:fldCharType="separate"/>
      </w:r>
      <w:r>
        <w:rPr>
          <w:rFonts w:hint="default"/>
        </w:rPr>
        <w:t xml:space="preserve">7. </w:t>
      </w:r>
      <w:r>
        <w:rPr>
          <w:rFonts w:hint="eastAsia"/>
          <w:highlight w:val="none"/>
        </w:rPr>
        <w:t>施工管理及作业人员配备和分工</w:t>
      </w:r>
      <w:r>
        <w:tab/>
      </w:r>
      <w:r>
        <w:fldChar w:fldCharType="begin"/>
      </w:r>
      <w:r>
        <w:instrText xml:space="preserve"> PAGEREF _Toc24237 \h </w:instrText>
      </w:r>
      <w:r>
        <w:fldChar w:fldCharType="separate"/>
      </w:r>
      <w:r>
        <w:t>145</w:t>
      </w:r>
      <w:r>
        <w:fldChar w:fldCharType="end"/>
      </w:r>
      <w:r>
        <w:rPr>
          <w:rFonts w:ascii="宋体" w:hAnsi="宋体" w:cstheme="minorHAnsi"/>
          <w:bCs/>
          <w:caps/>
          <w:szCs w:val="24"/>
          <w:highlight w:val="none"/>
        </w:rPr>
        <w:fldChar w:fldCharType="end"/>
      </w:r>
    </w:p>
    <w:p w14:paraId="152725A8">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_Toc10179 </w:instrText>
      </w:r>
      <w:r>
        <w:rPr>
          <w:rFonts w:ascii="宋体" w:hAnsi="宋体" w:cstheme="minorHAnsi"/>
          <w:bCs/>
          <w:caps/>
          <w:szCs w:val="24"/>
          <w:highlight w:val="none"/>
        </w:rPr>
        <w:fldChar w:fldCharType="separate"/>
      </w:r>
      <w:r>
        <w:rPr>
          <w:rFonts w:hint="default"/>
        </w:rPr>
        <w:t xml:space="preserve">7.1. </w:t>
      </w:r>
      <w:r>
        <w:rPr>
          <w:highlight w:val="none"/>
        </w:rPr>
        <w:t>施工管理人员配备和分工</w:t>
      </w:r>
      <w:r>
        <w:tab/>
      </w:r>
      <w:r>
        <w:fldChar w:fldCharType="begin"/>
      </w:r>
      <w:r>
        <w:instrText xml:space="preserve"> PAGEREF _Toc10179 \h </w:instrText>
      </w:r>
      <w:r>
        <w:fldChar w:fldCharType="separate"/>
      </w:r>
      <w:r>
        <w:t>145</w:t>
      </w:r>
      <w:r>
        <w:fldChar w:fldCharType="end"/>
      </w:r>
      <w:r>
        <w:rPr>
          <w:rFonts w:ascii="宋体" w:hAnsi="宋体" w:cstheme="minorHAnsi"/>
          <w:bCs/>
          <w:caps/>
          <w:szCs w:val="24"/>
          <w:highlight w:val="none"/>
        </w:rPr>
        <w:fldChar w:fldCharType="end"/>
      </w:r>
    </w:p>
    <w:p w14:paraId="7F957503">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_Toc6369 </w:instrText>
      </w:r>
      <w:r>
        <w:rPr>
          <w:rFonts w:ascii="宋体" w:hAnsi="宋体" w:cstheme="minorHAnsi"/>
          <w:bCs/>
          <w:caps/>
          <w:szCs w:val="24"/>
          <w:highlight w:val="none"/>
        </w:rPr>
        <w:fldChar w:fldCharType="separate"/>
      </w:r>
      <w:r>
        <w:rPr>
          <w:rFonts w:hint="default"/>
        </w:rPr>
        <w:t xml:space="preserve">7.2. </w:t>
      </w:r>
      <w:r>
        <w:rPr>
          <w:highlight w:val="none"/>
        </w:rPr>
        <w:t>专职安全生产管理人员配备和分工</w:t>
      </w:r>
      <w:r>
        <w:tab/>
      </w:r>
      <w:r>
        <w:fldChar w:fldCharType="begin"/>
      </w:r>
      <w:r>
        <w:instrText xml:space="preserve"> PAGEREF _Toc6369 \h </w:instrText>
      </w:r>
      <w:r>
        <w:fldChar w:fldCharType="separate"/>
      </w:r>
      <w:r>
        <w:t>145</w:t>
      </w:r>
      <w:r>
        <w:fldChar w:fldCharType="end"/>
      </w:r>
      <w:r>
        <w:rPr>
          <w:rFonts w:ascii="宋体" w:hAnsi="宋体" w:cstheme="minorHAnsi"/>
          <w:bCs/>
          <w:caps/>
          <w:szCs w:val="24"/>
          <w:highlight w:val="none"/>
        </w:rPr>
        <w:fldChar w:fldCharType="end"/>
      </w:r>
    </w:p>
    <w:p w14:paraId="668AED31">
      <w:pPr>
        <w:pStyle w:val="32"/>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_Toc22678 </w:instrText>
      </w:r>
      <w:r>
        <w:rPr>
          <w:rFonts w:ascii="宋体" w:hAnsi="宋体" w:cstheme="minorHAnsi"/>
          <w:bCs/>
          <w:caps/>
          <w:szCs w:val="24"/>
          <w:highlight w:val="none"/>
        </w:rPr>
        <w:fldChar w:fldCharType="separate"/>
      </w:r>
      <w:r>
        <w:rPr>
          <w:rFonts w:hint="default"/>
        </w:rPr>
        <w:t xml:space="preserve">8. </w:t>
      </w:r>
      <w:r>
        <w:rPr>
          <w:rFonts w:hint="eastAsia"/>
          <w:highlight w:val="none"/>
        </w:rPr>
        <w:t>验收要求</w:t>
      </w:r>
      <w:r>
        <w:tab/>
      </w:r>
      <w:r>
        <w:fldChar w:fldCharType="begin"/>
      </w:r>
      <w:r>
        <w:instrText xml:space="preserve"> PAGEREF _Toc22678 \h </w:instrText>
      </w:r>
      <w:r>
        <w:fldChar w:fldCharType="separate"/>
      </w:r>
      <w:r>
        <w:t>147</w:t>
      </w:r>
      <w:r>
        <w:fldChar w:fldCharType="end"/>
      </w:r>
      <w:r>
        <w:rPr>
          <w:rFonts w:ascii="宋体" w:hAnsi="宋体" w:cstheme="minorHAnsi"/>
          <w:bCs/>
          <w:caps/>
          <w:szCs w:val="24"/>
          <w:highlight w:val="none"/>
        </w:rPr>
        <w:fldChar w:fldCharType="end"/>
      </w:r>
    </w:p>
    <w:p w14:paraId="4FCA0E8B">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_Toc14265 </w:instrText>
      </w:r>
      <w:r>
        <w:rPr>
          <w:rFonts w:ascii="宋体" w:hAnsi="宋体" w:cstheme="minorHAnsi"/>
          <w:bCs/>
          <w:caps/>
          <w:szCs w:val="24"/>
          <w:highlight w:val="none"/>
        </w:rPr>
        <w:fldChar w:fldCharType="separate"/>
      </w:r>
      <w:r>
        <w:rPr>
          <w:rFonts w:hint="default"/>
        </w:rPr>
        <w:t xml:space="preserve">8.1. </w:t>
      </w:r>
      <w:r>
        <w:rPr>
          <w:rFonts w:hint="eastAsia"/>
          <w:highlight w:val="none"/>
        </w:rPr>
        <w:t>验收标准</w:t>
      </w:r>
      <w:r>
        <w:tab/>
      </w:r>
      <w:r>
        <w:fldChar w:fldCharType="begin"/>
      </w:r>
      <w:r>
        <w:instrText xml:space="preserve"> PAGEREF _Toc14265 \h </w:instrText>
      </w:r>
      <w:r>
        <w:fldChar w:fldCharType="separate"/>
      </w:r>
      <w:r>
        <w:t>147</w:t>
      </w:r>
      <w:r>
        <w:fldChar w:fldCharType="end"/>
      </w:r>
      <w:r>
        <w:rPr>
          <w:rFonts w:ascii="宋体" w:hAnsi="宋体" w:cstheme="minorHAnsi"/>
          <w:bCs/>
          <w:caps/>
          <w:szCs w:val="24"/>
          <w:highlight w:val="none"/>
        </w:rPr>
        <w:fldChar w:fldCharType="end"/>
      </w:r>
    </w:p>
    <w:p w14:paraId="3BB48291">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_Toc31034 </w:instrText>
      </w:r>
      <w:r>
        <w:rPr>
          <w:rFonts w:ascii="宋体" w:hAnsi="宋体" w:cstheme="minorHAnsi"/>
          <w:bCs/>
          <w:caps/>
          <w:szCs w:val="24"/>
          <w:highlight w:val="none"/>
        </w:rPr>
        <w:fldChar w:fldCharType="separate"/>
      </w:r>
      <w:r>
        <w:rPr>
          <w:rFonts w:hint="default"/>
        </w:rPr>
        <w:t xml:space="preserve">8.2. </w:t>
      </w:r>
      <w:r>
        <w:rPr>
          <w:rFonts w:hint="eastAsia"/>
          <w:highlight w:val="none"/>
        </w:rPr>
        <w:t>验收程序和使用登记备案程序</w:t>
      </w:r>
      <w:r>
        <w:tab/>
      </w:r>
      <w:r>
        <w:fldChar w:fldCharType="begin"/>
      </w:r>
      <w:r>
        <w:instrText xml:space="preserve"> PAGEREF _Toc31034 \h </w:instrText>
      </w:r>
      <w:r>
        <w:fldChar w:fldCharType="separate"/>
      </w:r>
      <w:r>
        <w:t>147</w:t>
      </w:r>
      <w:r>
        <w:fldChar w:fldCharType="end"/>
      </w:r>
      <w:r>
        <w:rPr>
          <w:rFonts w:ascii="宋体" w:hAnsi="宋体" w:cstheme="minorHAnsi"/>
          <w:bCs/>
          <w:caps/>
          <w:szCs w:val="24"/>
          <w:highlight w:val="none"/>
        </w:rPr>
        <w:fldChar w:fldCharType="end"/>
      </w:r>
    </w:p>
    <w:p w14:paraId="415FBA62">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_Toc10990 </w:instrText>
      </w:r>
      <w:r>
        <w:rPr>
          <w:rFonts w:ascii="宋体" w:hAnsi="宋体" w:cstheme="minorHAnsi"/>
          <w:bCs/>
          <w:caps/>
          <w:szCs w:val="24"/>
          <w:highlight w:val="none"/>
        </w:rPr>
        <w:fldChar w:fldCharType="separate"/>
      </w:r>
      <w:r>
        <w:rPr>
          <w:rFonts w:hint="default"/>
        </w:rPr>
        <w:t xml:space="preserve">8.3. </w:t>
      </w:r>
      <w:r>
        <w:rPr>
          <w:rFonts w:hint="eastAsia"/>
          <w:highlight w:val="none"/>
        </w:rPr>
        <w:t>验收内容</w:t>
      </w:r>
      <w:r>
        <w:tab/>
      </w:r>
      <w:r>
        <w:fldChar w:fldCharType="begin"/>
      </w:r>
      <w:r>
        <w:instrText xml:space="preserve"> PAGEREF _Toc10990 \h </w:instrText>
      </w:r>
      <w:r>
        <w:fldChar w:fldCharType="separate"/>
      </w:r>
      <w:r>
        <w:t>148</w:t>
      </w:r>
      <w:r>
        <w:fldChar w:fldCharType="end"/>
      </w:r>
      <w:r>
        <w:rPr>
          <w:rFonts w:ascii="宋体" w:hAnsi="宋体" w:cstheme="minorHAnsi"/>
          <w:bCs/>
          <w:caps/>
          <w:szCs w:val="24"/>
          <w:highlight w:val="none"/>
        </w:rPr>
        <w:fldChar w:fldCharType="end"/>
      </w:r>
    </w:p>
    <w:p w14:paraId="5D7BC10B">
      <w:pPr>
        <w:pStyle w:val="32"/>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_Toc14937 </w:instrText>
      </w:r>
      <w:r>
        <w:rPr>
          <w:rFonts w:ascii="宋体" w:hAnsi="宋体" w:cstheme="minorHAnsi"/>
          <w:bCs/>
          <w:caps/>
          <w:szCs w:val="24"/>
          <w:highlight w:val="none"/>
        </w:rPr>
        <w:fldChar w:fldCharType="separate"/>
      </w:r>
      <w:r>
        <w:rPr>
          <w:rFonts w:hint="default"/>
        </w:rPr>
        <w:t xml:space="preserve">9. </w:t>
      </w:r>
      <w:r>
        <w:rPr>
          <w:rFonts w:hint="eastAsia"/>
          <w:highlight w:val="none"/>
        </w:rPr>
        <w:t>应急处置措施</w:t>
      </w:r>
      <w:r>
        <w:tab/>
      </w:r>
      <w:r>
        <w:fldChar w:fldCharType="begin"/>
      </w:r>
      <w:r>
        <w:instrText xml:space="preserve"> PAGEREF _Toc14937 \h </w:instrText>
      </w:r>
      <w:r>
        <w:fldChar w:fldCharType="separate"/>
      </w:r>
      <w:r>
        <w:t>154</w:t>
      </w:r>
      <w:r>
        <w:fldChar w:fldCharType="end"/>
      </w:r>
      <w:r>
        <w:rPr>
          <w:rFonts w:ascii="宋体" w:hAnsi="宋体" w:cstheme="minorHAnsi"/>
          <w:bCs/>
          <w:caps/>
          <w:szCs w:val="24"/>
          <w:highlight w:val="none"/>
        </w:rPr>
        <w:fldChar w:fldCharType="end"/>
      </w:r>
    </w:p>
    <w:p w14:paraId="7CFE4EA9">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_Toc18673 </w:instrText>
      </w:r>
      <w:r>
        <w:rPr>
          <w:rFonts w:ascii="宋体" w:hAnsi="宋体" w:cstheme="minorHAnsi"/>
          <w:bCs/>
          <w:caps/>
          <w:szCs w:val="24"/>
          <w:highlight w:val="none"/>
        </w:rPr>
        <w:fldChar w:fldCharType="separate"/>
      </w:r>
      <w:r>
        <w:rPr>
          <w:rFonts w:hint="default"/>
        </w:rPr>
        <w:t xml:space="preserve">9.1. </w:t>
      </w:r>
      <w:r>
        <w:rPr>
          <w:rFonts w:hint="eastAsia"/>
          <w:highlight w:val="none"/>
        </w:rPr>
        <w:t>组织机构</w:t>
      </w:r>
      <w:r>
        <w:tab/>
      </w:r>
      <w:r>
        <w:fldChar w:fldCharType="begin"/>
      </w:r>
      <w:r>
        <w:instrText xml:space="preserve"> PAGEREF _Toc18673 \h </w:instrText>
      </w:r>
      <w:r>
        <w:fldChar w:fldCharType="separate"/>
      </w:r>
      <w:r>
        <w:t>154</w:t>
      </w:r>
      <w:r>
        <w:fldChar w:fldCharType="end"/>
      </w:r>
      <w:r>
        <w:rPr>
          <w:rFonts w:ascii="宋体" w:hAnsi="宋体" w:cstheme="minorHAnsi"/>
          <w:bCs/>
          <w:caps/>
          <w:szCs w:val="24"/>
          <w:highlight w:val="none"/>
        </w:rPr>
        <w:fldChar w:fldCharType="end"/>
      </w:r>
    </w:p>
    <w:p w14:paraId="56ECC156">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_Toc10063 </w:instrText>
      </w:r>
      <w:r>
        <w:rPr>
          <w:rFonts w:ascii="宋体" w:hAnsi="宋体" w:cstheme="minorHAnsi"/>
          <w:bCs/>
          <w:caps/>
          <w:szCs w:val="24"/>
          <w:highlight w:val="none"/>
        </w:rPr>
        <w:fldChar w:fldCharType="separate"/>
      </w:r>
      <w:r>
        <w:rPr>
          <w:rFonts w:hint="default"/>
        </w:rPr>
        <w:t xml:space="preserve">9.2. </w:t>
      </w:r>
      <w:r>
        <w:rPr>
          <w:rFonts w:hint="eastAsia"/>
          <w:highlight w:val="none"/>
        </w:rPr>
        <w:t>应急处置措施</w:t>
      </w:r>
      <w:r>
        <w:tab/>
      </w:r>
      <w:r>
        <w:fldChar w:fldCharType="begin"/>
      </w:r>
      <w:r>
        <w:instrText xml:space="preserve"> PAGEREF _Toc10063 \h </w:instrText>
      </w:r>
      <w:r>
        <w:fldChar w:fldCharType="separate"/>
      </w:r>
      <w:r>
        <w:t>156</w:t>
      </w:r>
      <w:r>
        <w:fldChar w:fldCharType="end"/>
      </w:r>
      <w:r>
        <w:rPr>
          <w:rFonts w:ascii="宋体" w:hAnsi="宋体" w:cstheme="minorHAnsi"/>
          <w:bCs/>
          <w:caps/>
          <w:szCs w:val="24"/>
          <w:highlight w:val="none"/>
        </w:rPr>
        <w:fldChar w:fldCharType="end"/>
      </w:r>
    </w:p>
    <w:p w14:paraId="3E95F0CA">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_Toc27571 </w:instrText>
      </w:r>
      <w:r>
        <w:rPr>
          <w:rFonts w:ascii="宋体" w:hAnsi="宋体" w:cstheme="minorHAnsi"/>
          <w:bCs/>
          <w:caps/>
          <w:szCs w:val="24"/>
          <w:highlight w:val="none"/>
        </w:rPr>
        <w:fldChar w:fldCharType="separate"/>
      </w:r>
      <w:r>
        <w:rPr>
          <w:rFonts w:hint="default"/>
        </w:rPr>
        <w:t xml:space="preserve">9.3. </w:t>
      </w:r>
      <w:r>
        <w:rPr>
          <w:rFonts w:hint="eastAsia"/>
          <w:highlight w:val="none"/>
        </w:rPr>
        <w:t>应急车辆、物资及设备</w:t>
      </w:r>
      <w:r>
        <w:tab/>
      </w:r>
      <w:r>
        <w:fldChar w:fldCharType="begin"/>
      </w:r>
      <w:r>
        <w:instrText xml:space="preserve"> PAGEREF _Toc27571 \h </w:instrText>
      </w:r>
      <w:r>
        <w:fldChar w:fldCharType="separate"/>
      </w:r>
      <w:r>
        <w:t>162</w:t>
      </w:r>
      <w:r>
        <w:fldChar w:fldCharType="end"/>
      </w:r>
      <w:r>
        <w:rPr>
          <w:rFonts w:ascii="宋体" w:hAnsi="宋体" w:cstheme="minorHAnsi"/>
          <w:bCs/>
          <w:caps/>
          <w:szCs w:val="24"/>
          <w:highlight w:val="none"/>
        </w:rPr>
        <w:fldChar w:fldCharType="end"/>
      </w:r>
    </w:p>
    <w:p w14:paraId="25F742F7">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_Toc17987 </w:instrText>
      </w:r>
      <w:r>
        <w:rPr>
          <w:rFonts w:ascii="宋体" w:hAnsi="宋体" w:cstheme="minorHAnsi"/>
          <w:bCs/>
          <w:caps/>
          <w:szCs w:val="24"/>
          <w:highlight w:val="none"/>
        </w:rPr>
        <w:fldChar w:fldCharType="separate"/>
      </w:r>
      <w:r>
        <w:rPr>
          <w:rFonts w:hint="default"/>
        </w:rPr>
        <w:t xml:space="preserve">9.4. </w:t>
      </w:r>
      <w:r>
        <w:rPr>
          <w:rFonts w:hint="eastAsia"/>
          <w:highlight w:val="none"/>
        </w:rPr>
        <w:t>应急医院及线路图</w:t>
      </w:r>
      <w:r>
        <w:tab/>
      </w:r>
      <w:r>
        <w:fldChar w:fldCharType="begin"/>
      </w:r>
      <w:r>
        <w:instrText xml:space="preserve"> PAGEREF _Toc17987 \h </w:instrText>
      </w:r>
      <w:r>
        <w:fldChar w:fldCharType="separate"/>
      </w:r>
      <w:r>
        <w:t>163</w:t>
      </w:r>
      <w:r>
        <w:fldChar w:fldCharType="end"/>
      </w:r>
      <w:r>
        <w:rPr>
          <w:rFonts w:ascii="宋体" w:hAnsi="宋体" w:cstheme="minorHAnsi"/>
          <w:bCs/>
          <w:caps/>
          <w:szCs w:val="24"/>
          <w:highlight w:val="none"/>
        </w:rPr>
        <w:fldChar w:fldCharType="end"/>
      </w:r>
    </w:p>
    <w:p w14:paraId="7C1BE2E3">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_Toc11469 </w:instrText>
      </w:r>
      <w:r>
        <w:rPr>
          <w:rFonts w:ascii="宋体" w:hAnsi="宋体" w:cstheme="minorHAnsi"/>
          <w:bCs/>
          <w:caps/>
          <w:szCs w:val="24"/>
          <w:highlight w:val="none"/>
        </w:rPr>
        <w:fldChar w:fldCharType="separate"/>
      </w:r>
      <w:r>
        <w:rPr>
          <w:rFonts w:hint="default"/>
        </w:rPr>
        <w:t xml:space="preserve">9.5. </w:t>
      </w:r>
      <w:r>
        <w:rPr>
          <w:rFonts w:hint="eastAsia"/>
          <w:highlight w:val="none"/>
        </w:rPr>
        <w:t>事故善后及恢复生产</w:t>
      </w:r>
      <w:r>
        <w:tab/>
      </w:r>
      <w:r>
        <w:fldChar w:fldCharType="begin"/>
      </w:r>
      <w:r>
        <w:instrText xml:space="preserve"> PAGEREF _Toc11469 \h </w:instrText>
      </w:r>
      <w:r>
        <w:fldChar w:fldCharType="separate"/>
      </w:r>
      <w:r>
        <w:t>163</w:t>
      </w:r>
      <w:r>
        <w:fldChar w:fldCharType="end"/>
      </w:r>
      <w:r>
        <w:rPr>
          <w:rFonts w:ascii="宋体" w:hAnsi="宋体" w:cstheme="minorHAnsi"/>
          <w:bCs/>
          <w:caps/>
          <w:szCs w:val="24"/>
          <w:highlight w:val="none"/>
        </w:rPr>
        <w:fldChar w:fldCharType="end"/>
      </w:r>
    </w:p>
    <w:p w14:paraId="3A3BE9A1">
      <w:pPr>
        <w:pStyle w:val="32"/>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_Toc3632 </w:instrText>
      </w:r>
      <w:r>
        <w:rPr>
          <w:rFonts w:ascii="宋体" w:hAnsi="宋体" w:cstheme="minorHAnsi"/>
          <w:bCs/>
          <w:caps/>
          <w:szCs w:val="24"/>
          <w:highlight w:val="none"/>
        </w:rPr>
        <w:fldChar w:fldCharType="separate"/>
      </w:r>
      <w:r>
        <w:rPr>
          <w:rFonts w:hint="default"/>
        </w:rPr>
        <w:t xml:space="preserve">10. </w:t>
      </w:r>
      <w:r>
        <w:rPr>
          <w:rFonts w:hint="eastAsia"/>
          <w:highlight w:val="none"/>
        </w:rPr>
        <w:t>绿色及文明施工</w:t>
      </w:r>
      <w:r>
        <w:tab/>
      </w:r>
      <w:r>
        <w:fldChar w:fldCharType="begin"/>
      </w:r>
      <w:r>
        <w:instrText xml:space="preserve"> PAGEREF _Toc3632 \h </w:instrText>
      </w:r>
      <w:r>
        <w:fldChar w:fldCharType="separate"/>
      </w:r>
      <w:r>
        <w:t>165</w:t>
      </w:r>
      <w:r>
        <w:fldChar w:fldCharType="end"/>
      </w:r>
      <w:r>
        <w:rPr>
          <w:rFonts w:ascii="宋体" w:hAnsi="宋体" w:cstheme="minorHAnsi"/>
          <w:bCs/>
          <w:caps/>
          <w:szCs w:val="24"/>
          <w:highlight w:val="none"/>
        </w:rPr>
        <w:fldChar w:fldCharType="end"/>
      </w:r>
    </w:p>
    <w:p w14:paraId="500632EC">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_Toc1009 </w:instrText>
      </w:r>
      <w:r>
        <w:rPr>
          <w:rFonts w:ascii="宋体" w:hAnsi="宋体" w:cstheme="minorHAnsi"/>
          <w:bCs/>
          <w:caps/>
          <w:szCs w:val="24"/>
          <w:highlight w:val="none"/>
        </w:rPr>
        <w:fldChar w:fldCharType="separate"/>
      </w:r>
      <w:r>
        <w:rPr>
          <w:rFonts w:hint="default"/>
        </w:rPr>
        <w:t xml:space="preserve">10.1. </w:t>
      </w:r>
      <w:r>
        <w:rPr>
          <w:highlight w:val="none"/>
        </w:rPr>
        <w:t>组织</w:t>
      </w:r>
      <w:r>
        <w:rPr>
          <w:rFonts w:hint="eastAsia"/>
          <w:highlight w:val="none"/>
        </w:rPr>
        <w:t>管理</w:t>
      </w:r>
      <w:r>
        <w:rPr>
          <w:highlight w:val="none"/>
        </w:rPr>
        <w:t>机构</w:t>
      </w:r>
      <w:r>
        <w:tab/>
      </w:r>
      <w:r>
        <w:fldChar w:fldCharType="begin"/>
      </w:r>
      <w:r>
        <w:instrText xml:space="preserve"> PAGEREF _Toc1009 \h </w:instrText>
      </w:r>
      <w:r>
        <w:fldChar w:fldCharType="separate"/>
      </w:r>
      <w:r>
        <w:t>165</w:t>
      </w:r>
      <w:r>
        <w:fldChar w:fldCharType="end"/>
      </w:r>
      <w:r>
        <w:rPr>
          <w:rFonts w:ascii="宋体" w:hAnsi="宋体" w:cstheme="minorHAnsi"/>
          <w:bCs/>
          <w:caps/>
          <w:szCs w:val="24"/>
          <w:highlight w:val="none"/>
        </w:rPr>
        <w:fldChar w:fldCharType="end"/>
      </w:r>
    </w:p>
    <w:p w14:paraId="5BE3566B">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_Toc2588 </w:instrText>
      </w:r>
      <w:r>
        <w:rPr>
          <w:rFonts w:ascii="宋体" w:hAnsi="宋体" w:cstheme="minorHAnsi"/>
          <w:bCs/>
          <w:caps/>
          <w:szCs w:val="24"/>
          <w:highlight w:val="none"/>
        </w:rPr>
        <w:fldChar w:fldCharType="separate"/>
      </w:r>
      <w:r>
        <w:rPr>
          <w:rFonts w:hint="default"/>
        </w:rPr>
        <w:t xml:space="preserve">10.2. </w:t>
      </w:r>
      <w:r>
        <w:rPr>
          <w:highlight w:val="none"/>
        </w:rPr>
        <w:t>绿色及文明施工保证体系</w:t>
      </w:r>
      <w:r>
        <w:tab/>
      </w:r>
      <w:r>
        <w:fldChar w:fldCharType="begin"/>
      </w:r>
      <w:r>
        <w:instrText xml:space="preserve"> PAGEREF _Toc2588 \h </w:instrText>
      </w:r>
      <w:r>
        <w:fldChar w:fldCharType="separate"/>
      </w:r>
      <w:r>
        <w:t>165</w:t>
      </w:r>
      <w:r>
        <w:fldChar w:fldCharType="end"/>
      </w:r>
      <w:r>
        <w:rPr>
          <w:rFonts w:ascii="宋体" w:hAnsi="宋体" w:cstheme="minorHAnsi"/>
          <w:bCs/>
          <w:caps/>
          <w:szCs w:val="24"/>
          <w:highlight w:val="none"/>
        </w:rPr>
        <w:fldChar w:fldCharType="end"/>
      </w:r>
    </w:p>
    <w:p w14:paraId="3D7FB95A">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_Toc25028 </w:instrText>
      </w:r>
      <w:r>
        <w:rPr>
          <w:rFonts w:ascii="宋体" w:hAnsi="宋体" w:cstheme="minorHAnsi"/>
          <w:bCs/>
          <w:caps/>
          <w:szCs w:val="24"/>
          <w:highlight w:val="none"/>
        </w:rPr>
        <w:fldChar w:fldCharType="separate"/>
      </w:r>
      <w:r>
        <w:rPr>
          <w:rFonts w:hint="default"/>
        </w:rPr>
        <w:t xml:space="preserve">10.3. </w:t>
      </w:r>
      <w:r>
        <w:rPr>
          <w:rFonts w:hint="eastAsia"/>
          <w:highlight w:val="none"/>
        </w:rPr>
        <w:t>绿色施工保证措施</w:t>
      </w:r>
      <w:r>
        <w:tab/>
      </w:r>
      <w:r>
        <w:fldChar w:fldCharType="begin"/>
      </w:r>
      <w:r>
        <w:instrText xml:space="preserve"> PAGEREF _Toc25028 \h </w:instrText>
      </w:r>
      <w:r>
        <w:fldChar w:fldCharType="separate"/>
      </w:r>
      <w:r>
        <w:t>166</w:t>
      </w:r>
      <w:r>
        <w:fldChar w:fldCharType="end"/>
      </w:r>
      <w:r>
        <w:rPr>
          <w:rFonts w:ascii="宋体" w:hAnsi="宋体" w:cstheme="minorHAnsi"/>
          <w:bCs/>
          <w:caps/>
          <w:szCs w:val="24"/>
          <w:highlight w:val="none"/>
        </w:rPr>
        <w:fldChar w:fldCharType="end"/>
      </w:r>
    </w:p>
    <w:p w14:paraId="20EAFCE1">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_Toc31493 </w:instrText>
      </w:r>
      <w:r>
        <w:rPr>
          <w:rFonts w:ascii="宋体" w:hAnsi="宋体" w:cstheme="minorHAnsi"/>
          <w:bCs/>
          <w:caps/>
          <w:szCs w:val="24"/>
          <w:highlight w:val="none"/>
        </w:rPr>
        <w:fldChar w:fldCharType="separate"/>
      </w:r>
      <w:r>
        <w:rPr>
          <w:rFonts w:hint="default"/>
        </w:rPr>
        <w:t xml:space="preserve">10.4. </w:t>
      </w:r>
      <w:r>
        <w:rPr>
          <w:highlight w:val="none"/>
        </w:rPr>
        <w:t>文明施工</w:t>
      </w:r>
      <w:r>
        <w:rPr>
          <w:rFonts w:hint="eastAsia"/>
          <w:highlight w:val="none"/>
        </w:rPr>
        <w:t>保证措施</w:t>
      </w:r>
      <w:r>
        <w:tab/>
      </w:r>
      <w:r>
        <w:fldChar w:fldCharType="begin"/>
      </w:r>
      <w:r>
        <w:instrText xml:space="preserve"> PAGEREF _Toc31493 \h </w:instrText>
      </w:r>
      <w:r>
        <w:fldChar w:fldCharType="separate"/>
      </w:r>
      <w:r>
        <w:t>168</w:t>
      </w:r>
      <w:r>
        <w:fldChar w:fldCharType="end"/>
      </w:r>
      <w:r>
        <w:rPr>
          <w:rFonts w:ascii="宋体" w:hAnsi="宋体" w:cstheme="minorHAnsi"/>
          <w:bCs/>
          <w:caps/>
          <w:szCs w:val="24"/>
          <w:highlight w:val="none"/>
        </w:rPr>
        <w:fldChar w:fldCharType="end"/>
      </w:r>
    </w:p>
    <w:p w14:paraId="3BC874CA">
      <w:pPr>
        <w:pStyle w:val="32"/>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_Toc29322 </w:instrText>
      </w:r>
      <w:r>
        <w:rPr>
          <w:rFonts w:ascii="宋体" w:hAnsi="宋体" w:cstheme="minorHAnsi"/>
          <w:bCs/>
          <w:caps/>
          <w:szCs w:val="24"/>
          <w:highlight w:val="none"/>
        </w:rPr>
        <w:fldChar w:fldCharType="separate"/>
      </w:r>
      <w:r>
        <w:rPr>
          <w:rFonts w:hint="default"/>
        </w:rPr>
        <w:t xml:space="preserve">11. </w:t>
      </w:r>
      <w:r>
        <w:rPr>
          <w:rFonts w:hint="eastAsia"/>
          <w:highlight w:val="none"/>
          <w:lang w:val="en-US" w:eastAsia="zh-CN"/>
        </w:rPr>
        <w:t>吊装及吊索选型</w:t>
      </w:r>
      <w:r>
        <w:rPr>
          <w:rFonts w:hint="eastAsia"/>
          <w:highlight w:val="none"/>
        </w:rPr>
        <w:t>计算书</w:t>
      </w:r>
      <w:r>
        <w:tab/>
      </w:r>
      <w:r>
        <w:fldChar w:fldCharType="begin"/>
      </w:r>
      <w:r>
        <w:instrText xml:space="preserve"> PAGEREF _Toc29322 \h </w:instrText>
      </w:r>
      <w:r>
        <w:fldChar w:fldCharType="separate"/>
      </w:r>
      <w:r>
        <w:t>172</w:t>
      </w:r>
      <w:r>
        <w:fldChar w:fldCharType="end"/>
      </w:r>
      <w:r>
        <w:rPr>
          <w:rFonts w:ascii="宋体" w:hAnsi="宋体" w:cstheme="minorHAnsi"/>
          <w:bCs/>
          <w:caps/>
          <w:szCs w:val="24"/>
          <w:highlight w:val="none"/>
        </w:rPr>
        <w:fldChar w:fldCharType="end"/>
      </w:r>
    </w:p>
    <w:p w14:paraId="3969AB4B">
      <w:pPr>
        <w:pStyle w:val="37"/>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_Toc5716 </w:instrText>
      </w:r>
      <w:r>
        <w:rPr>
          <w:rFonts w:ascii="宋体" w:hAnsi="宋体" w:cstheme="minorHAnsi"/>
          <w:bCs/>
          <w:caps/>
          <w:szCs w:val="24"/>
          <w:highlight w:val="none"/>
        </w:rPr>
        <w:fldChar w:fldCharType="separate"/>
      </w:r>
      <w:r>
        <w:rPr>
          <w:rFonts w:hint="default"/>
        </w:rPr>
        <w:t xml:space="preserve">11.1. </w:t>
      </w:r>
      <w:r>
        <w:rPr>
          <w:rFonts w:hint="eastAsia"/>
          <w:highlight w:val="none"/>
        </w:rPr>
        <w:t>选用的吊索受力计算</w:t>
      </w:r>
      <w:r>
        <w:tab/>
      </w:r>
      <w:r>
        <w:fldChar w:fldCharType="begin"/>
      </w:r>
      <w:r>
        <w:instrText xml:space="preserve"> PAGEREF _Toc5716 \h </w:instrText>
      </w:r>
      <w:r>
        <w:fldChar w:fldCharType="separate"/>
      </w:r>
      <w:r>
        <w:t>172</w:t>
      </w:r>
      <w:r>
        <w:fldChar w:fldCharType="end"/>
      </w:r>
      <w:r>
        <w:rPr>
          <w:rFonts w:ascii="宋体" w:hAnsi="宋体" w:cstheme="minorHAnsi"/>
          <w:bCs/>
          <w:caps/>
          <w:szCs w:val="24"/>
          <w:highlight w:val="none"/>
        </w:rPr>
        <w:fldChar w:fldCharType="end"/>
      </w:r>
    </w:p>
    <w:p w14:paraId="38B524B3">
      <w:pPr>
        <w:pStyle w:val="32"/>
        <w:tabs>
          <w:tab w:val="right" w:leader="dot" w:pos="9070"/>
        </w:tabs>
      </w:pPr>
      <w:r>
        <w:rPr>
          <w:rFonts w:ascii="宋体" w:hAnsi="宋体" w:cstheme="minorHAnsi"/>
          <w:bCs/>
          <w:caps/>
          <w:szCs w:val="24"/>
          <w:highlight w:val="none"/>
        </w:rPr>
        <w:fldChar w:fldCharType="begin"/>
      </w:r>
      <w:r>
        <w:rPr>
          <w:rFonts w:ascii="宋体" w:hAnsi="宋体" w:cstheme="minorHAnsi"/>
          <w:bCs/>
          <w:caps/>
          <w:szCs w:val="24"/>
          <w:highlight w:val="none"/>
        </w:rPr>
        <w:instrText xml:space="preserve"> HYPERLINK \l _Toc20310 </w:instrText>
      </w:r>
      <w:r>
        <w:rPr>
          <w:rFonts w:ascii="宋体" w:hAnsi="宋体" w:cstheme="minorHAnsi"/>
          <w:bCs/>
          <w:caps/>
          <w:szCs w:val="24"/>
          <w:highlight w:val="none"/>
        </w:rPr>
        <w:fldChar w:fldCharType="separate"/>
      </w:r>
      <w:r>
        <w:rPr>
          <w:rFonts w:hint="default"/>
        </w:rPr>
        <w:t xml:space="preserve">12. </w:t>
      </w:r>
      <w:r>
        <w:rPr>
          <w:rFonts w:hint="eastAsia"/>
          <w:highlight w:val="none"/>
        </w:rPr>
        <w:t>附件</w:t>
      </w:r>
      <w:r>
        <w:tab/>
      </w:r>
      <w:r>
        <w:fldChar w:fldCharType="begin"/>
      </w:r>
      <w:r>
        <w:instrText xml:space="preserve"> PAGEREF _Toc20310 \h </w:instrText>
      </w:r>
      <w:r>
        <w:fldChar w:fldCharType="separate"/>
      </w:r>
      <w:r>
        <w:t>182</w:t>
      </w:r>
      <w:r>
        <w:fldChar w:fldCharType="end"/>
      </w:r>
      <w:r>
        <w:rPr>
          <w:rFonts w:ascii="宋体" w:hAnsi="宋体" w:cstheme="minorHAnsi"/>
          <w:bCs/>
          <w:caps/>
          <w:szCs w:val="24"/>
          <w:highlight w:val="none"/>
        </w:rPr>
        <w:fldChar w:fldCharType="end"/>
      </w:r>
    </w:p>
    <w:p w14:paraId="14A7E3CD">
      <w:pPr>
        <w:ind w:firstLine="480"/>
        <w:rPr>
          <w:rFonts w:ascii="宋体" w:hAnsi="宋体" w:cstheme="minorHAnsi"/>
          <w:bCs/>
          <w:caps/>
          <w:szCs w:val="24"/>
          <w:highlight w:val="none"/>
        </w:rPr>
        <w:sectPr>
          <w:pgSz w:w="11906" w:h="16838"/>
          <w:pgMar w:top="1418" w:right="1418" w:bottom="1134" w:left="1418" w:header="851" w:footer="992" w:gutter="0"/>
          <w:pgNumType w:start="1"/>
          <w:cols w:space="425" w:num="1"/>
          <w:docGrid w:type="lines" w:linePitch="326" w:charSpace="0"/>
        </w:sectPr>
      </w:pPr>
      <w:r>
        <w:rPr>
          <w:rFonts w:ascii="宋体" w:hAnsi="宋体" w:cstheme="minorHAnsi"/>
          <w:bCs/>
          <w:caps/>
          <w:szCs w:val="24"/>
          <w:highlight w:val="none"/>
        </w:rPr>
        <w:fldChar w:fldCharType="end"/>
      </w:r>
    </w:p>
    <w:bookmarkEnd w:id="0"/>
    <w:bookmarkEnd w:id="1"/>
    <w:bookmarkEnd w:id="2"/>
    <w:bookmarkEnd w:id="3"/>
    <w:bookmarkEnd w:id="4"/>
    <w:p w14:paraId="13BC6E37">
      <w:pPr>
        <w:pStyle w:val="3"/>
        <w:bidi w:val="0"/>
        <w:ind w:left="432" w:leftChars="0" w:hanging="432" w:firstLineChars="0"/>
        <w:rPr>
          <w:highlight w:val="none"/>
        </w:rPr>
      </w:pPr>
      <w:bookmarkStart w:id="5" w:name="_Toc8769"/>
      <w:r>
        <w:rPr>
          <w:rFonts w:hint="eastAsia"/>
          <w:highlight w:val="none"/>
        </w:rPr>
        <w:t>编制说明、依据及适用范围</w:t>
      </w:r>
      <w:bookmarkEnd w:id="5"/>
    </w:p>
    <w:p w14:paraId="0C080B99">
      <w:pPr>
        <w:pStyle w:val="4"/>
        <w:bidi w:val="0"/>
        <w:ind w:left="0" w:leftChars="0" w:firstLine="0" w:firstLineChars="0"/>
        <w:rPr>
          <w:highlight w:val="none"/>
        </w:rPr>
      </w:pPr>
      <w:bookmarkStart w:id="6" w:name="_Toc19060"/>
      <w:r>
        <w:rPr>
          <w:rFonts w:hint="eastAsia"/>
          <w:highlight w:val="none"/>
        </w:rPr>
        <w:t>编制说明</w:t>
      </w:r>
      <w:bookmarkEnd w:id="6"/>
    </w:p>
    <w:p w14:paraId="1952F537">
      <w:pPr>
        <w:ind w:firstLine="480"/>
        <w:rPr>
          <w:highlight w:val="none"/>
        </w:rPr>
      </w:pPr>
      <w:r>
        <w:rPr>
          <w:rFonts w:hint="eastAsia"/>
          <w:highlight w:val="none"/>
        </w:rPr>
        <w:t>厦门第三东通道工程项目A1标段西主塔需采用1台XGT360-20S1、1台XGT7026-12S1塔式起重机进行桥梁施工吊装作业，为认真、全面、系统地做好起重机的安装作业，确保过程质量和安全，合理安排施工工期，四川科斗文智能装备有限公司受项目部委托特编制本塔式起重机安拆专项施工方案。</w:t>
      </w:r>
    </w:p>
    <w:p w14:paraId="3044BDB9">
      <w:pPr>
        <w:pStyle w:val="4"/>
        <w:bidi w:val="0"/>
        <w:ind w:left="0" w:leftChars="0" w:firstLine="0" w:firstLineChars="0"/>
        <w:rPr>
          <w:highlight w:val="none"/>
        </w:rPr>
      </w:pPr>
      <w:bookmarkStart w:id="7" w:name="_Toc5664"/>
      <w:r>
        <w:rPr>
          <w:rFonts w:hint="eastAsia"/>
          <w:highlight w:val="none"/>
        </w:rPr>
        <w:t>编制依据</w:t>
      </w:r>
      <w:bookmarkEnd w:id="7"/>
    </w:p>
    <w:tbl>
      <w:tblPr>
        <w:tblStyle w:val="39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77"/>
        <w:gridCol w:w="2386"/>
        <w:gridCol w:w="4936"/>
        <w:gridCol w:w="1191"/>
      </w:tblGrid>
      <w:tr w14:paraId="7128BD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418" w:type="pct"/>
            <w:shd w:val="clear" w:color="auto" w:fill="auto"/>
            <w:vAlign w:val="center"/>
          </w:tcPr>
          <w:p w14:paraId="748DDDCF">
            <w:pPr>
              <w:pStyle w:val="53"/>
              <w:rPr>
                <w:b w:val="0"/>
                <w:highlight w:val="none"/>
              </w:rPr>
            </w:pPr>
            <w:r>
              <w:rPr>
                <w:rFonts w:hint="eastAsia"/>
                <w:b/>
                <w:highlight w:val="none"/>
              </w:rPr>
              <w:t>序号</w:t>
            </w:r>
          </w:p>
        </w:tc>
        <w:tc>
          <w:tcPr>
            <w:tcW w:w="1284" w:type="pct"/>
            <w:shd w:val="clear" w:color="auto" w:fill="auto"/>
            <w:vAlign w:val="center"/>
          </w:tcPr>
          <w:p w14:paraId="41B7B0BE">
            <w:pPr>
              <w:pStyle w:val="53"/>
              <w:rPr>
                <w:b w:val="0"/>
                <w:highlight w:val="none"/>
              </w:rPr>
            </w:pPr>
            <w:r>
              <w:rPr>
                <w:rFonts w:hint="eastAsia"/>
                <w:b/>
                <w:highlight w:val="none"/>
              </w:rPr>
              <w:t>标准号（文件日期）</w:t>
            </w:r>
          </w:p>
        </w:tc>
        <w:tc>
          <w:tcPr>
            <w:tcW w:w="2656" w:type="pct"/>
            <w:shd w:val="clear" w:color="auto" w:fill="auto"/>
            <w:vAlign w:val="center"/>
          </w:tcPr>
          <w:p w14:paraId="1C804492">
            <w:pPr>
              <w:pStyle w:val="53"/>
              <w:rPr>
                <w:b w:val="0"/>
                <w:highlight w:val="none"/>
              </w:rPr>
            </w:pPr>
            <w:r>
              <w:rPr>
                <w:rFonts w:hint="eastAsia"/>
                <w:b/>
                <w:highlight w:val="none"/>
              </w:rPr>
              <w:t>标准（文件）名称</w:t>
            </w:r>
          </w:p>
        </w:tc>
        <w:tc>
          <w:tcPr>
            <w:tcW w:w="641" w:type="pct"/>
            <w:shd w:val="clear" w:color="auto" w:fill="auto"/>
            <w:vAlign w:val="center"/>
          </w:tcPr>
          <w:p w14:paraId="04892CFF">
            <w:pPr>
              <w:pStyle w:val="53"/>
              <w:rPr>
                <w:b w:val="0"/>
                <w:highlight w:val="none"/>
              </w:rPr>
            </w:pPr>
            <w:r>
              <w:rPr>
                <w:rFonts w:hint="eastAsia"/>
                <w:b/>
                <w:highlight w:val="none"/>
              </w:rPr>
              <w:t>备注</w:t>
            </w:r>
          </w:p>
        </w:tc>
      </w:tr>
      <w:tr w14:paraId="05FD6E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6FCA1F29">
            <w:pPr>
              <w:pStyle w:val="53"/>
              <w:numPr>
                <w:ilvl w:val="0"/>
                <w:numId w:val="13"/>
              </w:numPr>
              <w:rPr>
                <w:highlight w:val="none"/>
              </w:rPr>
            </w:pPr>
          </w:p>
        </w:tc>
        <w:tc>
          <w:tcPr>
            <w:tcW w:w="1284" w:type="pct"/>
            <w:shd w:val="clear" w:color="auto" w:fill="auto"/>
            <w:vAlign w:val="center"/>
          </w:tcPr>
          <w:p w14:paraId="74C3328B">
            <w:pPr>
              <w:pStyle w:val="53"/>
              <w:rPr>
                <w:highlight w:val="none"/>
              </w:rPr>
            </w:pPr>
            <w:r>
              <w:rPr>
                <w:rFonts w:hint="eastAsia"/>
                <w:highlight w:val="none"/>
              </w:rPr>
              <w:t>主席令第4号</w:t>
            </w:r>
          </w:p>
        </w:tc>
        <w:tc>
          <w:tcPr>
            <w:tcW w:w="2656" w:type="pct"/>
            <w:shd w:val="clear" w:color="auto" w:fill="auto"/>
            <w:vAlign w:val="center"/>
          </w:tcPr>
          <w:p w14:paraId="395765F1">
            <w:pPr>
              <w:pStyle w:val="53"/>
              <w:rPr>
                <w:highlight w:val="none"/>
              </w:rPr>
            </w:pPr>
            <w:r>
              <w:rPr>
                <w:rFonts w:hint="eastAsia"/>
                <w:highlight w:val="none"/>
              </w:rPr>
              <w:t>中华人民共和国特种设备安全法</w:t>
            </w:r>
          </w:p>
        </w:tc>
        <w:tc>
          <w:tcPr>
            <w:tcW w:w="641" w:type="pct"/>
            <w:vMerge w:val="restart"/>
            <w:shd w:val="clear" w:color="auto" w:fill="auto"/>
            <w:vAlign w:val="center"/>
          </w:tcPr>
          <w:p w14:paraId="6189E444">
            <w:pPr>
              <w:pStyle w:val="53"/>
              <w:rPr>
                <w:highlight w:val="none"/>
              </w:rPr>
            </w:pPr>
            <w:r>
              <w:rPr>
                <w:rFonts w:hint="eastAsia"/>
                <w:highlight w:val="none"/>
              </w:rPr>
              <w:t>法律</w:t>
            </w:r>
          </w:p>
        </w:tc>
      </w:tr>
      <w:tr w14:paraId="44156C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0188BC8A">
            <w:pPr>
              <w:pStyle w:val="53"/>
              <w:numPr>
                <w:ilvl w:val="0"/>
                <w:numId w:val="13"/>
              </w:numPr>
              <w:rPr>
                <w:highlight w:val="none"/>
              </w:rPr>
            </w:pPr>
          </w:p>
        </w:tc>
        <w:tc>
          <w:tcPr>
            <w:tcW w:w="1284" w:type="pct"/>
            <w:shd w:val="clear" w:color="auto" w:fill="auto"/>
            <w:vAlign w:val="center"/>
          </w:tcPr>
          <w:p w14:paraId="40410516">
            <w:pPr>
              <w:pStyle w:val="53"/>
              <w:rPr>
                <w:highlight w:val="none"/>
              </w:rPr>
            </w:pPr>
            <w:r>
              <w:rPr>
                <w:rFonts w:hint="eastAsia"/>
                <w:highlight w:val="none"/>
              </w:rPr>
              <w:t>主席令第</w:t>
            </w:r>
            <w:r>
              <w:rPr>
                <w:highlight w:val="none"/>
              </w:rPr>
              <w:t>9</w:t>
            </w:r>
            <w:r>
              <w:rPr>
                <w:rFonts w:hint="eastAsia"/>
                <w:highlight w:val="none"/>
              </w:rPr>
              <w:t>号</w:t>
            </w:r>
          </w:p>
        </w:tc>
        <w:tc>
          <w:tcPr>
            <w:tcW w:w="2656" w:type="pct"/>
            <w:shd w:val="clear" w:color="auto" w:fill="auto"/>
            <w:vAlign w:val="center"/>
          </w:tcPr>
          <w:p w14:paraId="5ED0FF17">
            <w:pPr>
              <w:pStyle w:val="53"/>
              <w:rPr>
                <w:highlight w:val="none"/>
              </w:rPr>
            </w:pPr>
            <w:r>
              <w:rPr>
                <w:rFonts w:hint="eastAsia"/>
                <w:highlight w:val="none"/>
              </w:rPr>
              <w:t>中华人民共和国环境保护法</w:t>
            </w:r>
          </w:p>
        </w:tc>
        <w:tc>
          <w:tcPr>
            <w:tcW w:w="641" w:type="pct"/>
            <w:vMerge w:val="continue"/>
            <w:shd w:val="clear" w:color="auto" w:fill="auto"/>
            <w:vAlign w:val="center"/>
          </w:tcPr>
          <w:p w14:paraId="6B5C10BE">
            <w:pPr>
              <w:pStyle w:val="53"/>
              <w:rPr>
                <w:highlight w:val="none"/>
              </w:rPr>
            </w:pPr>
          </w:p>
        </w:tc>
      </w:tr>
      <w:tr w14:paraId="3EC756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200766AA">
            <w:pPr>
              <w:pStyle w:val="53"/>
              <w:numPr>
                <w:ilvl w:val="0"/>
                <w:numId w:val="13"/>
              </w:numPr>
              <w:rPr>
                <w:highlight w:val="none"/>
              </w:rPr>
            </w:pPr>
          </w:p>
        </w:tc>
        <w:tc>
          <w:tcPr>
            <w:tcW w:w="1284" w:type="pct"/>
            <w:shd w:val="clear" w:color="auto" w:fill="auto"/>
            <w:vAlign w:val="center"/>
          </w:tcPr>
          <w:p w14:paraId="14D17E14">
            <w:pPr>
              <w:pStyle w:val="53"/>
              <w:rPr>
                <w:highlight w:val="none"/>
              </w:rPr>
            </w:pPr>
            <w:r>
              <w:rPr>
                <w:rFonts w:hint="eastAsia"/>
                <w:highlight w:val="none"/>
              </w:rPr>
              <w:t>主席令第</w:t>
            </w:r>
            <w:r>
              <w:rPr>
                <w:highlight w:val="none"/>
              </w:rPr>
              <w:t>29</w:t>
            </w:r>
            <w:r>
              <w:rPr>
                <w:rFonts w:hint="eastAsia"/>
                <w:highlight w:val="none"/>
              </w:rPr>
              <w:t>号</w:t>
            </w:r>
          </w:p>
        </w:tc>
        <w:tc>
          <w:tcPr>
            <w:tcW w:w="2656" w:type="pct"/>
            <w:shd w:val="clear" w:color="auto" w:fill="auto"/>
            <w:vAlign w:val="center"/>
          </w:tcPr>
          <w:p w14:paraId="4BE882DA">
            <w:pPr>
              <w:pStyle w:val="53"/>
              <w:rPr>
                <w:highlight w:val="none"/>
              </w:rPr>
            </w:pPr>
            <w:r>
              <w:rPr>
                <w:rFonts w:hint="eastAsia"/>
                <w:highlight w:val="none"/>
              </w:rPr>
              <w:t>中华人民共和国建筑法</w:t>
            </w:r>
          </w:p>
        </w:tc>
        <w:tc>
          <w:tcPr>
            <w:tcW w:w="641" w:type="pct"/>
            <w:vMerge w:val="continue"/>
            <w:shd w:val="clear" w:color="auto" w:fill="auto"/>
            <w:vAlign w:val="center"/>
          </w:tcPr>
          <w:p w14:paraId="3F2EB4FB">
            <w:pPr>
              <w:pStyle w:val="53"/>
              <w:rPr>
                <w:highlight w:val="none"/>
              </w:rPr>
            </w:pPr>
          </w:p>
        </w:tc>
      </w:tr>
      <w:tr w14:paraId="14558F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18D95668">
            <w:pPr>
              <w:pStyle w:val="53"/>
              <w:numPr>
                <w:ilvl w:val="0"/>
                <w:numId w:val="13"/>
              </w:numPr>
              <w:rPr>
                <w:highlight w:val="none"/>
              </w:rPr>
            </w:pPr>
          </w:p>
        </w:tc>
        <w:tc>
          <w:tcPr>
            <w:tcW w:w="1284" w:type="pct"/>
            <w:shd w:val="clear" w:color="auto" w:fill="auto"/>
            <w:vAlign w:val="center"/>
          </w:tcPr>
          <w:p w14:paraId="7567D647">
            <w:pPr>
              <w:pStyle w:val="53"/>
              <w:rPr>
                <w:highlight w:val="none"/>
              </w:rPr>
            </w:pPr>
            <w:r>
              <w:rPr>
                <w:rFonts w:hint="eastAsia" w:eastAsiaTheme="minorEastAsia"/>
                <w:highlight w:val="none"/>
              </w:rPr>
              <w:t>主席令第32号</w:t>
            </w:r>
          </w:p>
        </w:tc>
        <w:tc>
          <w:tcPr>
            <w:tcW w:w="2656" w:type="pct"/>
            <w:shd w:val="clear" w:color="auto" w:fill="auto"/>
            <w:vAlign w:val="center"/>
          </w:tcPr>
          <w:p w14:paraId="15065286">
            <w:pPr>
              <w:pStyle w:val="53"/>
              <w:rPr>
                <w:highlight w:val="none"/>
              </w:rPr>
            </w:pPr>
            <w:r>
              <w:rPr>
                <w:rFonts w:hint="eastAsia" w:eastAsiaTheme="minorEastAsia"/>
                <w:highlight w:val="none"/>
              </w:rPr>
              <w:t>中华人民共和国铁路法</w:t>
            </w:r>
          </w:p>
        </w:tc>
        <w:tc>
          <w:tcPr>
            <w:tcW w:w="641" w:type="pct"/>
            <w:vMerge w:val="continue"/>
            <w:shd w:val="clear" w:color="auto" w:fill="auto"/>
            <w:vAlign w:val="center"/>
          </w:tcPr>
          <w:p w14:paraId="7E453C77">
            <w:pPr>
              <w:pStyle w:val="53"/>
              <w:rPr>
                <w:highlight w:val="none"/>
              </w:rPr>
            </w:pPr>
          </w:p>
        </w:tc>
      </w:tr>
      <w:tr w14:paraId="1A7064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4EABC6FB">
            <w:pPr>
              <w:pStyle w:val="53"/>
              <w:numPr>
                <w:ilvl w:val="0"/>
                <w:numId w:val="13"/>
              </w:numPr>
              <w:rPr>
                <w:highlight w:val="none"/>
              </w:rPr>
            </w:pPr>
          </w:p>
        </w:tc>
        <w:tc>
          <w:tcPr>
            <w:tcW w:w="1284" w:type="pct"/>
            <w:shd w:val="clear" w:color="auto" w:fill="auto"/>
            <w:vAlign w:val="center"/>
          </w:tcPr>
          <w:p w14:paraId="026551F6">
            <w:pPr>
              <w:pStyle w:val="53"/>
              <w:rPr>
                <w:highlight w:val="none"/>
              </w:rPr>
            </w:pPr>
            <w:r>
              <w:rPr>
                <w:rFonts w:hint="eastAsia"/>
                <w:highlight w:val="none"/>
              </w:rPr>
              <w:t>主席令第</w:t>
            </w:r>
            <w:r>
              <w:rPr>
                <w:highlight w:val="none"/>
              </w:rPr>
              <w:t>69</w:t>
            </w:r>
            <w:r>
              <w:rPr>
                <w:rFonts w:hint="eastAsia"/>
                <w:highlight w:val="none"/>
              </w:rPr>
              <w:t>号</w:t>
            </w:r>
          </w:p>
        </w:tc>
        <w:tc>
          <w:tcPr>
            <w:tcW w:w="2656" w:type="pct"/>
            <w:shd w:val="clear" w:color="auto" w:fill="auto"/>
            <w:vAlign w:val="center"/>
          </w:tcPr>
          <w:p w14:paraId="074AB2F8">
            <w:pPr>
              <w:pStyle w:val="53"/>
              <w:rPr>
                <w:highlight w:val="none"/>
              </w:rPr>
            </w:pPr>
            <w:r>
              <w:rPr>
                <w:rFonts w:hint="eastAsia"/>
                <w:highlight w:val="none"/>
              </w:rPr>
              <w:t>中华人民共和国突发事件应对法</w:t>
            </w:r>
          </w:p>
        </w:tc>
        <w:tc>
          <w:tcPr>
            <w:tcW w:w="641" w:type="pct"/>
            <w:vMerge w:val="continue"/>
            <w:shd w:val="clear" w:color="auto" w:fill="auto"/>
            <w:vAlign w:val="center"/>
          </w:tcPr>
          <w:p w14:paraId="344D87E6">
            <w:pPr>
              <w:pStyle w:val="53"/>
              <w:rPr>
                <w:highlight w:val="none"/>
              </w:rPr>
            </w:pPr>
          </w:p>
        </w:tc>
      </w:tr>
      <w:tr w14:paraId="729A63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5DFD71E3">
            <w:pPr>
              <w:pStyle w:val="53"/>
              <w:numPr>
                <w:ilvl w:val="0"/>
                <w:numId w:val="13"/>
              </w:numPr>
              <w:rPr>
                <w:highlight w:val="none"/>
              </w:rPr>
            </w:pPr>
          </w:p>
        </w:tc>
        <w:tc>
          <w:tcPr>
            <w:tcW w:w="1284" w:type="pct"/>
            <w:shd w:val="clear" w:color="auto" w:fill="auto"/>
            <w:vAlign w:val="center"/>
          </w:tcPr>
          <w:p w14:paraId="208417E8">
            <w:pPr>
              <w:pStyle w:val="53"/>
              <w:rPr>
                <w:highlight w:val="none"/>
              </w:rPr>
            </w:pPr>
            <w:r>
              <w:rPr>
                <w:rFonts w:hint="eastAsia"/>
                <w:highlight w:val="none"/>
              </w:rPr>
              <w:t>主席令第</w:t>
            </w:r>
            <w:r>
              <w:rPr>
                <w:highlight w:val="none"/>
              </w:rPr>
              <w:t>88</w:t>
            </w:r>
            <w:r>
              <w:rPr>
                <w:rFonts w:hint="eastAsia"/>
                <w:highlight w:val="none"/>
              </w:rPr>
              <w:t>号</w:t>
            </w:r>
          </w:p>
        </w:tc>
        <w:tc>
          <w:tcPr>
            <w:tcW w:w="2656" w:type="pct"/>
            <w:shd w:val="clear" w:color="auto" w:fill="auto"/>
            <w:vAlign w:val="center"/>
          </w:tcPr>
          <w:p w14:paraId="4D849BF2">
            <w:pPr>
              <w:pStyle w:val="53"/>
              <w:rPr>
                <w:highlight w:val="none"/>
              </w:rPr>
            </w:pPr>
            <w:r>
              <w:rPr>
                <w:highlight w:val="none"/>
              </w:rPr>
              <w:t>中华人民共和国安全生产法</w:t>
            </w:r>
          </w:p>
        </w:tc>
        <w:tc>
          <w:tcPr>
            <w:tcW w:w="641" w:type="pct"/>
            <w:vMerge w:val="continue"/>
            <w:shd w:val="clear" w:color="auto" w:fill="auto"/>
            <w:vAlign w:val="center"/>
          </w:tcPr>
          <w:p w14:paraId="6D197425">
            <w:pPr>
              <w:pStyle w:val="53"/>
              <w:rPr>
                <w:highlight w:val="none"/>
              </w:rPr>
            </w:pPr>
          </w:p>
        </w:tc>
      </w:tr>
      <w:tr w14:paraId="7574A9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7ACDEC96">
            <w:pPr>
              <w:pStyle w:val="53"/>
              <w:numPr>
                <w:ilvl w:val="0"/>
                <w:numId w:val="13"/>
              </w:numPr>
              <w:rPr>
                <w:highlight w:val="none"/>
              </w:rPr>
            </w:pPr>
          </w:p>
        </w:tc>
        <w:tc>
          <w:tcPr>
            <w:tcW w:w="1284" w:type="pct"/>
            <w:shd w:val="clear" w:color="auto" w:fill="auto"/>
            <w:vAlign w:val="center"/>
          </w:tcPr>
          <w:p w14:paraId="6E713FA7">
            <w:pPr>
              <w:pStyle w:val="53"/>
              <w:rPr>
                <w:highlight w:val="none"/>
              </w:rPr>
            </w:pPr>
            <w:r>
              <w:rPr>
                <w:rFonts w:hint="eastAsia"/>
                <w:highlight w:val="none"/>
              </w:rPr>
              <w:t>国务院令第279号</w:t>
            </w:r>
          </w:p>
        </w:tc>
        <w:tc>
          <w:tcPr>
            <w:tcW w:w="2656" w:type="pct"/>
            <w:shd w:val="clear" w:color="auto" w:fill="auto"/>
            <w:vAlign w:val="center"/>
          </w:tcPr>
          <w:p w14:paraId="5298DFAA">
            <w:pPr>
              <w:pStyle w:val="53"/>
              <w:rPr>
                <w:highlight w:val="none"/>
              </w:rPr>
            </w:pPr>
            <w:r>
              <w:rPr>
                <w:rFonts w:hint="eastAsia"/>
                <w:highlight w:val="none"/>
              </w:rPr>
              <w:t>建设工程质量管理条例</w:t>
            </w:r>
          </w:p>
        </w:tc>
        <w:tc>
          <w:tcPr>
            <w:tcW w:w="641" w:type="pct"/>
            <w:vMerge w:val="restart"/>
            <w:shd w:val="clear" w:color="auto" w:fill="auto"/>
            <w:vAlign w:val="center"/>
          </w:tcPr>
          <w:p w14:paraId="4A9D2F78">
            <w:pPr>
              <w:pStyle w:val="53"/>
              <w:rPr>
                <w:highlight w:val="none"/>
              </w:rPr>
            </w:pPr>
            <w:r>
              <w:rPr>
                <w:rFonts w:hint="eastAsia"/>
                <w:highlight w:val="none"/>
              </w:rPr>
              <w:t>法规</w:t>
            </w:r>
          </w:p>
        </w:tc>
      </w:tr>
      <w:tr w14:paraId="46C36D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22F0A87D">
            <w:pPr>
              <w:pStyle w:val="53"/>
              <w:numPr>
                <w:ilvl w:val="0"/>
                <w:numId w:val="13"/>
              </w:numPr>
              <w:rPr>
                <w:highlight w:val="none"/>
              </w:rPr>
            </w:pPr>
          </w:p>
        </w:tc>
        <w:tc>
          <w:tcPr>
            <w:tcW w:w="1284" w:type="pct"/>
            <w:shd w:val="clear" w:color="auto" w:fill="auto"/>
            <w:vAlign w:val="center"/>
          </w:tcPr>
          <w:p w14:paraId="5D3F3A4C">
            <w:pPr>
              <w:pStyle w:val="53"/>
              <w:rPr>
                <w:highlight w:val="none"/>
              </w:rPr>
            </w:pPr>
            <w:r>
              <w:rPr>
                <w:rFonts w:hint="eastAsia"/>
                <w:highlight w:val="none"/>
              </w:rPr>
              <w:t>国务院令第393号</w:t>
            </w:r>
          </w:p>
        </w:tc>
        <w:tc>
          <w:tcPr>
            <w:tcW w:w="2656" w:type="pct"/>
            <w:shd w:val="clear" w:color="auto" w:fill="auto"/>
            <w:vAlign w:val="center"/>
          </w:tcPr>
          <w:p w14:paraId="1364D6A0">
            <w:pPr>
              <w:pStyle w:val="53"/>
              <w:rPr>
                <w:highlight w:val="none"/>
              </w:rPr>
            </w:pPr>
            <w:r>
              <w:rPr>
                <w:rFonts w:hint="eastAsia"/>
                <w:highlight w:val="none"/>
              </w:rPr>
              <w:t>建设工程安全生产管理条例</w:t>
            </w:r>
          </w:p>
        </w:tc>
        <w:tc>
          <w:tcPr>
            <w:tcW w:w="641" w:type="pct"/>
            <w:vMerge w:val="continue"/>
            <w:shd w:val="clear" w:color="auto" w:fill="auto"/>
            <w:vAlign w:val="center"/>
          </w:tcPr>
          <w:p w14:paraId="1E5DFE2E">
            <w:pPr>
              <w:pStyle w:val="53"/>
              <w:rPr>
                <w:highlight w:val="none"/>
              </w:rPr>
            </w:pPr>
          </w:p>
        </w:tc>
      </w:tr>
      <w:tr w14:paraId="73ED1B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2168F87F">
            <w:pPr>
              <w:pStyle w:val="53"/>
              <w:numPr>
                <w:ilvl w:val="0"/>
                <w:numId w:val="13"/>
              </w:numPr>
              <w:rPr>
                <w:highlight w:val="none"/>
              </w:rPr>
            </w:pPr>
          </w:p>
        </w:tc>
        <w:tc>
          <w:tcPr>
            <w:tcW w:w="1284" w:type="pct"/>
            <w:shd w:val="clear" w:color="auto" w:fill="auto"/>
            <w:vAlign w:val="center"/>
          </w:tcPr>
          <w:p w14:paraId="5E5EAB3F">
            <w:pPr>
              <w:pStyle w:val="53"/>
              <w:rPr>
                <w:highlight w:val="none"/>
              </w:rPr>
            </w:pPr>
            <w:r>
              <w:rPr>
                <w:highlight w:val="none"/>
              </w:rPr>
              <w:t>国务院令第397号</w:t>
            </w:r>
          </w:p>
        </w:tc>
        <w:tc>
          <w:tcPr>
            <w:tcW w:w="2656" w:type="pct"/>
            <w:shd w:val="clear" w:color="auto" w:fill="auto"/>
            <w:vAlign w:val="center"/>
          </w:tcPr>
          <w:p w14:paraId="1D55FDF0">
            <w:pPr>
              <w:pStyle w:val="53"/>
              <w:rPr>
                <w:highlight w:val="none"/>
              </w:rPr>
            </w:pPr>
            <w:r>
              <w:rPr>
                <w:highlight w:val="none"/>
              </w:rPr>
              <w:t>安全生产许可证条例（2014年修订）</w:t>
            </w:r>
          </w:p>
        </w:tc>
        <w:tc>
          <w:tcPr>
            <w:tcW w:w="641" w:type="pct"/>
            <w:vMerge w:val="continue"/>
            <w:shd w:val="clear" w:color="auto" w:fill="auto"/>
            <w:vAlign w:val="center"/>
          </w:tcPr>
          <w:p w14:paraId="320C7840">
            <w:pPr>
              <w:pStyle w:val="53"/>
              <w:rPr>
                <w:highlight w:val="none"/>
              </w:rPr>
            </w:pPr>
          </w:p>
        </w:tc>
      </w:tr>
      <w:tr w14:paraId="36AA77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15F062D5">
            <w:pPr>
              <w:pStyle w:val="53"/>
              <w:numPr>
                <w:ilvl w:val="0"/>
                <w:numId w:val="13"/>
              </w:numPr>
              <w:rPr>
                <w:highlight w:val="none"/>
              </w:rPr>
            </w:pPr>
          </w:p>
        </w:tc>
        <w:tc>
          <w:tcPr>
            <w:tcW w:w="1284" w:type="pct"/>
            <w:shd w:val="clear" w:color="auto" w:fill="auto"/>
            <w:vAlign w:val="center"/>
          </w:tcPr>
          <w:p w14:paraId="0754B5F5">
            <w:pPr>
              <w:pStyle w:val="53"/>
              <w:rPr>
                <w:highlight w:val="none"/>
              </w:rPr>
            </w:pPr>
            <w:r>
              <w:rPr>
                <w:rFonts w:hint="eastAsia"/>
                <w:highlight w:val="none"/>
              </w:rPr>
              <w:t>国务院令第549号</w:t>
            </w:r>
          </w:p>
        </w:tc>
        <w:tc>
          <w:tcPr>
            <w:tcW w:w="2656" w:type="pct"/>
            <w:shd w:val="clear" w:color="auto" w:fill="auto"/>
            <w:vAlign w:val="center"/>
          </w:tcPr>
          <w:p w14:paraId="38CD6670">
            <w:pPr>
              <w:pStyle w:val="53"/>
              <w:rPr>
                <w:highlight w:val="none"/>
              </w:rPr>
            </w:pPr>
            <w:r>
              <w:rPr>
                <w:rFonts w:hint="eastAsia"/>
                <w:highlight w:val="none"/>
              </w:rPr>
              <w:t>特种设备安全监察条例</w:t>
            </w:r>
          </w:p>
        </w:tc>
        <w:tc>
          <w:tcPr>
            <w:tcW w:w="641" w:type="pct"/>
            <w:vMerge w:val="continue"/>
            <w:shd w:val="clear" w:color="auto" w:fill="auto"/>
            <w:vAlign w:val="center"/>
          </w:tcPr>
          <w:p w14:paraId="5225CC29">
            <w:pPr>
              <w:pStyle w:val="53"/>
              <w:rPr>
                <w:highlight w:val="none"/>
              </w:rPr>
            </w:pPr>
          </w:p>
        </w:tc>
      </w:tr>
      <w:tr w14:paraId="6E5E9A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0FC26095">
            <w:pPr>
              <w:pStyle w:val="53"/>
              <w:numPr>
                <w:ilvl w:val="0"/>
                <w:numId w:val="13"/>
              </w:numPr>
              <w:rPr>
                <w:highlight w:val="none"/>
              </w:rPr>
            </w:pPr>
          </w:p>
        </w:tc>
        <w:tc>
          <w:tcPr>
            <w:tcW w:w="1284" w:type="pct"/>
            <w:shd w:val="clear" w:color="auto" w:fill="auto"/>
            <w:vAlign w:val="center"/>
          </w:tcPr>
          <w:p w14:paraId="6D256667">
            <w:pPr>
              <w:pStyle w:val="53"/>
              <w:rPr>
                <w:highlight w:val="none"/>
              </w:rPr>
            </w:pPr>
            <w:r>
              <w:rPr>
                <w:rFonts w:hint="eastAsia"/>
                <w:highlight w:val="none"/>
              </w:rPr>
              <w:t>安监局令第</w:t>
            </w:r>
            <w:r>
              <w:rPr>
                <w:highlight w:val="none"/>
              </w:rPr>
              <w:t>30</w:t>
            </w:r>
            <w:r>
              <w:rPr>
                <w:rFonts w:hint="eastAsia"/>
                <w:highlight w:val="none"/>
              </w:rPr>
              <w:t>号</w:t>
            </w:r>
          </w:p>
        </w:tc>
        <w:tc>
          <w:tcPr>
            <w:tcW w:w="2656" w:type="pct"/>
            <w:shd w:val="clear" w:color="auto" w:fill="auto"/>
            <w:vAlign w:val="center"/>
          </w:tcPr>
          <w:p w14:paraId="65FE2AA7">
            <w:pPr>
              <w:pStyle w:val="53"/>
              <w:rPr>
                <w:highlight w:val="none"/>
              </w:rPr>
            </w:pPr>
            <w:r>
              <w:rPr>
                <w:rFonts w:hint="eastAsia"/>
                <w:highlight w:val="none"/>
              </w:rPr>
              <w:t>特种作业人员安全技术培训考核管理办法</w:t>
            </w:r>
          </w:p>
        </w:tc>
        <w:tc>
          <w:tcPr>
            <w:tcW w:w="641" w:type="pct"/>
            <w:shd w:val="clear" w:color="auto" w:fill="auto"/>
            <w:vAlign w:val="center"/>
          </w:tcPr>
          <w:p w14:paraId="7B25EF00">
            <w:pPr>
              <w:pStyle w:val="53"/>
              <w:rPr>
                <w:highlight w:val="none"/>
              </w:rPr>
            </w:pPr>
            <w:r>
              <w:rPr>
                <w:rFonts w:hint="eastAsia"/>
                <w:highlight w:val="none"/>
              </w:rPr>
              <w:t>应急管理部</w:t>
            </w:r>
          </w:p>
        </w:tc>
      </w:tr>
      <w:tr w14:paraId="02D3A6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1E93C0F6">
            <w:pPr>
              <w:pStyle w:val="53"/>
              <w:numPr>
                <w:ilvl w:val="0"/>
                <w:numId w:val="13"/>
              </w:numPr>
              <w:rPr>
                <w:highlight w:val="none"/>
              </w:rPr>
            </w:pPr>
          </w:p>
        </w:tc>
        <w:tc>
          <w:tcPr>
            <w:tcW w:w="1284" w:type="pct"/>
            <w:shd w:val="clear" w:color="auto" w:fill="auto"/>
            <w:vAlign w:val="center"/>
          </w:tcPr>
          <w:p w14:paraId="6CB3AFE9">
            <w:pPr>
              <w:pStyle w:val="53"/>
              <w:rPr>
                <w:highlight w:val="none"/>
              </w:rPr>
            </w:pPr>
            <w:r>
              <w:rPr>
                <w:rFonts w:hint="eastAsia"/>
                <w:highlight w:val="none"/>
              </w:rPr>
              <w:t>质检总局令第1</w:t>
            </w:r>
            <w:r>
              <w:rPr>
                <w:highlight w:val="none"/>
              </w:rPr>
              <w:t>15</w:t>
            </w:r>
            <w:r>
              <w:rPr>
                <w:rFonts w:hint="eastAsia"/>
                <w:highlight w:val="none"/>
              </w:rPr>
              <w:t>号</w:t>
            </w:r>
          </w:p>
        </w:tc>
        <w:tc>
          <w:tcPr>
            <w:tcW w:w="2656" w:type="pct"/>
            <w:shd w:val="clear" w:color="auto" w:fill="auto"/>
            <w:vAlign w:val="center"/>
          </w:tcPr>
          <w:p w14:paraId="6601B4D2">
            <w:pPr>
              <w:pStyle w:val="53"/>
              <w:rPr>
                <w:highlight w:val="none"/>
              </w:rPr>
            </w:pPr>
            <w:r>
              <w:rPr>
                <w:rFonts w:hint="eastAsia"/>
                <w:highlight w:val="none"/>
              </w:rPr>
              <w:t>特种设备事故报告和调查处理规定</w:t>
            </w:r>
          </w:p>
        </w:tc>
        <w:tc>
          <w:tcPr>
            <w:tcW w:w="641" w:type="pct"/>
            <w:vMerge w:val="restart"/>
            <w:shd w:val="clear" w:color="auto" w:fill="auto"/>
            <w:vAlign w:val="center"/>
          </w:tcPr>
          <w:p w14:paraId="644D7AFD">
            <w:pPr>
              <w:pStyle w:val="53"/>
              <w:rPr>
                <w:highlight w:val="none"/>
              </w:rPr>
            </w:pPr>
            <w:r>
              <w:rPr>
                <w:rFonts w:hint="eastAsia"/>
                <w:highlight w:val="none"/>
              </w:rPr>
              <w:t>国家市场监督管理总局特种设备安全监察局</w:t>
            </w:r>
          </w:p>
        </w:tc>
      </w:tr>
      <w:tr w14:paraId="11E6CC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54D097B4">
            <w:pPr>
              <w:pStyle w:val="53"/>
              <w:numPr>
                <w:ilvl w:val="0"/>
                <w:numId w:val="13"/>
              </w:numPr>
              <w:rPr>
                <w:highlight w:val="none"/>
              </w:rPr>
            </w:pPr>
          </w:p>
        </w:tc>
        <w:tc>
          <w:tcPr>
            <w:tcW w:w="1284" w:type="pct"/>
            <w:shd w:val="clear" w:color="auto" w:fill="auto"/>
            <w:vAlign w:val="center"/>
          </w:tcPr>
          <w:p w14:paraId="0901AA49">
            <w:pPr>
              <w:pStyle w:val="53"/>
              <w:rPr>
                <w:highlight w:val="none"/>
              </w:rPr>
            </w:pPr>
            <w:r>
              <w:rPr>
                <w:rFonts w:hint="eastAsia"/>
                <w:highlight w:val="none"/>
              </w:rPr>
              <w:t>质检总局令第140号</w:t>
            </w:r>
          </w:p>
        </w:tc>
        <w:tc>
          <w:tcPr>
            <w:tcW w:w="2656" w:type="pct"/>
            <w:shd w:val="clear" w:color="auto" w:fill="auto"/>
            <w:vAlign w:val="center"/>
          </w:tcPr>
          <w:p w14:paraId="41B28D69">
            <w:pPr>
              <w:pStyle w:val="53"/>
              <w:rPr>
                <w:highlight w:val="none"/>
              </w:rPr>
            </w:pPr>
            <w:r>
              <w:rPr>
                <w:rFonts w:hint="eastAsia"/>
                <w:highlight w:val="none"/>
              </w:rPr>
              <w:t>特种设备作业人员监督管理办法</w:t>
            </w:r>
          </w:p>
        </w:tc>
        <w:tc>
          <w:tcPr>
            <w:tcW w:w="641" w:type="pct"/>
            <w:vMerge w:val="continue"/>
            <w:shd w:val="clear" w:color="auto" w:fill="auto"/>
            <w:vAlign w:val="center"/>
          </w:tcPr>
          <w:p w14:paraId="09C07F89">
            <w:pPr>
              <w:pStyle w:val="53"/>
              <w:rPr>
                <w:highlight w:val="none"/>
              </w:rPr>
            </w:pPr>
          </w:p>
        </w:tc>
      </w:tr>
      <w:tr w14:paraId="06D99B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626E1BB5">
            <w:pPr>
              <w:pStyle w:val="53"/>
              <w:numPr>
                <w:ilvl w:val="0"/>
                <w:numId w:val="13"/>
              </w:numPr>
              <w:rPr>
                <w:highlight w:val="none"/>
              </w:rPr>
            </w:pPr>
          </w:p>
        </w:tc>
        <w:tc>
          <w:tcPr>
            <w:tcW w:w="1284" w:type="pct"/>
            <w:shd w:val="clear" w:color="auto" w:fill="auto"/>
            <w:vAlign w:val="center"/>
          </w:tcPr>
          <w:p w14:paraId="78EDAC7F">
            <w:pPr>
              <w:pStyle w:val="53"/>
              <w:rPr>
                <w:highlight w:val="none"/>
              </w:rPr>
            </w:pPr>
            <w:r>
              <w:rPr>
                <w:rFonts w:hint="eastAsia"/>
                <w:highlight w:val="none"/>
              </w:rPr>
              <w:t>2</w:t>
            </w:r>
            <w:r>
              <w:rPr>
                <w:highlight w:val="none"/>
              </w:rPr>
              <w:t>015</w:t>
            </w:r>
            <w:r>
              <w:rPr>
                <w:rFonts w:hint="eastAsia"/>
                <w:highlight w:val="none"/>
              </w:rPr>
              <w:t>年第5号</w:t>
            </w:r>
          </w:p>
        </w:tc>
        <w:tc>
          <w:tcPr>
            <w:tcW w:w="2656" w:type="pct"/>
            <w:shd w:val="clear" w:color="auto" w:fill="auto"/>
            <w:vAlign w:val="center"/>
          </w:tcPr>
          <w:p w14:paraId="319D8993">
            <w:pPr>
              <w:pStyle w:val="53"/>
              <w:rPr>
                <w:highlight w:val="none"/>
              </w:rPr>
            </w:pPr>
            <w:r>
              <w:rPr>
                <w:rFonts w:hint="eastAsia"/>
                <w:highlight w:val="none"/>
              </w:rPr>
              <w:t>特种设备现场安全监督检查规则</w:t>
            </w:r>
          </w:p>
        </w:tc>
        <w:tc>
          <w:tcPr>
            <w:tcW w:w="641" w:type="pct"/>
            <w:vMerge w:val="continue"/>
            <w:shd w:val="clear" w:color="auto" w:fill="auto"/>
            <w:vAlign w:val="center"/>
          </w:tcPr>
          <w:p w14:paraId="066FFC24">
            <w:pPr>
              <w:pStyle w:val="53"/>
              <w:rPr>
                <w:highlight w:val="none"/>
              </w:rPr>
            </w:pPr>
          </w:p>
        </w:tc>
      </w:tr>
      <w:tr w14:paraId="08FBF6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0D63EFD5">
            <w:pPr>
              <w:pStyle w:val="53"/>
              <w:numPr>
                <w:ilvl w:val="0"/>
                <w:numId w:val="13"/>
              </w:numPr>
              <w:rPr>
                <w:highlight w:val="none"/>
              </w:rPr>
            </w:pPr>
          </w:p>
        </w:tc>
        <w:tc>
          <w:tcPr>
            <w:tcW w:w="1284" w:type="pct"/>
            <w:shd w:val="clear" w:color="auto" w:fill="auto"/>
            <w:vAlign w:val="center"/>
          </w:tcPr>
          <w:p w14:paraId="3F6F6A0B">
            <w:pPr>
              <w:pStyle w:val="53"/>
              <w:rPr>
                <w:highlight w:val="none"/>
              </w:rPr>
            </w:pPr>
            <w:r>
              <w:rPr>
                <w:rFonts w:hint="eastAsia"/>
                <w:highlight w:val="none"/>
              </w:rPr>
              <w:t>TSG 08-2017</w:t>
            </w:r>
          </w:p>
        </w:tc>
        <w:tc>
          <w:tcPr>
            <w:tcW w:w="2656" w:type="pct"/>
            <w:shd w:val="clear" w:color="auto" w:fill="auto"/>
            <w:vAlign w:val="center"/>
          </w:tcPr>
          <w:p w14:paraId="0FFB7CC5">
            <w:pPr>
              <w:pStyle w:val="53"/>
              <w:rPr>
                <w:highlight w:val="none"/>
              </w:rPr>
            </w:pPr>
            <w:r>
              <w:rPr>
                <w:rFonts w:hint="eastAsia"/>
                <w:highlight w:val="none"/>
              </w:rPr>
              <w:t>特种设备使用管理规则</w:t>
            </w:r>
          </w:p>
        </w:tc>
        <w:tc>
          <w:tcPr>
            <w:tcW w:w="641" w:type="pct"/>
            <w:vMerge w:val="continue"/>
            <w:shd w:val="clear" w:color="auto" w:fill="auto"/>
            <w:vAlign w:val="center"/>
          </w:tcPr>
          <w:p w14:paraId="16469265">
            <w:pPr>
              <w:pStyle w:val="53"/>
              <w:rPr>
                <w:highlight w:val="none"/>
              </w:rPr>
            </w:pPr>
          </w:p>
        </w:tc>
      </w:tr>
      <w:tr w14:paraId="2DDE88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153151A0">
            <w:pPr>
              <w:pStyle w:val="53"/>
              <w:numPr>
                <w:ilvl w:val="0"/>
                <w:numId w:val="13"/>
              </w:numPr>
              <w:rPr>
                <w:highlight w:val="none"/>
              </w:rPr>
            </w:pPr>
          </w:p>
        </w:tc>
        <w:tc>
          <w:tcPr>
            <w:tcW w:w="1284" w:type="pct"/>
            <w:shd w:val="clear" w:color="auto" w:fill="auto"/>
            <w:vAlign w:val="center"/>
          </w:tcPr>
          <w:p w14:paraId="373E5692">
            <w:pPr>
              <w:pStyle w:val="53"/>
              <w:rPr>
                <w:highlight w:val="none"/>
              </w:rPr>
            </w:pPr>
            <w:r>
              <w:rPr>
                <w:rFonts w:hint="eastAsia"/>
                <w:highlight w:val="none"/>
              </w:rPr>
              <w:t>TSG 07-2019</w:t>
            </w:r>
          </w:p>
        </w:tc>
        <w:tc>
          <w:tcPr>
            <w:tcW w:w="2656" w:type="pct"/>
            <w:shd w:val="clear" w:color="auto" w:fill="auto"/>
            <w:vAlign w:val="center"/>
          </w:tcPr>
          <w:p w14:paraId="75BA1EA9">
            <w:pPr>
              <w:pStyle w:val="53"/>
              <w:rPr>
                <w:highlight w:val="none"/>
              </w:rPr>
            </w:pPr>
            <w:r>
              <w:rPr>
                <w:rFonts w:hint="eastAsia"/>
                <w:highlight w:val="none"/>
              </w:rPr>
              <w:t>特种设备生产和充装单位许可规则</w:t>
            </w:r>
          </w:p>
        </w:tc>
        <w:tc>
          <w:tcPr>
            <w:tcW w:w="641" w:type="pct"/>
            <w:vMerge w:val="continue"/>
            <w:shd w:val="clear" w:color="auto" w:fill="auto"/>
            <w:vAlign w:val="center"/>
          </w:tcPr>
          <w:p w14:paraId="4364CD2E">
            <w:pPr>
              <w:pStyle w:val="53"/>
              <w:rPr>
                <w:highlight w:val="none"/>
              </w:rPr>
            </w:pPr>
          </w:p>
        </w:tc>
      </w:tr>
      <w:tr w14:paraId="6A48D3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072B59E8">
            <w:pPr>
              <w:pStyle w:val="53"/>
              <w:numPr>
                <w:ilvl w:val="0"/>
                <w:numId w:val="13"/>
              </w:numPr>
              <w:rPr>
                <w:highlight w:val="none"/>
              </w:rPr>
            </w:pPr>
          </w:p>
        </w:tc>
        <w:tc>
          <w:tcPr>
            <w:tcW w:w="1284" w:type="pct"/>
            <w:shd w:val="clear" w:color="auto" w:fill="auto"/>
            <w:vAlign w:val="center"/>
          </w:tcPr>
          <w:p w14:paraId="7908455A">
            <w:pPr>
              <w:pStyle w:val="53"/>
              <w:rPr>
                <w:highlight w:val="none"/>
              </w:rPr>
            </w:pPr>
            <w:r>
              <w:rPr>
                <w:rFonts w:hint="eastAsia"/>
                <w:highlight w:val="none"/>
              </w:rPr>
              <w:t>JGJ 33-2012</w:t>
            </w:r>
          </w:p>
        </w:tc>
        <w:tc>
          <w:tcPr>
            <w:tcW w:w="2656" w:type="pct"/>
            <w:shd w:val="clear" w:color="auto" w:fill="auto"/>
            <w:vAlign w:val="center"/>
          </w:tcPr>
          <w:p w14:paraId="67B96484">
            <w:pPr>
              <w:pStyle w:val="53"/>
              <w:rPr>
                <w:highlight w:val="none"/>
              </w:rPr>
            </w:pPr>
            <w:r>
              <w:rPr>
                <w:rFonts w:hint="eastAsia"/>
                <w:highlight w:val="none"/>
              </w:rPr>
              <w:t>建筑机械使用安全技术规程</w:t>
            </w:r>
          </w:p>
        </w:tc>
        <w:tc>
          <w:tcPr>
            <w:tcW w:w="641" w:type="pct"/>
            <w:vMerge w:val="continue"/>
            <w:shd w:val="clear" w:color="auto" w:fill="auto"/>
            <w:vAlign w:val="center"/>
          </w:tcPr>
          <w:p w14:paraId="2A84CA66">
            <w:pPr>
              <w:pStyle w:val="53"/>
              <w:rPr>
                <w:highlight w:val="none"/>
              </w:rPr>
            </w:pPr>
          </w:p>
        </w:tc>
      </w:tr>
      <w:tr w14:paraId="7D0EF4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70EDE2E9">
            <w:pPr>
              <w:pStyle w:val="53"/>
              <w:numPr>
                <w:ilvl w:val="0"/>
                <w:numId w:val="13"/>
              </w:numPr>
              <w:rPr>
                <w:highlight w:val="none"/>
              </w:rPr>
            </w:pPr>
          </w:p>
        </w:tc>
        <w:tc>
          <w:tcPr>
            <w:tcW w:w="1284" w:type="pct"/>
            <w:shd w:val="clear" w:color="auto" w:fill="auto"/>
            <w:vAlign w:val="center"/>
          </w:tcPr>
          <w:p w14:paraId="7A40BB69">
            <w:pPr>
              <w:pStyle w:val="53"/>
              <w:rPr>
                <w:highlight w:val="none"/>
              </w:rPr>
            </w:pPr>
            <w:r>
              <w:rPr>
                <w:highlight w:val="none"/>
              </w:rPr>
              <w:t>JGJ 276-2012</w:t>
            </w:r>
          </w:p>
        </w:tc>
        <w:tc>
          <w:tcPr>
            <w:tcW w:w="2656" w:type="pct"/>
            <w:shd w:val="clear" w:color="auto" w:fill="auto"/>
            <w:vAlign w:val="center"/>
          </w:tcPr>
          <w:p w14:paraId="678C8F2D">
            <w:pPr>
              <w:pStyle w:val="53"/>
              <w:rPr>
                <w:highlight w:val="none"/>
              </w:rPr>
            </w:pPr>
            <w:r>
              <w:rPr>
                <w:rFonts w:hint="eastAsia"/>
                <w:highlight w:val="none"/>
              </w:rPr>
              <w:t>建筑施工起重吊装工程安全技术规范</w:t>
            </w:r>
          </w:p>
        </w:tc>
        <w:tc>
          <w:tcPr>
            <w:tcW w:w="641" w:type="pct"/>
            <w:vMerge w:val="continue"/>
            <w:shd w:val="clear" w:color="auto" w:fill="auto"/>
            <w:vAlign w:val="center"/>
          </w:tcPr>
          <w:p w14:paraId="29329F7B">
            <w:pPr>
              <w:pStyle w:val="53"/>
              <w:rPr>
                <w:highlight w:val="none"/>
              </w:rPr>
            </w:pPr>
          </w:p>
        </w:tc>
      </w:tr>
      <w:tr w14:paraId="067703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023B3FA9">
            <w:pPr>
              <w:pStyle w:val="53"/>
              <w:numPr>
                <w:ilvl w:val="0"/>
                <w:numId w:val="13"/>
              </w:numPr>
              <w:rPr>
                <w:highlight w:val="none"/>
              </w:rPr>
            </w:pPr>
          </w:p>
        </w:tc>
        <w:tc>
          <w:tcPr>
            <w:tcW w:w="1284" w:type="pct"/>
            <w:shd w:val="clear" w:color="auto" w:fill="auto"/>
            <w:vAlign w:val="center"/>
          </w:tcPr>
          <w:p w14:paraId="59B5620B">
            <w:pPr>
              <w:pStyle w:val="53"/>
              <w:rPr>
                <w:rFonts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highlight w:val="none"/>
                <w:lang w:val="en-US" w:eastAsia="zh-CN"/>
              </w:rPr>
              <w:t>TSG 51-2023</w:t>
            </w:r>
          </w:p>
        </w:tc>
        <w:tc>
          <w:tcPr>
            <w:tcW w:w="2656" w:type="pct"/>
            <w:shd w:val="clear" w:color="auto" w:fill="auto"/>
            <w:vAlign w:val="center"/>
          </w:tcPr>
          <w:p w14:paraId="00757114">
            <w:pPr>
              <w:pStyle w:val="53"/>
              <w:ind w:firstLine="0" w:firstLineChars="0"/>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cs="Times New Roman" w:asciiTheme="majorEastAsia" w:hAnsiTheme="majorEastAsia" w:eastAsiaTheme="majorEastAsia"/>
                <w:sz w:val="21"/>
                <w:szCs w:val="21"/>
                <w:highlight w:val="none"/>
                <w:lang w:val="en-US" w:eastAsia="zh-CN"/>
              </w:rPr>
              <w:t>起重机械安全技术规程</w:t>
            </w:r>
          </w:p>
        </w:tc>
        <w:tc>
          <w:tcPr>
            <w:tcW w:w="641" w:type="pct"/>
            <w:vMerge w:val="continue"/>
            <w:shd w:val="clear" w:color="auto" w:fill="auto"/>
            <w:vAlign w:val="center"/>
          </w:tcPr>
          <w:p w14:paraId="4D5F39C5">
            <w:pPr>
              <w:pStyle w:val="53"/>
              <w:rPr>
                <w:highlight w:val="none"/>
              </w:rPr>
            </w:pPr>
          </w:p>
        </w:tc>
      </w:tr>
      <w:tr w14:paraId="5A0B6B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40DDC6EC">
            <w:pPr>
              <w:pStyle w:val="53"/>
              <w:numPr>
                <w:ilvl w:val="0"/>
                <w:numId w:val="13"/>
              </w:numPr>
              <w:rPr>
                <w:highlight w:val="none"/>
              </w:rPr>
            </w:pPr>
          </w:p>
        </w:tc>
        <w:tc>
          <w:tcPr>
            <w:tcW w:w="1284" w:type="pct"/>
            <w:shd w:val="clear" w:color="auto" w:fill="auto"/>
            <w:vAlign w:val="center"/>
          </w:tcPr>
          <w:p w14:paraId="28DD9E63">
            <w:pPr>
              <w:pStyle w:val="53"/>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highlight w:val="none"/>
                <w:lang w:val="en-US" w:eastAsia="zh-CN"/>
              </w:rPr>
              <w:t>JGJ/T46-2024</w:t>
            </w:r>
          </w:p>
        </w:tc>
        <w:tc>
          <w:tcPr>
            <w:tcW w:w="2656" w:type="pct"/>
            <w:shd w:val="clear" w:color="auto" w:fill="auto"/>
            <w:vAlign w:val="center"/>
          </w:tcPr>
          <w:p w14:paraId="15496C6C">
            <w:pPr>
              <w:pStyle w:val="53"/>
              <w:ind w:firstLine="0" w:firstLineChars="0"/>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cs="Times New Roman" w:asciiTheme="majorEastAsia" w:hAnsiTheme="majorEastAsia" w:eastAsiaTheme="majorEastAsia"/>
                <w:sz w:val="21"/>
                <w:szCs w:val="21"/>
                <w:highlight w:val="none"/>
                <w:lang w:val="en-US" w:eastAsia="zh-CN"/>
              </w:rPr>
              <w:t>建筑与市政工程施工现场临时用电安全技术标准</w:t>
            </w:r>
          </w:p>
        </w:tc>
        <w:tc>
          <w:tcPr>
            <w:tcW w:w="641" w:type="pct"/>
            <w:vMerge w:val="continue"/>
            <w:shd w:val="clear" w:color="auto" w:fill="auto"/>
            <w:vAlign w:val="center"/>
          </w:tcPr>
          <w:p w14:paraId="00D02626">
            <w:pPr>
              <w:pStyle w:val="53"/>
              <w:rPr>
                <w:highlight w:val="none"/>
              </w:rPr>
            </w:pPr>
          </w:p>
        </w:tc>
      </w:tr>
      <w:tr w14:paraId="58D2B3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6F9240DE">
            <w:pPr>
              <w:pStyle w:val="53"/>
              <w:numPr>
                <w:ilvl w:val="0"/>
                <w:numId w:val="13"/>
              </w:numPr>
              <w:rPr>
                <w:highlight w:val="none"/>
              </w:rPr>
            </w:pPr>
          </w:p>
        </w:tc>
        <w:tc>
          <w:tcPr>
            <w:tcW w:w="1284" w:type="pct"/>
            <w:shd w:val="clear" w:color="auto" w:fill="auto"/>
            <w:vAlign w:val="center"/>
          </w:tcPr>
          <w:p w14:paraId="02369249">
            <w:pPr>
              <w:pStyle w:val="53"/>
              <w:rPr>
                <w:rFonts w:hint="default"/>
                <w:highlight w:val="none"/>
                <w:lang w:val="en-US" w:eastAsia="zh-CN"/>
              </w:rPr>
            </w:pPr>
            <w:r>
              <w:rPr>
                <w:rFonts w:hint="default"/>
                <w:highlight w:val="none"/>
                <w:lang w:val="en-US" w:eastAsia="zh-CN"/>
              </w:rPr>
              <w:t>JT/T1495-2024</w:t>
            </w:r>
          </w:p>
        </w:tc>
        <w:tc>
          <w:tcPr>
            <w:tcW w:w="2656" w:type="pct"/>
            <w:shd w:val="clear" w:color="auto" w:fill="auto"/>
            <w:vAlign w:val="center"/>
          </w:tcPr>
          <w:p w14:paraId="66919604">
            <w:pPr>
              <w:pStyle w:val="53"/>
              <w:ind w:firstLine="0" w:firstLineChars="0"/>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cs="Times New Roman" w:asciiTheme="majorEastAsia" w:hAnsiTheme="majorEastAsia" w:eastAsiaTheme="majorEastAsia"/>
                <w:sz w:val="21"/>
                <w:szCs w:val="21"/>
                <w:highlight w:val="none"/>
                <w:lang w:val="en-US" w:eastAsia="zh-CN"/>
              </w:rPr>
              <w:t>公路水运危险性较大工程专项施工方案编制审查规程</w:t>
            </w:r>
          </w:p>
        </w:tc>
        <w:tc>
          <w:tcPr>
            <w:tcW w:w="641" w:type="pct"/>
            <w:vMerge w:val="continue"/>
            <w:shd w:val="clear" w:color="auto" w:fill="auto"/>
            <w:vAlign w:val="center"/>
          </w:tcPr>
          <w:p w14:paraId="0A6D71A0">
            <w:pPr>
              <w:pStyle w:val="53"/>
              <w:rPr>
                <w:highlight w:val="none"/>
              </w:rPr>
            </w:pPr>
          </w:p>
        </w:tc>
      </w:tr>
      <w:tr w14:paraId="2C19BB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6DF2DF18">
            <w:pPr>
              <w:pStyle w:val="53"/>
              <w:numPr>
                <w:ilvl w:val="0"/>
                <w:numId w:val="13"/>
              </w:numPr>
              <w:rPr>
                <w:highlight w:val="none"/>
              </w:rPr>
            </w:pPr>
          </w:p>
        </w:tc>
        <w:tc>
          <w:tcPr>
            <w:tcW w:w="1284" w:type="pct"/>
            <w:shd w:val="clear" w:color="auto" w:fill="auto"/>
            <w:vAlign w:val="center"/>
          </w:tcPr>
          <w:p w14:paraId="44256F62">
            <w:pPr>
              <w:pStyle w:val="53"/>
              <w:rPr>
                <w:rFonts w:hint="default"/>
                <w:highlight w:val="none"/>
                <w:lang w:val="en-US" w:eastAsia="zh-CN"/>
              </w:rPr>
            </w:pPr>
            <w:r>
              <w:rPr>
                <w:rFonts w:hint="default"/>
                <w:highlight w:val="none"/>
                <w:lang w:val="en-US" w:eastAsia="zh-CN"/>
              </w:rPr>
              <w:t>JTG F90-2015</w:t>
            </w:r>
          </w:p>
        </w:tc>
        <w:tc>
          <w:tcPr>
            <w:tcW w:w="2656" w:type="pct"/>
            <w:shd w:val="clear" w:color="auto" w:fill="auto"/>
            <w:vAlign w:val="center"/>
          </w:tcPr>
          <w:p w14:paraId="4A580ED9">
            <w:pPr>
              <w:pStyle w:val="53"/>
              <w:ind w:firstLine="0" w:firstLineChars="0"/>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cs="Times New Roman" w:asciiTheme="majorEastAsia" w:hAnsiTheme="majorEastAsia" w:eastAsiaTheme="majorEastAsia"/>
                <w:sz w:val="21"/>
                <w:szCs w:val="21"/>
                <w:highlight w:val="none"/>
                <w:lang w:val="en-US" w:eastAsia="zh-CN"/>
              </w:rPr>
              <w:t>公路工程施工安全技术规范</w:t>
            </w:r>
          </w:p>
        </w:tc>
        <w:tc>
          <w:tcPr>
            <w:tcW w:w="641" w:type="pct"/>
            <w:vMerge w:val="continue"/>
            <w:shd w:val="clear" w:color="auto" w:fill="auto"/>
            <w:vAlign w:val="center"/>
          </w:tcPr>
          <w:p w14:paraId="64F914DC">
            <w:pPr>
              <w:pStyle w:val="53"/>
              <w:rPr>
                <w:highlight w:val="none"/>
              </w:rPr>
            </w:pPr>
          </w:p>
        </w:tc>
      </w:tr>
      <w:tr w14:paraId="70967A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11AFF7D0">
            <w:pPr>
              <w:pStyle w:val="53"/>
              <w:numPr>
                <w:ilvl w:val="0"/>
                <w:numId w:val="13"/>
              </w:numPr>
              <w:rPr>
                <w:highlight w:val="none"/>
              </w:rPr>
            </w:pPr>
          </w:p>
        </w:tc>
        <w:tc>
          <w:tcPr>
            <w:tcW w:w="1284" w:type="pct"/>
            <w:shd w:val="clear" w:color="auto" w:fill="auto"/>
            <w:vAlign w:val="center"/>
          </w:tcPr>
          <w:p w14:paraId="323CB427">
            <w:pPr>
              <w:pStyle w:val="53"/>
              <w:rPr>
                <w:highlight w:val="none"/>
              </w:rPr>
            </w:pPr>
            <w:r>
              <w:rPr>
                <w:highlight w:val="none"/>
              </w:rPr>
              <w:t>JGJ 80-2016</w:t>
            </w:r>
          </w:p>
        </w:tc>
        <w:tc>
          <w:tcPr>
            <w:tcW w:w="2656" w:type="pct"/>
            <w:shd w:val="clear" w:color="auto" w:fill="auto"/>
            <w:vAlign w:val="center"/>
          </w:tcPr>
          <w:p w14:paraId="3248FF32">
            <w:pPr>
              <w:pStyle w:val="53"/>
              <w:rPr>
                <w:highlight w:val="none"/>
              </w:rPr>
            </w:pPr>
            <w:r>
              <w:rPr>
                <w:rFonts w:hint="eastAsia"/>
                <w:highlight w:val="none"/>
              </w:rPr>
              <w:t>建筑施工高处作业安全技术规范</w:t>
            </w:r>
          </w:p>
        </w:tc>
        <w:tc>
          <w:tcPr>
            <w:tcW w:w="641" w:type="pct"/>
            <w:vMerge w:val="restart"/>
            <w:shd w:val="clear" w:color="auto" w:fill="auto"/>
            <w:vAlign w:val="center"/>
          </w:tcPr>
          <w:p w14:paraId="14D3603B">
            <w:pPr>
              <w:pStyle w:val="53"/>
              <w:rPr>
                <w:highlight w:val="none"/>
              </w:rPr>
            </w:pPr>
            <w:r>
              <w:rPr>
                <w:highlight w:val="none"/>
              </w:rPr>
              <w:t>住房和城乡建设部</w:t>
            </w:r>
          </w:p>
        </w:tc>
      </w:tr>
      <w:tr w14:paraId="58FF01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0CE45EF7">
            <w:pPr>
              <w:pStyle w:val="53"/>
              <w:numPr>
                <w:ilvl w:val="0"/>
                <w:numId w:val="13"/>
              </w:numPr>
              <w:rPr>
                <w:highlight w:val="none"/>
              </w:rPr>
            </w:pPr>
          </w:p>
        </w:tc>
        <w:tc>
          <w:tcPr>
            <w:tcW w:w="1284" w:type="pct"/>
            <w:shd w:val="clear" w:color="auto" w:fill="auto"/>
            <w:vAlign w:val="center"/>
          </w:tcPr>
          <w:p w14:paraId="0B2336CF">
            <w:pPr>
              <w:pStyle w:val="53"/>
              <w:rPr>
                <w:highlight w:val="none"/>
              </w:rPr>
            </w:pPr>
            <w:r>
              <w:rPr>
                <w:rFonts w:hint="eastAsia"/>
                <w:highlight w:val="none"/>
              </w:rPr>
              <w:t>JGJ</w:t>
            </w:r>
            <w:r>
              <w:rPr>
                <w:highlight w:val="none"/>
              </w:rPr>
              <w:t>/</w:t>
            </w:r>
            <w:r>
              <w:rPr>
                <w:rFonts w:hint="eastAsia"/>
                <w:highlight w:val="none"/>
              </w:rPr>
              <w:t>T</w:t>
            </w:r>
            <w:r>
              <w:rPr>
                <w:highlight w:val="none"/>
              </w:rPr>
              <w:t xml:space="preserve"> 187-2019</w:t>
            </w:r>
          </w:p>
        </w:tc>
        <w:tc>
          <w:tcPr>
            <w:tcW w:w="2656" w:type="pct"/>
            <w:shd w:val="clear" w:color="auto" w:fill="auto"/>
            <w:vAlign w:val="center"/>
          </w:tcPr>
          <w:p w14:paraId="644C0141">
            <w:pPr>
              <w:pStyle w:val="53"/>
              <w:rPr>
                <w:highlight w:val="none"/>
              </w:rPr>
            </w:pPr>
            <w:r>
              <w:rPr>
                <w:rFonts w:hint="eastAsia"/>
                <w:highlight w:val="none"/>
              </w:rPr>
              <w:t>塔式起重机混凝土基础工程技术标准</w:t>
            </w:r>
          </w:p>
        </w:tc>
        <w:tc>
          <w:tcPr>
            <w:tcW w:w="641" w:type="pct"/>
            <w:vMerge w:val="continue"/>
            <w:shd w:val="clear" w:color="auto" w:fill="auto"/>
            <w:vAlign w:val="center"/>
          </w:tcPr>
          <w:p w14:paraId="3B3FC60C">
            <w:pPr>
              <w:pStyle w:val="53"/>
              <w:rPr>
                <w:highlight w:val="none"/>
              </w:rPr>
            </w:pPr>
          </w:p>
        </w:tc>
      </w:tr>
      <w:tr w14:paraId="23ABEF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31D80F45">
            <w:pPr>
              <w:pStyle w:val="53"/>
              <w:numPr>
                <w:ilvl w:val="0"/>
                <w:numId w:val="13"/>
              </w:numPr>
              <w:rPr>
                <w:highlight w:val="none"/>
              </w:rPr>
            </w:pPr>
          </w:p>
        </w:tc>
        <w:tc>
          <w:tcPr>
            <w:tcW w:w="1284" w:type="pct"/>
            <w:shd w:val="clear" w:color="auto" w:fill="auto"/>
            <w:vAlign w:val="center"/>
          </w:tcPr>
          <w:p w14:paraId="42654D0A">
            <w:pPr>
              <w:pStyle w:val="53"/>
              <w:rPr>
                <w:rFonts w:hint="eastAsia"/>
                <w:highlight w:val="none"/>
              </w:rPr>
            </w:pPr>
            <w:r>
              <w:rPr>
                <w:rFonts w:hint="eastAsia"/>
                <w:highlight w:val="none"/>
              </w:rPr>
              <w:t>交通运输部令第2号</w:t>
            </w:r>
          </w:p>
        </w:tc>
        <w:tc>
          <w:tcPr>
            <w:tcW w:w="2656" w:type="pct"/>
            <w:shd w:val="clear" w:color="auto" w:fill="auto"/>
            <w:vAlign w:val="center"/>
          </w:tcPr>
          <w:p w14:paraId="7CD875D1">
            <w:pPr>
              <w:pStyle w:val="53"/>
              <w:rPr>
                <w:highlight w:val="none"/>
              </w:rPr>
            </w:pPr>
            <w:r>
              <w:rPr>
                <w:rFonts w:hint="eastAsia" w:eastAsiaTheme="minorEastAsia"/>
                <w:highlight w:val="none"/>
              </w:rPr>
              <w:t>铁路建设工程质量监督管理规定</w:t>
            </w:r>
          </w:p>
        </w:tc>
        <w:tc>
          <w:tcPr>
            <w:tcW w:w="641" w:type="pct"/>
            <w:vMerge w:val="continue"/>
            <w:shd w:val="clear" w:color="auto" w:fill="auto"/>
            <w:vAlign w:val="center"/>
          </w:tcPr>
          <w:p w14:paraId="3BD0CEEA">
            <w:pPr>
              <w:pStyle w:val="53"/>
              <w:rPr>
                <w:highlight w:val="none"/>
              </w:rPr>
            </w:pPr>
          </w:p>
        </w:tc>
      </w:tr>
      <w:tr w14:paraId="561AEB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5C5FD605">
            <w:pPr>
              <w:pStyle w:val="53"/>
              <w:numPr>
                <w:ilvl w:val="0"/>
                <w:numId w:val="13"/>
              </w:numPr>
              <w:rPr>
                <w:highlight w:val="none"/>
              </w:rPr>
            </w:pPr>
          </w:p>
        </w:tc>
        <w:tc>
          <w:tcPr>
            <w:tcW w:w="1284" w:type="pct"/>
            <w:shd w:val="clear" w:color="auto" w:fill="auto"/>
            <w:vAlign w:val="center"/>
          </w:tcPr>
          <w:p w14:paraId="430438B7">
            <w:pPr>
              <w:pStyle w:val="53"/>
              <w:rPr>
                <w:rFonts w:hint="eastAsia"/>
                <w:highlight w:val="none"/>
              </w:rPr>
            </w:pPr>
            <w:r>
              <w:rPr>
                <w:rFonts w:hint="eastAsia"/>
                <w:highlight w:val="none"/>
              </w:rPr>
              <w:t>铁总建设〔2014〕168号</w:t>
            </w:r>
          </w:p>
        </w:tc>
        <w:tc>
          <w:tcPr>
            <w:tcW w:w="2656" w:type="pct"/>
            <w:shd w:val="clear" w:color="auto" w:fill="auto"/>
            <w:vAlign w:val="center"/>
          </w:tcPr>
          <w:p w14:paraId="64CBA577">
            <w:pPr>
              <w:pStyle w:val="53"/>
              <w:rPr>
                <w:highlight w:val="none"/>
              </w:rPr>
            </w:pPr>
            <w:r>
              <w:rPr>
                <w:rFonts w:hint="eastAsia" w:eastAsiaTheme="minorEastAsia"/>
                <w:highlight w:val="none"/>
              </w:rPr>
              <w:t>铁路建设项目安全生产管理办法</w:t>
            </w:r>
          </w:p>
        </w:tc>
        <w:tc>
          <w:tcPr>
            <w:tcW w:w="641" w:type="pct"/>
            <w:vMerge w:val="continue"/>
            <w:shd w:val="clear" w:color="auto" w:fill="auto"/>
            <w:vAlign w:val="center"/>
          </w:tcPr>
          <w:p w14:paraId="229225C7">
            <w:pPr>
              <w:pStyle w:val="53"/>
              <w:rPr>
                <w:highlight w:val="none"/>
              </w:rPr>
            </w:pPr>
          </w:p>
        </w:tc>
      </w:tr>
      <w:tr w14:paraId="2E457B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367EF456">
            <w:pPr>
              <w:pStyle w:val="53"/>
              <w:numPr>
                <w:ilvl w:val="0"/>
                <w:numId w:val="13"/>
              </w:numPr>
              <w:rPr>
                <w:highlight w:val="none"/>
              </w:rPr>
            </w:pPr>
          </w:p>
        </w:tc>
        <w:tc>
          <w:tcPr>
            <w:tcW w:w="1284" w:type="pct"/>
            <w:shd w:val="clear" w:color="auto" w:fill="auto"/>
            <w:vAlign w:val="center"/>
          </w:tcPr>
          <w:p w14:paraId="6439D83F">
            <w:pPr>
              <w:pStyle w:val="53"/>
              <w:rPr>
                <w:highlight w:val="none"/>
              </w:rPr>
            </w:pPr>
            <w:r>
              <w:rPr>
                <w:rFonts w:hint="eastAsia"/>
                <w:highlight w:val="none"/>
              </w:rPr>
              <w:t>GB</w:t>
            </w:r>
            <w:r>
              <w:rPr>
                <w:highlight w:val="none"/>
              </w:rPr>
              <w:t xml:space="preserve"> </w:t>
            </w:r>
            <w:r>
              <w:rPr>
                <w:rFonts w:hint="eastAsia"/>
                <w:highlight w:val="none"/>
              </w:rPr>
              <w:t>50278-2010</w:t>
            </w:r>
          </w:p>
        </w:tc>
        <w:tc>
          <w:tcPr>
            <w:tcW w:w="2656" w:type="pct"/>
            <w:shd w:val="clear" w:color="auto" w:fill="auto"/>
            <w:vAlign w:val="center"/>
          </w:tcPr>
          <w:p w14:paraId="0F9F5EF6">
            <w:pPr>
              <w:pStyle w:val="53"/>
              <w:rPr>
                <w:highlight w:val="none"/>
              </w:rPr>
            </w:pPr>
            <w:r>
              <w:rPr>
                <w:rFonts w:hint="eastAsia"/>
                <w:highlight w:val="none"/>
              </w:rPr>
              <w:t>起重设备安装工程施工及验收规范</w:t>
            </w:r>
          </w:p>
        </w:tc>
        <w:tc>
          <w:tcPr>
            <w:tcW w:w="641" w:type="pct"/>
            <w:vMerge w:val="continue"/>
            <w:shd w:val="clear" w:color="auto" w:fill="auto"/>
            <w:vAlign w:val="center"/>
          </w:tcPr>
          <w:p w14:paraId="5C4A7BAB">
            <w:pPr>
              <w:pStyle w:val="53"/>
              <w:rPr>
                <w:highlight w:val="none"/>
              </w:rPr>
            </w:pPr>
          </w:p>
        </w:tc>
      </w:tr>
      <w:tr w14:paraId="73728E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18" w:type="pct"/>
            <w:shd w:val="clear" w:color="auto" w:fill="auto"/>
            <w:vAlign w:val="center"/>
          </w:tcPr>
          <w:p w14:paraId="2C7B065F">
            <w:pPr>
              <w:pStyle w:val="53"/>
              <w:numPr>
                <w:ilvl w:val="0"/>
                <w:numId w:val="13"/>
              </w:numPr>
              <w:rPr>
                <w:highlight w:val="none"/>
              </w:rPr>
            </w:pPr>
          </w:p>
        </w:tc>
        <w:tc>
          <w:tcPr>
            <w:tcW w:w="1284" w:type="pct"/>
            <w:shd w:val="clear" w:color="auto" w:fill="auto"/>
            <w:vAlign w:val="center"/>
          </w:tcPr>
          <w:p w14:paraId="78EF7853">
            <w:pPr>
              <w:pStyle w:val="53"/>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highlight w:val="none"/>
                <w:lang w:val="en-US" w:eastAsia="zh-CN"/>
              </w:rPr>
              <w:t>建办质〔2024〕63号</w:t>
            </w:r>
          </w:p>
        </w:tc>
        <w:tc>
          <w:tcPr>
            <w:tcW w:w="2656" w:type="pct"/>
            <w:shd w:val="clear" w:color="auto" w:fill="auto"/>
            <w:vAlign w:val="center"/>
          </w:tcPr>
          <w:p w14:paraId="6BE8DD4B">
            <w:pPr>
              <w:pStyle w:val="53"/>
              <w:ind w:firstLine="0" w:firstLineChars="0"/>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cs="Times New Roman" w:asciiTheme="majorEastAsia" w:hAnsiTheme="majorEastAsia" w:eastAsiaTheme="majorEastAsia"/>
                <w:sz w:val="21"/>
                <w:szCs w:val="21"/>
                <w:highlight w:val="none"/>
                <w:lang w:val="en-US" w:eastAsia="zh-CN"/>
              </w:rPr>
              <w:t>危险性较大的分部分项工程专项施工方案严重缺陷清单（试行）</w:t>
            </w:r>
          </w:p>
        </w:tc>
        <w:tc>
          <w:tcPr>
            <w:tcW w:w="641" w:type="pct"/>
            <w:vMerge w:val="continue"/>
            <w:shd w:val="clear" w:color="auto" w:fill="auto"/>
            <w:vAlign w:val="center"/>
          </w:tcPr>
          <w:p w14:paraId="1E803469">
            <w:pPr>
              <w:pStyle w:val="53"/>
              <w:rPr>
                <w:highlight w:val="none"/>
              </w:rPr>
            </w:pPr>
          </w:p>
        </w:tc>
      </w:tr>
      <w:tr w14:paraId="695901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61AAB52E">
            <w:pPr>
              <w:pStyle w:val="53"/>
              <w:numPr>
                <w:ilvl w:val="0"/>
                <w:numId w:val="13"/>
              </w:numPr>
              <w:rPr>
                <w:highlight w:val="none"/>
              </w:rPr>
            </w:pPr>
          </w:p>
        </w:tc>
        <w:tc>
          <w:tcPr>
            <w:tcW w:w="1284" w:type="pct"/>
            <w:shd w:val="clear" w:color="auto" w:fill="auto"/>
            <w:vAlign w:val="center"/>
          </w:tcPr>
          <w:p w14:paraId="1F760372">
            <w:pPr>
              <w:pStyle w:val="53"/>
              <w:rPr>
                <w:highlight w:val="none"/>
              </w:rPr>
            </w:pPr>
            <w:r>
              <w:rPr>
                <w:rFonts w:hint="eastAsia"/>
                <w:highlight w:val="none"/>
              </w:rPr>
              <w:t>GB 50231-2009</w:t>
            </w:r>
          </w:p>
        </w:tc>
        <w:tc>
          <w:tcPr>
            <w:tcW w:w="2656" w:type="pct"/>
            <w:shd w:val="clear" w:color="auto" w:fill="auto"/>
            <w:vAlign w:val="center"/>
          </w:tcPr>
          <w:p w14:paraId="6219A341">
            <w:pPr>
              <w:pStyle w:val="53"/>
              <w:rPr>
                <w:highlight w:val="none"/>
              </w:rPr>
            </w:pPr>
            <w:r>
              <w:rPr>
                <w:rFonts w:hint="eastAsia"/>
                <w:highlight w:val="none"/>
              </w:rPr>
              <w:t>机械设备安装工程施工及验收通用规范</w:t>
            </w:r>
          </w:p>
        </w:tc>
        <w:tc>
          <w:tcPr>
            <w:tcW w:w="641" w:type="pct"/>
            <w:vMerge w:val="restart"/>
            <w:shd w:val="clear" w:color="auto" w:fill="auto"/>
            <w:vAlign w:val="center"/>
          </w:tcPr>
          <w:p w14:paraId="0A8C937D">
            <w:pPr>
              <w:pStyle w:val="53"/>
              <w:rPr>
                <w:highlight w:val="none"/>
              </w:rPr>
            </w:pPr>
            <w:r>
              <w:rPr>
                <w:rFonts w:hint="eastAsia"/>
                <w:highlight w:val="none"/>
              </w:rPr>
              <w:t>国家标准</w:t>
            </w:r>
          </w:p>
        </w:tc>
      </w:tr>
      <w:tr w14:paraId="040EF7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62D4EA6D">
            <w:pPr>
              <w:pStyle w:val="53"/>
              <w:numPr>
                <w:ilvl w:val="0"/>
                <w:numId w:val="13"/>
              </w:numPr>
              <w:rPr>
                <w:highlight w:val="none"/>
              </w:rPr>
            </w:pPr>
          </w:p>
        </w:tc>
        <w:tc>
          <w:tcPr>
            <w:tcW w:w="1284" w:type="pct"/>
            <w:shd w:val="clear" w:color="auto" w:fill="auto"/>
            <w:vAlign w:val="center"/>
          </w:tcPr>
          <w:p w14:paraId="3A3E4794">
            <w:pPr>
              <w:pStyle w:val="53"/>
              <w:rPr>
                <w:highlight w:val="none"/>
              </w:rPr>
            </w:pPr>
            <w:r>
              <w:rPr>
                <w:rFonts w:hint="eastAsia"/>
                <w:highlight w:val="none"/>
              </w:rPr>
              <w:t>GB 50256-2014</w:t>
            </w:r>
          </w:p>
        </w:tc>
        <w:tc>
          <w:tcPr>
            <w:tcW w:w="2656" w:type="pct"/>
            <w:shd w:val="clear" w:color="auto" w:fill="auto"/>
            <w:vAlign w:val="center"/>
          </w:tcPr>
          <w:p w14:paraId="4B11E27E">
            <w:pPr>
              <w:pStyle w:val="53"/>
              <w:rPr>
                <w:highlight w:val="none"/>
              </w:rPr>
            </w:pPr>
            <w:r>
              <w:rPr>
                <w:rFonts w:hint="eastAsia"/>
                <w:highlight w:val="none"/>
              </w:rPr>
              <w:t>电气装置安装工程起重机电气装置施工及验收规范</w:t>
            </w:r>
          </w:p>
        </w:tc>
        <w:tc>
          <w:tcPr>
            <w:tcW w:w="641" w:type="pct"/>
            <w:vMerge w:val="continue"/>
            <w:shd w:val="clear" w:color="auto" w:fill="auto"/>
            <w:vAlign w:val="center"/>
          </w:tcPr>
          <w:p w14:paraId="0A1797B1">
            <w:pPr>
              <w:pStyle w:val="53"/>
              <w:rPr>
                <w:highlight w:val="none"/>
              </w:rPr>
            </w:pPr>
          </w:p>
        </w:tc>
      </w:tr>
      <w:tr w14:paraId="5A823C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2220E19A">
            <w:pPr>
              <w:pStyle w:val="53"/>
              <w:numPr>
                <w:ilvl w:val="0"/>
                <w:numId w:val="13"/>
              </w:numPr>
              <w:rPr>
                <w:highlight w:val="none"/>
              </w:rPr>
            </w:pPr>
          </w:p>
        </w:tc>
        <w:tc>
          <w:tcPr>
            <w:tcW w:w="1284" w:type="pct"/>
            <w:shd w:val="clear" w:color="auto" w:fill="auto"/>
            <w:vAlign w:val="center"/>
          </w:tcPr>
          <w:p w14:paraId="418C3850">
            <w:pPr>
              <w:pStyle w:val="53"/>
              <w:rPr>
                <w:highlight w:val="none"/>
              </w:rPr>
            </w:pPr>
            <w:r>
              <w:rPr>
                <w:rFonts w:hint="eastAsia"/>
                <w:highlight w:val="none"/>
              </w:rPr>
              <w:t>GB 50009-2012</w:t>
            </w:r>
          </w:p>
        </w:tc>
        <w:tc>
          <w:tcPr>
            <w:tcW w:w="2656" w:type="pct"/>
            <w:shd w:val="clear" w:color="auto" w:fill="auto"/>
            <w:vAlign w:val="center"/>
          </w:tcPr>
          <w:p w14:paraId="7CA8F0D7">
            <w:pPr>
              <w:pStyle w:val="53"/>
              <w:rPr>
                <w:highlight w:val="none"/>
              </w:rPr>
            </w:pPr>
            <w:r>
              <w:rPr>
                <w:rFonts w:hint="eastAsia"/>
                <w:highlight w:val="none"/>
              </w:rPr>
              <w:t>建筑结构荷载规范</w:t>
            </w:r>
          </w:p>
        </w:tc>
        <w:tc>
          <w:tcPr>
            <w:tcW w:w="641" w:type="pct"/>
            <w:vMerge w:val="continue"/>
            <w:shd w:val="clear" w:color="auto" w:fill="auto"/>
            <w:vAlign w:val="center"/>
          </w:tcPr>
          <w:p w14:paraId="161F0077">
            <w:pPr>
              <w:pStyle w:val="53"/>
              <w:rPr>
                <w:highlight w:val="none"/>
              </w:rPr>
            </w:pPr>
          </w:p>
        </w:tc>
      </w:tr>
      <w:tr w14:paraId="34DBC5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6D9579C8">
            <w:pPr>
              <w:pStyle w:val="53"/>
              <w:numPr>
                <w:ilvl w:val="0"/>
                <w:numId w:val="13"/>
              </w:numPr>
              <w:rPr>
                <w:highlight w:val="none"/>
              </w:rPr>
            </w:pPr>
          </w:p>
        </w:tc>
        <w:tc>
          <w:tcPr>
            <w:tcW w:w="1284" w:type="pct"/>
            <w:shd w:val="clear" w:color="auto" w:fill="auto"/>
            <w:vAlign w:val="center"/>
          </w:tcPr>
          <w:p w14:paraId="4F9D72C9">
            <w:pPr>
              <w:pStyle w:val="53"/>
              <w:rPr>
                <w:highlight w:val="none"/>
              </w:rPr>
            </w:pPr>
            <w:r>
              <w:rPr>
                <w:rFonts w:hint="eastAsia"/>
                <w:highlight w:val="none"/>
              </w:rPr>
              <w:t>GB 50007-2011</w:t>
            </w:r>
          </w:p>
        </w:tc>
        <w:tc>
          <w:tcPr>
            <w:tcW w:w="2656" w:type="pct"/>
            <w:shd w:val="clear" w:color="auto" w:fill="auto"/>
            <w:vAlign w:val="center"/>
          </w:tcPr>
          <w:p w14:paraId="55571A7A">
            <w:pPr>
              <w:pStyle w:val="53"/>
              <w:rPr>
                <w:highlight w:val="none"/>
              </w:rPr>
            </w:pPr>
            <w:r>
              <w:rPr>
                <w:rFonts w:hint="eastAsia"/>
                <w:highlight w:val="none"/>
              </w:rPr>
              <w:t>建筑地基基础设计规范</w:t>
            </w:r>
          </w:p>
        </w:tc>
        <w:tc>
          <w:tcPr>
            <w:tcW w:w="641" w:type="pct"/>
            <w:vMerge w:val="continue"/>
            <w:shd w:val="clear" w:color="auto" w:fill="auto"/>
            <w:vAlign w:val="center"/>
          </w:tcPr>
          <w:p w14:paraId="5204861D">
            <w:pPr>
              <w:pStyle w:val="53"/>
              <w:rPr>
                <w:highlight w:val="none"/>
              </w:rPr>
            </w:pPr>
          </w:p>
        </w:tc>
      </w:tr>
      <w:tr w14:paraId="45AC85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6424950F">
            <w:pPr>
              <w:pStyle w:val="53"/>
              <w:numPr>
                <w:ilvl w:val="0"/>
                <w:numId w:val="13"/>
              </w:numPr>
              <w:rPr>
                <w:highlight w:val="none"/>
              </w:rPr>
            </w:pPr>
          </w:p>
        </w:tc>
        <w:tc>
          <w:tcPr>
            <w:tcW w:w="1284" w:type="pct"/>
            <w:shd w:val="clear" w:color="auto" w:fill="auto"/>
            <w:vAlign w:val="center"/>
          </w:tcPr>
          <w:p w14:paraId="6957F927">
            <w:pPr>
              <w:pStyle w:val="53"/>
              <w:rPr>
                <w:highlight w:val="none"/>
              </w:rPr>
            </w:pPr>
            <w:r>
              <w:rPr>
                <w:rFonts w:hint="eastAsia"/>
                <w:highlight w:val="none"/>
              </w:rPr>
              <w:t>GB 50661-2011</w:t>
            </w:r>
          </w:p>
        </w:tc>
        <w:tc>
          <w:tcPr>
            <w:tcW w:w="2656" w:type="pct"/>
            <w:shd w:val="clear" w:color="auto" w:fill="auto"/>
            <w:vAlign w:val="center"/>
          </w:tcPr>
          <w:p w14:paraId="5555B127">
            <w:pPr>
              <w:pStyle w:val="53"/>
              <w:rPr>
                <w:highlight w:val="none"/>
              </w:rPr>
            </w:pPr>
            <w:r>
              <w:rPr>
                <w:rFonts w:hint="eastAsia"/>
                <w:highlight w:val="none"/>
              </w:rPr>
              <w:t>钢结构焊接规范</w:t>
            </w:r>
          </w:p>
        </w:tc>
        <w:tc>
          <w:tcPr>
            <w:tcW w:w="641" w:type="pct"/>
            <w:vMerge w:val="continue"/>
            <w:shd w:val="clear" w:color="auto" w:fill="auto"/>
            <w:vAlign w:val="center"/>
          </w:tcPr>
          <w:p w14:paraId="07E30869">
            <w:pPr>
              <w:pStyle w:val="53"/>
              <w:rPr>
                <w:highlight w:val="none"/>
              </w:rPr>
            </w:pPr>
          </w:p>
        </w:tc>
      </w:tr>
      <w:tr w14:paraId="73ED08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54DCDA76">
            <w:pPr>
              <w:pStyle w:val="53"/>
              <w:numPr>
                <w:ilvl w:val="0"/>
                <w:numId w:val="13"/>
              </w:numPr>
              <w:rPr>
                <w:highlight w:val="none"/>
              </w:rPr>
            </w:pPr>
          </w:p>
        </w:tc>
        <w:tc>
          <w:tcPr>
            <w:tcW w:w="1284" w:type="pct"/>
            <w:shd w:val="clear" w:color="auto" w:fill="auto"/>
            <w:vAlign w:val="center"/>
          </w:tcPr>
          <w:p w14:paraId="4E299F15">
            <w:pPr>
              <w:pStyle w:val="53"/>
              <w:rPr>
                <w:highlight w:val="none"/>
              </w:rPr>
            </w:pPr>
            <w:r>
              <w:rPr>
                <w:rFonts w:hint="eastAsia"/>
                <w:highlight w:val="none"/>
              </w:rPr>
              <w:t>GB 50205-2020</w:t>
            </w:r>
          </w:p>
        </w:tc>
        <w:tc>
          <w:tcPr>
            <w:tcW w:w="2656" w:type="pct"/>
            <w:shd w:val="clear" w:color="auto" w:fill="auto"/>
            <w:vAlign w:val="center"/>
          </w:tcPr>
          <w:p w14:paraId="6112150E">
            <w:pPr>
              <w:pStyle w:val="53"/>
              <w:rPr>
                <w:highlight w:val="none"/>
              </w:rPr>
            </w:pPr>
            <w:r>
              <w:rPr>
                <w:rFonts w:hint="eastAsia"/>
                <w:highlight w:val="none"/>
              </w:rPr>
              <w:t>钢结构工程施工质量验收标准</w:t>
            </w:r>
          </w:p>
        </w:tc>
        <w:tc>
          <w:tcPr>
            <w:tcW w:w="641" w:type="pct"/>
            <w:vMerge w:val="continue"/>
            <w:shd w:val="clear" w:color="auto" w:fill="auto"/>
            <w:vAlign w:val="center"/>
          </w:tcPr>
          <w:p w14:paraId="3BC1E830">
            <w:pPr>
              <w:pStyle w:val="53"/>
              <w:rPr>
                <w:highlight w:val="none"/>
              </w:rPr>
            </w:pPr>
          </w:p>
        </w:tc>
      </w:tr>
      <w:tr w14:paraId="528A9B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6756AC62">
            <w:pPr>
              <w:pStyle w:val="53"/>
              <w:numPr>
                <w:ilvl w:val="0"/>
                <w:numId w:val="13"/>
              </w:numPr>
              <w:rPr>
                <w:highlight w:val="none"/>
              </w:rPr>
            </w:pPr>
          </w:p>
        </w:tc>
        <w:tc>
          <w:tcPr>
            <w:tcW w:w="1284" w:type="pct"/>
            <w:shd w:val="clear" w:color="auto" w:fill="auto"/>
            <w:vAlign w:val="center"/>
          </w:tcPr>
          <w:p w14:paraId="7F73C127">
            <w:pPr>
              <w:pStyle w:val="53"/>
              <w:rPr>
                <w:highlight w:val="none"/>
              </w:rPr>
            </w:pPr>
            <w:r>
              <w:rPr>
                <w:rFonts w:hint="eastAsia"/>
                <w:highlight w:val="none"/>
              </w:rPr>
              <w:t>GB</w:t>
            </w:r>
            <w:r>
              <w:rPr>
                <w:highlight w:val="none"/>
              </w:rPr>
              <w:t xml:space="preserve"> 8918-2006</w:t>
            </w:r>
          </w:p>
        </w:tc>
        <w:tc>
          <w:tcPr>
            <w:tcW w:w="2656" w:type="pct"/>
            <w:shd w:val="clear" w:color="auto" w:fill="auto"/>
            <w:vAlign w:val="center"/>
          </w:tcPr>
          <w:p w14:paraId="13300E02">
            <w:pPr>
              <w:pStyle w:val="53"/>
              <w:rPr>
                <w:highlight w:val="none"/>
              </w:rPr>
            </w:pPr>
            <w:r>
              <w:rPr>
                <w:rFonts w:hint="eastAsia"/>
                <w:highlight w:val="none"/>
              </w:rPr>
              <w:t>重要用途钢丝绳</w:t>
            </w:r>
          </w:p>
        </w:tc>
        <w:tc>
          <w:tcPr>
            <w:tcW w:w="641" w:type="pct"/>
            <w:vMerge w:val="continue"/>
            <w:shd w:val="clear" w:color="auto" w:fill="auto"/>
            <w:vAlign w:val="center"/>
          </w:tcPr>
          <w:p w14:paraId="46A3E459">
            <w:pPr>
              <w:pStyle w:val="53"/>
              <w:rPr>
                <w:highlight w:val="none"/>
              </w:rPr>
            </w:pPr>
          </w:p>
        </w:tc>
      </w:tr>
      <w:tr w14:paraId="069355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0EBE0636">
            <w:pPr>
              <w:pStyle w:val="53"/>
              <w:numPr>
                <w:ilvl w:val="0"/>
                <w:numId w:val="13"/>
              </w:numPr>
              <w:rPr>
                <w:highlight w:val="none"/>
              </w:rPr>
            </w:pPr>
          </w:p>
        </w:tc>
        <w:tc>
          <w:tcPr>
            <w:tcW w:w="1284" w:type="pct"/>
            <w:shd w:val="clear" w:color="auto" w:fill="auto"/>
            <w:vAlign w:val="center"/>
          </w:tcPr>
          <w:p w14:paraId="457B3F71">
            <w:pPr>
              <w:pStyle w:val="53"/>
              <w:rPr>
                <w:highlight w:val="none"/>
              </w:rPr>
            </w:pPr>
            <w:r>
              <w:rPr>
                <w:highlight w:val="none"/>
              </w:rPr>
              <w:t>GB/T 23723.3-2010</w:t>
            </w:r>
          </w:p>
        </w:tc>
        <w:tc>
          <w:tcPr>
            <w:tcW w:w="2656" w:type="pct"/>
            <w:shd w:val="clear" w:color="auto" w:fill="auto"/>
            <w:vAlign w:val="center"/>
          </w:tcPr>
          <w:p w14:paraId="1EDF7980">
            <w:pPr>
              <w:pStyle w:val="53"/>
              <w:rPr>
                <w:highlight w:val="none"/>
              </w:rPr>
            </w:pPr>
            <w:r>
              <w:rPr>
                <w:highlight w:val="none"/>
              </w:rPr>
              <w:t>起重机 安全使用 第3部分：塔式起重机</w:t>
            </w:r>
          </w:p>
        </w:tc>
        <w:tc>
          <w:tcPr>
            <w:tcW w:w="641" w:type="pct"/>
            <w:vMerge w:val="continue"/>
            <w:shd w:val="clear" w:color="auto" w:fill="auto"/>
            <w:vAlign w:val="center"/>
          </w:tcPr>
          <w:p w14:paraId="7ADA6C90">
            <w:pPr>
              <w:pStyle w:val="53"/>
              <w:rPr>
                <w:highlight w:val="none"/>
              </w:rPr>
            </w:pPr>
          </w:p>
        </w:tc>
      </w:tr>
      <w:tr w14:paraId="58CB0E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7A327D96">
            <w:pPr>
              <w:pStyle w:val="53"/>
              <w:numPr>
                <w:ilvl w:val="0"/>
                <w:numId w:val="13"/>
              </w:numPr>
              <w:rPr>
                <w:highlight w:val="none"/>
              </w:rPr>
            </w:pPr>
          </w:p>
        </w:tc>
        <w:tc>
          <w:tcPr>
            <w:tcW w:w="1284" w:type="pct"/>
            <w:shd w:val="clear" w:color="auto" w:fill="auto"/>
            <w:vAlign w:val="center"/>
          </w:tcPr>
          <w:p w14:paraId="6EAA028D">
            <w:pPr>
              <w:pStyle w:val="53"/>
              <w:rPr>
                <w:highlight w:val="none"/>
              </w:rPr>
            </w:pPr>
            <w:r>
              <w:rPr>
                <w:highlight w:val="none"/>
              </w:rPr>
              <w:t>GB/T 13752-2017</w:t>
            </w:r>
          </w:p>
        </w:tc>
        <w:tc>
          <w:tcPr>
            <w:tcW w:w="2656" w:type="pct"/>
            <w:shd w:val="clear" w:color="auto" w:fill="auto"/>
            <w:vAlign w:val="center"/>
          </w:tcPr>
          <w:p w14:paraId="154905E0">
            <w:pPr>
              <w:pStyle w:val="53"/>
              <w:rPr>
                <w:highlight w:val="none"/>
              </w:rPr>
            </w:pPr>
            <w:r>
              <w:rPr>
                <w:highlight w:val="none"/>
              </w:rPr>
              <w:t>塔式起重机设计规范</w:t>
            </w:r>
          </w:p>
        </w:tc>
        <w:tc>
          <w:tcPr>
            <w:tcW w:w="641" w:type="pct"/>
            <w:vMerge w:val="continue"/>
            <w:shd w:val="clear" w:color="auto" w:fill="auto"/>
            <w:vAlign w:val="center"/>
          </w:tcPr>
          <w:p w14:paraId="7D69F18F">
            <w:pPr>
              <w:pStyle w:val="53"/>
              <w:rPr>
                <w:highlight w:val="none"/>
              </w:rPr>
            </w:pPr>
          </w:p>
        </w:tc>
      </w:tr>
      <w:tr w14:paraId="5BBC68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274281E9">
            <w:pPr>
              <w:pStyle w:val="53"/>
              <w:numPr>
                <w:ilvl w:val="0"/>
                <w:numId w:val="13"/>
              </w:numPr>
              <w:rPr>
                <w:highlight w:val="none"/>
              </w:rPr>
            </w:pPr>
          </w:p>
        </w:tc>
        <w:tc>
          <w:tcPr>
            <w:tcW w:w="1284" w:type="pct"/>
            <w:shd w:val="clear" w:color="auto" w:fill="auto"/>
            <w:vAlign w:val="center"/>
          </w:tcPr>
          <w:p w14:paraId="4342DB0A">
            <w:pPr>
              <w:pStyle w:val="53"/>
              <w:rPr>
                <w:highlight w:val="none"/>
              </w:rPr>
            </w:pPr>
            <w:r>
              <w:rPr>
                <w:rFonts w:hint="eastAsia"/>
                <w:highlight w:val="none"/>
              </w:rPr>
              <w:t>GB/T 16762-2020</w:t>
            </w:r>
          </w:p>
        </w:tc>
        <w:tc>
          <w:tcPr>
            <w:tcW w:w="2656" w:type="pct"/>
            <w:shd w:val="clear" w:color="auto" w:fill="auto"/>
            <w:vAlign w:val="center"/>
          </w:tcPr>
          <w:p w14:paraId="1C33C60C">
            <w:pPr>
              <w:pStyle w:val="53"/>
              <w:rPr>
                <w:highlight w:val="none"/>
              </w:rPr>
            </w:pPr>
            <w:r>
              <w:rPr>
                <w:rFonts w:hint="eastAsia"/>
                <w:highlight w:val="none"/>
              </w:rPr>
              <w:t>一般用途钢丝绳吊索特性和技术条件</w:t>
            </w:r>
          </w:p>
        </w:tc>
        <w:tc>
          <w:tcPr>
            <w:tcW w:w="641" w:type="pct"/>
            <w:vMerge w:val="continue"/>
            <w:shd w:val="clear" w:color="auto" w:fill="auto"/>
            <w:vAlign w:val="center"/>
          </w:tcPr>
          <w:p w14:paraId="414C1FA1">
            <w:pPr>
              <w:pStyle w:val="53"/>
              <w:rPr>
                <w:highlight w:val="none"/>
              </w:rPr>
            </w:pPr>
          </w:p>
        </w:tc>
      </w:tr>
      <w:tr w14:paraId="263512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5797672E">
            <w:pPr>
              <w:pStyle w:val="53"/>
              <w:numPr>
                <w:ilvl w:val="0"/>
                <w:numId w:val="13"/>
              </w:numPr>
              <w:rPr>
                <w:highlight w:val="none"/>
              </w:rPr>
            </w:pPr>
          </w:p>
        </w:tc>
        <w:tc>
          <w:tcPr>
            <w:tcW w:w="1284" w:type="pct"/>
            <w:shd w:val="clear" w:color="auto" w:fill="auto"/>
            <w:vAlign w:val="center"/>
          </w:tcPr>
          <w:p w14:paraId="468E82A2">
            <w:pPr>
              <w:pStyle w:val="53"/>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highlight w:val="none"/>
                <w:lang w:val="en-US" w:eastAsia="zh-CN"/>
              </w:rPr>
              <w:t>GB/T 26471-2023</w:t>
            </w:r>
          </w:p>
        </w:tc>
        <w:tc>
          <w:tcPr>
            <w:tcW w:w="2656" w:type="pct"/>
            <w:shd w:val="clear" w:color="auto" w:fill="auto"/>
            <w:vAlign w:val="center"/>
          </w:tcPr>
          <w:p w14:paraId="67FAA91C">
            <w:pPr>
              <w:pStyle w:val="53"/>
              <w:ind w:firstLine="0" w:firstLineChars="0"/>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cs="Times New Roman" w:asciiTheme="majorEastAsia" w:hAnsiTheme="majorEastAsia" w:eastAsiaTheme="majorEastAsia"/>
                <w:sz w:val="21"/>
                <w:szCs w:val="21"/>
                <w:highlight w:val="none"/>
                <w:lang w:val="en-US" w:eastAsia="zh-CN"/>
              </w:rPr>
              <w:t>塔式起重机安装、拆卸与爬升规则</w:t>
            </w:r>
          </w:p>
        </w:tc>
        <w:tc>
          <w:tcPr>
            <w:tcW w:w="641" w:type="pct"/>
            <w:vMerge w:val="continue"/>
            <w:shd w:val="clear" w:color="auto" w:fill="auto"/>
            <w:vAlign w:val="center"/>
          </w:tcPr>
          <w:p w14:paraId="0A8BB39D">
            <w:pPr>
              <w:pStyle w:val="53"/>
              <w:rPr>
                <w:highlight w:val="none"/>
              </w:rPr>
            </w:pPr>
          </w:p>
        </w:tc>
      </w:tr>
      <w:tr w14:paraId="5C21A2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49E35FE6">
            <w:pPr>
              <w:pStyle w:val="53"/>
              <w:numPr>
                <w:ilvl w:val="0"/>
                <w:numId w:val="13"/>
              </w:numPr>
              <w:rPr>
                <w:highlight w:val="none"/>
              </w:rPr>
            </w:pPr>
          </w:p>
        </w:tc>
        <w:tc>
          <w:tcPr>
            <w:tcW w:w="1284" w:type="pct"/>
            <w:shd w:val="clear" w:color="auto" w:fill="auto"/>
            <w:vAlign w:val="center"/>
          </w:tcPr>
          <w:p w14:paraId="2BF53817">
            <w:pPr>
              <w:pStyle w:val="53"/>
              <w:rPr>
                <w:highlight w:val="none"/>
              </w:rPr>
            </w:pPr>
            <w:r>
              <w:rPr>
                <w:highlight w:val="none"/>
              </w:rPr>
              <w:t>GB/T 25854-2010</w:t>
            </w:r>
          </w:p>
        </w:tc>
        <w:tc>
          <w:tcPr>
            <w:tcW w:w="2656" w:type="pct"/>
            <w:shd w:val="clear" w:color="auto" w:fill="auto"/>
            <w:vAlign w:val="center"/>
          </w:tcPr>
          <w:p w14:paraId="483FDFE0">
            <w:pPr>
              <w:pStyle w:val="53"/>
              <w:rPr>
                <w:highlight w:val="none"/>
              </w:rPr>
            </w:pPr>
            <w:r>
              <w:rPr>
                <w:highlight w:val="none"/>
              </w:rPr>
              <w:t>一般起重用D形和弓形锻造卸扣</w:t>
            </w:r>
          </w:p>
        </w:tc>
        <w:tc>
          <w:tcPr>
            <w:tcW w:w="641" w:type="pct"/>
            <w:vMerge w:val="continue"/>
            <w:shd w:val="clear" w:color="auto" w:fill="auto"/>
            <w:vAlign w:val="center"/>
          </w:tcPr>
          <w:p w14:paraId="124D6FBB">
            <w:pPr>
              <w:pStyle w:val="53"/>
              <w:rPr>
                <w:highlight w:val="none"/>
              </w:rPr>
            </w:pPr>
          </w:p>
        </w:tc>
      </w:tr>
      <w:tr w14:paraId="3EC261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462121F9">
            <w:pPr>
              <w:pStyle w:val="53"/>
              <w:numPr>
                <w:ilvl w:val="0"/>
                <w:numId w:val="13"/>
              </w:numPr>
              <w:rPr>
                <w:highlight w:val="none"/>
              </w:rPr>
            </w:pPr>
          </w:p>
        </w:tc>
        <w:tc>
          <w:tcPr>
            <w:tcW w:w="1284" w:type="pct"/>
            <w:shd w:val="clear" w:color="auto" w:fill="auto"/>
            <w:vAlign w:val="center"/>
          </w:tcPr>
          <w:p w14:paraId="327228C7">
            <w:pPr>
              <w:pStyle w:val="53"/>
              <w:rPr>
                <w:highlight w:val="none"/>
              </w:rPr>
            </w:pPr>
            <w:r>
              <w:rPr>
                <w:rFonts w:hint="eastAsia"/>
                <w:highlight w:val="none"/>
              </w:rPr>
              <w:t>Q</w:t>
            </w:r>
            <w:r>
              <w:rPr>
                <w:highlight w:val="none"/>
              </w:rPr>
              <w:t>/</w:t>
            </w:r>
            <w:r>
              <w:rPr>
                <w:rFonts w:hint="eastAsia"/>
                <w:highlight w:val="none"/>
              </w:rPr>
              <w:t>CCCG</w:t>
            </w:r>
            <w:r>
              <w:rPr>
                <w:highlight w:val="none"/>
              </w:rPr>
              <w:t xml:space="preserve"> </w:t>
            </w:r>
            <w:r>
              <w:rPr>
                <w:rFonts w:hint="eastAsia"/>
                <w:highlight w:val="none"/>
              </w:rPr>
              <w:t>ZH</w:t>
            </w:r>
            <w:r>
              <w:rPr>
                <w:highlight w:val="none"/>
              </w:rPr>
              <w:t>00</w:t>
            </w:r>
            <w:r>
              <w:rPr>
                <w:rFonts w:hint="eastAsia"/>
                <w:highlight w:val="none"/>
              </w:rPr>
              <w:t>X</w:t>
            </w:r>
            <w:r>
              <w:rPr>
                <w:highlight w:val="none"/>
              </w:rPr>
              <w:t>-2022</w:t>
            </w:r>
          </w:p>
        </w:tc>
        <w:tc>
          <w:tcPr>
            <w:tcW w:w="2656" w:type="pct"/>
            <w:shd w:val="clear" w:color="auto" w:fill="auto"/>
            <w:vAlign w:val="center"/>
          </w:tcPr>
          <w:p w14:paraId="47369DE2">
            <w:pPr>
              <w:pStyle w:val="53"/>
              <w:rPr>
                <w:highlight w:val="none"/>
              </w:rPr>
            </w:pPr>
            <w:r>
              <w:rPr>
                <w:rFonts w:hint="eastAsia"/>
                <w:highlight w:val="none"/>
              </w:rPr>
              <w:t>固定式塔式起重机安拆技术安全指南（试行）</w:t>
            </w:r>
          </w:p>
        </w:tc>
        <w:tc>
          <w:tcPr>
            <w:tcW w:w="641" w:type="pct"/>
            <w:vMerge w:val="continue"/>
            <w:shd w:val="clear" w:color="auto" w:fill="auto"/>
            <w:vAlign w:val="center"/>
          </w:tcPr>
          <w:p w14:paraId="0C437F8B">
            <w:pPr>
              <w:pStyle w:val="53"/>
              <w:rPr>
                <w:highlight w:val="none"/>
              </w:rPr>
            </w:pPr>
          </w:p>
        </w:tc>
      </w:tr>
      <w:tr w14:paraId="1A3471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172736B6">
            <w:pPr>
              <w:pStyle w:val="53"/>
              <w:numPr>
                <w:ilvl w:val="0"/>
                <w:numId w:val="13"/>
              </w:numPr>
              <w:rPr>
                <w:highlight w:val="none"/>
              </w:rPr>
            </w:pPr>
          </w:p>
        </w:tc>
        <w:tc>
          <w:tcPr>
            <w:tcW w:w="1284" w:type="pct"/>
            <w:shd w:val="clear" w:color="auto" w:fill="auto"/>
            <w:vAlign w:val="center"/>
          </w:tcPr>
          <w:p w14:paraId="1570EAC3">
            <w:pPr>
              <w:pStyle w:val="53"/>
              <w:rPr>
                <w:rFonts w:hint="default"/>
                <w:highlight w:val="none"/>
                <w:lang w:val="en-US" w:eastAsia="zh-CN"/>
              </w:rPr>
            </w:pPr>
            <w:r>
              <w:rPr>
                <w:rFonts w:hint="default"/>
                <w:highlight w:val="none"/>
                <w:lang w:val="en-US" w:eastAsia="zh-CN"/>
              </w:rPr>
              <w:t>二航科字【2024】162号</w:t>
            </w:r>
          </w:p>
        </w:tc>
        <w:tc>
          <w:tcPr>
            <w:tcW w:w="2656" w:type="pct"/>
            <w:shd w:val="clear" w:color="auto" w:fill="auto"/>
            <w:vAlign w:val="center"/>
          </w:tcPr>
          <w:p w14:paraId="75A9E43C">
            <w:pPr>
              <w:pStyle w:val="53"/>
              <w:ind w:firstLine="0" w:firstLineChars="0"/>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cs="Times New Roman" w:asciiTheme="majorEastAsia" w:hAnsiTheme="majorEastAsia" w:eastAsiaTheme="majorEastAsia"/>
                <w:sz w:val="21"/>
                <w:szCs w:val="21"/>
                <w:highlight w:val="none"/>
                <w:lang w:val="en-US" w:eastAsia="zh-CN"/>
              </w:rPr>
              <w:t>施工技术交底工作标准</w:t>
            </w:r>
          </w:p>
        </w:tc>
        <w:tc>
          <w:tcPr>
            <w:tcW w:w="641" w:type="pct"/>
            <w:vMerge w:val="restart"/>
            <w:shd w:val="clear" w:color="auto" w:fill="auto"/>
            <w:vAlign w:val="center"/>
          </w:tcPr>
          <w:p w14:paraId="1EC83DE6">
            <w:pPr>
              <w:pStyle w:val="53"/>
              <w:rPr>
                <w:rFonts w:hint="eastAsia"/>
                <w:highlight w:val="none"/>
              </w:rPr>
            </w:pPr>
            <w:r>
              <w:rPr>
                <w:rFonts w:hint="eastAsia"/>
                <w:highlight w:val="none"/>
              </w:rPr>
              <w:t>公司相关管理文件</w:t>
            </w:r>
          </w:p>
        </w:tc>
      </w:tr>
      <w:tr w14:paraId="545E69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438FB44B">
            <w:pPr>
              <w:pStyle w:val="53"/>
              <w:numPr>
                <w:ilvl w:val="0"/>
                <w:numId w:val="13"/>
              </w:numPr>
              <w:rPr>
                <w:highlight w:val="none"/>
              </w:rPr>
            </w:pPr>
          </w:p>
        </w:tc>
        <w:tc>
          <w:tcPr>
            <w:tcW w:w="1284" w:type="pct"/>
            <w:shd w:val="clear" w:color="auto" w:fill="auto"/>
            <w:vAlign w:val="center"/>
          </w:tcPr>
          <w:p w14:paraId="67C3A663">
            <w:pPr>
              <w:pStyle w:val="53"/>
              <w:rPr>
                <w:rFonts w:hint="default"/>
                <w:highlight w:val="none"/>
                <w:lang w:val="en-US" w:eastAsia="zh-CN"/>
              </w:rPr>
            </w:pPr>
            <w:r>
              <w:rPr>
                <w:rFonts w:hint="default"/>
                <w:highlight w:val="none"/>
                <w:lang w:val="en-US" w:eastAsia="zh-CN"/>
              </w:rPr>
              <w:t>二航安委〔2019〕440号</w:t>
            </w:r>
          </w:p>
        </w:tc>
        <w:tc>
          <w:tcPr>
            <w:tcW w:w="2656" w:type="pct"/>
            <w:shd w:val="clear" w:color="auto" w:fill="auto"/>
            <w:vAlign w:val="center"/>
          </w:tcPr>
          <w:p w14:paraId="7EFD1729">
            <w:pPr>
              <w:pStyle w:val="53"/>
              <w:ind w:firstLine="0" w:firstLineChars="0"/>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cs="Times New Roman" w:asciiTheme="majorEastAsia" w:hAnsiTheme="majorEastAsia" w:eastAsiaTheme="majorEastAsia"/>
                <w:sz w:val="21"/>
                <w:szCs w:val="21"/>
                <w:highlight w:val="none"/>
                <w:lang w:val="en-US" w:eastAsia="zh-CN"/>
              </w:rPr>
              <w:t>中交二航局生产过程危险有害因素辨识及评价管理办法</w:t>
            </w:r>
          </w:p>
        </w:tc>
        <w:tc>
          <w:tcPr>
            <w:tcW w:w="641" w:type="pct"/>
            <w:vMerge w:val="continue"/>
            <w:shd w:val="clear" w:color="auto" w:fill="auto"/>
            <w:vAlign w:val="center"/>
          </w:tcPr>
          <w:p w14:paraId="35319805">
            <w:pPr>
              <w:pStyle w:val="53"/>
              <w:rPr>
                <w:rFonts w:hint="eastAsia"/>
                <w:highlight w:val="none"/>
              </w:rPr>
            </w:pPr>
          </w:p>
        </w:tc>
      </w:tr>
      <w:tr w14:paraId="045C54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3CC57A0C">
            <w:pPr>
              <w:pStyle w:val="53"/>
              <w:numPr>
                <w:ilvl w:val="0"/>
                <w:numId w:val="13"/>
              </w:numPr>
              <w:rPr>
                <w:highlight w:val="none"/>
              </w:rPr>
            </w:pPr>
          </w:p>
        </w:tc>
        <w:tc>
          <w:tcPr>
            <w:tcW w:w="1284" w:type="pct"/>
            <w:shd w:val="clear" w:color="auto" w:fill="auto"/>
            <w:vAlign w:val="center"/>
          </w:tcPr>
          <w:p w14:paraId="00C8FF38">
            <w:pPr>
              <w:pStyle w:val="53"/>
              <w:rPr>
                <w:rFonts w:hint="default"/>
                <w:highlight w:val="none"/>
                <w:lang w:val="en-US" w:eastAsia="zh-CN"/>
              </w:rPr>
            </w:pPr>
            <w:r>
              <w:rPr>
                <w:rFonts w:hint="default"/>
                <w:highlight w:val="none"/>
                <w:lang w:val="en-US" w:eastAsia="zh-CN"/>
              </w:rPr>
              <w:t>二航安字〔2022〕56号</w:t>
            </w:r>
          </w:p>
        </w:tc>
        <w:tc>
          <w:tcPr>
            <w:tcW w:w="2656" w:type="pct"/>
            <w:shd w:val="clear" w:color="auto" w:fill="auto"/>
            <w:vAlign w:val="center"/>
          </w:tcPr>
          <w:p w14:paraId="1C20BC5C">
            <w:pPr>
              <w:pStyle w:val="53"/>
              <w:ind w:firstLine="0" w:firstLineChars="0"/>
              <w:rPr>
                <w:rFonts w:hint="eastAsia"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cs="Times New Roman" w:asciiTheme="majorEastAsia" w:hAnsiTheme="majorEastAsia" w:eastAsiaTheme="majorEastAsia"/>
                <w:sz w:val="21"/>
                <w:szCs w:val="21"/>
                <w:highlight w:val="none"/>
                <w:lang w:val="en-US" w:eastAsia="zh-CN"/>
              </w:rPr>
              <w:t>中交二航局危险有害因素辨识及评价一览表（指导版）</w:t>
            </w:r>
          </w:p>
        </w:tc>
        <w:tc>
          <w:tcPr>
            <w:tcW w:w="641" w:type="pct"/>
            <w:vMerge w:val="continue"/>
            <w:shd w:val="clear" w:color="auto" w:fill="auto"/>
            <w:vAlign w:val="center"/>
          </w:tcPr>
          <w:p w14:paraId="5E0DCC39">
            <w:pPr>
              <w:pStyle w:val="53"/>
              <w:rPr>
                <w:rFonts w:hint="eastAsia"/>
                <w:highlight w:val="none"/>
              </w:rPr>
            </w:pPr>
          </w:p>
        </w:tc>
      </w:tr>
      <w:tr w14:paraId="7B780B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6DDD591F">
            <w:pPr>
              <w:pStyle w:val="53"/>
              <w:numPr>
                <w:ilvl w:val="0"/>
                <w:numId w:val="13"/>
              </w:numPr>
              <w:rPr>
                <w:highlight w:val="none"/>
              </w:rPr>
            </w:pPr>
          </w:p>
        </w:tc>
        <w:tc>
          <w:tcPr>
            <w:tcW w:w="1284" w:type="pct"/>
            <w:shd w:val="clear" w:color="auto" w:fill="auto"/>
            <w:vAlign w:val="center"/>
          </w:tcPr>
          <w:p w14:paraId="600540DE">
            <w:pPr>
              <w:pStyle w:val="53"/>
              <w:rPr>
                <w:highlight w:val="none"/>
              </w:rPr>
            </w:pPr>
          </w:p>
        </w:tc>
        <w:tc>
          <w:tcPr>
            <w:tcW w:w="2656" w:type="pct"/>
            <w:shd w:val="clear" w:color="auto" w:fill="auto"/>
            <w:vAlign w:val="center"/>
          </w:tcPr>
          <w:p w14:paraId="6A442BBF">
            <w:pPr>
              <w:pStyle w:val="53"/>
              <w:rPr>
                <w:highlight w:val="none"/>
              </w:rPr>
            </w:pPr>
            <w:r>
              <w:rPr>
                <w:rFonts w:hint="eastAsia"/>
                <w:highlight w:val="none"/>
              </w:rPr>
              <w:t>XGT360-20S1</w:t>
            </w:r>
            <w:r>
              <w:rPr>
                <w:highlight w:val="none"/>
              </w:rPr>
              <w:fldChar w:fldCharType="begin"/>
            </w:r>
            <w:r>
              <w:rPr>
                <w:highlight w:val="none"/>
              </w:rPr>
              <w:instrText xml:space="preserve"> REF 设备类型 \h  \* MERGEFORMAT </w:instrText>
            </w:r>
            <w:r>
              <w:rPr>
                <w:highlight w:val="none"/>
              </w:rPr>
              <w:fldChar w:fldCharType="separate"/>
            </w:r>
            <w:r>
              <w:rPr>
                <w:rFonts w:hint="eastAsia"/>
                <w:highlight w:val="none"/>
              </w:rPr>
              <w:t>塔式起重机</w:t>
            </w:r>
            <w:r>
              <w:rPr>
                <w:highlight w:val="none"/>
              </w:rPr>
              <w:fldChar w:fldCharType="end"/>
            </w:r>
            <w:r>
              <w:rPr>
                <w:rFonts w:hint="eastAsia"/>
                <w:highlight w:val="none"/>
              </w:rPr>
              <w:t>说明书</w:t>
            </w:r>
          </w:p>
        </w:tc>
        <w:tc>
          <w:tcPr>
            <w:tcW w:w="641" w:type="pct"/>
            <w:vMerge w:val="restart"/>
            <w:shd w:val="clear" w:color="auto" w:fill="auto"/>
            <w:vAlign w:val="center"/>
          </w:tcPr>
          <w:p w14:paraId="76CA037B">
            <w:pPr>
              <w:pStyle w:val="53"/>
              <w:rPr>
                <w:highlight w:val="none"/>
              </w:rPr>
            </w:pPr>
            <w:r>
              <w:rPr>
                <w:rFonts w:hint="eastAsia"/>
                <w:highlight w:val="none"/>
              </w:rPr>
              <w:t>技术资料</w:t>
            </w:r>
          </w:p>
        </w:tc>
      </w:tr>
      <w:tr w14:paraId="30448E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5F2B9A56">
            <w:pPr>
              <w:pStyle w:val="53"/>
              <w:numPr>
                <w:ilvl w:val="0"/>
                <w:numId w:val="13"/>
              </w:numPr>
              <w:rPr>
                <w:highlight w:val="none"/>
              </w:rPr>
            </w:pPr>
          </w:p>
        </w:tc>
        <w:tc>
          <w:tcPr>
            <w:tcW w:w="1284" w:type="pct"/>
            <w:shd w:val="clear" w:color="auto" w:fill="auto"/>
            <w:vAlign w:val="center"/>
          </w:tcPr>
          <w:p w14:paraId="461495EA">
            <w:pPr>
              <w:pStyle w:val="53"/>
              <w:rPr>
                <w:highlight w:val="none"/>
              </w:rPr>
            </w:pPr>
          </w:p>
        </w:tc>
        <w:tc>
          <w:tcPr>
            <w:tcW w:w="2656" w:type="pct"/>
            <w:shd w:val="clear" w:color="auto" w:fill="auto"/>
            <w:vAlign w:val="center"/>
          </w:tcPr>
          <w:p w14:paraId="131C9A53">
            <w:pPr>
              <w:pStyle w:val="53"/>
              <w:rPr>
                <w:highlight w:val="none"/>
              </w:rPr>
            </w:pPr>
            <w:r>
              <w:rPr>
                <w:rFonts w:hint="eastAsia"/>
                <w:highlight w:val="none"/>
              </w:rPr>
              <w:t>XGT7026-12S1</w:t>
            </w:r>
            <w:r>
              <w:rPr>
                <w:highlight w:val="none"/>
              </w:rPr>
              <w:fldChar w:fldCharType="begin"/>
            </w:r>
            <w:r>
              <w:rPr>
                <w:highlight w:val="none"/>
              </w:rPr>
              <w:instrText xml:space="preserve"> REF 设备类型 \h  \* MERGEFORMAT </w:instrText>
            </w:r>
            <w:r>
              <w:rPr>
                <w:highlight w:val="none"/>
              </w:rPr>
              <w:fldChar w:fldCharType="separate"/>
            </w:r>
            <w:r>
              <w:rPr>
                <w:rFonts w:hint="eastAsia"/>
                <w:highlight w:val="none"/>
              </w:rPr>
              <w:t>塔式起重机</w:t>
            </w:r>
            <w:r>
              <w:rPr>
                <w:highlight w:val="none"/>
              </w:rPr>
              <w:fldChar w:fldCharType="end"/>
            </w:r>
            <w:r>
              <w:rPr>
                <w:rFonts w:hint="eastAsia"/>
                <w:highlight w:val="none"/>
              </w:rPr>
              <w:t>说明书</w:t>
            </w:r>
          </w:p>
        </w:tc>
        <w:tc>
          <w:tcPr>
            <w:tcW w:w="641" w:type="pct"/>
            <w:vMerge w:val="continue"/>
            <w:shd w:val="clear" w:color="auto" w:fill="auto"/>
            <w:vAlign w:val="center"/>
          </w:tcPr>
          <w:p w14:paraId="732C82C6">
            <w:pPr>
              <w:pStyle w:val="53"/>
              <w:rPr>
                <w:highlight w:val="none"/>
              </w:rPr>
            </w:pPr>
          </w:p>
        </w:tc>
      </w:tr>
      <w:tr w14:paraId="57CD3C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shd w:val="clear" w:color="auto" w:fill="auto"/>
            <w:vAlign w:val="center"/>
          </w:tcPr>
          <w:p w14:paraId="107A07CE">
            <w:pPr>
              <w:pStyle w:val="53"/>
              <w:numPr>
                <w:ilvl w:val="0"/>
                <w:numId w:val="13"/>
              </w:numPr>
              <w:rPr>
                <w:highlight w:val="none"/>
              </w:rPr>
            </w:pPr>
          </w:p>
        </w:tc>
        <w:tc>
          <w:tcPr>
            <w:tcW w:w="1284" w:type="pct"/>
            <w:shd w:val="clear" w:color="auto" w:fill="auto"/>
            <w:vAlign w:val="center"/>
          </w:tcPr>
          <w:p w14:paraId="3D3AA65D">
            <w:pPr>
              <w:pStyle w:val="53"/>
              <w:rPr>
                <w:highlight w:val="none"/>
              </w:rPr>
            </w:pPr>
          </w:p>
        </w:tc>
        <w:tc>
          <w:tcPr>
            <w:tcW w:w="2656" w:type="pct"/>
            <w:shd w:val="clear" w:color="auto" w:fill="auto"/>
            <w:vAlign w:val="center"/>
          </w:tcPr>
          <w:p w14:paraId="37D7F723">
            <w:pPr>
              <w:pStyle w:val="53"/>
              <w:rPr>
                <w:highlight w:val="none"/>
              </w:rPr>
            </w:pPr>
            <w:r>
              <w:rPr>
                <w:highlight w:val="none"/>
              </w:rPr>
              <w:fldChar w:fldCharType="begin"/>
            </w:r>
            <w:r>
              <w:rPr>
                <w:highlight w:val="none"/>
              </w:rPr>
              <w:instrText xml:space="preserve"> </w:instrText>
            </w:r>
            <w:r>
              <w:rPr>
                <w:rFonts w:hint="eastAsia"/>
                <w:highlight w:val="none"/>
              </w:rPr>
              <w:instrText xml:space="preserve">REF 起重设备1型号 \h</w:instrText>
            </w:r>
            <w:r>
              <w:rPr>
                <w:highlight w:val="none"/>
              </w:rPr>
              <w:instrText xml:space="preserve"> </w:instrText>
            </w:r>
            <w:r>
              <w:rPr>
                <w:highlight w:val="none"/>
              </w:rPr>
              <w:fldChar w:fldCharType="separate"/>
            </w:r>
            <w:r>
              <w:rPr>
                <w:rFonts w:hint="eastAsia"/>
                <w:highlight w:val="none"/>
              </w:rPr>
              <w:t>100t</w:t>
            </w:r>
            <w:r>
              <w:rPr>
                <w:highlight w:val="none"/>
              </w:rPr>
              <w:fldChar w:fldCharType="end"/>
            </w:r>
            <w:r>
              <w:rPr>
                <w:highlight w:val="none"/>
              </w:rPr>
              <w:fldChar w:fldCharType="begin"/>
            </w:r>
            <w:r>
              <w:rPr>
                <w:highlight w:val="none"/>
              </w:rPr>
              <w:instrText xml:space="preserve"> REF 起重设备1类型 \h </w:instrText>
            </w:r>
            <w:r>
              <w:rPr>
                <w:highlight w:val="none"/>
              </w:rPr>
              <w:fldChar w:fldCharType="separate"/>
            </w:r>
            <w:r>
              <w:rPr>
                <w:rFonts w:hint="eastAsia"/>
                <w:highlight w:val="none"/>
              </w:rPr>
              <w:t>汽车吊</w:t>
            </w:r>
            <w:r>
              <w:rPr>
                <w:highlight w:val="none"/>
              </w:rPr>
              <w:fldChar w:fldCharType="end"/>
            </w:r>
            <w:r>
              <w:rPr>
                <w:rFonts w:hint="eastAsia"/>
                <w:highlight w:val="none"/>
              </w:rPr>
              <w:t>说明书</w:t>
            </w:r>
          </w:p>
        </w:tc>
        <w:tc>
          <w:tcPr>
            <w:tcW w:w="641" w:type="pct"/>
            <w:vMerge w:val="continue"/>
            <w:shd w:val="clear" w:color="auto" w:fill="auto"/>
            <w:vAlign w:val="center"/>
          </w:tcPr>
          <w:p w14:paraId="78B9F95A">
            <w:pPr>
              <w:pStyle w:val="53"/>
              <w:rPr>
                <w:highlight w:val="none"/>
              </w:rPr>
            </w:pPr>
          </w:p>
        </w:tc>
      </w:tr>
    </w:tbl>
    <w:p w14:paraId="078FE7D5">
      <w:pPr>
        <w:pStyle w:val="4"/>
        <w:bidi w:val="0"/>
        <w:ind w:left="0" w:leftChars="0" w:firstLine="0" w:firstLineChars="0"/>
        <w:rPr>
          <w:highlight w:val="none"/>
        </w:rPr>
      </w:pPr>
      <w:bookmarkStart w:id="8" w:name="_Toc10240"/>
      <w:r>
        <w:rPr>
          <w:rFonts w:hint="eastAsia"/>
          <w:highlight w:val="none"/>
        </w:rPr>
        <w:t>适用范围</w:t>
      </w:r>
      <w:bookmarkEnd w:id="8"/>
    </w:p>
    <w:p w14:paraId="165FB160">
      <w:pPr>
        <w:ind w:firstLine="480"/>
        <w:jc w:val="left"/>
        <w:rPr>
          <w:highlight w:val="none"/>
        </w:rPr>
      </w:pPr>
      <w:r>
        <w:rPr>
          <w:rFonts w:hint="eastAsia"/>
          <w:highlight w:val="none"/>
        </w:rPr>
        <w:t>本方案仅适用于厦门第三东通道工程项目A1标段西主塔1台XGT360-20S1、1台XGT7026-12S1安装安全施工作业。</w:t>
      </w:r>
    </w:p>
    <w:p w14:paraId="286C7EF4">
      <w:pPr>
        <w:pStyle w:val="3"/>
        <w:bidi w:val="0"/>
        <w:ind w:left="432" w:leftChars="0" w:hanging="432" w:firstLineChars="0"/>
        <w:rPr>
          <w:highlight w:val="none"/>
        </w:rPr>
      </w:pPr>
      <w:bookmarkStart w:id="9" w:name="_Toc3755"/>
      <w:r>
        <w:rPr>
          <w:rFonts w:hint="eastAsia"/>
          <w:highlight w:val="none"/>
        </w:rPr>
        <w:t>工程概况</w:t>
      </w:r>
      <w:bookmarkEnd w:id="9"/>
    </w:p>
    <w:p w14:paraId="1C84C66C">
      <w:pPr>
        <w:pStyle w:val="4"/>
        <w:bidi w:val="0"/>
        <w:ind w:left="0" w:leftChars="0" w:firstLine="0" w:firstLineChars="0"/>
        <w:rPr>
          <w:highlight w:val="none"/>
        </w:rPr>
      </w:pPr>
      <w:bookmarkStart w:id="10" w:name="_Toc21755"/>
      <w:r>
        <w:rPr>
          <w:rFonts w:hint="eastAsia"/>
          <w:highlight w:val="none"/>
        </w:rPr>
        <w:t>工程概况</w:t>
      </w:r>
      <w:bookmarkEnd w:id="10"/>
    </w:p>
    <w:p w14:paraId="6A7C6F79">
      <w:pPr>
        <w:pStyle w:val="5"/>
        <w:bidi w:val="0"/>
        <w:ind w:left="0" w:leftChars="0" w:firstLine="0" w:firstLineChars="0"/>
        <w:rPr>
          <w:highlight w:val="none"/>
        </w:rPr>
      </w:pPr>
      <w:bookmarkStart w:id="11" w:name="_Toc10041"/>
      <w:bookmarkStart w:id="12" w:name="_Toc164805014"/>
      <w:bookmarkStart w:id="13" w:name="_Toc177024253"/>
      <w:bookmarkStart w:id="14" w:name="_Toc18950"/>
      <w:bookmarkStart w:id="15" w:name="_Toc24426"/>
      <w:bookmarkStart w:id="16" w:name="_Toc153314228"/>
      <w:r>
        <w:rPr>
          <w:rFonts w:hint="eastAsia"/>
          <w:highlight w:val="none"/>
        </w:rPr>
        <w:t>项目概况</w:t>
      </w:r>
      <w:bookmarkEnd w:id="11"/>
      <w:bookmarkEnd w:id="12"/>
      <w:bookmarkEnd w:id="13"/>
      <w:bookmarkEnd w:id="14"/>
      <w:bookmarkEnd w:id="15"/>
      <w:bookmarkEnd w:id="16"/>
    </w:p>
    <w:p w14:paraId="0E7F1148">
      <w:pPr>
        <w:ind w:firstLine="480"/>
        <w:rPr>
          <w:highlight w:val="none"/>
        </w:rPr>
      </w:pPr>
      <w:r>
        <w:rPr>
          <w:rFonts w:hint="eastAsia"/>
          <w:highlight w:val="none"/>
        </w:rPr>
        <w:t>厦门第三东通道起于厦门本岛思明区香山游艇会附近，终点设互通接入翔安新机场，同步建设翔安支线，路线全长约19.615km，其中主线长约17.340km，翔安支线总长约2.275km。采用高速公路标准，跨海段主线双向八车道，设计速度100km/h；陆域接线及翔安支线双向六车道，设计速度80km/h。</w:t>
      </w:r>
    </w:p>
    <w:p w14:paraId="0409E3F5">
      <w:pPr>
        <w:pStyle w:val="18"/>
        <w:rPr>
          <w:highlight w:val="none"/>
        </w:rPr>
      </w:pPr>
      <w:r>
        <w:rPr>
          <w:highlight w:val="none"/>
        </w:rPr>
        <w:drawing>
          <wp:inline distT="0" distB="0" distL="0" distR="0">
            <wp:extent cx="5759450" cy="3321050"/>
            <wp:effectExtent l="0" t="0" r="1270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760000" cy="3321600"/>
                    </a:xfrm>
                    <a:prstGeom prst="rect">
                      <a:avLst/>
                    </a:prstGeom>
                    <a:noFill/>
                    <a:ln>
                      <a:noFill/>
                    </a:ln>
                  </pic:spPr>
                </pic:pic>
              </a:graphicData>
            </a:graphic>
          </wp:inline>
        </w:drawing>
      </w:r>
    </w:p>
    <w:p w14:paraId="1BA53CAE">
      <w:pPr>
        <w:pStyle w:val="18"/>
        <w:rPr>
          <w:highlight w:val="none"/>
        </w:rPr>
      </w:pPr>
      <w:r>
        <w:rPr>
          <w:highlight w:val="none"/>
        </w:rPr>
        <w:t>图</w:t>
      </w:r>
      <w:r>
        <w:rPr>
          <w:highlight w:val="none"/>
        </w:rPr>
        <w:fldChar w:fldCharType="begin"/>
      </w:r>
      <w:r>
        <w:rPr>
          <w:highlight w:val="none"/>
        </w:rPr>
        <w:instrText xml:space="preserve"> STYLEREF 2 \s </w:instrText>
      </w:r>
      <w:r>
        <w:rPr>
          <w:highlight w:val="none"/>
        </w:rPr>
        <w:fldChar w:fldCharType="separate"/>
      </w:r>
      <w:r>
        <w:rPr>
          <w:highlight w:val="none"/>
        </w:rPr>
        <w:t>2.1</w:t>
      </w:r>
      <w:r>
        <w:rPr>
          <w:highlight w:val="none"/>
        </w:rPr>
        <w:fldChar w:fldCharType="end"/>
      </w:r>
      <w:r>
        <w:rPr>
          <w:highlight w:val="none"/>
        </w:rPr>
        <w:noBreakHyphen/>
      </w:r>
      <w:r>
        <w:rPr>
          <w:highlight w:val="none"/>
        </w:rPr>
        <w:fldChar w:fldCharType="begin"/>
      </w:r>
      <w:r>
        <w:rPr>
          <w:highlight w:val="none"/>
        </w:rPr>
        <w:instrText xml:space="preserve"> SEQ 图 \* ARABIC \s 2 </w:instrText>
      </w:r>
      <w:r>
        <w:rPr>
          <w:highlight w:val="none"/>
        </w:rPr>
        <w:fldChar w:fldCharType="separate"/>
      </w:r>
      <w:r>
        <w:rPr>
          <w:highlight w:val="none"/>
        </w:rPr>
        <w:t>1</w:t>
      </w:r>
      <w:r>
        <w:rPr>
          <w:highlight w:val="none"/>
        </w:rPr>
        <w:fldChar w:fldCharType="end"/>
      </w:r>
      <w:r>
        <w:rPr>
          <w:rFonts w:hint="eastAsia"/>
          <w:highlight w:val="none"/>
        </w:rPr>
        <w:t xml:space="preserve"> 项目地理位置图</w:t>
      </w:r>
    </w:p>
    <w:p w14:paraId="2C240538">
      <w:pPr>
        <w:ind w:firstLine="480"/>
        <w:rPr>
          <w:highlight w:val="none"/>
        </w:rPr>
      </w:pPr>
      <w:r>
        <w:rPr>
          <w:rFonts w:hint="eastAsia"/>
          <w:highlight w:val="none"/>
        </w:rPr>
        <w:t>A1标主线起止里程为K4+</w:t>
      </w:r>
      <w:r>
        <w:rPr>
          <w:highlight w:val="none"/>
        </w:rPr>
        <w:t>320</w:t>
      </w:r>
      <w:r>
        <w:rPr>
          <w:rFonts w:hint="eastAsia"/>
          <w:highlight w:val="none"/>
        </w:rPr>
        <w:t>～K8+</w:t>
      </w:r>
      <w:r>
        <w:rPr>
          <w:highlight w:val="none"/>
        </w:rPr>
        <w:t>390</w:t>
      </w:r>
      <w:r>
        <w:rPr>
          <w:rFonts w:hint="eastAsia"/>
          <w:highlight w:val="none"/>
        </w:rPr>
        <w:t>，标段长约3978m，主要施工内容包括：观音山沙滩桥、本岛侧接线桥、刘五店航道桥及部分路基工程，如下图所示。</w:t>
      </w:r>
    </w:p>
    <w:p w14:paraId="7A1610FC">
      <w:pPr>
        <w:pStyle w:val="18"/>
        <w:rPr>
          <w:highlight w:val="none"/>
        </w:rPr>
      </w:pPr>
      <w:r>
        <w:rPr>
          <w:highlight w:val="none"/>
        </w:rPr>
        <w:drawing>
          <wp:inline distT="0" distB="0" distL="0" distR="0">
            <wp:extent cx="5740400" cy="2774950"/>
            <wp:effectExtent l="0" t="0" r="12700" b="635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1"/>
                    <a:srcRect l="1" r="341" b="1197"/>
                    <a:stretch>
                      <a:fillRect/>
                    </a:stretch>
                  </pic:blipFill>
                  <pic:spPr>
                    <a:xfrm>
                      <a:off x="0" y="0"/>
                      <a:ext cx="5740400" cy="2774950"/>
                    </a:xfrm>
                    <a:prstGeom prst="rect">
                      <a:avLst/>
                    </a:prstGeom>
                    <a:ln>
                      <a:noFill/>
                    </a:ln>
                  </pic:spPr>
                </pic:pic>
              </a:graphicData>
            </a:graphic>
          </wp:inline>
        </w:drawing>
      </w:r>
    </w:p>
    <w:p w14:paraId="10F9B50F">
      <w:pPr>
        <w:pStyle w:val="18"/>
        <w:rPr>
          <w:highlight w:val="none"/>
        </w:rPr>
      </w:pPr>
      <w:r>
        <w:rPr>
          <w:highlight w:val="none"/>
        </w:rPr>
        <w:t>图</w:t>
      </w:r>
      <w:r>
        <w:rPr>
          <w:highlight w:val="none"/>
        </w:rPr>
        <w:fldChar w:fldCharType="begin"/>
      </w:r>
      <w:r>
        <w:rPr>
          <w:highlight w:val="none"/>
        </w:rPr>
        <w:instrText xml:space="preserve"> STYLEREF 2 \s </w:instrText>
      </w:r>
      <w:r>
        <w:rPr>
          <w:highlight w:val="none"/>
        </w:rPr>
        <w:fldChar w:fldCharType="separate"/>
      </w:r>
      <w:r>
        <w:rPr>
          <w:highlight w:val="none"/>
        </w:rPr>
        <w:t>2.1</w:t>
      </w:r>
      <w:r>
        <w:rPr>
          <w:highlight w:val="none"/>
        </w:rPr>
        <w:fldChar w:fldCharType="end"/>
      </w:r>
      <w:r>
        <w:rPr>
          <w:highlight w:val="none"/>
        </w:rPr>
        <w:noBreakHyphen/>
      </w:r>
      <w:r>
        <w:rPr>
          <w:highlight w:val="none"/>
        </w:rPr>
        <w:fldChar w:fldCharType="begin"/>
      </w:r>
      <w:r>
        <w:rPr>
          <w:highlight w:val="none"/>
        </w:rPr>
        <w:instrText xml:space="preserve"> SEQ 图 \* ARABIC \s 2 </w:instrText>
      </w:r>
      <w:r>
        <w:rPr>
          <w:highlight w:val="none"/>
        </w:rPr>
        <w:fldChar w:fldCharType="separate"/>
      </w:r>
      <w:r>
        <w:rPr>
          <w:highlight w:val="none"/>
        </w:rPr>
        <w:t>2</w:t>
      </w:r>
      <w:r>
        <w:rPr>
          <w:highlight w:val="none"/>
        </w:rPr>
        <w:fldChar w:fldCharType="end"/>
      </w:r>
      <w:r>
        <w:rPr>
          <w:highlight w:val="none"/>
        </w:rPr>
        <w:t xml:space="preserve"> A1标施工范围示意图</w:t>
      </w:r>
    </w:p>
    <w:p w14:paraId="24031EE6">
      <w:pPr>
        <w:ind w:firstLine="480"/>
        <w:rPr>
          <w:rFonts w:hint="eastAsia"/>
          <w:highlight w:val="none"/>
        </w:rPr>
      </w:pPr>
      <w:r>
        <w:rPr>
          <w:rFonts w:hint="eastAsia"/>
          <w:highlight w:val="none"/>
        </w:rPr>
        <w:t>刘五店航道桥为五跨连续组合桥塔平面缆悬索桥，桥跨布置（130+380+928+380+130）m，加劲梁采用扁平钢箱梁，梁高4.5m。</w:t>
      </w:r>
    </w:p>
    <w:p w14:paraId="5E4CC846">
      <w:pPr>
        <w:pStyle w:val="18"/>
        <w:rPr>
          <w:highlight w:val="none"/>
        </w:rPr>
      </w:pPr>
      <w:r>
        <w:rPr>
          <w:highlight w:val="none"/>
        </w:rPr>
        <w:drawing>
          <wp:inline distT="0" distB="0" distL="0" distR="0">
            <wp:extent cx="5760085" cy="2293620"/>
            <wp:effectExtent l="0" t="0" r="12065" b="1143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32"/>
                    <a:stretch>
                      <a:fillRect/>
                    </a:stretch>
                  </pic:blipFill>
                  <pic:spPr>
                    <a:xfrm>
                      <a:off x="0" y="0"/>
                      <a:ext cx="5760085" cy="2293620"/>
                    </a:xfrm>
                    <a:prstGeom prst="rect">
                      <a:avLst/>
                    </a:prstGeom>
                  </pic:spPr>
                </pic:pic>
              </a:graphicData>
            </a:graphic>
          </wp:inline>
        </w:drawing>
      </w:r>
    </w:p>
    <w:p w14:paraId="68222FDF">
      <w:pPr>
        <w:pStyle w:val="18"/>
        <w:rPr>
          <w:highlight w:val="none"/>
        </w:rPr>
      </w:pPr>
      <w:r>
        <w:rPr>
          <w:highlight w:val="none"/>
        </w:rPr>
        <w:t>图</w:t>
      </w:r>
      <w:r>
        <w:rPr>
          <w:highlight w:val="none"/>
        </w:rPr>
        <w:fldChar w:fldCharType="begin"/>
      </w:r>
      <w:r>
        <w:rPr>
          <w:highlight w:val="none"/>
        </w:rPr>
        <w:instrText xml:space="preserve"> STYLEREF 2 \s </w:instrText>
      </w:r>
      <w:r>
        <w:rPr>
          <w:highlight w:val="none"/>
        </w:rPr>
        <w:fldChar w:fldCharType="separate"/>
      </w:r>
      <w:r>
        <w:rPr>
          <w:highlight w:val="none"/>
        </w:rPr>
        <w:t>2.1</w:t>
      </w:r>
      <w:r>
        <w:rPr>
          <w:highlight w:val="none"/>
        </w:rPr>
        <w:fldChar w:fldCharType="end"/>
      </w:r>
      <w:r>
        <w:rPr>
          <w:highlight w:val="none"/>
        </w:rPr>
        <w:noBreakHyphen/>
      </w:r>
      <w:r>
        <w:rPr>
          <w:highlight w:val="none"/>
        </w:rPr>
        <w:fldChar w:fldCharType="begin"/>
      </w:r>
      <w:r>
        <w:rPr>
          <w:highlight w:val="none"/>
        </w:rPr>
        <w:instrText xml:space="preserve"> SEQ 图 \* ARABIC \s 2 </w:instrText>
      </w:r>
      <w:r>
        <w:rPr>
          <w:highlight w:val="none"/>
        </w:rPr>
        <w:fldChar w:fldCharType="separate"/>
      </w:r>
      <w:r>
        <w:rPr>
          <w:highlight w:val="none"/>
        </w:rPr>
        <w:t>3</w:t>
      </w:r>
      <w:r>
        <w:rPr>
          <w:highlight w:val="none"/>
        </w:rPr>
        <w:fldChar w:fldCharType="end"/>
      </w:r>
      <w:r>
        <w:rPr>
          <w:highlight w:val="none"/>
        </w:rPr>
        <w:t xml:space="preserve"> </w:t>
      </w:r>
      <w:r>
        <w:rPr>
          <w:rFonts w:hint="eastAsia"/>
          <w:highlight w:val="none"/>
        </w:rPr>
        <w:t>刘五店航道桥总体布置图（单位：m）</w:t>
      </w:r>
    </w:p>
    <w:p w14:paraId="2FABEAF5">
      <w:pPr>
        <w:pStyle w:val="5"/>
        <w:bidi w:val="0"/>
        <w:ind w:left="0" w:leftChars="0" w:firstLine="0" w:firstLineChars="0"/>
        <w:rPr>
          <w:highlight w:val="none"/>
        </w:rPr>
      </w:pPr>
      <w:bookmarkStart w:id="17" w:name="_Toc25763"/>
      <w:bookmarkStart w:id="18" w:name="_Toc153314229"/>
      <w:bookmarkStart w:id="19" w:name="_Toc21531"/>
      <w:bookmarkStart w:id="20" w:name="_Toc11322"/>
      <w:bookmarkStart w:id="21" w:name="_Toc177024254"/>
      <w:bookmarkStart w:id="22" w:name="_Toc164805015"/>
      <w:r>
        <w:rPr>
          <w:rFonts w:hint="eastAsia"/>
          <w:highlight w:val="none"/>
        </w:rPr>
        <w:t>主塔概况</w:t>
      </w:r>
      <w:bookmarkEnd w:id="17"/>
      <w:bookmarkEnd w:id="18"/>
      <w:bookmarkEnd w:id="19"/>
      <w:bookmarkEnd w:id="20"/>
      <w:bookmarkEnd w:id="21"/>
      <w:bookmarkEnd w:id="22"/>
    </w:p>
    <w:p w14:paraId="06E958C5">
      <w:pPr>
        <w:pStyle w:val="7"/>
        <w:bidi w:val="0"/>
        <w:ind w:left="864" w:leftChars="0" w:hanging="864" w:firstLineChars="0"/>
        <w:rPr>
          <w:highlight w:val="none"/>
        </w:rPr>
      </w:pPr>
      <w:r>
        <w:rPr>
          <w:rFonts w:hint="eastAsia"/>
          <w:highlight w:val="none"/>
        </w:rPr>
        <w:t>总体构造</w:t>
      </w:r>
    </w:p>
    <w:p w14:paraId="29AF16BB">
      <w:pPr>
        <w:ind w:firstLine="480"/>
        <w:rPr>
          <w:highlight w:val="none"/>
        </w:rPr>
      </w:pPr>
      <w:r>
        <w:rPr>
          <w:rFonts w:hint="eastAsia"/>
          <w:highlight w:val="none"/>
        </w:rPr>
        <w:t>刘五店航道桥西索塔采用门字型钢壳混凝土组合索塔，设置2道横梁。钢结构采用Q420qD，Q345qD和Q235B 型材，钢壳壁内填充C60自密实无收缩混凝土。</w:t>
      </w:r>
    </w:p>
    <w:p w14:paraId="3693B942">
      <w:pPr>
        <w:ind w:firstLine="480"/>
        <w:rPr>
          <w:highlight w:val="none"/>
        </w:rPr>
      </w:pPr>
      <w:r>
        <w:rPr>
          <w:rFonts w:hint="eastAsia"/>
          <w:highlight w:val="none"/>
        </w:rPr>
        <w:t>索塔高178.1m，承台顶标高+1.700m，塔座顶标高+4.700m，塔顶标高182.800m。索塔采用门式框架结构，塔柱采用圆弧倒角矩形截面。塔底塔柱截面尺寸8m×11.5m（横桥向×顺桥向）；塔顶截面尺寸6.3m×9m（横桥向×顺桥向）。索塔壁厚1.2~1.4m，横梁翼缘位置处塔柱设置钢板混凝土组合横隔板，厚度1.6m。</w:t>
      </w:r>
    </w:p>
    <w:p w14:paraId="64F23495">
      <w:pPr>
        <w:pStyle w:val="162"/>
        <w:framePr w:wrap="around"/>
        <w:spacing w:line="360" w:lineRule="auto"/>
        <w:rPr>
          <w:highlight w:val="none"/>
        </w:rPr>
      </w:pPr>
      <w:r>
        <w:rPr>
          <w:highlight w:val="none"/>
        </w:rPr>
        <w:drawing>
          <wp:inline distT="0" distB="0" distL="0" distR="0">
            <wp:extent cx="5399405" cy="6619875"/>
            <wp:effectExtent l="0" t="0" r="10795" b="9525"/>
            <wp:docPr id="9203608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360898" name="图片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400000" cy="6620032"/>
                    </a:xfrm>
                    <a:prstGeom prst="rect">
                      <a:avLst/>
                    </a:prstGeom>
                    <a:noFill/>
                    <a:ln>
                      <a:noFill/>
                    </a:ln>
                  </pic:spPr>
                </pic:pic>
              </a:graphicData>
            </a:graphic>
          </wp:inline>
        </w:drawing>
      </w:r>
    </w:p>
    <w:p w14:paraId="3319FF07">
      <w:pPr>
        <w:pStyle w:val="18"/>
        <w:rPr>
          <w:highlight w:val="none"/>
        </w:rPr>
      </w:pPr>
      <w:r>
        <w:rPr>
          <w:highlight w:val="none"/>
        </w:rPr>
        <w:t>图</w:t>
      </w:r>
      <w:r>
        <w:rPr>
          <w:highlight w:val="none"/>
        </w:rPr>
        <w:fldChar w:fldCharType="begin"/>
      </w:r>
      <w:r>
        <w:rPr>
          <w:highlight w:val="none"/>
        </w:rPr>
        <w:instrText xml:space="preserve"> STYLEREF 2 \s </w:instrText>
      </w:r>
      <w:r>
        <w:rPr>
          <w:highlight w:val="none"/>
        </w:rPr>
        <w:fldChar w:fldCharType="separate"/>
      </w:r>
      <w:r>
        <w:rPr>
          <w:highlight w:val="none"/>
        </w:rPr>
        <w:t>2.1</w:t>
      </w:r>
      <w:r>
        <w:rPr>
          <w:highlight w:val="none"/>
        </w:rPr>
        <w:fldChar w:fldCharType="end"/>
      </w:r>
      <w:r>
        <w:rPr>
          <w:highlight w:val="none"/>
        </w:rPr>
        <w:noBreakHyphen/>
      </w:r>
      <w:r>
        <w:rPr>
          <w:highlight w:val="none"/>
        </w:rPr>
        <w:fldChar w:fldCharType="begin"/>
      </w:r>
      <w:r>
        <w:rPr>
          <w:highlight w:val="none"/>
        </w:rPr>
        <w:instrText xml:space="preserve"> SEQ 图 \* ARABIC \s 2 </w:instrText>
      </w:r>
      <w:r>
        <w:rPr>
          <w:highlight w:val="none"/>
        </w:rPr>
        <w:fldChar w:fldCharType="separate"/>
      </w:r>
      <w:r>
        <w:rPr>
          <w:highlight w:val="none"/>
        </w:rPr>
        <w:t>4</w:t>
      </w:r>
      <w:r>
        <w:rPr>
          <w:highlight w:val="none"/>
        </w:rPr>
        <w:fldChar w:fldCharType="end"/>
      </w:r>
      <w:r>
        <w:rPr>
          <w:rFonts w:hint="eastAsia"/>
          <w:highlight w:val="none"/>
        </w:rPr>
        <w:t xml:space="preserve"> 西主塔一般构造图（单位：cm）</w:t>
      </w:r>
    </w:p>
    <w:p w14:paraId="2B0DF7F4">
      <w:pPr>
        <w:pStyle w:val="7"/>
        <w:bidi w:val="0"/>
        <w:ind w:left="864" w:leftChars="0" w:hanging="864" w:firstLineChars="0"/>
        <w:rPr>
          <w:highlight w:val="none"/>
        </w:rPr>
      </w:pPr>
      <w:r>
        <w:rPr>
          <w:highlight w:val="none"/>
        </w:rPr>
        <w:t>主塔分节</w:t>
      </w:r>
    </w:p>
    <w:p w14:paraId="57AE9B91">
      <w:pPr>
        <w:ind w:firstLine="480"/>
        <w:rPr>
          <w:highlight w:val="none"/>
        </w:rPr>
      </w:pPr>
      <w:r>
        <w:rPr>
          <w:rFonts w:hint="eastAsia"/>
          <w:highlight w:val="none"/>
        </w:rPr>
        <w:t>索塔除鞍罩外共30个节段。塔柱T1节段高5.7m（埋入塔座2.7m，塔座以上高3m），T2~ T10节段高6m，T11节段高4.8m，T12节段高5.6m，T13~T14节段高4.8m，T15 ~ T24节段高6m，T25 ~ T26节段高5.4m，T27 ~ T29节段高6m，T30节段高5.85m，鞍罩节段高6.85m。</w:t>
      </w:r>
    </w:p>
    <w:p w14:paraId="2917F13C">
      <w:pPr>
        <w:pStyle w:val="17"/>
        <w:ind w:firstLine="0" w:firstLineChars="0"/>
        <w:jc w:val="center"/>
        <w:rPr>
          <w:rFonts w:hint="default"/>
          <w:highlight w:val="none"/>
        </w:rPr>
      </w:pPr>
      <w:r>
        <w:rPr>
          <w:highlight w:val="none"/>
        </w:rPr>
        <w:drawing>
          <wp:inline distT="0" distB="0" distL="0" distR="0">
            <wp:extent cx="4499610" cy="6962140"/>
            <wp:effectExtent l="0" t="0" r="0" b="10160"/>
            <wp:docPr id="5851717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71756" name="图片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500000" cy="6962682"/>
                    </a:xfrm>
                    <a:prstGeom prst="rect">
                      <a:avLst/>
                    </a:prstGeom>
                    <a:noFill/>
                    <a:ln>
                      <a:noFill/>
                    </a:ln>
                  </pic:spPr>
                </pic:pic>
              </a:graphicData>
            </a:graphic>
          </wp:inline>
        </w:drawing>
      </w:r>
    </w:p>
    <w:p w14:paraId="2828794B">
      <w:pPr>
        <w:pStyle w:val="18"/>
        <w:ind w:firstLine="422"/>
        <w:rPr>
          <w:highlight w:val="none"/>
        </w:rPr>
      </w:pPr>
      <w:r>
        <w:rPr>
          <w:highlight w:val="none"/>
        </w:rPr>
        <w:t>图</w:t>
      </w:r>
      <w:r>
        <w:rPr>
          <w:highlight w:val="none"/>
        </w:rPr>
        <w:fldChar w:fldCharType="begin"/>
      </w:r>
      <w:r>
        <w:rPr>
          <w:highlight w:val="none"/>
        </w:rPr>
        <w:instrText xml:space="preserve"> STYLEREF 2 \s </w:instrText>
      </w:r>
      <w:r>
        <w:rPr>
          <w:highlight w:val="none"/>
        </w:rPr>
        <w:fldChar w:fldCharType="separate"/>
      </w:r>
      <w:r>
        <w:rPr>
          <w:highlight w:val="none"/>
        </w:rPr>
        <w:t>2.1</w:t>
      </w:r>
      <w:r>
        <w:rPr>
          <w:highlight w:val="none"/>
        </w:rPr>
        <w:fldChar w:fldCharType="end"/>
      </w:r>
      <w:r>
        <w:rPr>
          <w:highlight w:val="none"/>
        </w:rPr>
        <w:noBreakHyphen/>
      </w:r>
      <w:r>
        <w:rPr>
          <w:highlight w:val="none"/>
        </w:rPr>
        <w:fldChar w:fldCharType="begin"/>
      </w:r>
      <w:r>
        <w:rPr>
          <w:highlight w:val="none"/>
        </w:rPr>
        <w:instrText xml:space="preserve"> SEQ 图 \* ARABIC \s 2 </w:instrText>
      </w:r>
      <w:r>
        <w:rPr>
          <w:highlight w:val="none"/>
        </w:rPr>
        <w:fldChar w:fldCharType="separate"/>
      </w:r>
      <w:r>
        <w:rPr>
          <w:highlight w:val="none"/>
        </w:rPr>
        <w:t>5</w:t>
      </w:r>
      <w:r>
        <w:rPr>
          <w:highlight w:val="none"/>
        </w:rPr>
        <w:fldChar w:fldCharType="end"/>
      </w:r>
      <w:r>
        <w:rPr>
          <w:rFonts w:hint="eastAsia"/>
          <w:highlight w:val="none"/>
        </w:rPr>
        <w:t>西主塔节段划分图（单位：cm）</w:t>
      </w:r>
    </w:p>
    <w:p w14:paraId="5D522455">
      <w:pPr>
        <w:ind w:firstLine="480"/>
        <w:rPr>
          <w:highlight w:val="none"/>
        </w:rPr>
      </w:pPr>
      <w:r>
        <w:rPr>
          <w:rFonts w:hint="eastAsia"/>
          <w:highlight w:val="none"/>
        </w:rPr>
        <w:t>主塔节段参数如下表所示。</w:t>
      </w:r>
    </w:p>
    <w:p w14:paraId="20F128EA">
      <w:pPr>
        <w:pStyle w:val="18"/>
        <w:ind w:firstLine="422"/>
        <w:rPr>
          <w:highlight w:val="none"/>
        </w:rPr>
      </w:pPr>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2 \s</w:instrText>
      </w:r>
      <w:r>
        <w:rPr>
          <w:highlight w:val="none"/>
        </w:rPr>
        <w:instrText xml:space="preserve"> </w:instrText>
      </w:r>
      <w:r>
        <w:rPr>
          <w:highlight w:val="none"/>
        </w:rPr>
        <w:fldChar w:fldCharType="separate"/>
      </w:r>
      <w:r>
        <w:rPr>
          <w:highlight w:val="none"/>
        </w:rPr>
        <w:t>2.1</w:t>
      </w:r>
      <w:r>
        <w:rPr>
          <w:highlight w:val="none"/>
        </w:rPr>
        <w:fldChar w:fldCharType="end"/>
      </w:r>
      <w:r>
        <w:rPr>
          <w:highlight w:val="none"/>
        </w:rPr>
        <w:noBreakHyphen/>
      </w:r>
      <w:r>
        <w:rPr>
          <w:highlight w:val="none"/>
        </w:rPr>
        <w:fldChar w:fldCharType="begin"/>
      </w:r>
      <w:r>
        <w:rPr>
          <w:highlight w:val="none"/>
        </w:rPr>
        <w:instrText xml:space="preserve"> </w:instrText>
      </w:r>
      <w:r>
        <w:rPr>
          <w:rFonts w:hint="eastAsia"/>
          <w:highlight w:val="none"/>
        </w:rPr>
        <w:instrText xml:space="preserve">SEQ 表 \* ARABIC \s 2</w:instrText>
      </w:r>
      <w:r>
        <w:rPr>
          <w:highlight w:val="none"/>
        </w:rPr>
        <w:instrText xml:space="preserve"> </w:instrText>
      </w:r>
      <w:r>
        <w:rPr>
          <w:highlight w:val="none"/>
        </w:rPr>
        <w:fldChar w:fldCharType="separate"/>
      </w:r>
      <w:r>
        <w:rPr>
          <w:highlight w:val="none"/>
        </w:rPr>
        <w:t>1</w:t>
      </w:r>
      <w:r>
        <w:rPr>
          <w:highlight w:val="none"/>
        </w:rPr>
        <w:fldChar w:fldCharType="end"/>
      </w:r>
      <w:r>
        <w:rPr>
          <w:rFonts w:hint="eastAsia"/>
          <w:highlight w:val="none"/>
        </w:rPr>
        <w:t xml:space="preserve"> 西主塔节段参数</w:t>
      </w:r>
      <w:r>
        <w:rPr>
          <w:highlight w:val="none"/>
        </w:rPr>
        <w:t>表</w:t>
      </w:r>
    </w:p>
    <w:p w14:paraId="04E2D5A4">
      <w:pPr>
        <w:pStyle w:val="18"/>
        <w:rPr>
          <w:highlight w:val="none"/>
        </w:rPr>
      </w:pPr>
      <w:r>
        <w:rPr>
          <w:highlight w:val="none"/>
        </w:rPr>
        <w:drawing>
          <wp:inline distT="0" distB="0" distL="0" distR="0">
            <wp:extent cx="5760085" cy="5628005"/>
            <wp:effectExtent l="0" t="0" r="12065" b="10795"/>
            <wp:docPr id="1141264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6481" name="图片 1"/>
                    <pic:cNvPicPr>
                      <a:picLocks noChangeAspect="1"/>
                    </pic:cNvPicPr>
                  </pic:nvPicPr>
                  <pic:blipFill>
                    <a:blip r:embed="rId35"/>
                    <a:srcRect t="3881"/>
                    <a:stretch>
                      <a:fillRect/>
                    </a:stretch>
                  </pic:blipFill>
                  <pic:spPr>
                    <a:xfrm>
                      <a:off x="0" y="0"/>
                      <a:ext cx="5760085" cy="5628056"/>
                    </a:xfrm>
                    <a:prstGeom prst="rect">
                      <a:avLst/>
                    </a:prstGeom>
                    <a:ln>
                      <a:noFill/>
                    </a:ln>
                  </pic:spPr>
                </pic:pic>
              </a:graphicData>
            </a:graphic>
          </wp:inline>
        </w:drawing>
      </w:r>
    </w:p>
    <w:p w14:paraId="3C007CB1">
      <w:pPr>
        <w:ind w:firstLine="480"/>
        <w:rPr>
          <w:highlight w:val="none"/>
        </w:rPr>
      </w:pPr>
    </w:p>
    <w:p w14:paraId="32437640">
      <w:pPr>
        <w:pStyle w:val="5"/>
        <w:bidi w:val="0"/>
        <w:ind w:left="0" w:leftChars="0" w:firstLine="0" w:firstLineChars="0"/>
        <w:rPr>
          <w:highlight w:val="none"/>
        </w:rPr>
      </w:pPr>
      <w:r>
        <w:rPr>
          <w:rFonts w:hint="eastAsia"/>
          <w:highlight w:val="none"/>
        </w:rPr>
        <w:t>气候条件</w:t>
      </w:r>
    </w:p>
    <w:p w14:paraId="19BA9E7A">
      <w:pPr>
        <w:ind w:firstLine="480"/>
        <w:rPr>
          <w:highlight w:val="none"/>
        </w:rPr>
      </w:pPr>
      <w:r>
        <w:rPr>
          <w:rFonts w:hint="eastAsia"/>
          <w:highlight w:val="none"/>
        </w:rPr>
        <w:t>（1）气温</w:t>
      </w:r>
    </w:p>
    <w:p w14:paraId="21A6F3BE">
      <w:pPr>
        <w:ind w:firstLine="480"/>
        <w:rPr>
          <w:highlight w:val="none"/>
        </w:rPr>
      </w:pPr>
      <w:r>
        <w:rPr>
          <w:rFonts w:hint="eastAsia"/>
          <w:highlight w:val="none"/>
        </w:rPr>
        <w:t>厦门属亚热带海洋性季风气候，温和多雨，暖热湿润；夏无酷暑，冬无严寒，气候宜人。多年平均气温为20.9℃，极端最高气温38.5℃，极端最低气温1.5℃，月平均最低气温12.4℃，月平均最高气温28.5℃。</w:t>
      </w:r>
    </w:p>
    <w:p w14:paraId="096FB170">
      <w:pPr>
        <w:ind w:firstLine="480"/>
        <w:rPr>
          <w:highlight w:val="none"/>
        </w:rPr>
      </w:pPr>
      <w:r>
        <w:rPr>
          <w:rFonts w:hint="eastAsia"/>
          <w:highlight w:val="none"/>
        </w:rPr>
        <w:t>（2）降水</w:t>
      </w:r>
    </w:p>
    <w:p w14:paraId="1E9D2CA3">
      <w:pPr>
        <w:ind w:firstLine="480"/>
        <w:rPr>
          <w:highlight w:val="none"/>
        </w:rPr>
      </w:pPr>
      <w:r>
        <w:rPr>
          <w:rFonts w:hint="eastAsia"/>
          <w:highlight w:val="none"/>
        </w:rPr>
        <w:t>降水主要集中于4月～8月，年降水天数为118天～160天，具有降水量大、降水持续时间长，短期降水强度大的特点。多年年平均年降水量为1183.4mm，年最多降水量1998.8mm，年最少降水量892.4mm。日最大降雨量320mm(2000年6月18日)，最大降雨强度88mm/h。</w:t>
      </w:r>
    </w:p>
    <w:p w14:paraId="3EEB292D">
      <w:pPr>
        <w:numPr>
          <w:ilvl w:val="0"/>
          <w:numId w:val="14"/>
        </w:numPr>
        <w:ind w:firstLine="480"/>
        <w:rPr>
          <w:highlight w:val="none"/>
        </w:rPr>
      </w:pPr>
      <w:r>
        <w:rPr>
          <w:rFonts w:hint="eastAsia"/>
          <w:highlight w:val="none"/>
        </w:rPr>
        <w:t>风况</w:t>
      </w:r>
    </w:p>
    <w:p w14:paraId="02E184BC">
      <w:pPr>
        <w:ind w:firstLine="480"/>
        <w:rPr>
          <w:highlight w:val="none"/>
        </w:rPr>
      </w:pPr>
      <w:r>
        <w:rPr>
          <w:highlight w:val="none"/>
        </w:rPr>
        <w:t>厦门地区春、夏两季以SE向风为主，秋、冬两季以NE向风为主，每年5月～6月下午常有较强的NE或SW向风，平均风力3级～4级，最大5级～6级，瞬时极大风力可达7级～8级。场区每年7～10月常受台风影响和袭击。据1949～2000年资料统计，52年中热带气旋共出现344个，平均每年6.7次，最多年14次（1961年）；最大风速≥24.5m/s，共出现212次，平均每年4.2次；强热带风暴共出现212次，平均每年4.2次；台风共出现191次，平均每年3.7次，瞬时最大风速曾达80m/s（5914号台风）。</w:t>
      </w:r>
    </w:p>
    <w:p w14:paraId="552EE03B">
      <w:pPr>
        <w:ind w:firstLine="480"/>
        <w:rPr>
          <w:highlight w:val="none"/>
        </w:rPr>
      </w:pPr>
      <w:r>
        <w:rPr>
          <w:highlight w:val="none"/>
        </w:rPr>
        <w:t>受季风影响，10月～次年3月以东北风为主，4～6月以东风和东南风为主，7～9月以东南风和东北风为主。</w:t>
      </w:r>
    </w:p>
    <w:p w14:paraId="7D589965">
      <w:pPr>
        <w:ind w:firstLine="480"/>
        <w:rPr>
          <w:highlight w:val="none"/>
        </w:rPr>
      </w:pPr>
      <w:r>
        <w:rPr>
          <w:highlight w:val="none"/>
        </w:rPr>
        <w:t>根据厦门气象站1980～1999年测风资料统计，本区强风向为E向、出现频率为16.1%，次常风向为NNE向，出现频率为14.3%；强风向为NNW向，最大风速为23m/s；本区年平均风速为3.8m/s，ENE向平均风速为最大、达5.9m/s；本区6级以上（不包括6级）大风日数年平均为27.7天。</w:t>
      </w:r>
    </w:p>
    <w:p w14:paraId="65205D25">
      <w:pPr>
        <w:pStyle w:val="16"/>
        <w:numPr>
          <w:ilvl w:val="0"/>
          <w:numId w:val="14"/>
        </w:numPr>
        <w:ind w:firstLine="480"/>
        <w:rPr>
          <w:highlight w:val="none"/>
        </w:rPr>
      </w:pPr>
      <w:r>
        <w:rPr>
          <w:rFonts w:hint="eastAsia"/>
          <w:highlight w:val="none"/>
        </w:rPr>
        <w:t>雾况</w:t>
      </w:r>
    </w:p>
    <w:p w14:paraId="75ABC15C">
      <w:pPr>
        <w:ind w:firstLine="480"/>
        <w:rPr>
          <w:highlight w:val="none"/>
        </w:rPr>
      </w:pPr>
      <w:r>
        <w:rPr>
          <w:highlight w:val="none"/>
        </w:rPr>
        <w:t>厦门岛沿海多雾，多产生在1月～5月，以3月最多，7月～8月为绝雾期，能见度最佳。多年平均雾日数22天，多年最多雾日数36天（1973年），多年最少雾日数8天（1971年）。</w:t>
      </w:r>
    </w:p>
    <w:p w14:paraId="05AC54F4">
      <w:pPr>
        <w:pStyle w:val="16"/>
        <w:numPr>
          <w:ilvl w:val="0"/>
          <w:numId w:val="14"/>
        </w:numPr>
        <w:ind w:firstLine="480"/>
        <w:rPr>
          <w:highlight w:val="none"/>
        </w:rPr>
      </w:pPr>
      <w:r>
        <w:rPr>
          <w:rFonts w:hint="eastAsia"/>
          <w:highlight w:val="none"/>
        </w:rPr>
        <w:t>海流波浪</w:t>
      </w:r>
    </w:p>
    <w:p w14:paraId="65754801">
      <w:pPr>
        <w:ind w:firstLine="480"/>
        <w:rPr>
          <w:highlight w:val="none"/>
        </w:rPr>
      </w:pPr>
      <w:r>
        <w:rPr>
          <w:rFonts w:hint="eastAsia"/>
          <w:highlight w:val="none"/>
        </w:rPr>
        <w:t>工程海域的潮汐类型属正规半日潮，S2测站在夏季小潮实测流速不大于0.7m/s，中潮不大于0.8m/s，大潮不大于1.0m/s。</w:t>
      </w:r>
      <w:r>
        <w:rPr>
          <w:highlight w:val="none"/>
        </w:rPr>
        <w:t>本项目所在的东海域受大、小金门岛的掩护，外海产生的大浪难以影响到工程海域，对工程产生影响的主要波浪为当地的风成浪，尤其是台风影响时形成的风浪。</w:t>
      </w:r>
      <w:r>
        <w:rPr>
          <w:rFonts w:hint="eastAsia"/>
          <w:highlight w:val="none"/>
        </w:rPr>
        <w:t>最大波高的极大值出现在台风盛行的</w:t>
      </w:r>
      <w:r>
        <w:rPr>
          <w:highlight w:val="none"/>
        </w:rPr>
        <w:t>7、8、9月份。</w:t>
      </w:r>
    </w:p>
    <w:p w14:paraId="75A0C1CF">
      <w:pPr>
        <w:ind w:firstLine="480"/>
        <w:rPr>
          <w:highlight w:val="none"/>
        </w:rPr>
      </w:pPr>
      <w:r>
        <w:rPr>
          <w:highlight w:val="none"/>
        </w:rPr>
        <w:t>浪向以NE及NNE向为主，两者的出现率可达56％。常浪向为NE向，频率达34.1％，次常浪向为NNE向，频率为21.8％。强浪向为NNE向，最大波高为2.4m，次强浪向为NE向，最大波高为1.5m。</w:t>
      </w:r>
    </w:p>
    <w:p w14:paraId="6481D805">
      <w:pPr>
        <w:pStyle w:val="5"/>
        <w:bidi w:val="0"/>
        <w:ind w:left="0" w:leftChars="0" w:firstLine="0" w:firstLineChars="0"/>
        <w:rPr>
          <w:highlight w:val="none"/>
        </w:rPr>
      </w:pP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概况</w:t>
      </w:r>
    </w:p>
    <w:p w14:paraId="71A45C29">
      <w:pPr>
        <w:pStyle w:val="7"/>
        <w:bidi w:val="0"/>
        <w:ind w:left="864" w:leftChars="0" w:hanging="864" w:firstLineChars="0"/>
        <w:rPr>
          <w:highlight w:val="none"/>
        </w:rPr>
      </w:pP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基本概况</w:t>
      </w:r>
    </w:p>
    <w:p w14:paraId="0B7566D2">
      <w:pPr>
        <w:pStyle w:val="72"/>
        <w:numPr>
          <w:ilvl w:val="0"/>
          <w:numId w:val="15"/>
        </w:numPr>
        <w:rPr>
          <w:highlight w:val="none"/>
        </w:rPr>
      </w:pP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用途：厦门第三东通道工程项目A1标段西主塔施工，具体工况见</w:t>
      </w:r>
      <w:r>
        <w:rPr>
          <w:highlight w:val="none"/>
        </w:rPr>
        <w:fldChar w:fldCharType="begin"/>
      </w:r>
      <w:r>
        <w:rPr>
          <w:highlight w:val="none"/>
        </w:rPr>
        <w:instrText xml:space="preserve"> </w:instrText>
      </w:r>
      <w:r>
        <w:rPr>
          <w:rFonts w:hint="eastAsia"/>
          <w:highlight w:val="none"/>
        </w:rPr>
        <w:instrText xml:space="preserve">REF _Ref162873167 \h</w:instrText>
      </w:r>
      <w:r>
        <w:rPr>
          <w:highlight w:val="none"/>
        </w:rPr>
        <w:instrText xml:space="preserve"> </w:instrText>
      </w:r>
      <w:r>
        <w:rPr>
          <w:highlight w:val="none"/>
        </w:rPr>
        <w:fldChar w:fldCharType="separate"/>
      </w:r>
      <w:r>
        <w:rPr>
          <w:rFonts w:hint="eastAsia"/>
          <w:highlight w:val="none"/>
        </w:rPr>
        <w:t>表</w:t>
      </w:r>
      <w:r>
        <w:rPr>
          <w:highlight w:val="none"/>
        </w:rPr>
        <w:t>2.1.4</w:t>
      </w:r>
      <w:r>
        <w:rPr>
          <w:rFonts w:hint="eastAsia"/>
          <w:highlight w:val="none"/>
        </w:rPr>
        <w:t>-</w:t>
      </w:r>
      <w:r>
        <w:rPr>
          <w:highlight w:val="none"/>
        </w:rPr>
        <w:t>1</w:t>
      </w:r>
      <w:r>
        <w:rPr>
          <w:highlight w:val="none"/>
        </w:rPr>
        <w:fldChar w:fldCharType="end"/>
      </w:r>
      <w:r>
        <w:rPr>
          <w:rFonts w:hint="eastAsia"/>
          <w:highlight w:val="none"/>
        </w:rPr>
        <w:t>所示。</w:t>
      </w:r>
    </w:p>
    <w:p w14:paraId="479BFB77">
      <w:pPr>
        <w:pStyle w:val="18"/>
        <w:rPr>
          <w:highlight w:val="none"/>
        </w:rPr>
      </w:pPr>
      <w:bookmarkStart w:id="23" w:name="_Ref162873167"/>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w:instrText>
      </w:r>
      <w:r>
        <w:rPr>
          <w:highlight w:val="none"/>
        </w:rPr>
        <w:instrText xml:space="preserve">3</w:instrText>
      </w:r>
      <w:r>
        <w:rPr>
          <w:rFonts w:hint="eastAsia"/>
          <w:highlight w:val="none"/>
        </w:rPr>
        <w:instrText xml:space="preserve"> \s</w:instrText>
      </w:r>
      <w:r>
        <w:rPr>
          <w:highlight w:val="none"/>
        </w:rPr>
        <w:instrText xml:space="preserve"> </w:instrText>
      </w:r>
      <w:r>
        <w:rPr>
          <w:highlight w:val="none"/>
        </w:rPr>
        <w:fldChar w:fldCharType="separate"/>
      </w:r>
      <w:r>
        <w:rPr>
          <w:highlight w:val="none"/>
        </w:rPr>
        <w:t>2.1.4</w:t>
      </w:r>
      <w:r>
        <w:rPr>
          <w:highlight w:val="none"/>
        </w:rPr>
        <w:fldChar w:fldCharType="end"/>
      </w:r>
      <w:r>
        <w:rPr>
          <w:rFonts w:hint="eastAsia"/>
          <w:highlight w:val="none"/>
        </w:rPr>
        <w:t>-</w:t>
      </w:r>
      <w:r>
        <w:rPr>
          <w:highlight w:val="none"/>
        </w:rPr>
        <w:fldChar w:fldCharType="begin"/>
      </w:r>
      <w:r>
        <w:rPr>
          <w:highlight w:val="none"/>
        </w:rPr>
        <w:instrText xml:space="preserve"> </w:instrText>
      </w:r>
      <w:r>
        <w:rPr>
          <w:rFonts w:hint="eastAsia"/>
          <w:highlight w:val="none"/>
        </w:rPr>
        <w:instrText xml:space="preserve">SEQ 表 \* ARABIC \s </w:instrText>
      </w:r>
      <w:r>
        <w:rPr>
          <w:highlight w:val="none"/>
        </w:rPr>
        <w:instrText xml:space="preserve">2 </w:instrText>
      </w:r>
      <w:r>
        <w:rPr>
          <w:highlight w:val="none"/>
        </w:rPr>
        <w:fldChar w:fldCharType="separate"/>
      </w:r>
      <w:r>
        <w:rPr>
          <w:highlight w:val="none"/>
        </w:rPr>
        <w:t>1</w:t>
      </w:r>
      <w:r>
        <w:rPr>
          <w:highlight w:val="none"/>
        </w:rPr>
        <w:fldChar w:fldCharType="end"/>
      </w:r>
      <w:bookmarkEnd w:id="23"/>
      <w:r>
        <w:rPr>
          <w:rFonts w:hint="eastAsia"/>
          <w:highlight w:val="none"/>
        </w:rPr>
        <w:t xml:space="preserve"> </w:t>
      </w: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极限吊装工况</w:t>
      </w:r>
    </w:p>
    <w:tbl>
      <w:tblPr>
        <w:tblStyle w:val="3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2091"/>
        <w:gridCol w:w="2448"/>
        <w:gridCol w:w="2056"/>
        <w:gridCol w:w="1903"/>
      </w:tblGrid>
      <w:tr w14:paraId="4AEB07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426" w:type="pct"/>
            <w:shd w:val="clear" w:color="auto" w:fill="auto"/>
            <w:vAlign w:val="center"/>
          </w:tcPr>
          <w:p w14:paraId="5DA4A4CF">
            <w:pPr>
              <w:pStyle w:val="53"/>
              <w:rPr>
                <w:highlight w:val="none"/>
              </w:rPr>
            </w:pPr>
            <w:r>
              <w:rPr>
                <w:rFonts w:hint="eastAsia"/>
                <w:highlight w:val="none"/>
              </w:rPr>
              <w:t>序号</w:t>
            </w:r>
          </w:p>
        </w:tc>
        <w:tc>
          <w:tcPr>
            <w:tcW w:w="1125" w:type="pct"/>
            <w:shd w:val="clear" w:color="auto" w:fill="auto"/>
            <w:vAlign w:val="center"/>
          </w:tcPr>
          <w:p w14:paraId="54D754F1">
            <w:pPr>
              <w:pStyle w:val="53"/>
              <w:rPr>
                <w:highlight w:val="none"/>
              </w:rPr>
            </w:pPr>
            <w:r>
              <w:rPr>
                <w:rFonts w:hint="eastAsia"/>
                <w:highlight w:val="none"/>
              </w:rPr>
              <w:t>吊装部件</w:t>
            </w:r>
          </w:p>
        </w:tc>
        <w:tc>
          <w:tcPr>
            <w:tcW w:w="1317" w:type="pct"/>
            <w:shd w:val="clear" w:color="auto" w:fill="auto"/>
            <w:vAlign w:val="center"/>
          </w:tcPr>
          <w:p w14:paraId="21F0DE51">
            <w:pPr>
              <w:pStyle w:val="53"/>
              <w:rPr>
                <w:highlight w:val="none"/>
              </w:rPr>
            </w:pPr>
            <w:r>
              <w:rPr>
                <w:rFonts w:hint="eastAsia"/>
                <w:highlight w:val="none"/>
              </w:rPr>
              <w:t>吊装最大</w:t>
            </w:r>
            <w:r>
              <w:rPr>
                <w:highlight w:val="none"/>
              </w:rPr>
              <w:t>重量（t）</w:t>
            </w:r>
          </w:p>
        </w:tc>
        <w:tc>
          <w:tcPr>
            <w:tcW w:w="1106" w:type="pct"/>
            <w:shd w:val="clear" w:color="auto" w:fill="auto"/>
            <w:vAlign w:val="center"/>
          </w:tcPr>
          <w:p w14:paraId="52631C58">
            <w:pPr>
              <w:pStyle w:val="53"/>
              <w:rPr>
                <w:highlight w:val="none"/>
              </w:rPr>
            </w:pPr>
            <w:r>
              <w:rPr>
                <w:rFonts w:hint="eastAsia"/>
                <w:highlight w:val="none"/>
              </w:rPr>
              <w:t>预计吊幅（m）</w:t>
            </w:r>
          </w:p>
        </w:tc>
        <w:tc>
          <w:tcPr>
            <w:tcW w:w="1024" w:type="pct"/>
            <w:shd w:val="clear" w:color="auto" w:fill="auto"/>
            <w:vAlign w:val="center"/>
          </w:tcPr>
          <w:p w14:paraId="423EE273">
            <w:pPr>
              <w:pStyle w:val="53"/>
              <w:rPr>
                <w:highlight w:val="none"/>
              </w:rPr>
            </w:pPr>
            <w:r>
              <w:rPr>
                <w:rFonts w:hint="eastAsia"/>
                <w:highlight w:val="none"/>
              </w:rPr>
              <w:t>备注</w:t>
            </w:r>
          </w:p>
        </w:tc>
      </w:tr>
      <w:tr w14:paraId="3F7599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26" w:type="pct"/>
            <w:shd w:val="clear" w:color="auto" w:fill="auto"/>
            <w:vAlign w:val="center"/>
          </w:tcPr>
          <w:p w14:paraId="2E637851">
            <w:pPr>
              <w:numPr>
                <w:ilvl w:val="0"/>
                <w:numId w:val="16"/>
              </w:numPr>
              <w:spacing w:line="240" w:lineRule="auto"/>
              <w:ind w:firstLineChars="0"/>
              <w:jc w:val="center"/>
              <w:rPr>
                <w:sz w:val="21"/>
                <w:highlight w:val="none"/>
              </w:rPr>
            </w:pPr>
          </w:p>
        </w:tc>
        <w:tc>
          <w:tcPr>
            <w:tcW w:w="1125" w:type="pct"/>
            <w:shd w:val="clear" w:color="auto" w:fill="auto"/>
            <w:vAlign w:val="top"/>
          </w:tcPr>
          <w:p w14:paraId="7B175EFE">
            <w:pPr>
              <w:pStyle w:val="53"/>
              <w:rPr>
                <w:highlight w:val="none"/>
              </w:rPr>
            </w:pPr>
          </w:p>
        </w:tc>
        <w:tc>
          <w:tcPr>
            <w:tcW w:w="1317" w:type="pct"/>
            <w:shd w:val="clear" w:color="auto" w:fill="auto"/>
            <w:vAlign w:val="top"/>
          </w:tcPr>
          <w:p w14:paraId="54D0F860">
            <w:pPr>
              <w:pStyle w:val="53"/>
              <w:rPr>
                <w:highlight w:val="none"/>
              </w:rPr>
            </w:pPr>
          </w:p>
        </w:tc>
        <w:tc>
          <w:tcPr>
            <w:tcW w:w="1106" w:type="pct"/>
            <w:shd w:val="clear" w:color="auto" w:fill="auto"/>
            <w:vAlign w:val="top"/>
          </w:tcPr>
          <w:p w14:paraId="1B21E682">
            <w:pPr>
              <w:pStyle w:val="53"/>
              <w:rPr>
                <w:highlight w:val="none"/>
              </w:rPr>
            </w:pPr>
          </w:p>
        </w:tc>
        <w:tc>
          <w:tcPr>
            <w:tcW w:w="1024" w:type="pct"/>
            <w:shd w:val="clear" w:color="auto" w:fill="auto"/>
            <w:vAlign w:val="center"/>
          </w:tcPr>
          <w:p w14:paraId="66118A03">
            <w:pPr>
              <w:spacing w:line="240" w:lineRule="auto"/>
              <w:ind w:firstLine="0" w:firstLineChars="0"/>
              <w:jc w:val="center"/>
              <w:rPr>
                <w:sz w:val="21"/>
                <w:highlight w:val="none"/>
              </w:rPr>
            </w:pPr>
          </w:p>
        </w:tc>
      </w:tr>
      <w:tr w14:paraId="5C6E78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26" w:type="pct"/>
            <w:shd w:val="clear" w:color="auto" w:fill="auto"/>
            <w:vAlign w:val="center"/>
          </w:tcPr>
          <w:p w14:paraId="6054A74E">
            <w:pPr>
              <w:numPr>
                <w:ilvl w:val="0"/>
                <w:numId w:val="16"/>
              </w:numPr>
              <w:spacing w:line="240" w:lineRule="auto"/>
              <w:ind w:firstLineChars="0"/>
              <w:jc w:val="center"/>
              <w:rPr>
                <w:sz w:val="21"/>
                <w:highlight w:val="none"/>
              </w:rPr>
            </w:pPr>
          </w:p>
        </w:tc>
        <w:tc>
          <w:tcPr>
            <w:tcW w:w="1125" w:type="pct"/>
            <w:shd w:val="clear" w:color="auto" w:fill="auto"/>
            <w:vAlign w:val="top"/>
          </w:tcPr>
          <w:p w14:paraId="73D67F87">
            <w:pPr>
              <w:pStyle w:val="53"/>
              <w:rPr>
                <w:highlight w:val="none"/>
              </w:rPr>
            </w:pPr>
          </w:p>
        </w:tc>
        <w:tc>
          <w:tcPr>
            <w:tcW w:w="1317" w:type="pct"/>
            <w:shd w:val="clear" w:color="auto" w:fill="auto"/>
            <w:vAlign w:val="top"/>
          </w:tcPr>
          <w:p w14:paraId="1DD9AAF3">
            <w:pPr>
              <w:pStyle w:val="53"/>
              <w:rPr>
                <w:highlight w:val="none"/>
              </w:rPr>
            </w:pPr>
          </w:p>
        </w:tc>
        <w:tc>
          <w:tcPr>
            <w:tcW w:w="1106" w:type="pct"/>
            <w:shd w:val="clear" w:color="auto" w:fill="auto"/>
            <w:vAlign w:val="top"/>
          </w:tcPr>
          <w:p w14:paraId="2F3C6FD5">
            <w:pPr>
              <w:pStyle w:val="53"/>
              <w:rPr>
                <w:highlight w:val="none"/>
              </w:rPr>
            </w:pPr>
          </w:p>
        </w:tc>
        <w:tc>
          <w:tcPr>
            <w:tcW w:w="1024" w:type="pct"/>
            <w:shd w:val="clear" w:color="auto" w:fill="auto"/>
            <w:vAlign w:val="center"/>
          </w:tcPr>
          <w:p w14:paraId="092C753A">
            <w:pPr>
              <w:spacing w:line="240" w:lineRule="auto"/>
              <w:ind w:firstLine="0" w:firstLineChars="0"/>
              <w:jc w:val="center"/>
              <w:rPr>
                <w:sz w:val="21"/>
                <w:highlight w:val="none"/>
              </w:rPr>
            </w:pPr>
          </w:p>
        </w:tc>
      </w:tr>
      <w:tr w14:paraId="2DA59A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26" w:type="pct"/>
            <w:shd w:val="clear" w:color="auto" w:fill="auto"/>
            <w:vAlign w:val="center"/>
          </w:tcPr>
          <w:p w14:paraId="6D81094C">
            <w:pPr>
              <w:numPr>
                <w:ilvl w:val="0"/>
                <w:numId w:val="16"/>
              </w:numPr>
              <w:spacing w:line="240" w:lineRule="auto"/>
              <w:ind w:firstLineChars="0"/>
              <w:jc w:val="center"/>
              <w:rPr>
                <w:sz w:val="21"/>
                <w:highlight w:val="none"/>
              </w:rPr>
            </w:pPr>
          </w:p>
        </w:tc>
        <w:tc>
          <w:tcPr>
            <w:tcW w:w="1125" w:type="pct"/>
            <w:shd w:val="clear" w:color="auto" w:fill="auto"/>
            <w:vAlign w:val="top"/>
          </w:tcPr>
          <w:p w14:paraId="074ADE51">
            <w:pPr>
              <w:pStyle w:val="53"/>
              <w:rPr>
                <w:highlight w:val="none"/>
              </w:rPr>
            </w:pPr>
          </w:p>
        </w:tc>
        <w:tc>
          <w:tcPr>
            <w:tcW w:w="1317" w:type="pct"/>
            <w:shd w:val="clear" w:color="auto" w:fill="auto"/>
            <w:vAlign w:val="top"/>
          </w:tcPr>
          <w:p w14:paraId="3977D512">
            <w:pPr>
              <w:pStyle w:val="53"/>
              <w:rPr>
                <w:highlight w:val="none"/>
              </w:rPr>
            </w:pPr>
          </w:p>
        </w:tc>
        <w:tc>
          <w:tcPr>
            <w:tcW w:w="1106" w:type="pct"/>
            <w:shd w:val="clear" w:color="auto" w:fill="auto"/>
            <w:vAlign w:val="top"/>
          </w:tcPr>
          <w:p w14:paraId="2B0D73E8">
            <w:pPr>
              <w:pStyle w:val="53"/>
              <w:rPr>
                <w:highlight w:val="none"/>
              </w:rPr>
            </w:pPr>
          </w:p>
        </w:tc>
        <w:tc>
          <w:tcPr>
            <w:tcW w:w="1024" w:type="pct"/>
            <w:shd w:val="clear" w:color="auto" w:fill="auto"/>
            <w:vAlign w:val="center"/>
          </w:tcPr>
          <w:p w14:paraId="45EAEFAB">
            <w:pPr>
              <w:spacing w:line="240" w:lineRule="auto"/>
              <w:ind w:firstLine="0" w:firstLineChars="0"/>
              <w:jc w:val="center"/>
              <w:rPr>
                <w:sz w:val="21"/>
                <w:highlight w:val="none"/>
              </w:rPr>
            </w:pPr>
          </w:p>
        </w:tc>
      </w:tr>
      <w:tr w14:paraId="651772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26" w:type="pct"/>
            <w:shd w:val="clear" w:color="auto" w:fill="auto"/>
            <w:vAlign w:val="center"/>
          </w:tcPr>
          <w:p w14:paraId="5ECB8763">
            <w:pPr>
              <w:numPr>
                <w:ilvl w:val="0"/>
                <w:numId w:val="16"/>
              </w:numPr>
              <w:spacing w:line="240" w:lineRule="auto"/>
              <w:ind w:firstLineChars="0"/>
              <w:jc w:val="center"/>
              <w:rPr>
                <w:sz w:val="21"/>
                <w:highlight w:val="none"/>
              </w:rPr>
            </w:pPr>
          </w:p>
        </w:tc>
        <w:tc>
          <w:tcPr>
            <w:tcW w:w="1125" w:type="pct"/>
            <w:shd w:val="clear" w:color="auto" w:fill="auto"/>
            <w:vAlign w:val="top"/>
          </w:tcPr>
          <w:p w14:paraId="41319249">
            <w:pPr>
              <w:pStyle w:val="53"/>
              <w:rPr>
                <w:highlight w:val="none"/>
              </w:rPr>
            </w:pPr>
          </w:p>
        </w:tc>
        <w:tc>
          <w:tcPr>
            <w:tcW w:w="1317" w:type="pct"/>
            <w:shd w:val="clear" w:color="auto" w:fill="auto"/>
            <w:vAlign w:val="top"/>
          </w:tcPr>
          <w:p w14:paraId="29A0F9C0">
            <w:pPr>
              <w:pStyle w:val="53"/>
              <w:rPr>
                <w:highlight w:val="none"/>
              </w:rPr>
            </w:pPr>
          </w:p>
        </w:tc>
        <w:tc>
          <w:tcPr>
            <w:tcW w:w="1106" w:type="pct"/>
            <w:shd w:val="clear" w:color="auto" w:fill="auto"/>
            <w:vAlign w:val="top"/>
          </w:tcPr>
          <w:p w14:paraId="194085A8">
            <w:pPr>
              <w:pStyle w:val="53"/>
              <w:rPr>
                <w:highlight w:val="none"/>
              </w:rPr>
            </w:pPr>
          </w:p>
        </w:tc>
        <w:tc>
          <w:tcPr>
            <w:tcW w:w="1024" w:type="pct"/>
            <w:shd w:val="clear" w:color="auto" w:fill="auto"/>
            <w:vAlign w:val="center"/>
          </w:tcPr>
          <w:p w14:paraId="7D2CE7BA">
            <w:pPr>
              <w:spacing w:line="240" w:lineRule="auto"/>
              <w:ind w:firstLine="0" w:firstLineChars="0"/>
              <w:jc w:val="center"/>
              <w:rPr>
                <w:sz w:val="21"/>
                <w:highlight w:val="none"/>
              </w:rPr>
            </w:pPr>
          </w:p>
        </w:tc>
      </w:tr>
      <w:tr w14:paraId="70F573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26" w:type="pct"/>
            <w:shd w:val="clear" w:color="auto" w:fill="auto"/>
            <w:vAlign w:val="center"/>
          </w:tcPr>
          <w:p w14:paraId="0620CE51">
            <w:pPr>
              <w:numPr>
                <w:ilvl w:val="0"/>
                <w:numId w:val="16"/>
              </w:numPr>
              <w:spacing w:line="240" w:lineRule="auto"/>
              <w:ind w:firstLineChars="0"/>
              <w:jc w:val="center"/>
              <w:rPr>
                <w:sz w:val="21"/>
                <w:highlight w:val="none"/>
              </w:rPr>
            </w:pPr>
          </w:p>
        </w:tc>
        <w:tc>
          <w:tcPr>
            <w:tcW w:w="1125" w:type="pct"/>
            <w:shd w:val="clear" w:color="auto" w:fill="auto"/>
            <w:vAlign w:val="top"/>
          </w:tcPr>
          <w:p w14:paraId="2E8F4CF9">
            <w:pPr>
              <w:pStyle w:val="53"/>
              <w:rPr>
                <w:highlight w:val="none"/>
              </w:rPr>
            </w:pPr>
          </w:p>
        </w:tc>
        <w:tc>
          <w:tcPr>
            <w:tcW w:w="1317" w:type="pct"/>
            <w:shd w:val="clear" w:color="auto" w:fill="auto"/>
            <w:vAlign w:val="top"/>
          </w:tcPr>
          <w:p w14:paraId="05D86B9F">
            <w:pPr>
              <w:pStyle w:val="53"/>
              <w:rPr>
                <w:highlight w:val="none"/>
              </w:rPr>
            </w:pPr>
          </w:p>
        </w:tc>
        <w:tc>
          <w:tcPr>
            <w:tcW w:w="1106" w:type="pct"/>
            <w:shd w:val="clear" w:color="auto" w:fill="auto"/>
            <w:vAlign w:val="top"/>
          </w:tcPr>
          <w:p w14:paraId="171977CB">
            <w:pPr>
              <w:pStyle w:val="53"/>
              <w:rPr>
                <w:highlight w:val="none"/>
              </w:rPr>
            </w:pPr>
          </w:p>
        </w:tc>
        <w:tc>
          <w:tcPr>
            <w:tcW w:w="1024" w:type="pct"/>
            <w:shd w:val="clear" w:color="auto" w:fill="auto"/>
            <w:vAlign w:val="center"/>
          </w:tcPr>
          <w:p w14:paraId="72F967B5">
            <w:pPr>
              <w:spacing w:line="240" w:lineRule="auto"/>
              <w:ind w:firstLine="0" w:firstLineChars="0"/>
              <w:jc w:val="center"/>
              <w:rPr>
                <w:sz w:val="21"/>
                <w:highlight w:val="none"/>
              </w:rPr>
            </w:pPr>
          </w:p>
        </w:tc>
      </w:tr>
    </w:tbl>
    <w:p w14:paraId="19E00788">
      <w:pPr>
        <w:pStyle w:val="72"/>
        <w:numPr>
          <w:ilvl w:val="0"/>
          <w:numId w:val="15"/>
        </w:numPr>
        <w:rPr>
          <w:highlight w:val="none"/>
        </w:rPr>
      </w:pP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highlight w:val="none"/>
        </w:rPr>
        <w:t>数量：</w:t>
      </w:r>
      <w:r>
        <w:rPr>
          <w:rFonts w:hint="eastAsia"/>
          <w:highlight w:val="none"/>
        </w:rPr>
        <w:t>1台XGT360-20S1、1台XGT7026-12S1。</w:t>
      </w:r>
    </w:p>
    <w:p w14:paraId="11C8B942">
      <w:pPr>
        <w:pStyle w:val="72"/>
        <w:numPr>
          <w:ilvl w:val="0"/>
          <w:numId w:val="15"/>
        </w:numPr>
        <w:rPr>
          <w:highlight w:val="none"/>
        </w:rPr>
      </w:pPr>
      <w:r>
        <w:rPr>
          <w:rFonts w:hint="eastAsia"/>
          <w:highlight w:val="none"/>
        </w:rPr>
        <w:t>XGT360-20S1</w:t>
      </w:r>
      <w:r>
        <w:rPr>
          <w:rFonts w:hint="eastAsia"/>
          <w:highlight w:val="none"/>
          <w:lang w:val="en-US" w:eastAsia="zh-CN"/>
        </w:rPr>
        <w:t>起重臂臂长45m，初始安装高度204m，最终安装高度204m，设置5道附着；XGT7026-12S1起重臂臂长35m，初始安装高度27.5m，最终安装高度27.5m，不设置附着。</w:t>
      </w:r>
    </w:p>
    <w:p w14:paraId="32A7512E">
      <w:pPr>
        <w:pStyle w:val="7"/>
        <w:bidi w:val="0"/>
        <w:ind w:left="864" w:leftChars="0" w:hanging="864" w:firstLineChars="0"/>
        <w:rPr>
          <w:highlight w:val="none"/>
        </w:rPr>
      </w:pP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主要技术参数</w:t>
      </w:r>
    </w:p>
    <w:p w14:paraId="092BAE59">
      <w:pPr>
        <w:pStyle w:val="72"/>
        <w:numPr>
          <w:ilvl w:val="0"/>
          <w:numId w:val="17"/>
        </w:numPr>
        <w:rPr>
          <w:highlight w:val="none"/>
        </w:rPr>
      </w:pP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性能参数</w:t>
      </w:r>
    </w:p>
    <w:p w14:paraId="6B127282">
      <w:pPr>
        <w:ind w:firstLine="480"/>
        <w:rPr>
          <w:highlight w:val="none"/>
        </w:rPr>
      </w:pP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性能参数如</w:t>
      </w:r>
      <w:r>
        <w:rPr>
          <w:highlight w:val="none"/>
        </w:rPr>
        <w:fldChar w:fldCharType="begin"/>
      </w:r>
      <w:r>
        <w:rPr>
          <w:highlight w:val="none"/>
        </w:rPr>
        <w:instrText xml:space="preserve"> </w:instrText>
      </w:r>
      <w:r>
        <w:rPr>
          <w:rFonts w:hint="eastAsia"/>
          <w:highlight w:val="none"/>
        </w:rPr>
        <w:instrText xml:space="preserve">REF _Ref123718926 \h</w:instrText>
      </w:r>
      <w:r>
        <w:rPr>
          <w:highlight w:val="none"/>
        </w:rPr>
        <w:instrText xml:space="preserve">  \* MERGEFORMAT </w:instrText>
      </w:r>
      <w:r>
        <w:rPr>
          <w:highlight w:val="none"/>
        </w:rPr>
        <w:fldChar w:fldCharType="separate"/>
      </w:r>
      <w:r>
        <w:rPr>
          <w:rFonts w:hint="eastAsia"/>
          <w:highlight w:val="none"/>
        </w:rPr>
        <w:t>表</w:t>
      </w:r>
      <w:r>
        <w:rPr>
          <w:highlight w:val="none"/>
        </w:rPr>
        <w:t>2.1.4</w:t>
      </w:r>
      <w:r>
        <w:rPr>
          <w:rFonts w:hint="eastAsia"/>
          <w:highlight w:val="none"/>
        </w:rPr>
        <w:t>-</w:t>
      </w:r>
      <w:r>
        <w:rPr>
          <w:highlight w:val="none"/>
        </w:rPr>
        <w:t>2</w:t>
      </w:r>
      <w:r>
        <w:rPr>
          <w:highlight w:val="none"/>
        </w:rPr>
        <w:fldChar w:fldCharType="end"/>
      </w:r>
      <w:r>
        <w:rPr>
          <w:highlight w:val="none"/>
        </w:rPr>
        <w:t>~</w:t>
      </w:r>
      <w:r>
        <w:rPr>
          <w:highlight w:val="none"/>
        </w:rPr>
        <w:fldChar w:fldCharType="begin"/>
      </w:r>
      <w:r>
        <w:rPr>
          <w:highlight w:val="none"/>
        </w:rPr>
        <w:instrText xml:space="preserve"> REF _Ref175059822 \h </w:instrText>
      </w:r>
      <w:r>
        <w:rPr>
          <w:highlight w:val="none"/>
        </w:rPr>
        <w:fldChar w:fldCharType="separate"/>
      </w:r>
      <w:r>
        <w:rPr>
          <w:rFonts w:hint="eastAsia"/>
          <w:highlight w:val="none"/>
        </w:rPr>
        <w:t>表</w:t>
      </w:r>
      <w:r>
        <w:rPr>
          <w:highlight w:val="none"/>
        </w:rPr>
        <w:t>2.1.4</w:t>
      </w:r>
      <w:r>
        <w:rPr>
          <w:rFonts w:hint="eastAsia"/>
          <w:highlight w:val="none"/>
        </w:rPr>
        <w:t>-</w:t>
      </w:r>
      <w:r>
        <w:rPr>
          <w:highlight w:val="none"/>
        </w:rPr>
        <w:t>3</w:t>
      </w:r>
      <w:r>
        <w:rPr>
          <w:highlight w:val="none"/>
        </w:rPr>
        <w:fldChar w:fldCharType="end"/>
      </w:r>
      <w:r>
        <w:rPr>
          <w:rFonts w:hint="eastAsia"/>
          <w:highlight w:val="none"/>
        </w:rPr>
        <w:t>所示。</w:t>
      </w:r>
    </w:p>
    <w:p w14:paraId="6942D4FF">
      <w:pPr>
        <w:pStyle w:val="18"/>
        <w:keepNext/>
        <w:rPr>
          <w:rFonts w:hint="eastAsia"/>
          <w:highlight w:val="none"/>
        </w:rPr>
      </w:pPr>
      <w:bookmarkStart w:id="24" w:name="_Ref123718926"/>
    </w:p>
    <w:p w14:paraId="2602E116">
      <w:pPr>
        <w:pStyle w:val="18"/>
        <w:keepNext/>
        <w:rPr>
          <w:rFonts w:hint="eastAsia"/>
          <w:highlight w:val="none"/>
        </w:rPr>
      </w:pPr>
    </w:p>
    <w:p w14:paraId="59B154B2">
      <w:pPr>
        <w:pStyle w:val="18"/>
        <w:keepNext/>
        <w:rPr>
          <w:highlight w:val="none"/>
        </w:rPr>
      </w:pPr>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w:instrText>
      </w:r>
      <w:r>
        <w:rPr>
          <w:highlight w:val="none"/>
        </w:rPr>
        <w:instrText xml:space="preserve">3</w:instrText>
      </w:r>
      <w:r>
        <w:rPr>
          <w:rFonts w:hint="eastAsia"/>
          <w:highlight w:val="none"/>
        </w:rPr>
        <w:instrText xml:space="preserve"> \s</w:instrText>
      </w:r>
      <w:r>
        <w:rPr>
          <w:highlight w:val="none"/>
        </w:rPr>
        <w:instrText xml:space="preserve"> </w:instrText>
      </w:r>
      <w:r>
        <w:rPr>
          <w:highlight w:val="none"/>
        </w:rPr>
        <w:fldChar w:fldCharType="separate"/>
      </w:r>
      <w:r>
        <w:rPr>
          <w:highlight w:val="none"/>
        </w:rPr>
        <w:t>2.1.4</w:t>
      </w:r>
      <w:r>
        <w:rPr>
          <w:highlight w:val="none"/>
        </w:rPr>
        <w:fldChar w:fldCharType="end"/>
      </w:r>
      <w:r>
        <w:rPr>
          <w:rFonts w:hint="eastAsia"/>
          <w:highlight w:val="none"/>
        </w:rPr>
        <w:t>-</w:t>
      </w:r>
      <w:r>
        <w:rPr>
          <w:highlight w:val="none"/>
        </w:rPr>
        <w:fldChar w:fldCharType="begin"/>
      </w:r>
      <w:r>
        <w:rPr>
          <w:highlight w:val="none"/>
        </w:rPr>
        <w:instrText xml:space="preserve"> </w:instrText>
      </w:r>
      <w:r>
        <w:rPr>
          <w:rFonts w:hint="eastAsia"/>
          <w:highlight w:val="none"/>
        </w:rPr>
        <w:instrText xml:space="preserve">SEQ 表 \* ARABIC \s </w:instrText>
      </w:r>
      <w:r>
        <w:rPr>
          <w:highlight w:val="none"/>
        </w:rPr>
        <w:instrText xml:space="preserve">3 </w:instrText>
      </w:r>
      <w:r>
        <w:rPr>
          <w:highlight w:val="none"/>
        </w:rPr>
        <w:fldChar w:fldCharType="separate"/>
      </w:r>
      <w:r>
        <w:rPr>
          <w:highlight w:val="none"/>
        </w:rPr>
        <w:t>2</w:t>
      </w:r>
      <w:r>
        <w:rPr>
          <w:highlight w:val="none"/>
        </w:rPr>
        <w:fldChar w:fldCharType="end"/>
      </w:r>
      <w:r>
        <w:rPr>
          <w:rFonts w:hint="eastAsia"/>
          <w:highlight w:val="none"/>
        </w:rPr>
        <w:t xml:space="preserve"> </w:t>
      </w:r>
      <w:r>
        <w:rPr>
          <w:highlight w:val="none"/>
        </w:rPr>
        <w:fldChar w:fldCharType="begin"/>
      </w:r>
      <w:r>
        <w:rPr>
          <w:highlight w:val="none"/>
        </w:rPr>
        <w:instrText xml:space="preserve"> </w:instrText>
      </w:r>
      <w:r>
        <w:rPr>
          <w:rFonts w:hint="eastAsia"/>
          <w:highlight w:val="none"/>
        </w:rPr>
        <w:instrText xml:space="preserve">REF 设备型号1 \h</w:instrText>
      </w:r>
      <w:r>
        <w:rPr>
          <w:highlight w:val="none"/>
        </w:rPr>
        <w:instrText xml:space="preserve"> </w:instrText>
      </w:r>
      <w:r>
        <w:rPr>
          <w:highlight w:val="none"/>
        </w:rPr>
        <w:fldChar w:fldCharType="separate"/>
      </w:r>
      <w:r>
        <w:rPr>
          <w:rFonts w:hint="eastAsia"/>
          <w:highlight w:val="none"/>
        </w:rPr>
        <w:t>XGT360-20S1</w:t>
      </w:r>
      <w:r>
        <w:rPr>
          <w:highlight w:val="none"/>
        </w:rPr>
        <w:fldChar w:fldCharType="end"/>
      </w: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性能参数表</w:t>
      </w:r>
    </w:p>
    <w:p w14:paraId="10C39500">
      <w:pPr>
        <w:pStyle w:val="18"/>
        <w:keepNext/>
        <w:rPr>
          <w:rFonts w:hint="eastAsia"/>
          <w:highlight w:val="none"/>
        </w:rPr>
      </w:pPr>
    </w:p>
    <w:p w14:paraId="6195CD90">
      <w:pPr>
        <w:pStyle w:val="18"/>
        <w:keepNext/>
        <w:rPr>
          <w:rFonts w:hint="eastAsia"/>
          <w:highlight w:val="none"/>
        </w:rPr>
      </w:pPr>
    </w:p>
    <w:bookmarkEnd w:id="24"/>
    <w:p w14:paraId="3ACD57F9">
      <w:pPr>
        <w:pStyle w:val="53"/>
        <w:rPr>
          <w:highlight w:val="none"/>
        </w:rPr>
      </w:pPr>
      <w:r>
        <w:rPr>
          <w:highlight w:val="none"/>
        </w:rPr>
        <w:drawing>
          <wp:inline distT="0" distB="0" distL="114300" distR="114300">
            <wp:extent cx="4695825" cy="6086475"/>
            <wp:effectExtent l="0" t="0" r="9525" b="9525"/>
            <wp:docPr id="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pic:cNvPicPr>
                      <a:picLocks noChangeAspect="1"/>
                    </pic:cNvPicPr>
                  </pic:nvPicPr>
                  <pic:blipFill>
                    <a:blip r:embed="rId36"/>
                    <a:stretch>
                      <a:fillRect/>
                    </a:stretch>
                  </pic:blipFill>
                  <pic:spPr>
                    <a:xfrm>
                      <a:off x="0" y="0"/>
                      <a:ext cx="4695825" cy="6086475"/>
                    </a:xfrm>
                    <a:prstGeom prst="rect">
                      <a:avLst/>
                    </a:prstGeom>
                    <a:noFill/>
                    <a:ln>
                      <a:noFill/>
                    </a:ln>
                  </pic:spPr>
                </pic:pic>
              </a:graphicData>
            </a:graphic>
          </wp:inline>
        </w:drawing>
      </w:r>
      <w:r>
        <w:rPr>
          <w:highlight w:val="none"/>
        </w:rPr>
        <w:drawing>
          <wp:inline distT="0" distB="0" distL="114300" distR="114300">
            <wp:extent cx="4686300" cy="752475"/>
            <wp:effectExtent l="0" t="0" r="0" b="952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37"/>
                    <a:stretch>
                      <a:fillRect/>
                    </a:stretch>
                  </pic:blipFill>
                  <pic:spPr>
                    <a:xfrm>
                      <a:off x="0" y="0"/>
                      <a:ext cx="4686300" cy="752475"/>
                    </a:xfrm>
                    <a:prstGeom prst="rect">
                      <a:avLst/>
                    </a:prstGeom>
                    <a:noFill/>
                    <a:ln>
                      <a:noFill/>
                    </a:ln>
                  </pic:spPr>
                </pic:pic>
              </a:graphicData>
            </a:graphic>
          </wp:inline>
        </w:drawing>
      </w:r>
    </w:p>
    <w:p w14:paraId="62C6349E">
      <w:pPr>
        <w:keepNext/>
        <w:ind w:firstLine="422"/>
        <w:jc w:val="center"/>
        <w:rPr>
          <w:rFonts w:hint="eastAsia" w:cstheme="majorBidi"/>
          <w:b/>
          <w:sz w:val="21"/>
          <w:szCs w:val="20"/>
          <w:highlight w:val="none"/>
        </w:rPr>
      </w:pPr>
    </w:p>
    <w:p w14:paraId="229C372A">
      <w:pPr>
        <w:keepNext/>
        <w:ind w:firstLine="422"/>
        <w:jc w:val="center"/>
        <w:rPr>
          <w:rFonts w:cstheme="majorBidi"/>
          <w:b/>
          <w:sz w:val="21"/>
          <w:szCs w:val="20"/>
          <w:highlight w:val="none"/>
        </w:rPr>
      </w:pPr>
      <w:r>
        <w:rPr>
          <w:rFonts w:hint="eastAsia" w:cstheme="majorBidi"/>
          <w:b/>
          <w:sz w:val="21"/>
          <w:szCs w:val="20"/>
          <w:highlight w:val="none"/>
        </w:rPr>
        <w:t>表</w:t>
      </w:r>
      <w:r>
        <w:rPr>
          <w:rFonts w:hint="eastAsia" w:cstheme="majorBidi"/>
          <w:b/>
          <w:sz w:val="21"/>
          <w:szCs w:val="20"/>
          <w:highlight w:val="none"/>
        </w:rPr>
        <w:fldChar w:fldCharType="begin"/>
      </w:r>
      <w:r>
        <w:rPr>
          <w:rFonts w:hint="eastAsia" w:cstheme="majorBidi"/>
          <w:b/>
          <w:sz w:val="21"/>
          <w:szCs w:val="20"/>
          <w:highlight w:val="none"/>
        </w:rPr>
        <w:instrText xml:space="preserve"> STYLEREF 3 \s </w:instrText>
      </w:r>
      <w:r>
        <w:rPr>
          <w:rFonts w:hint="eastAsia" w:cstheme="majorBidi"/>
          <w:b/>
          <w:sz w:val="21"/>
          <w:szCs w:val="20"/>
          <w:highlight w:val="none"/>
        </w:rPr>
        <w:fldChar w:fldCharType="separate"/>
      </w:r>
      <w:r>
        <w:rPr>
          <w:rFonts w:hint="eastAsia" w:cstheme="majorBidi"/>
          <w:b/>
          <w:sz w:val="21"/>
          <w:szCs w:val="20"/>
          <w:highlight w:val="none"/>
        </w:rPr>
        <w:t>2.1.4</w:t>
      </w:r>
      <w:r>
        <w:rPr>
          <w:rFonts w:hint="eastAsia" w:cstheme="majorBidi"/>
          <w:b/>
          <w:sz w:val="21"/>
          <w:szCs w:val="20"/>
          <w:highlight w:val="none"/>
        </w:rPr>
        <w:fldChar w:fldCharType="end"/>
      </w:r>
      <w:r>
        <w:rPr>
          <w:rFonts w:hint="eastAsia" w:cstheme="majorBidi"/>
          <w:b/>
          <w:sz w:val="21"/>
          <w:szCs w:val="20"/>
          <w:highlight w:val="none"/>
        </w:rPr>
        <w:t xml:space="preserve">-3 </w:t>
      </w:r>
      <w:r>
        <w:rPr>
          <w:rFonts w:hint="eastAsia" w:cstheme="majorBidi"/>
          <w:b/>
          <w:sz w:val="21"/>
          <w:szCs w:val="20"/>
          <w:highlight w:val="none"/>
        </w:rPr>
        <w:fldChar w:fldCharType="begin"/>
      </w:r>
      <w:r>
        <w:rPr>
          <w:rFonts w:hint="eastAsia" w:cstheme="majorBidi"/>
          <w:b/>
          <w:sz w:val="21"/>
          <w:szCs w:val="20"/>
          <w:highlight w:val="none"/>
        </w:rPr>
        <w:instrText xml:space="preserve"> REF 设备型号1 \h </w:instrText>
      </w:r>
      <w:r>
        <w:rPr>
          <w:rFonts w:hint="eastAsia" w:cstheme="majorBidi"/>
          <w:b/>
          <w:sz w:val="21"/>
          <w:szCs w:val="20"/>
          <w:highlight w:val="none"/>
        </w:rPr>
        <w:fldChar w:fldCharType="separate"/>
      </w:r>
      <w:r>
        <w:rPr>
          <w:rFonts w:hint="eastAsia" w:cstheme="majorBidi"/>
          <w:b/>
          <w:sz w:val="21"/>
          <w:szCs w:val="20"/>
          <w:highlight w:val="none"/>
        </w:rPr>
        <w:t>XGT7026-12S1</w:t>
      </w:r>
      <w:r>
        <w:rPr>
          <w:rFonts w:hint="eastAsia" w:cstheme="majorBidi"/>
          <w:b/>
          <w:sz w:val="21"/>
          <w:szCs w:val="20"/>
          <w:highlight w:val="none"/>
        </w:rPr>
        <w:fldChar w:fldCharType="end"/>
      </w:r>
      <w:r>
        <w:rPr>
          <w:rFonts w:hint="eastAsia" w:cstheme="majorBidi"/>
          <w:b/>
          <w:sz w:val="21"/>
          <w:szCs w:val="20"/>
          <w:highlight w:val="none"/>
        </w:rPr>
        <w:fldChar w:fldCharType="begin"/>
      </w:r>
      <w:r>
        <w:rPr>
          <w:rFonts w:hint="eastAsia" w:cstheme="majorBidi"/>
          <w:b/>
          <w:sz w:val="21"/>
          <w:szCs w:val="20"/>
          <w:highlight w:val="none"/>
        </w:rPr>
        <w:instrText xml:space="preserve"> REF 设备类型 \h </w:instrText>
      </w:r>
      <w:r>
        <w:rPr>
          <w:rFonts w:hint="eastAsia" w:cstheme="majorBidi"/>
          <w:b/>
          <w:sz w:val="21"/>
          <w:szCs w:val="20"/>
          <w:highlight w:val="none"/>
        </w:rPr>
        <w:fldChar w:fldCharType="separate"/>
      </w:r>
      <w:r>
        <w:rPr>
          <w:rFonts w:hint="eastAsia" w:cstheme="majorBidi"/>
          <w:b/>
          <w:sz w:val="21"/>
          <w:szCs w:val="20"/>
          <w:highlight w:val="none"/>
        </w:rPr>
        <w:t>塔式起重机</w:t>
      </w:r>
      <w:r>
        <w:rPr>
          <w:rFonts w:hint="eastAsia" w:cstheme="majorBidi"/>
          <w:b/>
          <w:sz w:val="21"/>
          <w:szCs w:val="20"/>
          <w:highlight w:val="none"/>
        </w:rPr>
        <w:fldChar w:fldCharType="end"/>
      </w:r>
      <w:r>
        <w:rPr>
          <w:rFonts w:hint="eastAsia" w:cstheme="majorBidi"/>
          <w:b/>
          <w:sz w:val="21"/>
          <w:szCs w:val="20"/>
          <w:highlight w:val="none"/>
        </w:rPr>
        <w:t>性能参数表</w:t>
      </w:r>
    </w:p>
    <w:p w14:paraId="5292EA57">
      <w:pPr>
        <w:ind w:firstLine="0" w:firstLineChars="0"/>
        <w:jc w:val="center"/>
        <w:rPr>
          <w:rFonts w:cstheme="majorBidi"/>
          <w:b/>
          <w:sz w:val="21"/>
          <w:szCs w:val="20"/>
          <w:highlight w:val="none"/>
        </w:rPr>
      </w:pPr>
      <w:r>
        <w:rPr>
          <w:highlight w:val="none"/>
        </w:rPr>
        <w:drawing>
          <wp:inline distT="0" distB="0" distL="114300" distR="114300">
            <wp:extent cx="4124325" cy="5410200"/>
            <wp:effectExtent l="0" t="0" r="9525" b="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38"/>
                    <a:stretch>
                      <a:fillRect/>
                    </a:stretch>
                  </pic:blipFill>
                  <pic:spPr>
                    <a:xfrm>
                      <a:off x="0" y="0"/>
                      <a:ext cx="4124325" cy="5410200"/>
                    </a:xfrm>
                    <a:prstGeom prst="rect">
                      <a:avLst/>
                    </a:prstGeom>
                    <a:noFill/>
                    <a:ln>
                      <a:noFill/>
                    </a:ln>
                  </pic:spPr>
                </pic:pic>
              </a:graphicData>
            </a:graphic>
          </wp:inline>
        </w:drawing>
      </w:r>
      <w:r>
        <w:rPr>
          <w:highlight w:val="none"/>
        </w:rPr>
        <w:drawing>
          <wp:inline distT="0" distB="0" distL="114300" distR="114300">
            <wp:extent cx="4114800" cy="3152775"/>
            <wp:effectExtent l="0" t="0" r="0" b="9525"/>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39"/>
                    <a:stretch>
                      <a:fillRect/>
                    </a:stretch>
                  </pic:blipFill>
                  <pic:spPr>
                    <a:xfrm>
                      <a:off x="0" y="0"/>
                      <a:ext cx="4114800" cy="3152775"/>
                    </a:xfrm>
                    <a:prstGeom prst="rect">
                      <a:avLst/>
                    </a:prstGeom>
                    <a:noFill/>
                    <a:ln>
                      <a:noFill/>
                    </a:ln>
                  </pic:spPr>
                </pic:pic>
              </a:graphicData>
            </a:graphic>
          </wp:inline>
        </w:drawing>
      </w:r>
    </w:p>
    <w:p w14:paraId="7F569DE4">
      <w:pPr>
        <w:pStyle w:val="72"/>
        <w:numPr>
          <w:ilvl w:val="0"/>
          <w:numId w:val="17"/>
        </w:numPr>
        <w:rPr>
          <w:highlight w:val="none"/>
        </w:rPr>
      </w:pPr>
      <w:r>
        <w:rPr>
          <w:rFonts w:hint="eastAsia"/>
          <w:highlight w:val="none"/>
        </w:rPr>
        <w:t>载荷性能表</w:t>
      </w:r>
    </w:p>
    <w:p w14:paraId="2C203965">
      <w:pPr>
        <w:ind w:firstLine="480"/>
        <w:rPr>
          <w:highlight w:val="none"/>
        </w:rPr>
      </w:pP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载荷性能如</w:t>
      </w:r>
      <w:r>
        <w:rPr>
          <w:highlight w:val="none"/>
        </w:rPr>
        <w:fldChar w:fldCharType="begin"/>
      </w:r>
      <w:r>
        <w:rPr>
          <w:highlight w:val="none"/>
        </w:rPr>
        <w:instrText xml:space="preserve"> </w:instrText>
      </w:r>
      <w:r>
        <w:rPr>
          <w:rFonts w:hint="eastAsia"/>
          <w:highlight w:val="none"/>
        </w:rPr>
        <w:instrText xml:space="preserve">REF _Ref129267132 \h</w:instrText>
      </w:r>
      <w:r>
        <w:rPr>
          <w:highlight w:val="none"/>
        </w:rPr>
        <w:instrText xml:space="preserve"> </w:instrText>
      </w:r>
      <w:r>
        <w:rPr>
          <w:highlight w:val="none"/>
        </w:rPr>
        <w:fldChar w:fldCharType="separate"/>
      </w:r>
      <w:r>
        <w:rPr>
          <w:rFonts w:hint="eastAsia"/>
          <w:highlight w:val="none"/>
        </w:rPr>
        <w:t>表</w:t>
      </w:r>
      <w:r>
        <w:rPr>
          <w:highlight w:val="none"/>
        </w:rPr>
        <w:t>2.1.4</w:t>
      </w:r>
      <w:r>
        <w:rPr>
          <w:rFonts w:hint="eastAsia"/>
          <w:highlight w:val="none"/>
        </w:rPr>
        <w:t>-</w:t>
      </w:r>
      <w:r>
        <w:rPr>
          <w:highlight w:val="none"/>
        </w:rPr>
        <w:t>4</w:t>
      </w:r>
      <w:r>
        <w:rPr>
          <w:highlight w:val="none"/>
        </w:rPr>
        <w:fldChar w:fldCharType="end"/>
      </w:r>
      <w:r>
        <w:rPr>
          <w:highlight w:val="none"/>
        </w:rPr>
        <w:t>~</w:t>
      </w:r>
      <w:r>
        <w:rPr>
          <w:highlight w:val="none"/>
        </w:rPr>
        <w:fldChar w:fldCharType="begin"/>
      </w:r>
      <w:r>
        <w:rPr>
          <w:highlight w:val="none"/>
        </w:rPr>
        <w:instrText xml:space="preserve"> REF _Ref175059823 \h </w:instrText>
      </w:r>
      <w:r>
        <w:rPr>
          <w:highlight w:val="none"/>
        </w:rPr>
        <w:fldChar w:fldCharType="separate"/>
      </w:r>
      <w:r>
        <w:rPr>
          <w:rFonts w:hint="eastAsia"/>
          <w:highlight w:val="none"/>
        </w:rPr>
        <w:t>表</w:t>
      </w:r>
      <w:r>
        <w:rPr>
          <w:highlight w:val="none"/>
        </w:rPr>
        <w:t>2.1.4</w:t>
      </w:r>
      <w:r>
        <w:rPr>
          <w:rFonts w:hint="eastAsia"/>
          <w:highlight w:val="none"/>
        </w:rPr>
        <w:t>-</w:t>
      </w:r>
      <w:r>
        <w:rPr>
          <w:highlight w:val="none"/>
        </w:rPr>
        <w:t>5</w:t>
      </w:r>
      <w:r>
        <w:rPr>
          <w:highlight w:val="none"/>
        </w:rPr>
        <w:fldChar w:fldCharType="end"/>
      </w:r>
      <w:r>
        <w:rPr>
          <w:rFonts w:hint="eastAsia"/>
          <w:highlight w:val="none"/>
        </w:rPr>
        <w:t>所示。</w:t>
      </w:r>
    </w:p>
    <w:p w14:paraId="2DB5B1B7">
      <w:pPr>
        <w:pStyle w:val="18"/>
        <w:keepNext/>
        <w:rPr>
          <w:highlight w:val="none"/>
        </w:rPr>
      </w:pPr>
      <w:bookmarkStart w:id="25" w:name="_Ref129267132"/>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w:instrText>
      </w:r>
      <w:r>
        <w:rPr>
          <w:highlight w:val="none"/>
        </w:rPr>
        <w:instrText xml:space="preserve">3</w:instrText>
      </w:r>
      <w:r>
        <w:rPr>
          <w:rFonts w:hint="eastAsia"/>
          <w:highlight w:val="none"/>
        </w:rPr>
        <w:instrText xml:space="preserve"> \s</w:instrText>
      </w:r>
      <w:r>
        <w:rPr>
          <w:highlight w:val="none"/>
        </w:rPr>
        <w:instrText xml:space="preserve"> </w:instrText>
      </w:r>
      <w:r>
        <w:rPr>
          <w:highlight w:val="none"/>
        </w:rPr>
        <w:fldChar w:fldCharType="separate"/>
      </w:r>
      <w:r>
        <w:rPr>
          <w:highlight w:val="none"/>
        </w:rPr>
        <w:t>2.1.4</w:t>
      </w:r>
      <w:r>
        <w:rPr>
          <w:highlight w:val="none"/>
        </w:rPr>
        <w:fldChar w:fldCharType="end"/>
      </w:r>
      <w:r>
        <w:rPr>
          <w:rFonts w:hint="eastAsia"/>
          <w:highlight w:val="none"/>
        </w:rPr>
        <w:t>-</w:t>
      </w:r>
      <w:r>
        <w:rPr>
          <w:highlight w:val="none"/>
        </w:rPr>
        <w:fldChar w:fldCharType="begin"/>
      </w:r>
      <w:r>
        <w:rPr>
          <w:highlight w:val="none"/>
        </w:rPr>
        <w:instrText xml:space="preserve"> </w:instrText>
      </w:r>
      <w:r>
        <w:rPr>
          <w:rFonts w:hint="eastAsia"/>
          <w:highlight w:val="none"/>
        </w:rPr>
        <w:instrText xml:space="preserve">SEQ 表 \* ARABIC \s </w:instrText>
      </w:r>
      <w:r>
        <w:rPr>
          <w:highlight w:val="none"/>
        </w:rPr>
        <w:instrText xml:space="preserve">3 </w:instrText>
      </w:r>
      <w:r>
        <w:rPr>
          <w:highlight w:val="none"/>
        </w:rPr>
        <w:fldChar w:fldCharType="separate"/>
      </w:r>
      <w:r>
        <w:rPr>
          <w:highlight w:val="none"/>
        </w:rPr>
        <w:t>4</w:t>
      </w:r>
      <w:r>
        <w:rPr>
          <w:highlight w:val="none"/>
        </w:rPr>
        <w:fldChar w:fldCharType="end"/>
      </w:r>
      <w:bookmarkEnd w:id="25"/>
      <w:r>
        <w:rPr>
          <w:rFonts w:hint="eastAsia"/>
          <w:highlight w:val="none"/>
        </w:rPr>
        <w:t xml:space="preserve"> </w:t>
      </w:r>
      <w:r>
        <w:rPr>
          <w:highlight w:val="none"/>
        </w:rPr>
        <w:fldChar w:fldCharType="begin"/>
      </w:r>
      <w:r>
        <w:rPr>
          <w:highlight w:val="none"/>
        </w:rPr>
        <w:instrText xml:space="preserve"> </w:instrText>
      </w:r>
      <w:r>
        <w:rPr>
          <w:rFonts w:hint="eastAsia"/>
          <w:highlight w:val="none"/>
        </w:rPr>
        <w:instrText xml:space="preserve">REF 设备型号1 \h</w:instrText>
      </w:r>
      <w:r>
        <w:rPr>
          <w:highlight w:val="none"/>
        </w:rPr>
        <w:instrText xml:space="preserve"> </w:instrText>
      </w:r>
      <w:r>
        <w:rPr>
          <w:highlight w:val="none"/>
        </w:rPr>
        <w:fldChar w:fldCharType="separate"/>
      </w:r>
      <w:r>
        <w:rPr>
          <w:rFonts w:hint="eastAsia"/>
          <w:highlight w:val="none"/>
        </w:rPr>
        <w:t>XGT360-20S1</w:t>
      </w:r>
      <w:r>
        <w:rPr>
          <w:highlight w:val="none"/>
        </w:rPr>
        <w:fldChar w:fldCharType="end"/>
      </w: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载荷性能表</w:t>
      </w:r>
    </w:p>
    <w:p w14:paraId="1CF732F5">
      <w:pPr>
        <w:ind w:firstLine="480"/>
        <w:rPr>
          <w:highlight w:val="none"/>
        </w:rPr>
      </w:pPr>
      <w:r>
        <w:rPr>
          <w:highlight w:val="none"/>
        </w:rPr>
        <w:drawing>
          <wp:inline distT="0" distB="0" distL="114300" distR="114300">
            <wp:extent cx="5760085" cy="3185160"/>
            <wp:effectExtent l="0" t="0" r="12065" b="1524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40"/>
                    <a:stretch>
                      <a:fillRect/>
                    </a:stretch>
                  </pic:blipFill>
                  <pic:spPr>
                    <a:xfrm>
                      <a:off x="0" y="0"/>
                      <a:ext cx="5760085" cy="3185160"/>
                    </a:xfrm>
                    <a:prstGeom prst="rect">
                      <a:avLst/>
                    </a:prstGeom>
                    <a:noFill/>
                    <a:ln>
                      <a:noFill/>
                    </a:ln>
                  </pic:spPr>
                </pic:pic>
              </a:graphicData>
            </a:graphic>
          </wp:inline>
        </w:drawing>
      </w:r>
    </w:p>
    <w:p w14:paraId="6646E634">
      <w:pPr>
        <w:keepNext/>
        <w:ind w:firstLine="422"/>
        <w:jc w:val="center"/>
        <w:rPr>
          <w:rFonts w:cstheme="majorBidi"/>
          <w:b/>
          <w:sz w:val="21"/>
          <w:szCs w:val="20"/>
          <w:highlight w:val="none"/>
        </w:rPr>
      </w:pPr>
      <w:r>
        <w:rPr>
          <w:rFonts w:hint="eastAsia" w:cstheme="majorBidi"/>
          <w:b/>
          <w:sz w:val="21"/>
          <w:szCs w:val="20"/>
          <w:highlight w:val="none"/>
        </w:rPr>
        <w:t>表</w:t>
      </w:r>
      <w:r>
        <w:rPr>
          <w:rFonts w:hint="eastAsia" w:cstheme="majorBidi"/>
          <w:b/>
          <w:sz w:val="21"/>
          <w:szCs w:val="20"/>
          <w:highlight w:val="none"/>
        </w:rPr>
        <w:fldChar w:fldCharType="begin"/>
      </w:r>
      <w:r>
        <w:rPr>
          <w:rFonts w:hint="eastAsia" w:cstheme="majorBidi"/>
          <w:b/>
          <w:sz w:val="21"/>
          <w:szCs w:val="20"/>
          <w:highlight w:val="none"/>
        </w:rPr>
        <w:instrText xml:space="preserve"> STYLEREF 3 \s </w:instrText>
      </w:r>
      <w:r>
        <w:rPr>
          <w:rFonts w:hint="eastAsia" w:cstheme="majorBidi"/>
          <w:b/>
          <w:sz w:val="21"/>
          <w:szCs w:val="20"/>
          <w:highlight w:val="none"/>
        </w:rPr>
        <w:fldChar w:fldCharType="separate"/>
      </w:r>
      <w:r>
        <w:rPr>
          <w:rFonts w:hint="eastAsia" w:cstheme="majorBidi"/>
          <w:b/>
          <w:sz w:val="21"/>
          <w:szCs w:val="20"/>
          <w:highlight w:val="none"/>
        </w:rPr>
        <w:t>2.1.4</w:t>
      </w:r>
      <w:r>
        <w:rPr>
          <w:rFonts w:hint="eastAsia" w:cstheme="majorBidi"/>
          <w:b/>
          <w:sz w:val="21"/>
          <w:szCs w:val="20"/>
          <w:highlight w:val="none"/>
        </w:rPr>
        <w:fldChar w:fldCharType="end"/>
      </w:r>
      <w:r>
        <w:rPr>
          <w:rFonts w:hint="eastAsia" w:cstheme="majorBidi"/>
          <w:b/>
          <w:sz w:val="21"/>
          <w:szCs w:val="20"/>
          <w:highlight w:val="none"/>
        </w:rPr>
        <w:t xml:space="preserve">-5 </w:t>
      </w:r>
      <w:r>
        <w:rPr>
          <w:rFonts w:hint="eastAsia" w:cstheme="majorBidi"/>
          <w:b/>
          <w:sz w:val="21"/>
          <w:szCs w:val="20"/>
          <w:highlight w:val="none"/>
        </w:rPr>
        <w:fldChar w:fldCharType="begin"/>
      </w:r>
      <w:r>
        <w:rPr>
          <w:rFonts w:hint="eastAsia" w:cstheme="majorBidi"/>
          <w:b/>
          <w:sz w:val="21"/>
          <w:szCs w:val="20"/>
          <w:highlight w:val="none"/>
        </w:rPr>
        <w:instrText xml:space="preserve"> REF 设备型号1 \h </w:instrText>
      </w:r>
      <w:r>
        <w:rPr>
          <w:rFonts w:hint="eastAsia" w:cstheme="majorBidi"/>
          <w:b/>
          <w:sz w:val="21"/>
          <w:szCs w:val="20"/>
          <w:highlight w:val="none"/>
        </w:rPr>
        <w:fldChar w:fldCharType="separate"/>
      </w:r>
      <w:r>
        <w:rPr>
          <w:rFonts w:hint="eastAsia" w:cstheme="majorBidi"/>
          <w:b/>
          <w:sz w:val="21"/>
          <w:szCs w:val="20"/>
          <w:highlight w:val="none"/>
        </w:rPr>
        <w:t>XGT7026-12S1</w:t>
      </w:r>
      <w:r>
        <w:rPr>
          <w:rFonts w:hint="eastAsia" w:cstheme="majorBidi"/>
          <w:b/>
          <w:sz w:val="21"/>
          <w:szCs w:val="20"/>
          <w:highlight w:val="none"/>
        </w:rPr>
        <w:fldChar w:fldCharType="end"/>
      </w:r>
      <w:r>
        <w:rPr>
          <w:rFonts w:hint="eastAsia" w:cstheme="majorBidi"/>
          <w:b/>
          <w:sz w:val="21"/>
          <w:szCs w:val="20"/>
          <w:highlight w:val="none"/>
        </w:rPr>
        <w:fldChar w:fldCharType="begin"/>
      </w:r>
      <w:r>
        <w:rPr>
          <w:rFonts w:hint="eastAsia" w:cstheme="majorBidi"/>
          <w:b/>
          <w:sz w:val="21"/>
          <w:szCs w:val="20"/>
          <w:highlight w:val="none"/>
        </w:rPr>
        <w:instrText xml:space="preserve"> REF 设备类型 \h </w:instrText>
      </w:r>
      <w:r>
        <w:rPr>
          <w:rFonts w:hint="eastAsia" w:cstheme="majorBidi"/>
          <w:b/>
          <w:sz w:val="21"/>
          <w:szCs w:val="20"/>
          <w:highlight w:val="none"/>
        </w:rPr>
        <w:fldChar w:fldCharType="separate"/>
      </w:r>
      <w:r>
        <w:rPr>
          <w:rFonts w:hint="eastAsia" w:cstheme="majorBidi"/>
          <w:b/>
          <w:sz w:val="21"/>
          <w:szCs w:val="20"/>
          <w:highlight w:val="none"/>
        </w:rPr>
        <w:t>塔式起重机</w:t>
      </w:r>
      <w:r>
        <w:rPr>
          <w:rFonts w:hint="eastAsia" w:cstheme="majorBidi"/>
          <w:b/>
          <w:sz w:val="21"/>
          <w:szCs w:val="20"/>
          <w:highlight w:val="none"/>
        </w:rPr>
        <w:fldChar w:fldCharType="end"/>
      </w:r>
      <w:r>
        <w:rPr>
          <w:rFonts w:hint="eastAsia" w:cstheme="majorBidi"/>
          <w:b/>
          <w:sz w:val="21"/>
          <w:szCs w:val="20"/>
          <w:highlight w:val="none"/>
        </w:rPr>
        <w:t>载荷性能表</w:t>
      </w:r>
    </w:p>
    <w:p w14:paraId="5104165E">
      <w:pPr>
        <w:ind w:firstLine="480"/>
        <w:jc w:val="center"/>
        <w:rPr>
          <w:rFonts w:cstheme="majorBidi"/>
          <w:b/>
          <w:sz w:val="21"/>
          <w:szCs w:val="20"/>
          <w:highlight w:val="none"/>
        </w:rPr>
      </w:pPr>
      <w:r>
        <w:rPr>
          <w:highlight w:val="none"/>
        </w:rPr>
        <w:drawing>
          <wp:inline distT="0" distB="0" distL="114300" distR="114300">
            <wp:extent cx="5753100" cy="4197985"/>
            <wp:effectExtent l="0" t="0" r="0" b="12065"/>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41"/>
                    <a:stretch>
                      <a:fillRect/>
                    </a:stretch>
                  </pic:blipFill>
                  <pic:spPr>
                    <a:xfrm>
                      <a:off x="0" y="0"/>
                      <a:ext cx="5753100" cy="4197985"/>
                    </a:xfrm>
                    <a:prstGeom prst="rect">
                      <a:avLst/>
                    </a:prstGeom>
                    <a:noFill/>
                    <a:ln>
                      <a:noFill/>
                    </a:ln>
                  </pic:spPr>
                </pic:pic>
              </a:graphicData>
            </a:graphic>
          </wp:inline>
        </w:drawing>
      </w:r>
    </w:p>
    <w:p w14:paraId="6C288ED9">
      <w:pPr>
        <w:pStyle w:val="7"/>
        <w:bidi w:val="0"/>
        <w:ind w:left="864" w:leftChars="0" w:hanging="864" w:firstLineChars="0"/>
        <w:rPr>
          <w:highlight w:val="none"/>
        </w:rPr>
      </w:pP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结构图</w:t>
      </w:r>
    </w:p>
    <w:p w14:paraId="72B66FA0">
      <w:pPr>
        <w:ind w:firstLine="480"/>
        <w:rPr>
          <w:highlight w:val="none"/>
        </w:rPr>
      </w:pP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highlight w:val="none"/>
        </w:rPr>
        <w:t>结构图</w:t>
      </w:r>
      <w:r>
        <w:rPr>
          <w:rFonts w:hint="eastAsia"/>
          <w:highlight w:val="none"/>
        </w:rPr>
        <w:t>如</w:t>
      </w:r>
      <w:r>
        <w:rPr>
          <w:highlight w:val="none"/>
        </w:rPr>
        <w:fldChar w:fldCharType="begin"/>
      </w:r>
      <w:r>
        <w:rPr>
          <w:highlight w:val="none"/>
        </w:rPr>
        <w:instrText xml:space="preserve"> REF _Ref123718718 \h </w:instrText>
      </w:r>
      <w:r>
        <w:rPr>
          <w:highlight w:val="none"/>
        </w:rPr>
        <w:fldChar w:fldCharType="separate"/>
      </w:r>
      <w:r>
        <w:rPr>
          <w:rFonts w:hint="eastAsia"/>
          <w:highlight w:val="none"/>
        </w:rPr>
        <w:t>图</w:t>
      </w:r>
      <w:r>
        <w:rPr>
          <w:highlight w:val="none"/>
        </w:rPr>
        <w:t>2.1.4</w:t>
      </w:r>
      <w:r>
        <w:rPr>
          <w:rFonts w:hint="eastAsia"/>
          <w:highlight w:val="none"/>
        </w:rPr>
        <w:t>-</w:t>
      </w:r>
      <w:r>
        <w:rPr>
          <w:highlight w:val="none"/>
        </w:rPr>
        <w:t>1</w:t>
      </w:r>
      <w:r>
        <w:rPr>
          <w:highlight w:val="none"/>
        </w:rPr>
        <w:fldChar w:fldCharType="end"/>
      </w:r>
      <w:r>
        <w:rPr>
          <w:highlight w:val="none"/>
        </w:rPr>
        <w:t>~</w:t>
      </w:r>
      <w:r>
        <w:rPr>
          <w:highlight w:val="none"/>
        </w:rPr>
        <w:fldChar w:fldCharType="begin"/>
      </w:r>
      <w:r>
        <w:rPr>
          <w:highlight w:val="none"/>
        </w:rPr>
        <w:instrText xml:space="preserve"> REF _Ref175059889 \h </w:instrText>
      </w:r>
      <w:r>
        <w:rPr>
          <w:highlight w:val="none"/>
        </w:rPr>
        <w:fldChar w:fldCharType="separate"/>
      </w:r>
      <w:r>
        <w:rPr>
          <w:rFonts w:hint="eastAsia"/>
          <w:highlight w:val="none"/>
        </w:rPr>
        <w:t>图</w:t>
      </w:r>
      <w:r>
        <w:rPr>
          <w:highlight w:val="none"/>
        </w:rPr>
        <w:t>2.1.4</w:t>
      </w:r>
      <w:r>
        <w:rPr>
          <w:rFonts w:hint="eastAsia"/>
          <w:highlight w:val="none"/>
        </w:rPr>
        <w:t>-</w:t>
      </w:r>
      <w:r>
        <w:rPr>
          <w:highlight w:val="none"/>
        </w:rPr>
        <w:t>2</w:t>
      </w:r>
      <w:r>
        <w:rPr>
          <w:highlight w:val="none"/>
        </w:rPr>
        <w:fldChar w:fldCharType="end"/>
      </w:r>
      <w:r>
        <w:rPr>
          <w:rFonts w:hint="eastAsia"/>
          <w:highlight w:val="none"/>
        </w:rPr>
        <w:t>所示。</w:t>
      </w:r>
    </w:p>
    <w:p w14:paraId="5B58A214">
      <w:pPr>
        <w:pStyle w:val="163"/>
        <w:rPr>
          <w:highlight w:val="none"/>
        </w:rPr>
      </w:pPr>
      <w:bookmarkStart w:id="26" w:name="_Ref123718718"/>
      <w:r>
        <w:rPr>
          <w:highlight w:val="none"/>
        </w:rPr>
        <w:drawing>
          <wp:inline distT="0" distB="0" distL="114300" distR="114300">
            <wp:extent cx="4810125" cy="6067425"/>
            <wp:effectExtent l="0" t="0" r="9525" b="9525"/>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42"/>
                    <a:stretch>
                      <a:fillRect/>
                    </a:stretch>
                  </pic:blipFill>
                  <pic:spPr>
                    <a:xfrm>
                      <a:off x="0" y="0"/>
                      <a:ext cx="4810125" cy="6067425"/>
                    </a:xfrm>
                    <a:prstGeom prst="rect">
                      <a:avLst/>
                    </a:prstGeom>
                    <a:noFill/>
                    <a:ln>
                      <a:noFill/>
                    </a:ln>
                  </pic:spPr>
                </pic:pic>
              </a:graphicData>
            </a:graphic>
          </wp:inline>
        </w:drawing>
      </w:r>
    </w:p>
    <w:p w14:paraId="13403E27">
      <w:pPr>
        <w:pStyle w:val="163"/>
        <w:rPr>
          <w:highlight w:val="none"/>
        </w:rPr>
      </w:pPr>
      <w:r>
        <w:rPr>
          <w:rFonts w:hint="eastAsia"/>
          <w:highlight w:val="none"/>
        </w:rPr>
        <w:t>图</w:t>
      </w:r>
      <w:r>
        <w:rPr>
          <w:highlight w:val="none"/>
        </w:rPr>
        <w:fldChar w:fldCharType="begin"/>
      </w:r>
      <w:r>
        <w:rPr>
          <w:highlight w:val="none"/>
        </w:rPr>
        <w:instrText xml:space="preserve"> </w:instrText>
      </w:r>
      <w:r>
        <w:rPr>
          <w:rFonts w:hint="eastAsia"/>
          <w:highlight w:val="none"/>
        </w:rPr>
        <w:instrText xml:space="preserve">STYLEREF </w:instrText>
      </w:r>
      <w:r>
        <w:rPr>
          <w:highlight w:val="none"/>
        </w:rPr>
        <w:instrText xml:space="preserve">3</w:instrText>
      </w:r>
      <w:r>
        <w:rPr>
          <w:rFonts w:hint="eastAsia"/>
          <w:highlight w:val="none"/>
        </w:rPr>
        <w:instrText xml:space="preserve"> \s</w:instrText>
      </w:r>
      <w:r>
        <w:rPr>
          <w:highlight w:val="none"/>
        </w:rPr>
        <w:instrText xml:space="preserve"> </w:instrText>
      </w:r>
      <w:r>
        <w:rPr>
          <w:highlight w:val="none"/>
        </w:rPr>
        <w:fldChar w:fldCharType="separate"/>
      </w:r>
      <w:r>
        <w:rPr>
          <w:highlight w:val="none"/>
        </w:rPr>
        <w:t>2.1.4</w:t>
      </w:r>
      <w:r>
        <w:rPr>
          <w:highlight w:val="none"/>
        </w:rPr>
        <w:fldChar w:fldCharType="end"/>
      </w:r>
      <w:r>
        <w:rPr>
          <w:rFonts w:hint="eastAsia"/>
          <w:highlight w:val="none"/>
        </w:rPr>
        <w:t>-</w:t>
      </w:r>
      <w:r>
        <w:rPr>
          <w:highlight w:val="none"/>
        </w:rPr>
        <w:fldChar w:fldCharType="begin"/>
      </w:r>
      <w:r>
        <w:rPr>
          <w:highlight w:val="none"/>
        </w:rPr>
        <w:instrText xml:space="preserve"> </w:instrText>
      </w:r>
      <w:r>
        <w:rPr>
          <w:rFonts w:hint="eastAsia"/>
          <w:highlight w:val="none"/>
        </w:rPr>
        <w:instrText xml:space="preserve">SEQ 图 \* ARABIC \s </w:instrText>
      </w:r>
      <w:r>
        <w:rPr>
          <w:highlight w:val="none"/>
        </w:rPr>
        <w:instrText xml:space="preserve">3 </w:instrText>
      </w:r>
      <w:r>
        <w:rPr>
          <w:highlight w:val="none"/>
        </w:rPr>
        <w:fldChar w:fldCharType="separate"/>
      </w:r>
      <w:r>
        <w:rPr>
          <w:highlight w:val="none"/>
        </w:rPr>
        <w:t>1</w:t>
      </w:r>
      <w:r>
        <w:rPr>
          <w:highlight w:val="none"/>
        </w:rPr>
        <w:fldChar w:fldCharType="end"/>
      </w:r>
      <w:bookmarkEnd w:id="26"/>
      <w:r>
        <w:rPr>
          <w:highlight w:val="none"/>
        </w:rPr>
        <w:t xml:space="preserve"> </w:t>
      </w:r>
      <w:r>
        <w:rPr>
          <w:highlight w:val="none"/>
        </w:rPr>
        <w:fldChar w:fldCharType="begin"/>
      </w:r>
      <w:r>
        <w:rPr>
          <w:highlight w:val="none"/>
        </w:rPr>
        <w:instrText xml:space="preserve"> </w:instrText>
      </w:r>
      <w:r>
        <w:rPr>
          <w:rFonts w:hint="eastAsia"/>
          <w:highlight w:val="none"/>
        </w:rPr>
        <w:instrText xml:space="preserve">REF 设备型号1 \h</w:instrText>
      </w:r>
      <w:r>
        <w:rPr>
          <w:highlight w:val="none"/>
        </w:rPr>
        <w:instrText xml:space="preserve"> </w:instrText>
      </w:r>
      <w:r>
        <w:rPr>
          <w:highlight w:val="none"/>
        </w:rPr>
        <w:fldChar w:fldCharType="separate"/>
      </w:r>
      <w:r>
        <w:rPr>
          <w:rFonts w:hint="eastAsia"/>
          <w:highlight w:val="none"/>
        </w:rPr>
        <w:t>XGT360-20S1</w:t>
      </w:r>
      <w:r>
        <w:rPr>
          <w:highlight w:val="none"/>
        </w:rPr>
        <w:fldChar w:fldCharType="end"/>
      </w: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highlight w:val="none"/>
        </w:rPr>
        <w:t>结构图</w:t>
      </w:r>
    </w:p>
    <w:p w14:paraId="53FAA6F1">
      <w:pPr>
        <w:ind w:firstLine="480"/>
        <w:jc w:val="center"/>
        <w:rPr>
          <w:highlight w:val="none"/>
        </w:rPr>
      </w:pPr>
      <w:r>
        <w:rPr>
          <w:highlight w:val="none"/>
        </w:rPr>
        <w:drawing>
          <wp:inline distT="0" distB="0" distL="114300" distR="114300">
            <wp:extent cx="4667250" cy="5877560"/>
            <wp:effectExtent l="0" t="0" r="0" b="0"/>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pic:cNvPicPr>
                      <a:picLocks noChangeAspect="1"/>
                    </pic:cNvPicPr>
                  </pic:nvPicPr>
                  <pic:blipFill>
                    <a:blip r:embed="rId43"/>
                    <a:srcRect r="-1660" b="2208"/>
                    <a:stretch>
                      <a:fillRect/>
                    </a:stretch>
                  </pic:blipFill>
                  <pic:spPr>
                    <a:xfrm>
                      <a:off x="0" y="0"/>
                      <a:ext cx="4667250" cy="5877560"/>
                    </a:xfrm>
                    <a:prstGeom prst="rect">
                      <a:avLst/>
                    </a:prstGeom>
                    <a:noFill/>
                    <a:ln>
                      <a:noFill/>
                    </a:ln>
                  </pic:spPr>
                </pic:pic>
              </a:graphicData>
            </a:graphic>
          </wp:inline>
        </w:drawing>
      </w:r>
    </w:p>
    <w:p w14:paraId="717AA671">
      <w:pPr>
        <w:ind w:firstLine="422"/>
        <w:jc w:val="center"/>
        <w:rPr>
          <w:highlight w:val="none"/>
        </w:rPr>
      </w:pPr>
      <w:r>
        <w:rPr>
          <w:rFonts w:hint="eastAsia" w:cstheme="majorBidi"/>
          <w:b/>
          <w:sz w:val="21"/>
          <w:szCs w:val="20"/>
          <w:highlight w:val="none"/>
        </w:rPr>
        <w:t>图</w:t>
      </w:r>
      <w:r>
        <w:rPr>
          <w:rFonts w:hint="eastAsia" w:cstheme="majorBidi"/>
          <w:b/>
          <w:sz w:val="21"/>
          <w:szCs w:val="20"/>
          <w:highlight w:val="none"/>
        </w:rPr>
        <w:fldChar w:fldCharType="begin"/>
      </w:r>
      <w:r>
        <w:rPr>
          <w:rFonts w:hint="eastAsia" w:cstheme="majorBidi"/>
          <w:b/>
          <w:sz w:val="21"/>
          <w:szCs w:val="20"/>
          <w:highlight w:val="none"/>
        </w:rPr>
        <w:instrText xml:space="preserve"> STYLEREF 3 \s </w:instrText>
      </w:r>
      <w:r>
        <w:rPr>
          <w:rFonts w:hint="eastAsia" w:cstheme="majorBidi"/>
          <w:b/>
          <w:sz w:val="21"/>
          <w:szCs w:val="20"/>
          <w:highlight w:val="none"/>
        </w:rPr>
        <w:fldChar w:fldCharType="separate"/>
      </w:r>
      <w:r>
        <w:rPr>
          <w:rFonts w:hint="eastAsia" w:cstheme="majorBidi"/>
          <w:b/>
          <w:sz w:val="21"/>
          <w:szCs w:val="20"/>
          <w:highlight w:val="none"/>
        </w:rPr>
        <w:t>2.1.4</w:t>
      </w:r>
      <w:r>
        <w:rPr>
          <w:rFonts w:hint="eastAsia" w:cstheme="majorBidi"/>
          <w:b/>
          <w:sz w:val="21"/>
          <w:szCs w:val="20"/>
          <w:highlight w:val="none"/>
        </w:rPr>
        <w:fldChar w:fldCharType="end"/>
      </w:r>
      <w:r>
        <w:rPr>
          <w:rFonts w:hint="eastAsia" w:cstheme="majorBidi"/>
          <w:b/>
          <w:sz w:val="21"/>
          <w:szCs w:val="20"/>
          <w:highlight w:val="none"/>
        </w:rPr>
        <w:t xml:space="preserve">-2 </w:t>
      </w:r>
      <w:r>
        <w:rPr>
          <w:rFonts w:hint="eastAsia" w:cstheme="majorBidi"/>
          <w:b/>
          <w:sz w:val="21"/>
          <w:szCs w:val="20"/>
          <w:highlight w:val="none"/>
        </w:rPr>
        <w:fldChar w:fldCharType="begin"/>
      </w:r>
      <w:r>
        <w:rPr>
          <w:rFonts w:hint="eastAsia" w:cstheme="majorBidi"/>
          <w:b/>
          <w:sz w:val="21"/>
          <w:szCs w:val="20"/>
          <w:highlight w:val="none"/>
        </w:rPr>
        <w:instrText xml:space="preserve"> REF 设备型号1 \h </w:instrText>
      </w:r>
      <w:r>
        <w:rPr>
          <w:rFonts w:hint="eastAsia" w:cstheme="majorBidi"/>
          <w:b/>
          <w:sz w:val="21"/>
          <w:szCs w:val="20"/>
          <w:highlight w:val="none"/>
        </w:rPr>
        <w:fldChar w:fldCharType="separate"/>
      </w:r>
      <w:r>
        <w:rPr>
          <w:rFonts w:hint="eastAsia" w:cstheme="majorBidi"/>
          <w:b/>
          <w:sz w:val="21"/>
          <w:szCs w:val="20"/>
          <w:highlight w:val="none"/>
        </w:rPr>
        <w:t>XGT7026-12S1</w:t>
      </w:r>
      <w:r>
        <w:rPr>
          <w:rFonts w:hint="eastAsia" w:cstheme="majorBidi"/>
          <w:b/>
          <w:sz w:val="21"/>
          <w:szCs w:val="20"/>
          <w:highlight w:val="none"/>
        </w:rPr>
        <w:fldChar w:fldCharType="end"/>
      </w:r>
      <w:r>
        <w:rPr>
          <w:rFonts w:hint="eastAsia" w:cstheme="majorBidi"/>
          <w:b/>
          <w:sz w:val="21"/>
          <w:szCs w:val="20"/>
          <w:highlight w:val="none"/>
        </w:rPr>
        <w:fldChar w:fldCharType="begin"/>
      </w:r>
      <w:r>
        <w:rPr>
          <w:rFonts w:hint="eastAsia" w:cstheme="majorBidi"/>
          <w:b/>
          <w:sz w:val="21"/>
          <w:szCs w:val="20"/>
          <w:highlight w:val="none"/>
        </w:rPr>
        <w:instrText xml:space="preserve"> REF 设备类型 \h </w:instrText>
      </w:r>
      <w:r>
        <w:rPr>
          <w:rFonts w:hint="eastAsia" w:cstheme="majorBidi"/>
          <w:b/>
          <w:sz w:val="21"/>
          <w:szCs w:val="20"/>
          <w:highlight w:val="none"/>
        </w:rPr>
        <w:fldChar w:fldCharType="separate"/>
      </w:r>
      <w:r>
        <w:rPr>
          <w:rFonts w:hint="eastAsia" w:cstheme="majorBidi"/>
          <w:b/>
          <w:sz w:val="21"/>
          <w:szCs w:val="20"/>
          <w:highlight w:val="none"/>
        </w:rPr>
        <w:t>塔式起重机</w:t>
      </w:r>
      <w:r>
        <w:rPr>
          <w:rFonts w:hint="eastAsia" w:cstheme="majorBidi"/>
          <w:b/>
          <w:sz w:val="21"/>
          <w:szCs w:val="20"/>
          <w:highlight w:val="none"/>
        </w:rPr>
        <w:fldChar w:fldCharType="end"/>
      </w:r>
      <w:r>
        <w:rPr>
          <w:rFonts w:hint="eastAsia" w:cstheme="majorBidi"/>
          <w:b/>
          <w:sz w:val="21"/>
          <w:szCs w:val="20"/>
          <w:highlight w:val="none"/>
        </w:rPr>
        <w:t>结构图</w:t>
      </w:r>
    </w:p>
    <w:p w14:paraId="3281C884">
      <w:pPr>
        <w:pStyle w:val="5"/>
        <w:bidi w:val="0"/>
        <w:ind w:left="0" w:leftChars="0" w:firstLine="0" w:firstLineChars="0"/>
        <w:rPr>
          <w:highlight w:val="none"/>
        </w:rPr>
      </w:pPr>
      <w:r>
        <w:rPr>
          <w:rFonts w:hint="eastAsia"/>
          <w:highlight w:val="none"/>
        </w:rPr>
        <w:t>危大工程情况</w:t>
      </w:r>
    </w:p>
    <w:p w14:paraId="6D72AE66">
      <w:pPr>
        <w:ind w:firstLine="480"/>
        <w:rPr>
          <w:highlight w:val="none"/>
        </w:rPr>
      </w:pPr>
      <w:r>
        <w:rPr>
          <w:rFonts w:hint="eastAsia"/>
          <w:highlight w:val="none"/>
        </w:rPr>
        <w:t>根据《公路工程施工安全技术规范》（</w:t>
      </w:r>
      <w:r>
        <w:rPr>
          <w:highlight w:val="none"/>
        </w:rPr>
        <w:t>JTG F90-2015</w:t>
      </w:r>
      <w:r>
        <w:rPr>
          <w:rFonts w:hint="eastAsia"/>
          <w:highlight w:val="none"/>
        </w:rPr>
        <w:t>），本方案满足危险性较大的工程中起重吊装工程类别需编制专项施工方案第3条：起重机械设备自身的安装、拆卸。</w:t>
      </w:r>
    </w:p>
    <w:p w14:paraId="6311B8D6">
      <w:pPr>
        <w:pStyle w:val="5"/>
        <w:bidi w:val="0"/>
        <w:ind w:left="0" w:leftChars="0" w:firstLine="0" w:firstLineChars="0"/>
        <w:rPr>
          <w:highlight w:val="none"/>
        </w:rPr>
      </w:pPr>
      <w:r>
        <w:rPr>
          <w:rFonts w:hint="eastAsia"/>
          <w:highlight w:val="none"/>
        </w:rPr>
        <w:t>工程项目参与单位概况</w:t>
      </w:r>
    </w:p>
    <w:p w14:paraId="2F2A0EF1">
      <w:pPr>
        <w:pStyle w:val="18"/>
        <w:rPr>
          <w:highlight w:val="none"/>
        </w:rPr>
      </w:pPr>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w:instrText>
      </w:r>
      <w:r>
        <w:rPr>
          <w:highlight w:val="none"/>
        </w:rPr>
        <w:instrText xml:space="preserve">3</w:instrText>
      </w:r>
      <w:r>
        <w:rPr>
          <w:rFonts w:hint="eastAsia"/>
          <w:highlight w:val="none"/>
        </w:rPr>
        <w:instrText xml:space="preserve"> \s</w:instrText>
      </w:r>
      <w:r>
        <w:rPr>
          <w:highlight w:val="none"/>
        </w:rPr>
        <w:instrText xml:space="preserve"> </w:instrText>
      </w:r>
      <w:r>
        <w:rPr>
          <w:highlight w:val="none"/>
        </w:rPr>
        <w:fldChar w:fldCharType="separate"/>
      </w:r>
      <w:r>
        <w:rPr>
          <w:highlight w:val="none"/>
        </w:rPr>
        <w:t>2.1.</w:t>
      </w:r>
      <w:r>
        <w:rPr>
          <w:rFonts w:hint="eastAsia"/>
          <w:highlight w:val="none"/>
        </w:rPr>
        <w:t>6</w:t>
      </w:r>
      <w:r>
        <w:rPr>
          <w:highlight w:val="none"/>
        </w:rPr>
        <w:fldChar w:fldCharType="end"/>
      </w:r>
      <w:r>
        <w:rPr>
          <w:rFonts w:hint="eastAsia"/>
          <w:highlight w:val="none"/>
        </w:rPr>
        <w:t>-</w:t>
      </w:r>
      <w:r>
        <w:rPr>
          <w:highlight w:val="none"/>
        </w:rPr>
        <w:fldChar w:fldCharType="begin"/>
      </w:r>
      <w:r>
        <w:rPr>
          <w:highlight w:val="none"/>
        </w:rPr>
        <w:instrText xml:space="preserve"> </w:instrText>
      </w:r>
      <w:r>
        <w:rPr>
          <w:rFonts w:hint="eastAsia"/>
          <w:highlight w:val="none"/>
        </w:rPr>
        <w:instrText xml:space="preserve">SEQ 表 \* ARABIC \s </w:instrText>
      </w:r>
      <w:r>
        <w:rPr>
          <w:highlight w:val="none"/>
        </w:rPr>
        <w:instrText xml:space="preserve">3 </w:instrText>
      </w:r>
      <w:r>
        <w:rPr>
          <w:highlight w:val="none"/>
        </w:rPr>
        <w:fldChar w:fldCharType="separate"/>
      </w:r>
      <w:r>
        <w:rPr>
          <w:highlight w:val="none"/>
        </w:rPr>
        <w:t>1</w:t>
      </w:r>
      <w:r>
        <w:rPr>
          <w:highlight w:val="none"/>
        </w:rPr>
        <w:fldChar w:fldCharType="end"/>
      </w:r>
      <w:r>
        <w:rPr>
          <w:rFonts w:hint="eastAsia"/>
          <w:highlight w:val="none"/>
        </w:rPr>
        <w:t xml:space="preserve"> 项目参建方信息</w:t>
      </w:r>
    </w:p>
    <w:tbl>
      <w:tblPr>
        <w:tblStyle w:val="13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3"/>
        <w:gridCol w:w="2815"/>
        <w:gridCol w:w="5622"/>
      </w:tblGrid>
      <w:tr w14:paraId="4E00C5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9" w:type="pct"/>
            <w:shd w:val="clear" w:color="auto" w:fill="auto"/>
            <w:vAlign w:val="center"/>
          </w:tcPr>
          <w:p w14:paraId="6AD2F311">
            <w:pPr>
              <w:pStyle w:val="53"/>
              <w:rPr>
                <w:rFonts w:asciiTheme="minorHAnsi" w:hAnsiTheme="minorHAnsi" w:cstheme="minorBidi"/>
                <w:highlight w:val="none"/>
              </w:rPr>
            </w:pPr>
            <w:r>
              <w:rPr>
                <w:rFonts w:hint="eastAsia" w:asciiTheme="minorHAnsi" w:hAnsiTheme="minorHAnsi" w:cstheme="minorBidi"/>
                <w:highlight w:val="none"/>
              </w:rPr>
              <w:t>序号</w:t>
            </w:r>
          </w:p>
        </w:tc>
        <w:tc>
          <w:tcPr>
            <w:tcW w:w="1515" w:type="pct"/>
            <w:shd w:val="clear" w:color="auto" w:fill="auto"/>
            <w:vAlign w:val="center"/>
          </w:tcPr>
          <w:p w14:paraId="6A50D91A">
            <w:pPr>
              <w:pStyle w:val="53"/>
              <w:rPr>
                <w:rFonts w:asciiTheme="minorHAnsi" w:hAnsiTheme="minorHAnsi" w:cstheme="minorBidi"/>
                <w:highlight w:val="none"/>
              </w:rPr>
            </w:pPr>
            <w:r>
              <w:rPr>
                <w:rFonts w:hint="eastAsia" w:asciiTheme="minorHAnsi" w:hAnsiTheme="minorHAnsi" w:cstheme="minorBidi"/>
                <w:highlight w:val="none"/>
              </w:rPr>
              <w:t>参与方类型</w:t>
            </w:r>
          </w:p>
        </w:tc>
        <w:tc>
          <w:tcPr>
            <w:tcW w:w="3026" w:type="pct"/>
            <w:shd w:val="clear" w:color="auto" w:fill="auto"/>
            <w:vAlign w:val="center"/>
          </w:tcPr>
          <w:p w14:paraId="47BF5018">
            <w:pPr>
              <w:pStyle w:val="53"/>
              <w:rPr>
                <w:rFonts w:asciiTheme="minorHAnsi" w:hAnsiTheme="minorHAnsi" w:cstheme="minorBidi"/>
                <w:highlight w:val="none"/>
              </w:rPr>
            </w:pPr>
            <w:r>
              <w:rPr>
                <w:rFonts w:hint="eastAsia" w:asciiTheme="minorHAnsi" w:hAnsiTheme="minorHAnsi" w:cstheme="minorBidi"/>
                <w:highlight w:val="none"/>
              </w:rPr>
              <w:t>单位名称</w:t>
            </w:r>
          </w:p>
        </w:tc>
      </w:tr>
      <w:tr w14:paraId="0472E7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9" w:type="pct"/>
            <w:shd w:val="clear" w:color="auto" w:fill="auto"/>
            <w:vAlign w:val="center"/>
          </w:tcPr>
          <w:p w14:paraId="3D2E4F11">
            <w:pPr>
              <w:pStyle w:val="53"/>
              <w:numPr>
                <w:ilvl w:val="0"/>
                <w:numId w:val="18"/>
              </w:numPr>
              <w:rPr>
                <w:rFonts w:asciiTheme="minorHAnsi" w:hAnsiTheme="minorHAnsi" w:cstheme="minorBidi"/>
                <w:highlight w:val="none"/>
              </w:rPr>
            </w:pPr>
          </w:p>
        </w:tc>
        <w:tc>
          <w:tcPr>
            <w:tcW w:w="1515" w:type="pct"/>
            <w:shd w:val="clear" w:color="auto" w:fill="auto"/>
            <w:vAlign w:val="center"/>
          </w:tcPr>
          <w:p w14:paraId="159E52D3">
            <w:pPr>
              <w:pStyle w:val="53"/>
              <w:rPr>
                <w:rFonts w:asciiTheme="minorHAnsi" w:hAnsiTheme="minorHAnsi" w:cstheme="minorBidi"/>
                <w:highlight w:val="none"/>
              </w:rPr>
            </w:pPr>
            <w:r>
              <w:rPr>
                <w:rFonts w:asciiTheme="minorHAnsi" w:hAnsiTheme="minorHAnsi" w:cstheme="minorBidi"/>
                <w:highlight w:val="none"/>
              </w:rPr>
              <w:t>建设单位</w:t>
            </w:r>
          </w:p>
        </w:tc>
        <w:tc>
          <w:tcPr>
            <w:tcW w:w="3026" w:type="pct"/>
            <w:shd w:val="clear" w:color="auto" w:fill="auto"/>
          </w:tcPr>
          <w:p w14:paraId="3E8267F3">
            <w:pPr>
              <w:pStyle w:val="53"/>
              <w:rPr>
                <w:rFonts w:asciiTheme="minorHAnsi" w:hAnsiTheme="minorHAnsi" w:cstheme="minorBidi"/>
                <w:highlight w:val="none"/>
              </w:rPr>
            </w:pPr>
            <w:r>
              <w:rPr>
                <w:rFonts w:hint="eastAsia" w:asciiTheme="minorHAnsi" w:hAnsiTheme="minorHAnsi" w:cstheme="minorBidi"/>
                <w:highlight w:val="none"/>
              </w:rPr>
              <w:t>厦门路桥工程投资发展有限公司</w:t>
            </w:r>
          </w:p>
        </w:tc>
      </w:tr>
      <w:tr w14:paraId="0B27D4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9" w:type="pct"/>
            <w:shd w:val="clear" w:color="auto" w:fill="auto"/>
            <w:vAlign w:val="center"/>
          </w:tcPr>
          <w:p w14:paraId="6B52D95B">
            <w:pPr>
              <w:pStyle w:val="53"/>
              <w:numPr>
                <w:ilvl w:val="0"/>
                <w:numId w:val="18"/>
              </w:numPr>
              <w:rPr>
                <w:rFonts w:asciiTheme="minorHAnsi" w:hAnsiTheme="minorHAnsi" w:cstheme="minorBidi"/>
                <w:highlight w:val="none"/>
              </w:rPr>
            </w:pPr>
          </w:p>
        </w:tc>
        <w:tc>
          <w:tcPr>
            <w:tcW w:w="1515" w:type="pct"/>
            <w:shd w:val="clear" w:color="auto" w:fill="auto"/>
            <w:vAlign w:val="center"/>
          </w:tcPr>
          <w:p w14:paraId="317C20E1">
            <w:pPr>
              <w:pStyle w:val="53"/>
              <w:rPr>
                <w:rFonts w:asciiTheme="minorHAnsi" w:hAnsiTheme="minorHAnsi" w:cstheme="minorBidi"/>
                <w:highlight w:val="none"/>
              </w:rPr>
            </w:pPr>
            <w:r>
              <w:rPr>
                <w:rFonts w:asciiTheme="minorHAnsi" w:hAnsiTheme="minorHAnsi" w:cstheme="minorBidi"/>
                <w:highlight w:val="none"/>
              </w:rPr>
              <w:t>勘察设计单位</w:t>
            </w:r>
          </w:p>
        </w:tc>
        <w:tc>
          <w:tcPr>
            <w:tcW w:w="3026" w:type="pct"/>
            <w:shd w:val="clear" w:color="auto" w:fill="auto"/>
          </w:tcPr>
          <w:p w14:paraId="604FA8D7">
            <w:pPr>
              <w:pStyle w:val="53"/>
              <w:rPr>
                <w:rFonts w:asciiTheme="minorHAnsi" w:hAnsiTheme="minorHAnsi" w:cstheme="minorBidi"/>
                <w:highlight w:val="none"/>
              </w:rPr>
            </w:pPr>
            <w:r>
              <w:rPr>
                <w:rFonts w:hint="eastAsia" w:asciiTheme="minorHAnsi" w:hAnsiTheme="minorHAnsi" w:cstheme="minorBidi"/>
                <w:highlight w:val="none"/>
              </w:rPr>
              <w:t>中交公路规划设计院有限公司</w:t>
            </w:r>
          </w:p>
        </w:tc>
      </w:tr>
      <w:tr w14:paraId="41B1C4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9" w:type="pct"/>
            <w:shd w:val="clear" w:color="auto" w:fill="auto"/>
            <w:vAlign w:val="center"/>
          </w:tcPr>
          <w:p w14:paraId="42FB4919">
            <w:pPr>
              <w:pStyle w:val="53"/>
              <w:numPr>
                <w:ilvl w:val="0"/>
                <w:numId w:val="18"/>
              </w:numPr>
              <w:rPr>
                <w:rFonts w:asciiTheme="minorHAnsi" w:hAnsiTheme="minorHAnsi" w:cstheme="minorBidi"/>
                <w:highlight w:val="none"/>
              </w:rPr>
            </w:pPr>
          </w:p>
        </w:tc>
        <w:tc>
          <w:tcPr>
            <w:tcW w:w="1515" w:type="pct"/>
            <w:shd w:val="clear" w:color="auto" w:fill="auto"/>
            <w:vAlign w:val="center"/>
          </w:tcPr>
          <w:p w14:paraId="269FDC25">
            <w:pPr>
              <w:pStyle w:val="53"/>
              <w:rPr>
                <w:rFonts w:asciiTheme="minorHAnsi" w:hAnsiTheme="minorHAnsi" w:cstheme="minorBidi"/>
                <w:highlight w:val="none"/>
              </w:rPr>
            </w:pPr>
            <w:r>
              <w:rPr>
                <w:rFonts w:asciiTheme="minorHAnsi" w:hAnsiTheme="minorHAnsi" w:cstheme="minorBidi"/>
                <w:highlight w:val="none"/>
              </w:rPr>
              <w:t>监理单位</w:t>
            </w:r>
          </w:p>
        </w:tc>
        <w:tc>
          <w:tcPr>
            <w:tcW w:w="3026" w:type="pct"/>
            <w:shd w:val="clear" w:color="auto" w:fill="auto"/>
          </w:tcPr>
          <w:p w14:paraId="2138BC05">
            <w:pPr>
              <w:pStyle w:val="53"/>
              <w:rPr>
                <w:rFonts w:asciiTheme="minorHAnsi" w:hAnsiTheme="minorHAnsi" w:cstheme="minorBidi"/>
                <w:highlight w:val="none"/>
              </w:rPr>
            </w:pPr>
            <w:r>
              <w:rPr>
                <w:rFonts w:hint="eastAsia" w:asciiTheme="minorHAnsi" w:hAnsiTheme="minorHAnsi" w:cstheme="minorBidi"/>
                <w:highlight w:val="none"/>
              </w:rPr>
              <w:t>中铁武汉大桥工程咨询监理有限公司、建发合诚工程咨询股份有限公司</w:t>
            </w:r>
          </w:p>
        </w:tc>
      </w:tr>
      <w:tr w14:paraId="7C739F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9" w:type="pct"/>
            <w:shd w:val="clear" w:color="auto" w:fill="auto"/>
            <w:vAlign w:val="center"/>
          </w:tcPr>
          <w:p w14:paraId="148CC860">
            <w:pPr>
              <w:pStyle w:val="53"/>
              <w:numPr>
                <w:ilvl w:val="0"/>
                <w:numId w:val="18"/>
              </w:numPr>
              <w:rPr>
                <w:rFonts w:asciiTheme="minorHAnsi" w:hAnsiTheme="minorHAnsi" w:cstheme="minorBidi"/>
                <w:highlight w:val="none"/>
              </w:rPr>
            </w:pPr>
          </w:p>
        </w:tc>
        <w:tc>
          <w:tcPr>
            <w:tcW w:w="1515" w:type="pct"/>
            <w:shd w:val="clear" w:color="auto" w:fill="auto"/>
            <w:vAlign w:val="center"/>
          </w:tcPr>
          <w:p w14:paraId="48D5AFCB">
            <w:pPr>
              <w:pStyle w:val="53"/>
              <w:rPr>
                <w:rFonts w:asciiTheme="minorHAnsi" w:hAnsiTheme="minorHAnsi" w:cstheme="minorBidi"/>
                <w:highlight w:val="none"/>
              </w:rPr>
            </w:pPr>
            <w:r>
              <w:rPr>
                <w:rFonts w:asciiTheme="minorHAnsi" w:hAnsiTheme="minorHAnsi" w:cstheme="minorBidi"/>
                <w:highlight w:val="none"/>
              </w:rPr>
              <w:t>施工单位</w:t>
            </w:r>
          </w:p>
        </w:tc>
        <w:tc>
          <w:tcPr>
            <w:tcW w:w="3026" w:type="pct"/>
            <w:shd w:val="clear" w:color="auto" w:fill="auto"/>
            <w:vAlign w:val="center"/>
          </w:tcPr>
          <w:p w14:paraId="19B91894">
            <w:pPr>
              <w:pStyle w:val="53"/>
              <w:rPr>
                <w:rFonts w:asciiTheme="minorHAnsi" w:hAnsiTheme="minorHAnsi" w:cstheme="minorBidi"/>
                <w:highlight w:val="none"/>
              </w:rPr>
            </w:pPr>
            <w:r>
              <w:rPr>
                <w:rFonts w:hint="eastAsia" w:asciiTheme="minorHAnsi" w:hAnsiTheme="minorHAnsi" w:cstheme="minorBidi"/>
                <w:highlight w:val="none"/>
              </w:rPr>
              <w:t>中交第二航务工程局有限公司</w:t>
            </w:r>
          </w:p>
        </w:tc>
      </w:tr>
      <w:tr w14:paraId="791AC9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9" w:type="pct"/>
            <w:shd w:val="clear" w:color="auto" w:fill="auto"/>
            <w:vAlign w:val="center"/>
          </w:tcPr>
          <w:p w14:paraId="2D7FA170">
            <w:pPr>
              <w:pStyle w:val="53"/>
              <w:numPr>
                <w:ilvl w:val="0"/>
                <w:numId w:val="18"/>
              </w:numPr>
              <w:rPr>
                <w:rFonts w:asciiTheme="minorHAnsi" w:hAnsiTheme="minorHAnsi" w:cstheme="minorBidi"/>
                <w:highlight w:val="none"/>
              </w:rPr>
            </w:pPr>
          </w:p>
        </w:tc>
        <w:tc>
          <w:tcPr>
            <w:tcW w:w="1515" w:type="pct"/>
            <w:shd w:val="clear" w:color="auto" w:fill="auto"/>
            <w:vAlign w:val="center"/>
          </w:tcPr>
          <w:p w14:paraId="16962B24">
            <w:pPr>
              <w:pStyle w:val="53"/>
              <w:rPr>
                <w:rFonts w:asciiTheme="minorHAnsi" w:hAnsiTheme="minorHAnsi" w:cstheme="minorBidi"/>
                <w:highlight w:val="none"/>
              </w:rPr>
            </w:pPr>
            <w:r>
              <w:rPr>
                <w:rFonts w:asciiTheme="minorHAnsi" w:hAnsiTheme="minorHAnsi" w:cstheme="minorBidi"/>
                <w:highlight w:val="none"/>
              </w:rPr>
              <w:fldChar w:fldCharType="begin"/>
            </w:r>
            <w:r>
              <w:rPr>
                <w:rFonts w:asciiTheme="minorHAnsi" w:hAnsiTheme="minorHAnsi" w:cstheme="minorBidi"/>
                <w:highlight w:val="none"/>
              </w:rPr>
              <w:instrText xml:space="preserve"> </w:instrText>
            </w:r>
            <w:r>
              <w:rPr>
                <w:rFonts w:hint="eastAsia" w:asciiTheme="minorHAnsi" w:hAnsiTheme="minorHAnsi" w:cstheme="minorBidi"/>
                <w:highlight w:val="none"/>
              </w:rPr>
              <w:instrText xml:space="preserve">REF 设备类型 \h</w:instrText>
            </w:r>
            <w:r>
              <w:rPr>
                <w:rFonts w:asciiTheme="minorHAnsi" w:hAnsiTheme="minorHAnsi" w:cstheme="minorBidi"/>
                <w:highlight w:val="none"/>
              </w:rPr>
              <w:instrText xml:space="preserve"> </w:instrText>
            </w:r>
            <w:r>
              <w:rPr>
                <w:rFonts w:asciiTheme="minorHAnsi" w:hAnsiTheme="minorHAnsi" w:cstheme="minorBidi"/>
                <w:highlight w:val="none"/>
              </w:rPr>
              <w:fldChar w:fldCharType="separate"/>
            </w:r>
            <w:r>
              <w:rPr>
                <w:rFonts w:hint="eastAsia" w:asciiTheme="minorHAnsi" w:hAnsiTheme="minorHAnsi" w:cstheme="minorBidi"/>
                <w:highlight w:val="none"/>
              </w:rPr>
              <w:t>塔式起重机</w:t>
            </w:r>
            <w:r>
              <w:rPr>
                <w:rFonts w:asciiTheme="minorHAnsi" w:hAnsiTheme="minorHAnsi" w:cstheme="minorBidi"/>
                <w:highlight w:val="none"/>
              </w:rPr>
              <w:fldChar w:fldCharType="end"/>
            </w:r>
            <w:r>
              <w:rPr>
                <w:rFonts w:hint="eastAsia" w:asciiTheme="minorHAnsi" w:hAnsiTheme="minorHAnsi" w:cstheme="minorBidi"/>
                <w:highlight w:val="none"/>
              </w:rPr>
              <w:t>安装单位</w:t>
            </w:r>
          </w:p>
        </w:tc>
        <w:tc>
          <w:tcPr>
            <w:tcW w:w="3026" w:type="pct"/>
            <w:shd w:val="clear" w:color="auto" w:fill="auto"/>
            <w:vAlign w:val="center"/>
          </w:tcPr>
          <w:p w14:paraId="5D7AC163">
            <w:pPr>
              <w:pStyle w:val="53"/>
              <w:rPr>
                <w:rFonts w:asciiTheme="minorHAnsi" w:hAnsiTheme="minorHAnsi" w:cstheme="minorBidi"/>
                <w:highlight w:val="none"/>
              </w:rPr>
            </w:pPr>
            <w:r>
              <w:rPr>
                <w:rFonts w:asciiTheme="minorHAnsi" w:hAnsiTheme="minorHAnsi" w:cstheme="minorBidi"/>
                <w:highlight w:val="none"/>
              </w:rPr>
              <w:fldChar w:fldCharType="begin"/>
            </w:r>
            <w:r>
              <w:rPr>
                <w:rFonts w:asciiTheme="minorHAnsi" w:hAnsiTheme="minorHAnsi" w:cstheme="minorBidi"/>
                <w:highlight w:val="none"/>
              </w:rPr>
              <w:instrText xml:space="preserve"> REF 安拆单位 \h </w:instrText>
            </w:r>
            <w:r>
              <w:rPr>
                <w:rFonts w:asciiTheme="minorHAnsi" w:hAnsiTheme="minorHAnsi" w:cstheme="minorBidi"/>
                <w:highlight w:val="none"/>
              </w:rPr>
              <w:fldChar w:fldCharType="separate"/>
            </w:r>
            <w:r>
              <w:rPr>
                <w:rFonts w:hint="eastAsia" w:asciiTheme="minorHAnsi" w:hAnsiTheme="minorHAnsi" w:cstheme="minorBidi"/>
                <w:highlight w:val="none"/>
              </w:rPr>
              <w:t>四川科斗文智能装备有限公司</w:t>
            </w:r>
            <w:r>
              <w:rPr>
                <w:rFonts w:asciiTheme="minorHAnsi" w:hAnsiTheme="minorHAnsi" w:cstheme="minorBidi"/>
                <w:highlight w:val="none"/>
              </w:rPr>
              <w:fldChar w:fldCharType="end"/>
            </w:r>
          </w:p>
        </w:tc>
      </w:tr>
    </w:tbl>
    <w:p w14:paraId="0FCDD1D7">
      <w:pPr>
        <w:ind w:firstLine="0" w:firstLineChars="0"/>
        <w:rPr>
          <w:highlight w:val="none"/>
        </w:rPr>
        <w:sectPr>
          <w:headerReference r:id="rId11" w:type="default"/>
          <w:footerReference r:id="rId12" w:type="default"/>
          <w:pgSz w:w="11906" w:h="16839"/>
          <w:pgMar w:top="1235" w:right="1416" w:bottom="1156" w:left="1416" w:header="794" w:footer="996" w:gutter="0"/>
          <w:cols w:space="720" w:num="1"/>
        </w:sectPr>
      </w:pPr>
    </w:p>
    <w:p w14:paraId="42F8C8EA">
      <w:pPr>
        <w:pStyle w:val="4"/>
        <w:bidi w:val="0"/>
        <w:ind w:left="0" w:leftChars="0" w:firstLine="0" w:firstLineChars="0"/>
        <w:rPr>
          <w:highlight w:val="none"/>
        </w:rPr>
      </w:pPr>
      <w:bookmarkStart w:id="27" w:name="_Toc25989"/>
      <w:bookmarkStart w:id="28" w:name="_Toc176253800"/>
      <w:r>
        <w:rPr>
          <w:rFonts w:hint="eastAsia"/>
          <w:highlight w:val="none"/>
        </w:rPr>
        <w:t>工程特点</w:t>
      </w:r>
      <w:bookmarkEnd w:id="27"/>
      <w:bookmarkEnd w:id="28"/>
    </w:p>
    <w:p w14:paraId="08AA7103">
      <w:pPr>
        <w:pStyle w:val="72"/>
        <w:numPr>
          <w:ilvl w:val="0"/>
          <w:numId w:val="19"/>
        </w:numPr>
        <w:ind w:left="-196"/>
        <w:rPr>
          <w:highlight w:val="none"/>
        </w:rPr>
      </w:pPr>
      <w:r>
        <w:rPr>
          <w:rFonts w:hint="eastAsia"/>
          <w:highlight w:val="none"/>
        </w:rPr>
        <w:t>场安装场地受限，</w:t>
      </w:r>
      <w:r>
        <w:rPr>
          <w:highlight w:val="none"/>
        </w:rPr>
        <w:fldChar w:fldCharType="begin"/>
      </w:r>
      <w:r>
        <w:rPr>
          <w:highlight w:val="none"/>
        </w:rPr>
        <w:instrText xml:space="preserve"> REF </w:instrText>
      </w:r>
      <w:r>
        <w:rPr>
          <w:rFonts w:hint="eastAsia"/>
          <w:highlight w:val="none"/>
        </w:rPr>
        <w:instrText xml:space="preserve">设备类型</w:instrText>
      </w:r>
      <w:r>
        <w:rPr>
          <w:highlight w:val="none"/>
        </w:rPr>
        <w:instrText xml:space="preserve"> \h </w:instrText>
      </w:r>
      <w:r>
        <w:rPr>
          <w:highlight w:val="none"/>
        </w:rPr>
        <w:fldChar w:fldCharType="separate"/>
      </w:r>
      <w:r>
        <w:rPr>
          <w:rFonts w:hint="eastAsia"/>
          <w:highlight w:val="none"/>
        </w:rPr>
        <w:t>塔式起重机</w:t>
      </w:r>
      <w:r>
        <w:rPr>
          <w:highlight w:val="none"/>
        </w:rPr>
        <w:fldChar w:fldCharType="end"/>
      </w:r>
      <w:r>
        <w:rPr>
          <w:rFonts w:hint="eastAsia"/>
          <w:highlight w:val="none"/>
        </w:rPr>
        <w:t>部件吊装难度大；</w:t>
      </w:r>
    </w:p>
    <w:p w14:paraId="77B2C615">
      <w:pPr>
        <w:pStyle w:val="72"/>
        <w:numPr>
          <w:ilvl w:val="0"/>
          <w:numId w:val="19"/>
        </w:numPr>
        <w:ind w:left="-196"/>
        <w:rPr>
          <w:highlight w:val="none"/>
        </w:rPr>
      </w:pPr>
      <w:r>
        <w:rPr>
          <w:rFonts w:hint="eastAsia"/>
          <w:highlight w:val="none"/>
        </w:rPr>
        <w:t>本施工过程包含高空作业，安全风险较大。</w:t>
      </w:r>
    </w:p>
    <w:p w14:paraId="20FDB555">
      <w:pPr>
        <w:pStyle w:val="72"/>
        <w:numPr>
          <w:ilvl w:val="0"/>
          <w:numId w:val="19"/>
        </w:numPr>
        <w:ind w:left="-196"/>
        <w:rPr>
          <w:highlight w:val="none"/>
        </w:rPr>
      </w:pPr>
      <w:r>
        <w:rPr>
          <w:rFonts w:hint="eastAsia"/>
          <w:highlight w:val="none"/>
        </w:rPr>
        <w:t>涉及群塔作业，</w:t>
      </w:r>
      <w:r>
        <w:rPr>
          <w:rFonts w:hint="eastAsia"/>
          <w:highlight w:val="none"/>
          <w:lang w:val="en-US" w:eastAsia="zh-CN"/>
        </w:rPr>
        <w:t>4#</w:t>
      </w:r>
      <w:r>
        <w:rPr>
          <w:rFonts w:hint="eastAsia"/>
          <w:highlight w:val="none"/>
        </w:rPr>
        <w:t>塔顶部距离</w:t>
      </w:r>
      <w:r>
        <w:rPr>
          <w:rFonts w:hint="eastAsia"/>
          <w:highlight w:val="none"/>
          <w:lang w:val="en-US" w:eastAsia="zh-CN"/>
        </w:rPr>
        <w:t>3#</w:t>
      </w:r>
      <w:r>
        <w:rPr>
          <w:rFonts w:hint="eastAsia"/>
          <w:highlight w:val="none"/>
        </w:rPr>
        <w:t>塔吊钩</w:t>
      </w:r>
      <w:r>
        <w:rPr>
          <w:highlight w:val="none"/>
        </w:rPr>
        <w:t>3.</w:t>
      </w:r>
      <w:r>
        <w:rPr>
          <w:rFonts w:hint="eastAsia"/>
          <w:highlight w:val="none"/>
          <w:lang w:val="en-US" w:eastAsia="zh-CN"/>
        </w:rPr>
        <w:t>574</w:t>
      </w:r>
      <w:r>
        <w:rPr>
          <w:highlight w:val="none"/>
        </w:rPr>
        <w:t>m</w:t>
      </w:r>
      <w:r>
        <w:rPr>
          <w:rFonts w:hint="eastAsia"/>
          <w:highlight w:val="none"/>
        </w:rPr>
        <w:t>，安全距离大于</w:t>
      </w:r>
      <w:r>
        <w:rPr>
          <w:highlight w:val="none"/>
        </w:rPr>
        <w:t>2m,</w:t>
      </w:r>
      <w:r>
        <w:rPr>
          <w:rFonts w:hint="eastAsia"/>
          <w:highlight w:val="none"/>
          <w:lang w:val="en-US" w:eastAsia="zh-CN"/>
        </w:rPr>
        <w:t>4#</w:t>
      </w:r>
      <w:r>
        <w:rPr>
          <w:rFonts w:hint="eastAsia"/>
          <w:highlight w:val="none"/>
        </w:rPr>
        <w:t>塔端部距离</w:t>
      </w:r>
      <w:r>
        <w:rPr>
          <w:rFonts w:hint="eastAsia"/>
          <w:highlight w:val="none"/>
          <w:lang w:val="en-US" w:eastAsia="zh-CN"/>
        </w:rPr>
        <w:t>3#</w:t>
      </w:r>
      <w:r>
        <w:rPr>
          <w:rFonts w:hint="eastAsia"/>
          <w:highlight w:val="none"/>
        </w:rPr>
        <w:t>塔塔身最近距离</w:t>
      </w:r>
      <w:r>
        <w:rPr>
          <w:highlight w:val="none"/>
        </w:rPr>
        <w:t>2.</w:t>
      </w:r>
      <w:r>
        <w:rPr>
          <w:rFonts w:hint="eastAsia"/>
          <w:highlight w:val="none"/>
          <w:lang w:val="en-US" w:eastAsia="zh-CN"/>
        </w:rPr>
        <w:t>334</w:t>
      </w:r>
      <w:r>
        <w:rPr>
          <w:highlight w:val="none"/>
        </w:rPr>
        <w:t>m</w:t>
      </w:r>
      <w:r>
        <w:rPr>
          <w:rFonts w:hint="eastAsia"/>
          <w:highlight w:val="none"/>
        </w:rPr>
        <w:t>，安全距离大于</w:t>
      </w:r>
      <w:r>
        <w:rPr>
          <w:highlight w:val="none"/>
        </w:rPr>
        <w:t>2m</w:t>
      </w:r>
      <w:r>
        <w:rPr>
          <w:rFonts w:hint="eastAsia"/>
          <w:highlight w:val="none"/>
        </w:rPr>
        <w:t>，满足安全施工要求。</w:t>
      </w:r>
    </w:p>
    <w:p w14:paraId="1139F021">
      <w:pPr>
        <w:ind w:firstLine="0" w:firstLineChars="0"/>
        <w:rPr>
          <w:highlight w:val="none"/>
        </w:rPr>
      </w:pPr>
      <w:r>
        <w:rPr>
          <w:highlight w:val="none"/>
        </w:rPr>
        <w:drawing>
          <wp:inline distT="0" distB="0" distL="0" distR="0">
            <wp:extent cx="5782310" cy="3634740"/>
            <wp:effectExtent l="0" t="0" r="8890" b="3810"/>
            <wp:docPr id="5" name="图片 5" descr="d:\Documents\WeChat Files\yufeimen024873\FileStorage\Temp\174272443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Documents\WeChat Files\yufeimen024873\FileStorage\Temp\1742724433117.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777956" cy="3631734"/>
                    </a:xfrm>
                    <a:prstGeom prst="rect">
                      <a:avLst/>
                    </a:prstGeom>
                    <a:noFill/>
                    <a:ln>
                      <a:noFill/>
                    </a:ln>
                  </pic:spPr>
                </pic:pic>
              </a:graphicData>
            </a:graphic>
          </wp:inline>
        </w:drawing>
      </w:r>
    </w:p>
    <w:p w14:paraId="43C0A46F">
      <w:pPr>
        <w:pStyle w:val="16"/>
        <w:ind w:firstLine="480"/>
        <w:jc w:val="center"/>
        <w:rPr>
          <w:rFonts w:ascii="Times New Roman" w:hAnsi="Times New Roman"/>
          <w:color w:val="000000" w:themeColor="text1"/>
          <w:szCs w:val="21"/>
          <w:highlight w:val="none"/>
          <w14:textFill>
            <w14:solidFill>
              <w14:schemeClr w14:val="tx1"/>
            </w14:solidFill>
          </w14:textFill>
        </w:rPr>
      </w:pPr>
    </w:p>
    <w:p w14:paraId="6A85A263">
      <w:pPr>
        <w:pStyle w:val="18"/>
        <w:rPr>
          <w:rFonts w:cs="Times New Roman"/>
          <w:b w:val="0"/>
          <w:color w:val="000000" w:themeColor="text1"/>
          <w:sz w:val="24"/>
          <w:szCs w:val="21"/>
          <w:highlight w:val="none"/>
          <w14:textFill>
            <w14:solidFill>
              <w14:schemeClr w14:val="tx1"/>
            </w14:solidFill>
          </w14:textFill>
        </w:rPr>
      </w:pPr>
      <w:r>
        <w:rPr>
          <w:rFonts w:hint="eastAsia" w:cs="Times New Roman"/>
          <w:b w:val="0"/>
          <w:color w:val="000000" w:themeColor="text1"/>
          <w:sz w:val="24"/>
          <w:szCs w:val="21"/>
          <w:highlight w:val="none"/>
          <w14:textFill>
            <w14:solidFill>
              <w14:schemeClr w14:val="tx1"/>
            </w14:solidFill>
          </w14:textFill>
        </w:rPr>
        <w:t xml:space="preserve">图 </w:t>
      </w:r>
      <w:r>
        <w:rPr>
          <w:rFonts w:hint="eastAsia" w:cs="Times New Roman"/>
          <w:b w:val="0"/>
          <w:color w:val="000000" w:themeColor="text1"/>
          <w:sz w:val="24"/>
          <w:szCs w:val="21"/>
          <w:highlight w:val="none"/>
          <w14:textFill>
            <w14:solidFill>
              <w14:schemeClr w14:val="tx1"/>
            </w14:solidFill>
          </w14:textFill>
        </w:rPr>
        <w:fldChar w:fldCharType="begin"/>
      </w:r>
      <w:r>
        <w:rPr>
          <w:rFonts w:hint="eastAsia" w:cs="Times New Roman"/>
          <w:b w:val="0"/>
          <w:color w:val="000000" w:themeColor="text1"/>
          <w:sz w:val="24"/>
          <w:szCs w:val="21"/>
          <w:highlight w:val="none"/>
          <w14:textFill>
            <w14:solidFill>
              <w14:schemeClr w14:val="tx1"/>
            </w14:solidFill>
          </w14:textFill>
        </w:rPr>
        <w:instrText xml:space="preserve"> STYLEREF 3 \s </w:instrText>
      </w:r>
      <w:r>
        <w:rPr>
          <w:rFonts w:hint="eastAsia" w:cs="Times New Roman"/>
          <w:b w:val="0"/>
          <w:color w:val="000000" w:themeColor="text1"/>
          <w:sz w:val="24"/>
          <w:szCs w:val="21"/>
          <w:highlight w:val="none"/>
          <w14:textFill>
            <w14:solidFill>
              <w14:schemeClr w14:val="tx1"/>
            </w14:solidFill>
          </w14:textFill>
        </w:rPr>
        <w:fldChar w:fldCharType="separate"/>
      </w:r>
      <w:r>
        <w:rPr>
          <w:rFonts w:hint="eastAsia" w:cs="Times New Roman"/>
          <w:b w:val="0"/>
          <w:color w:val="000000" w:themeColor="text1"/>
          <w:sz w:val="24"/>
          <w:szCs w:val="21"/>
          <w:highlight w:val="none"/>
          <w14:textFill>
            <w14:solidFill>
              <w14:schemeClr w14:val="tx1"/>
            </w14:solidFill>
          </w14:textFill>
        </w:rPr>
        <w:t>2.2</w:t>
      </w:r>
      <w:r>
        <w:rPr>
          <w:rFonts w:hint="eastAsia" w:cs="Times New Roman"/>
          <w:b w:val="0"/>
          <w:color w:val="000000" w:themeColor="text1"/>
          <w:sz w:val="24"/>
          <w:szCs w:val="21"/>
          <w:highlight w:val="none"/>
          <w14:textFill>
            <w14:solidFill>
              <w14:schemeClr w14:val="tx1"/>
            </w14:solidFill>
          </w14:textFill>
        </w:rPr>
        <w:fldChar w:fldCharType="end"/>
      </w:r>
      <w:r>
        <w:rPr>
          <w:rFonts w:hint="eastAsia" w:cs="Times New Roman"/>
          <w:b w:val="0"/>
          <w:color w:val="000000" w:themeColor="text1"/>
          <w:sz w:val="24"/>
          <w:szCs w:val="21"/>
          <w:highlight w:val="none"/>
          <w14:textFill>
            <w14:solidFill>
              <w14:schemeClr w14:val="tx1"/>
            </w14:solidFill>
          </w14:textFill>
        </w:rPr>
        <w:noBreakHyphen/>
      </w:r>
      <w:r>
        <w:rPr>
          <w:rFonts w:hint="eastAsia" w:cs="Times New Roman"/>
          <w:b w:val="0"/>
          <w:color w:val="000000" w:themeColor="text1"/>
          <w:sz w:val="24"/>
          <w:szCs w:val="21"/>
          <w:highlight w:val="none"/>
          <w14:textFill>
            <w14:solidFill>
              <w14:schemeClr w14:val="tx1"/>
            </w14:solidFill>
          </w14:textFill>
        </w:rPr>
        <w:fldChar w:fldCharType="begin"/>
      </w:r>
      <w:r>
        <w:rPr>
          <w:rFonts w:hint="eastAsia" w:cs="Times New Roman"/>
          <w:b w:val="0"/>
          <w:color w:val="000000" w:themeColor="text1"/>
          <w:sz w:val="24"/>
          <w:szCs w:val="21"/>
          <w:highlight w:val="none"/>
          <w14:textFill>
            <w14:solidFill>
              <w14:schemeClr w14:val="tx1"/>
            </w14:solidFill>
          </w14:textFill>
        </w:rPr>
        <w:instrText xml:space="preserve"> SEQ 图 \* ARABIC \s 3 </w:instrText>
      </w:r>
      <w:r>
        <w:rPr>
          <w:rFonts w:hint="eastAsia" w:cs="Times New Roman"/>
          <w:b w:val="0"/>
          <w:color w:val="000000" w:themeColor="text1"/>
          <w:sz w:val="24"/>
          <w:szCs w:val="21"/>
          <w:highlight w:val="none"/>
          <w14:textFill>
            <w14:solidFill>
              <w14:schemeClr w14:val="tx1"/>
            </w14:solidFill>
          </w14:textFill>
        </w:rPr>
        <w:fldChar w:fldCharType="separate"/>
      </w:r>
      <w:r>
        <w:rPr>
          <w:rFonts w:hint="eastAsia" w:cs="Times New Roman"/>
          <w:b w:val="0"/>
          <w:color w:val="000000" w:themeColor="text1"/>
          <w:sz w:val="24"/>
          <w:szCs w:val="21"/>
          <w:highlight w:val="none"/>
          <w14:textFill>
            <w14:solidFill>
              <w14:schemeClr w14:val="tx1"/>
            </w14:solidFill>
          </w14:textFill>
        </w:rPr>
        <w:t>1</w:t>
      </w:r>
      <w:r>
        <w:rPr>
          <w:rFonts w:hint="eastAsia" w:cs="Times New Roman"/>
          <w:b w:val="0"/>
          <w:color w:val="000000" w:themeColor="text1"/>
          <w:sz w:val="24"/>
          <w:szCs w:val="21"/>
          <w:highlight w:val="none"/>
          <w14:textFill>
            <w14:solidFill>
              <w14:schemeClr w14:val="tx1"/>
            </w14:solidFill>
          </w14:textFill>
        </w:rPr>
        <w:fldChar w:fldCharType="end"/>
      </w:r>
      <w:r>
        <w:rPr>
          <w:rFonts w:hint="eastAsia" w:cs="Times New Roman"/>
          <w:b w:val="0"/>
          <w:color w:val="000000" w:themeColor="text1"/>
          <w:sz w:val="24"/>
          <w:szCs w:val="21"/>
          <w:highlight w:val="none"/>
          <w14:textFill>
            <w14:solidFill>
              <w14:schemeClr w14:val="tx1"/>
            </w14:solidFill>
          </w14:textFill>
        </w:rPr>
        <w:t xml:space="preserve"> 3#、4#塔吊平面布置图</w:t>
      </w:r>
    </w:p>
    <w:p w14:paraId="73A825FB">
      <w:pPr>
        <w:pStyle w:val="18"/>
        <w:rPr>
          <w:rFonts w:cs="Times New Roman"/>
          <w:b w:val="0"/>
          <w:color w:val="000000" w:themeColor="text1"/>
          <w:sz w:val="24"/>
          <w:szCs w:val="21"/>
          <w:highlight w:val="none"/>
          <w14:textFill>
            <w14:solidFill>
              <w14:schemeClr w14:val="tx1"/>
            </w14:solidFill>
          </w14:textFill>
        </w:rPr>
      </w:pPr>
    </w:p>
    <w:p w14:paraId="10D4804C">
      <w:pPr>
        <w:ind w:firstLine="480"/>
        <w:jc w:val="center"/>
        <w:rPr>
          <w:rFonts w:hint="eastAsia" w:eastAsia="宋体"/>
          <w:highlight w:val="none"/>
          <w:lang w:eastAsia="zh-CN"/>
        </w:rPr>
      </w:pPr>
      <w:r>
        <w:rPr>
          <w:rFonts w:hint="eastAsia" w:eastAsia="宋体"/>
          <w:highlight w:val="none"/>
          <w:lang w:eastAsia="zh-CN"/>
        </w:rPr>
        <w:drawing>
          <wp:inline distT="0" distB="0" distL="114300" distR="114300">
            <wp:extent cx="4267835" cy="7832090"/>
            <wp:effectExtent l="0" t="0" r="18415" b="16510"/>
            <wp:docPr id="119" name="图片 119" descr="西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西_00"/>
                    <pic:cNvPicPr>
                      <a:picLocks noChangeAspect="1"/>
                    </pic:cNvPicPr>
                  </pic:nvPicPr>
                  <pic:blipFill>
                    <a:blip r:embed="rId45"/>
                    <a:srcRect l="10517" t="4566" r="18263" b="3007"/>
                    <a:stretch>
                      <a:fillRect/>
                    </a:stretch>
                  </pic:blipFill>
                  <pic:spPr>
                    <a:xfrm>
                      <a:off x="0" y="0"/>
                      <a:ext cx="4267835" cy="7832090"/>
                    </a:xfrm>
                    <a:prstGeom prst="rect">
                      <a:avLst/>
                    </a:prstGeom>
                  </pic:spPr>
                </pic:pic>
              </a:graphicData>
            </a:graphic>
          </wp:inline>
        </w:drawing>
      </w:r>
    </w:p>
    <w:p w14:paraId="6FAA63E6">
      <w:pPr>
        <w:pStyle w:val="18"/>
        <w:rPr>
          <w:rFonts w:cs="Times New Roman"/>
          <w:b w:val="0"/>
          <w:color w:val="000000" w:themeColor="text1"/>
          <w:sz w:val="24"/>
          <w:szCs w:val="21"/>
          <w:highlight w:val="none"/>
          <w14:textFill>
            <w14:solidFill>
              <w14:schemeClr w14:val="tx1"/>
            </w14:solidFill>
          </w14:textFill>
        </w:rPr>
      </w:pPr>
      <w:r>
        <w:rPr>
          <w:rFonts w:hint="eastAsia" w:cs="Times New Roman"/>
          <w:b w:val="0"/>
          <w:color w:val="000000" w:themeColor="text1"/>
          <w:sz w:val="24"/>
          <w:szCs w:val="21"/>
          <w:highlight w:val="none"/>
          <w14:textFill>
            <w14:solidFill>
              <w14:schemeClr w14:val="tx1"/>
            </w14:solidFill>
          </w14:textFill>
        </w:rPr>
        <w:t xml:space="preserve">图 </w:t>
      </w:r>
      <w:r>
        <w:rPr>
          <w:rFonts w:hint="eastAsia" w:cs="Times New Roman"/>
          <w:b w:val="0"/>
          <w:color w:val="000000" w:themeColor="text1"/>
          <w:sz w:val="24"/>
          <w:szCs w:val="21"/>
          <w:highlight w:val="none"/>
          <w14:textFill>
            <w14:solidFill>
              <w14:schemeClr w14:val="tx1"/>
            </w14:solidFill>
          </w14:textFill>
        </w:rPr>
        <w:fldChar w:fldCharType="begin"/>
      </w:r>
      <w:r>
        <w:rPr>
          <w:rFonts w:hint="eastAsia" w:cs="Times New Roman"/>
          <w:b w:val="0"/>
          <w:color w:val="000000" w:themeColor="text1"/>
          <w:sz w:val="24"/>
          <w:szCs w:val="21"/>
          <w:highlight w:val="none"/>
          <w14:textFill>
            <w14:solidFill>
              <w14:schemeClr w14:val="tx1"/>
            </w14:solidFill>
          </w14:textFill>
        </w:rPr>
        <w:instrText xml:space="preserve"> STYLEREF 3 \s </w:instrText>
      </w:r>
      <w:r>
        <w:rPr>
          <w:rFonts w:hint="eastAsia" w:cs="Times New Roman"/>
          <w:b w:val="0"/>
          <w:color w:val="000000" w:themeColor="text1"/>
          <w:sz w:val="24"/>
          <w:szCs w:val="21"/>
          <w:highlight w:val="none"/>
          <w14:textFill>
            <w14:solidFill>
              <w14:schemeClr w14:val="tx1"/>
            </w14:solidFill>
          </w14:textFill>
        </w:rPr>
        <w:fldChar w:fldCharType="separate"/>
      </w:r>
      <w:r>
        <w:rPr>
          <w:rFonts w:hint="eastAsia" w:cs="Times New Roman"/>
          <w:b w:val="0"/>
          <w:color w:val="000000" w:themeColor="text1"/>
          <w:sz w:val="24"/>
          <w:szCs w:val="21"/>
          <w:highlight w:val="none"/>
          <w14:textFill>
            <w14:solidFill>
              <w14:schemeClr w14:val="tx1"/>
            </w14:solidFill>
          </w14:textFill>
        </w:rPr>
        <w:t>2.2</w:t>
      </w:r>
      <w:r>
        <w:rPr>
          <w:rFonts w:hint="eastAsia" w:cs="Times New Roman"/>
          <w:b w:val="0"/>
          <w:color w:val="000000" w:themeColor="text1"/>
          <w:sz w:val="24"/>
          <w:szCs w:val="21"/>
          <w:highlight w:val="none"/>
          <w14:textFill>
            <w14:solidFill>
              <w14:schemeClr w14:val="tx1"/>
            </w14:solidFill>
          </w14:textFill>
        </w:rPr>
        <w:fldChar w:fldCharType="end"/>
      </w:r>
      <w:r>
        <w:rPr>
          <w:rFonts w:hint="eastAsia" w:cs="Times New Roman"/>
          <w:b w:val="0"/>
          <w:color w:val="000000" w:themeColor="text1"/>
          <w:sz w:val="24"/>
          <w:szCs w:val="21"/>
          <w:highlight w:val="none"/>
          <w14:textFill>
            <w14:solidFill>
              <w14:schemeClr w14:val="tx1"/>
            </w14:solidFill>
          </w14:textFill>
        </w:rPr>
        <w:noBreakHyphen/>
      </w:r>
      <w:r>
        <w:rPr>
          <w:rFonts w:hint="eastAsia" w:cs="Times New Roman"/>
          <w:b w:val="0"/>
          <w:color w:val="000000" w:themeColor="text1"/>
          <w:sz w:val="24"/>
          <w:szCs w:val="21"/>
          <w:highlight w:val="none"/>
          <w14:textFill>
            <w14:solidFill>
              <w14:schemeClr w14:val="tx1"/>
            </w14:solidFill>
          </w14:textFill>
        </w:rPr>
        <w:t xml:space="preserve">2 </w:t>
      </w:r>
      <w:r>
        <w:rPr>
          <w:rFonts w:hint="eastAsia" w:cs="Times New Roman"/>
          <w:b w:val="0"/>
          <w:color w:val="000000" w:themeColor="text1"/>
          <w:sz w:val="24"/>
          <w:szCs w:val="21"/>
          <w:highlight w:val="none"/>
          <w:lang w:val="en-US" w:eastAsia="zh-CN"/>
          <w14:textFill>
            <w14:solidFill>
              <w14:schemeClr w14:val="tx1"/>
            </w14:solidFill>
          </w14:textFill>
        </w:rPr>
        <w:t xml:space="preserve"> </w:t>
      </w:r>
      <w:r>
        <w:rPr>
          <w:rFonts w:hint="eastAsia" w:cs="Times New Roman"/>
          <w:b w:val="0"/>
          <w:color w:val="000000" w:themeColor="text1"/>
          <w:sz w:val="24"/>
          <w:szCs w:val="21"/>
          <w:highlight w:val="none"/>
          <w14:textFill>
            <w14:solidFill>
              <w14:schemeClr w14:val="tx1"/>
            </w14:solidFill>
          </w14:textFill>
        </w:rPr>
        <w:t>3#、4#塔吊立面图</w:t>
      </w:r>
    </w:p>
    <w:p w14:paraId="32FE9D9A">
      <w:pPr>
        <w:pStyle w:val="4"/>
        <w:bidi w:val="0"/>
        <w:ind w:left="0" w:leftChars="0" w:firstLine="0" w:firstLineChars="0"/>
        <w:rPr>
          <w:highlight w:val="none"/>
        </w:rPr>
      </w:pPr>
      <w:bookmarkStart w:id="29" w:name="_Toc21030"/>
      <w:bookmarkStart w:id="30" w:name="_Toc176253802"/>
      <w:r>
        <w:rPr>
          <w:rFonts w:hint="eastAsia"/>
          <w:highlight w:val="none"/>
        </w:rPr>
        <w:t>施工要求</w:t>
      </w:r>
      <w:bookmarkEnd w:id="29"/>
      <w:bookmarkEnd w:id="30"/>
    </w:p>
    <w:p w14:paraId="2108562F">
      <w:pPr>
        <w:pStyle w:val="5"/>
        <w:bidi w:val="0"/>
        <w:ind w:left="0" w:leftChars="0" w:firstLine="0" w:firstLineChars="0"/>
        <w:rPr>
          <w:highlight w:val="none"/>
        </w:rPr>
      </w:pPr>
      <w:r>
        <w:rPr>
          <w:rFonts w:hint="eastAsia"/>
          <w:highlight w:val="none"/>
        </w:rPr>
        <w:t>工期要求</w:t>
      </w:r>
    </w:p>
    <w:p w14:paraId="4A228AEB">
      <w:pPr>
        <w:ind w:firstLine="480"/>
        <w:rPr>
          <w:highlight w:val="none"/>
        </w:rPr>
      </w:pPr>
      <w:r>
        <w:rPr>
          <w:rFonts w:hint="eastAsia"/>
          <w:highlight w:val="none"/>
        </w:rPr>
        <w:t>根据总体施工进度安排，</w:t>
      </w:r>
      <w:r>
        <w:rPr>
          <w:highlight w:val="none"/>
        </w:rPr>
        <w:fldChar w:fldCharType="begin"/>
      </w:r>
      <w:r>
        <w:rPr>
          <w:highlight w:val="none"/>
        </w:rPr>
        <w:instrText xml:space="preserve"> REF 设备类型 \h  \* MERGEFORMAT </w:instrText>
      </w:r>
      <w:r>
        <w:rPr>
          <w:highlight w:val="none"/>
        </w:rPr>
        <w:fldChar w:fldCharType="separate"/>
      </w:r>
      <w:r>
        <w:rPr>
          <w:rFonts w:hint="eastAsia"/>
          <w:highlight w:val="none"/>
        </w:rPr>
        <w:t>塔式起重机</w:t>
      </w:r>
      <w:r>
        <w:rPr>
          <w:highlight w:val="none"/>
        </w:rPr>
        <w:fldChar w:fldCharType="end"/>
      </w:r>
      <w:r>
        <w:rPr>
          <w:rFonts w:hint="eastAsia"/>
          <w:highlight w:val="none"/>
        </w:rPr>
        <w:t>安装调试完毕总工期为17.5天，施工计划开始时间为2025年5月15日，完成时间为2025年6月3日。</w:t>
      </w:r>
    </w:p>
    <w:p w14:paraId="36F8187B">
      <w:pPr>
        <w:pStyle w:val="5"/>
        <w:bidi w:val="0"/>
        <w:ind w:left="0" w:leftChars="0" w:firstLine="0" w:firstLineChars="0"/>
        <w:rPr>
          <w:highlight w:val="none"/>
        </w:rPr>
      </w:pPr>
      <w:r>
        <w:rPr>
          <w:rFonts w:hint="eastAsia"/>
          <w:highlight w:val="none"/>
        </w:rPr>
        <w:t>质量要求</w:t>
      </w:r>
    </w:p>
    <w:p w14:paraId="1C954D2E">
      <w:pPr>
        <w:numPr>
          <w:ilvl w:val="0"/>
          <w:numId w:val="20"/>
        </w:numPr>
        <w:rPr>
          <w:highlight w:val="none"/>
        </w:rPr>
      </w:pPr>
      <w:r>
        <w:rPr>
          <w:highlight w:val="none"/>
        </w:rPr>
        <w:t>不发生质量事故，不发生造成社会恶劣影响的其他事件</w:t>
      </w:r>
      <w:r>
        <w:rPr>
          <w:rFonts w:hint="eastAsia"/>
          <w:highlight w:val="none"/>
        </w:rPr>
        <w:t>；</w:t>
      </w:r>
    </w:p>
    <w:p w14:paraId="57F14DEC">
      <w:pPr>
        <w:numPr>
          <w:ilvl w:val="0"/>
          <w:numId w:val="20"/>
        </w:numPr>
        <w:rPr>
          <w:highlight w:val="none"/>
        </w:rPr>
      </w:pPr>
      <w:r>
        <w:rPr>
          <w:rFonts w:hint="eastAsia"/>
          <w:highlight w:val="none"/>
        </w:rPr>
        <w:t>工程质量符合合同、图纸及规范要求。</w:t>
      </w:r>
    </w:p>
    <w:p w14:paraId="4109E761">
      <w:pPr>
        <w:pStyle w:val="5"/>
        <w:bidi w:val="0"/>
        <w:ind w:left="0" w:leftChars="0" w:firstLine="0" w:firstLineChars="0"/>
        <w:rPr>
          <w:highlight w:val="none"/>
        </w:rPr>
      </w:pPr>
      <w:r>
        <w:rPr>
          <w:rFonts w:hint="eastAsia"/>
          <w:highlight w:val="none"/>
        </w:rPr>
        <w:t>安全文明施工要求</w:t>
      </w:r>
    </w:p>
    <w:p w14:paraId="3F822901">
      <w:pPr>
        <w:numPr>
          <w:ilvl w:val="0"/>
          <w:numId w:val="21"/>
        </w:numPr>
        <w:rPr>
          <w:highlight w:val="none"/>
        </w:rPr>
      </w:pPr>
      <w:r>
        <w:rPr>
          <w:rFonts w:hint="eastAsia"/>
          <w:highlight w:val="none"/>
        </w:rPr>
        <w:t>一般及较大安全事故发生率为0；</w:t>
      </w:r>
    </w:p>
    <w:p w14:paraId="4A26FA7E">
      <w:pPr>
        <w:numPr>
          <w:ilvl w:val="0"/>
          <w:numId w:val="21"/>
        </w:numPr>
        <w:rPr>
          <w:highlight w:val="none"/>
        </w:rPr>
      </w:pPr>
      <w:r>
        <w:rPr>
          <w:rFonts w:hint="eastAsia"/>
          <w:highlight w:val="none"/>
        </w:rPr>
        <w:t>人员受伤事故发生率为0；</w:t>
      </w:r>
    </w:p>
    <w:p w14:paraId="4A9F0552">
      <w:pPr>
        <w:numPr>
          <w:ilvl w:val="0"/>
          <w:numId w:val="21"/>
        </w:numPr>
        <w:rPr>
          <w:highlight w:val="none"/>
        </w:rPr>
      </w:pPr>
      <w:r>
        <w:rPr>
          <w:rFonts w:hint="eastAsia"/>
          <w:highlight w:val="none"/>
        </w:rPr>
        <w:t>所有进场施工人员安全教育考核率达100%，特殊岗位操作人员持证上岗率达100%；</w:t>
      </w:r>
    </w:p>
    <w:p w14:paraId="3F7D5677">
      <w:pPr>
        <w:numPr>
          <w:ilvl w:val="0"/>
          <w:numId w:val="21"/>
        </w:numPr>
        <w:rPr>
          <w:highlight w:val="none"/>
        </w:rPr>
      </w:pPr>
      <w:r>
        <w:rPr>
          <w:rFonts w:hint="eastAsia"/>
          <w:highlight w:val="none"/>
        </w:rPr>
        <w:t>各种防护用品、设施合格率达100%，施工安全技术交底率达100%。</w:t>
      </w:r>
    </w:p>
    <w:p w14:paraId="5DFCA601">
      <w:pPr>
        <w:pStyle w:val="5"/>
        <w:bidi w:val="0"/>
        <w:ind w:left="0" w:leftChars="0" w:firstLine="0" w:firstLineChars="0"/>
        <w:rPr>
          <w:highlight w:val="none"/>
        </w:rPr>
      </w:pPr>
      <w:r>
        <w:rPr>
          <w:rFonts w:hint="eastAsia"/>
          <w:highlight w:val="none"/>
        </w:rPr>
        <w:t>环境保护要求</w:t>
      </w:r>
    </w:p>
    <w:p w14:paraId="1E281F40">
      <w:pPr>
        <w:ind w:firstLine="480"/>
        <w:rPr>
          <w:highlight w:val="none"/>
        </w:rPr>
      </w:pPr>
      <w:r>
        <w:rPr>
          <w:highlight w:val="none"/>
        </w:rPr>
        <w:t>严格执行上级单位及主管部门关于环境保护的规定，建立健全环水保管理体系，加强各项环境保护工程措施。</w:t>
      </w:r>
    </w:p>
    <w:p w14:paraId="6F12B903">
      <w:pPr>
        <w:pStyle w:val="5"/>
        <w:bidi w:val="0"/>
        <w:ind w:left="0" w:leftChars="0" w:firstLine="0" w:firstLineChars="0"/>
        <w:rPr>
          <w:highlight w:val="none"/>
        </w:rPr>
      </w:pPr>
      <w:r>
        <w:rPr>
          <w:rFonts w:hint="eastAsia"/>
          <w:highlight w:val="none"/>
        </w:rPr>
        <w:t>节能减排要求</w:t>
      </w:r>
    </w:p>
    <w:p w14:paraId="521AA4A9">
      <w:pPr>
        <w:ind w:firstLine="480"/>
        <w:rPr>
          <w:highlight w:val="none"/>
        </w:rPr>
      </w:pPr>
      <w:r>
        <w:rPr>
          <w:highlight w:val="none"/>
        </w:rPr>
        <w:t>根据</w:t>
      </w:r>
      <w:r>
        <w:rPr>
          <w:rFonts w:hint="eastAsia"/>
          <w:highlight w:val="none"/>
        </w:rPr>
        <w:t>施工</w:t>
      </w:r>
      <w:r>
        <w:rPr>
          <w:highlight w:val="none"/>
        </w:rPr>
        <w:t>进度和实际需要及时对工地机械设备进行调整和优化，提高机械设备的使用率和满载率；加强机械设备的维修保养，及时检修，减少设备的故障率和跑、冒、漏、滴的发生。</w:t>
      </w:r>
    </w:p>
    <w:p w14:paraId="1EFD5EE2">
      <w:pPr>
        <w:pStyle w:val="5"/>
        <w:bidi w:val="0"/>
        <w:ind w:left="0" w:leftChars="0" w:firstLine="0" w:firstLineChars="0"/>
        <w:rPr>
          <w:highlight w:val="none"/>
        </w:rPr>
      </w:pPr>
      <w:r>
        <w:rPr>
          <w:rFonts w:hint="eastAsia"/>
          <w:highlight w:val="none"/>
        </w:rPr>
        <w:t>安装场地</w:t>
      </w:r>
      <w:r>
        <w:rPr>
          <w:highlight w:val="none"/>
        </w:rPr>
        <w:t>要求</w:t>
      </w:r>
    </w:p>
    <w:p w14:paraId="51A4B7FF">
      <w:pPr>
        <w:ind w:firstLine="480" w:firstLineChars="0"/>
        <w:rPr>
          <w:highlight w:val="none"/>
        </w:rPr>
      </w:pPr>
      <w:r>
        <w:rPr>
          <w:highlight w:val="none"/>
        </w:rPr>
        <w:t>（1）</w:t>
      </w:r>
      <w:r>
        <w:rPr>
          <w:rFonts w:hint="eastAsia"/>
          <w:highlight w:val="none"/>
        </w:rPr>
        <w:t>安装场地大小应满足</w:t>
      </w: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各部件顺利装卸车、拼装拆解以及试验；</w:t>
      </w:r>
    </w:p>
    <w:p w14:paraId="3A4130CB">
      <w:pPr>
        <w:ind w:firstLine="480" w:firstLineChars="0"/>
        <w:rPr>
          <w:highlight w:val="none"/>
        </w:rPr>
      </w:pPr>
      <w:r>
        <w:rPr>
          <w:highlight w:val="none"/>
        </w:rPr>
        <w:t>（2）</w:t>
      </w:r>
      <w:r>
        <w:rPr>
          <w:rFonts w:hint="eastAsia"/>
          <w:highlight w:val="none"/>
        </w:rPr>
        <w:t>安装场地承载力应大于极限起重吊装工况下起重设备对安装场地的压力。</w:t>
      </w:r>
    </w:p>
    <w:p w14:paraId="4EA1DCFB">
      <w:pPr>
        <w:pStyle w:val="5"/>
        <w:bidi w:val="0"/>
        <w:ind w:left="0" w:leftChars="0" w:firstLine="0" w:firstLineChars="0"/>
        <w:rPr>
          <w:highlight w:val="none"/>
        </w:rPr>
      </w:pPr>
      <w:r>
        <w:rPr>
          <w:rFonts w:hint="eastAsia"/>
          <w:highlight w:val="none"/>
        </w:rPr>
        <w:t>运输及进场</w:t>
      </w:r>
      <w:r>
        <w:rPr>
          <w:highlight w:val="none"/>
        </w:rPr>
        <w:t>要求</w:t>
      </w:r>
    </w:p>
    <w:p w14:paraId="43CAAEB4">
      <w:pPr>
        <w:numPr>
          <w:ilvl w:val="0"/>
          <w:numId w:val="22"/>
        </w:numPr>
        <w:ind w:firstLineChars="0"/>
        <w:rPr>
          <w:highlight w:val="none"/>
        </w:rPr>
      </w:pP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机械部件运输时应在运输车上做好支撑，并绑扎牢固，避免行驶过程中由于晃动等情况致使部件结构损坏；</w:t>
      </w:r>
    </w:p>
    <w:p w14:paraId="0EC7F661">
      <w:pPr>
        <w:numPr>
          <w:ilvl w:val="0"/>
          <w:numId w:val="22"/>
        </w:numPr>
        <w:ind w:firstLineChars="0"/>
        <w:rPr>
          <w:highlight w:val="none"/>
        </w:rPr>
      </w:pP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各电气部件应在运输车上遮盖防雨布，保持电气设备干燥；</w:t>
      </w:r>
    </w:p>
    <w:p w14:paraId="5D82D68A">
      <w:pPr>
        <w:numPr>
          <w:ilvl w:val="0"/>
          <w:numId w:val="22"/>
        </w:numPr>
        <w:ind w:firstLineChars="0"/>
        <w:rPr>
          <w:highlight w:val="none"/>
        </w:rPr>
      </w:pPr>
      <w:r>
        <w:rPr>
          <w:highlight w:val="none"/>
        </w:rPr>
        <w:fldChar w:fldCharType="begin"/>
      </w:r>
      <w:r>
        <w:rPr>
          <w:highlight w:val="none"/>
        </w:rPr>
        <w:instrText xml:space="preserve"> </w:instrText>
      </w:r>
      <w:r>
        <w:rPr>
          <w:rFonts w:hint="eastAsia"/>
          <w:highlight w:val="none"/>
        </w:rPr>
        <w:instrText xml:space="preserve">REF 设备类型 \h</w:instrText>
      </w:r>
      <w:r>
        <w:rPr>
          <w:highlight w:val="none"/>
        </w:rPr>
        <w:instrText xml:space="preserve"> </w:instrText>
      </w:r>
      <w:r>
        <w:rPr>
          <w:highlight w:val="none"/>
        </w:rPr>
        <w:fldChar w:fldCharType="separate"/>
      </w:r>
      <w:r>
        <w:rPr>
          <w:rFonts w:hint="eastAsia"/>
          <w:highlight w:val="none"/>
        </w:rPr>
        <w:t>塔式起重机</w:t>
      </w:r>
      <w:r>
        <w:rPr>
          <w:highlight w:val="none"/>
        </w:rPr>
        <w:fldChar w:fldCharType="end"/>
      </w:r>
      <w:r>
        <w:rPr>
          <w:rFonts w:hint="eastAsia"/>
          <w:highlight w:val="none"/>
        </w:rPr>
        <w:t>各部件进场时项目设备部应进行预验收，检查部件数量是否与运输清单一致，检查各部件结构的完整性。</w:t>
      </w:r>
    </w:p>
    <w:p w14:paraId="62807233">
      <w:pPr>
        <w:pStyle w:val="4"/>
        <w:bidi w:val="0"/>
        <w:ind w:left="0" w:leftChars="0" w:firstLine="0" w:firstLineChars="0"/>
        <w:rPr>
          <w:highlight w:val="none"/>
        </w:rPr>
      </w:pPr>
      <w:bookmarkStart w:id="31" w:name="_Toc176253803"/>
      <w:bookmarkStart w:id="32" w:name="_Toc6002"/>
      <w:bookmarkStart w:id="33" w:name="_Toc93050660"/>
      <w:r>
        <w:rPr>
          <w:rFonts w:hint="eastAsia"/>
          <w:highlight w:val="none"/>
        </w:rPr>
        <w:t>技术保证条件</w:t>
      </w:r>
      <w:bookmarkEnd w:id="31"/>
      <w:bookmarkEnd w:id="32"/>
      <w:bookmarkEnd w:id="33"/>
    </w:p>
    <w:p w14:paraId="7C83F69E">
      <w:pPr>
        <w:numPr>
          <w:ilvl w:val="0"/>
          <w:numId w:val="23"/>
        </w:numPr>
        <w:ind w:firstLineChars="0"/>
        <w:rPr>
          <w:highlight w:val="none"/>
        </w:rPr>
      </w:pPr>
      <w:r>
        <w:rPr>
          <w:rFonts w:hint="eastAsia"/>
          <w:highlight w:val="none"/>
        </w:rPr>
        <w:t>对安装的起吊构件的重量、幅度进行详细的核算；</w:t>
      </w:r>
    </w:p>
    <w:p w14:paraId="5327CA91">
      <w:pPr>
        <w:numPr>
          <w:ilvl w:val="0"/>
          <w:numId w:val="23"/>
        </w:numPr>
        <w:rPr>
          <w:highlight w:val="none"/>
        </w:rPr>
      </w:pPr>
      <w:r>
        <w:rPr>
          <w:rFonts w:hint="eastAsia"/>
          <w:highlight w:val="none"/>
        </w:rPr>
        <w:t>对进场设备进行进场检验，对基础进行验收，确保设备性能及施工条件可靠；</w:t>
      </w:r>
    </w:p>
    <w:p w14:paraId="36F1F11C">
      <w:pPr>
        <w:numPr>
          <w:ilvl w:val="0"/>
          <w:numId w:val="23"/>
        </w:numPr>
        <w:rPr>
          <w:highlight w:val="none"/>
        </w:rPr>
      </w:pPr>
      <w:r>
        <w:rPr>
          <w:rFonts w:hint="eastAsia"/>
          <w:highlight w:val="none"/>
        </w:rPr>
        <w:t>方案模拟现场的实际作业情况，保证安装场地空间足够，避免吊装过程中的干涉；</w:t>
      </w:r>
    </w:p>
    <w:p w14:paraId="646CF5B4">
      <w:pPr>
        <w:numPr>
          <w:ilvl w:val="0"/>
          <w:numId w:val="23"/>
        </w:numPr>
        <w:rPr>
          <w:highlight w:val="none"/>
        </w:rPr>
      </w:pPr>
      <w:r>
        <w:rPr>
          <w:rFonts w:hint="eastAsia"/>
          <w:highlight w:val="none"/>
        </w:rPr>
        <w:t>合理安排安装工序，协调好场地堆放及构件倒运顺序；</w:t>
      </w:r>
    </w:p>
    <w:p w14:paraId="359175FC">
      <w:pPr>
        <w:ind w:firstLine="480"/>
        <w:rPr>
          <w:highlight w:val="none"/>
        </w:rPr>
      </w:pPr>
      <w:r>
        <w:rPr>
          <w:rFonts w:hint="eastAsia"/>
          <w:highlight w:val="none"/>
        </w:rPr>
        <w:t>加强技术交底，确保作业过程安全。</w:t>
      </w:r>
    </w:p>
    <w:p w14:paraId="52AD868C">
      <w:pPr>
        <w:pStyle w:val="3"/>
        <w:bidi w:val="0"/>
        <w:ind w:left="432" w:leftChars="0" w:hanging="432" w:firstLineChars="0"/>
        <w:rPr>
          <w:highlight w:val="none"/>
        </w:rPr>
      </w:pPr>
      <w:bookmarkStart w:id="34" w:name="_Toc13364"/>
      <w:r>
        <w:rPr>
          <w:rFonts w:hint="eastAsia"/>
          <w:highlight w:val="none"/>
        </w:rPr>
        <w:t>施工计划</w:t>
      </w:r>
      <w:bookmarkEnd w:id="34"/>
    </w:p>
    <w:p w14:paraId="2A268B93">
      <w:pPr>
        <w:pStyle w:val="4"/>
        <w:bidi w:val="0"/>
        <w:ind w:left="0" w:leftChars="0" w:firstLine="0" w:firstLineChars="0"/>
        <w:rPr>
          <w:highlight w:val="none"/>
        </w:rPr>
      </w:pPr>
      <w:bookmarkStart w:id="35" w:name="_Toc11628"/>
      <w:r>
        <w:rPr>
          <w:rFonts w:hint="eastAsia"/>
          <w:highlight w:val="none"/>
        </w:rPr>
        <w:t>施工进度计划</w:t>
      </w:r>
      <w:bookmarkEnd w:id="35"/>
    </w:p>
    <w:p w14:paraId="52C31BE5">
      <w:pPr>
        <w:ind w:firstLine="480"/>
        <w:rPr>
          <w:highlight w:val="none"/>
        </w:rPr>
      </w:pPr>
      <w:r>
        <w:rPr>
          <w:rFonts w:hint="eastAsia"/>
          <w:highlight w:val="none"/>
        </w:rPr>
        <w:t>XGT360-20S1、XGT7026-12S1塔机安装的施工进度见下表，如遇天气等其他不可控因素，工期顺延。</w:t>
      </w:r>
    </w:p>
    <w:p w14:paraId="5AABA304">
      <w:pPr>
        <w:ind w:firstLine="480"/>
        <w:jc w:val="center"/>
        <w:rPr>
          <w:highlight w:val="none"/>
        </w:rPr>
      </w:pPr>
      <w:r>
        <w:rPr>
          <w:rFonts w:hint="eastAsia"/>
          <w:highlight w:val="none"/>
        </w:rPr>
        <w:t>表 3.1-1  3#塔吊</w:t>
      </w:r>
      <w:bookmarkStart w:id="36" w:name="OLE_LINK1"/>
      <w:bookmarkStart w:id="37" w:name="OLE_LINK2"/>
      <w:r>
        <w:rPr>
          <w:rFonts w:hint="eastAsia"/>
          <w:highlight w:val="none"/>
        </w:rPr>
        <w:t>XGT360-20S1</w:t>
      </w:r>
      <w:bookmarkEnd w:id="36"/>
      <w:bookmarkEnd w:id="37"/>
      <w:r>
        <w:rPr>
          <w:rFonts w:hint="eastAsia"/>
          <w:highlight w:val="none"/>
        </w:rPr>
        <w:t>安装进度计划表</w:t>
      </w:r>
    </w:p>
    <w:tbl>
      <w:tblPr>
        <w:tblStyle w:val="128"/>
        <w:tblW w:w="4998" w:type="pct"/>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755"/>
        <w:gridCol w:w="3692"/>
        <w:gridCol w:w="1646"/>
        <w:gridCol w:w="910"/>
        <w:gridCol w:w="1516"/>
      </w:tblGrid>
      <w:tr w14:paraId="07F5222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blHeader/>
        </w:trPr>
        <w:tc>
          <w:tcPr>
            <w:tcW w:w="443"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4E40AE6D">
            <w:pPr>
              <w:spacing w:line="240" w:lineRule="auto"/>
              <w:ind w:firstLine="0" w:firstLineChars="0"/>
              <w:jc w:val="center"/>
              <w:rPr>
                <w:rFonts w:cstheme="minorBidi"/>
                <w:b w:val="0"/>
                <w:bCs/>
                <w:color w:val="000000"/>
                <w:sz w:val="21"/>
                <w:highlight w:val="none"/>
              </w:rPr>
            </w:pPr>
            <w:r>
              <w:rPr>
                <w:rFonts w:hint="eastAsia" w:cstheme="minorBidi"/>
                <w:b/>
                <w:bCs/>
                <w:color w:val="000000"/>
                <w:sz w:val="21"/>
                <w:highlight w:val="none"/>
              </w:rPr>
              <w:t>序号</w:t>
            </w:r>
          </w:p>
        </w:tc>
        <w:tc>
          <w:tcPr>
            <w:tcW w:w="216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39B6B400">
            <w:pPr>
              <w:spacing w:line="240" w:lineRule="auto"/>
              <w:ind w:firstLine="0" w:firstLineChars="0"/>
              <w:jc w:val="center"/>
              <w:rPr>
                <w:rFonts w:cstheme="minorBidi"/>
                <w:b w:val="0"/>
                <w:bCs/>
                <w:color w:val="000000"/>
                <w:sz w:val="21"/>
                <w:highlight w:val="none"/>
              </w:rPr>
            </w:pPr>
            <w:r>
              <w:rPr>
                <w:rFonts w:hint="eastAsia" w:cstheme="minorBidi"/>
                <w:b/>
                <w:bCs/>
                <w:color w:val="000000"/>
                <w:sz w:val="21"/>
                <w:highlight w:val="none"/>
              </w:rPr>
              <w:t>安装内容</w:t>
            </w:r>
          </w:p>
        </w:tc>
        <w:tc>
          <w:tcPr>
            <w:tcW w:w="965"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18A1382D">
            <w:pPr>
              <w:spacing w:line="240" w:lineRule="auto"/>
              <w:ind w:firstLine="0" w:firstLineChars="0"/>
              <w:jc w:val="center"/>
              <w:rPr>
                <w:rFonts w:cstheme="minorBidi"/>
                <w:b w:val="0"/>
                <w:bCs/>
                <w:color w:val="000000"/>
                <w:sz w:val="21"/>
                <w:highlight w:val="none"/>
              </w:rPr>
            </w:pPr>
            <w:r>
              <w:rPr>
                <w:rFonts w:hint="eastAsia" w:cstheme="minorBidi"/>
                <w:b/>
                <w:bCs/>
                <w:color w:val="000000"/>
                <w:sz w:val="21"/>
                <w:highlight w:val="none"/>
              </w:rPr>
              <w:t>关键设备</w:t>
            </w:r>
          </w:p>
        </w:tc>
        <w:tc>
          <w:tcPr>
            <w:tcW w:w="534" w:type="pct"/>
            <w:tcBorders>
              <w:top w:val="single" w:color="000000" w:sz="12" w:space="0"/>
              <w:left w:val="single" w:color="000000" w:sz="12" w:space="0"/>
              <w:bottom w:val="single" w:color="000000" w:sz="4" w:space="0"/>
              <w:right w:val="single" w:color="000000" w:sz="4" w:space="0"/>
            </w:tcBorders>
            <w:shd w:val="clear" w:color="auto" w:fill="FFFFFF"/>
            <w:vAlign w:val="center"/>
          </w:tcPr>
          <w:p w14:paraId="5E5E40A1">
            <w:pPr>
              <w:spacing w:line="240" w:lineRule="auto"/>
              <w:ind w:firstLine="0" w:firstLineChars="0"/>
              <w:jc w:val="center"/>
              <w:rPr>
                <w:rFonts w:cstheme="minorBidi"/>
                <w:b w:val="0"/>
                <w:bCs/>
                <w:color w:val="000000"/>
                <w:sz w:val="21"/>
                <w:highlight w:val="none"/>
              </w:rPr>
            </w:pPr>
            <w:r>
              <w:rPr>
                <w:rFonts w:hint="eastAsia" w:cstheme="minorBidi"/>
                <w:b/>
                <w:bCs/>
                <w:color w:val="000000"/>
                <w:sz w:val="21"/>
                <w:highlight w:val="none"/>
              </w:rPr>
              <w:t>时间（天）</w:t>
            </w:r>
          </w:p>
        </w:tc>
        <w:tc>
          <w:tcPr>
            <w:tcW w:w="889"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6DC0F15B">
            <w:pPr>
              <w:spacing w:line="240" w:lineRule="auto"/>
              <w:ind w:firstLine="0" w:firstLineChars="0"/>
              <w:jc w:val="center"/>
              <w:rPr>
                <w:rFonts w:cstheme="minorBidi"/>
                <w:b w:val="0"/>
                <w:bCs/>
                <w:color w:val="000000"/>
                <w:sz w:val="21"/>
                <w:highlight w:val="none"/>
              </w:rPr>
            </w:pPr>
            <w:r>
              <w:rPr>
                <w:rFonts w:hint="eastAsia" w:cstheme="minorBidi"/>
                <w:b/>
                <w:bCs/>
                <w:color w:val="000000"/>
                <w:sz w:val="21"/>
                <w:highlight w:val="none"/>
              </w:rPr>
              <w:t>备注</w:t>
            </w:r>
          </w:p>
        </w:tc>
      </w:tr>
      <w:tr w14:paraId="434ED757">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4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85BC06A">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w:t>
            </w:r>
          </w:p>
        </w:tc>
        <w:tc>
          <w:tcPr>
            <w:tcW w:w="21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3847BB">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塔吊基础验收</w:t>
            </w:r>
          </w:p>
        </w:tc>
        <w:tc>
          <w:tcPr>
            <w:tcW w:w="965"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699B5D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w:t>
            </w:r>
          </w:p>
        </w:tc>
        <w:tc>
          <w:tcPr>
            <w:tcW w:w="534"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A71618D">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942BB1">
            <w:pPr>
              <w:spacing w:line="240" w:lineRule="auto"/>
              <w:ind w:firstLine="0" w:firstLineChars="0"/>
              <w:jc w:val="center"/>
              <w:rPr>
                <w:rFonts w:cstheme="minorBidi"/>
                <w:color w:val="000000"/>
                <w:sz w:val="21"/>
                <w:highlight w:val="none"/>
              </w:rPr>
            </w:pPr>
          </w:p>
        </w:tc>
      </w:tr>
      <w:tr w14:paraId="5DA77D1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4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B74BA16">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2</w:t>
            </w:r>
          </w:p>
        </w:tc>
        <w:tc>
          <w:tcPr>
            <w:tcW w:w="21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F9EC192">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基础节、标准节、套架安装</w:t>
            </w:r>
          </w:p>
        </w:tc>
        <w:tc>
          <w:tcPr>
            <w:tcW w:w="965"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B29FF2C">
            <w:pPr>
              <w:spacing w:line="240" w:lineRule="auto"/>
              <w:ind w:firstLine="0" w:firstLineChars="0"/>
              <w:jc w:val="center"/>
              <w:rPr>
                <w:rFonts w:cstheme="minorBidi"/>
                <w:color w:val="000000"/>
                <w:sz w:val="21"/>
                <w:highlight w:val="none"/>
              </w:rPr>
            </w:pPr>
            <w:r>
              <w:rPr>
                <w:rFonts w:hint="eastAsia" w:cstheme="minorBidi"/>
                <w:color w:val="000000"/>
                <w:highlight w:val="none"/>
              </w:rPr>
              <w:t>100t汽车吊</w:t>
            </w:r>
          </w:p>
        </w:tc>
        <w:tc>
          <w:tcPr>
            <w:tcW w:w="534"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0D6760C">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0.5</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BB50ED">
            <w:pPr>
              <w:spacing w:line="240" w:lineRule="auto"/>
              <w:ind w:firstLine="0" w:firstLineChars="0"/>
              <w:jc w:val="center"/>
              <w:rPr>
                <w:rFonts w:cstheme="minorBidi"/>
                <w:color w:val="000000"/>
                <w:sz w:val="21"/>
                <w:highlight w:val="none"/>
              </w:rPr>
            </w:pPr>
          </w:p>
        </w:tc>
      </w:tr>
      <w:tr w14:paraId="3781A86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4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4A00926">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3</w:t>
            </w:r>
          </w:p>
        </w:tc>
        <w:tc>
          <w:tcPr>
            <w:tcW w:w="21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3A77CD">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下回转、上回转、回转塔身、司机室</w:t>
            </w:r>
          </w:p>
        </w:tc>
        <w:tc>
          <w:tcPr>
            <w:tcW w:w="965"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D5F4DF1">
            <w:pPr>
              <w:spacing w:line="240" w:lineRule="auto"/>
              <w:ind w:firstLine="0" w:firstLineChars="0"/>
              <w:jc w:val="center"/>
              <w:rPr>
                <w:rFonts w:cstheme="minorBidi"/>
                <w:color w:val="000000"/>
                <w:sz w:val="21"/>
                <w:highlight w:val="none"/>
              </w:rPr>
            </w:pPr>
            <w:r>
              <w:rPr>
                <w:rFonts w:hint="eastAsia" w:cstheme="minorBidi"/>
                <w:color w:val="000000"/>
                <w:highlight w:val="none"/>
              </w:rPr>
              <w:t>100t汽车吊</w:t>
            </w:r>
          </w:p>
        </w:tc>
        <w:tc>
          <w:tcPr>
            <w:tcW w:w="534"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933AEC0">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0.5</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A1A34C">
            <w:pPr>
              <w:spacing w:line="240" w:lineRule="auto"/>
              <w:ind w:firstLine="0" w:firstLineChars="0"/>
              <w:jc w:val="center"/>
              <w:rPr>
                <w:rFonts w:cstheme="minorBidi"/>
                <w:color w:val="000000"/>
                <w:sz w:val="21"/>
                <w:highlight w:val="none"/>
              </w:rPr>
            </w:pPr>
          </w:p>
        </w:tc>
      </w:tr>
      <w:tr w14:paraId="40F7396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4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FB26387">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4</w:t>
            </w:r>
          </w:p>
        </w:tc>
        <w:tc>
          <w:tcPr>
            <w:tcW w:w="21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CB1CB7">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平衡臂、起重臂、配重、安装</w:t>
            </w:r>
          </w:p>
        </w:tc>
        <w:tc>
          <w:tcPr>
            <w:tcW w:w="965"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E8CCE34">
            <w:pPr>
              <w:spacing w:line="240" w:lineRule="auto"/>
              <w:ind w:firstLine="0" w:firstLineChars="0"/>
              <w:jc w:val="center"/>
              <w:rPr>
                <w:rFonts w:cstheme="minorBidi"/>
                <w:color w:val="000000"/>
                <w:sz w:val="21"/>
                <w:highlight w:val="none"/>
              </w:rPr>
            </w:pPr>
            <w:r>
              <w:rPr>
                <w:rFonts w:hint="eastAsia" w:cstheme="minorBidi"/>
                <w:color w:val="000000"/>
                <w:highlight w:val="none"/>
              </w:rPr>
              <w:t>100t汽车吊</w:t>
            </w:r>
          </w:p>
        </w:tc>
        <w:tc>
          <w:tcPr>
            <w:tcW w:w="534"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6153207">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B76377">
            <w:pPr>
              <w:spacing w:line="240" w:lineRule="auto"/>
              <w:ind w:firstLine="0" w:firstLineChars="0"/>
              <w:jc w:val="center"/>
              <w:rPr>
                <w:rFonts w:cstheme="minorBidi"/>
                <w:color w:val="000000"/>
                <w:sz w:val="21"/>
                <w:highlight w:val="none"/>
              </w:rPr>
            </w:pPr>
          </w:p>
        </w:tc>
      </w:tr>
      <w:tr w14:paraId="2A916FA0">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4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F030315">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5</w:t>
            </w:r>
          </w:p>
        </w:tc>
        <w:tc>
          <w:tcPr>
            <w:tcW w:w="21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7A2C0E">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电气调试、钢丝绳穿绕</w:t>
            </w:r>
          </w:p>
        </w:tc>
        <w:tc>
          <w:tcPr>
            <w:tcW w:w="965"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08B99C9">
            <w:pPr>
              <w:spacing w:line="240" w:lineRule="auto"/>
              <w:ind w:firstLine="0" w:firstLineChars="0"/>
              <w:jc w:val="center"/>
              <w:rPr>
                <w:rFonts w:cstheme="minorBidi"/>
                <w:color w:val="000000"/>
                <w:sz w:val="21"/>
                <w:highlight w:val="none"/>
              </w:rPr>
            </w:pPr>
            <w:r>
              <w:rPr>
                <w:rFonts w:hint="eastAsia" w:cstheme="minorBidi"/>
                <w:color w:val="000000"/>
                <w:highlight w:val="none"/>
              </w:rPr>
              <w:t>100t汽车吊</w:t>
            </w:r>
          </w:p>
        </w:tc>
        <w:tc>
          <w:tcPr>
            <w:tcW w:w="534"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6F1FADB">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8D5BD5">
            <w:pPr>
              <w:spacing w:line="240" w:lineRule="auto"/>
              <w:ind w:firstLine="0" w:firstLineChars="0"/>
              <w:jc w:val="center"/>
              <w:rPr>
                <w:rFonts w:cstheme="minorBidi"/>
                <w:color w:val="000000"/>
                <w:sz w:val="21"/>
                <w:highlight w:val="none"/>
              </w:rPr>
            </w:pPr>
          </w:p>
        </w:tc>
      </w:tr>
      <w:tr w14:paraId="3C2A754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4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F5FC1D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6</w:t>
            </w:r>
          </w:p>
        </w:tc>
        <w:tc>
          <w:tcPr>
            <w:tcW w:w="21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F7DEC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顶升加节</w:t>
            </w:r>
          </w:p>
        </w:tc>
        <w:tc>
          <w:tcPr>
            <w:tcW w:w="965"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8B2A64D">
            <w:pPr>
              <w:spacing w:line="240" w:lineRule="auto"/>
              <w:ind w:firstLine="0" w:firstLineChars="0"/>
              <w:jc w:val="center"/>
              <w:rPr>
                <w:rFonts w:cstheme="minorBidi"/>
                <w:color w:val="000000"/>
                <w:sz w:val="21"/>
                <w:highlight w:val="none"/>
              </w:rPr>
            </w:pPr>
          </w:p>
        </w:tc>
        <w:tc>
          <w:tcPr>
            <w:tcW w:w="534"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B9572D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12.5</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BD2DBD">
            <w:pPr>
              <w:spacing w:line="240" w:lineRule="auto"/>
              <w:ind w:firstLine="0" w:firstLineChars="0"/>
              <w:jc w:val="center"/>
              <w:rPr>
                <w:rFonts w:cstheme="minorBidi"/>
                <w:color w:val="000000"/>
                <w:sz w:val="21"/>
                <w:highlight w:val="none"/>
              </w:rPr>
            </w:pPr>
          </w:p>
        </w:tc>
      </w:tr>
      <w:tr w14:paraId="0906674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4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816B6D7">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7</w:t>
            </w:r>
          </w:p>
        </w:tc>
        <w:tc>
          <w:tcPr>
            <w:tcW w:w="21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268396">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试吊验收</w:t>
            </w:r>
          </w:p>
        </w:tc>
        <w:tc>
          <w:tcPr>
            <w:tcW w:w="965"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9D421D4">
            <w:pPr>
              <w:spacing w:line="240" w:lineRule="auto"/>
              <w:ind w:firstLine="0" w:firstLineChars="0"/>
              <w:jc w:val="center"/>
              <w:rPr>
                <w:rFonts w:cstheme="minorBidi"/>
                <w:color w:val="000000"/>
                <w:sz w:val="21"/>
                <w:highlight w:val="none"/>
              </w:rPr>
            </w:pPr>
          </w:p>
        </w:tc>
        <w:tc>
          <w:tcPr>
            <w:tcW w:w="534"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D377FE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BF30E2">
            <w:pPr>
              <w:spacing w:line="240" w:lineRule="auto"/>
              <w:ind w:firstLine="0" w:firstLineChars="0"/>
              <w:jc w:val="center"/>
              <w:rPr>
                <w:rFonts w:cstheme="minorBidi"/>
                <w:color w:val="000000"/>
                <w:sz w:val="21"/>
                <w:highlight w:val="none"/>
              </w:rPr>
            </w:pPr>
          </w:p>
        </w:tc>
      </w:tr>
      <w:tr w14:paraId="2D14DEA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575" w:type="pct"/>
            <w:gridSpan w:val="3"/>
            <w:tcBorders>
              <w:top w:val="single" w:color="000000" w:sz="4" w:space="0"/>
              <w:left w:val="single" w:color="000000" w:sz="12" w:space="0"/>
              <w:bottom w:val="single" w:color="000000" w:sz="12" w:space="0"/>
              <w:right w:val="single" w:color="000000" w:sz="4" w:space="0"/>
            </w:tcBorders>
            <w:shd w:val="clear" w:color="auto" w:fill="FFFFFF"/>
            <w:vAlign w:val="center"/>
          </w:tcPr>
          <w:p w14:paraId="3E31B458">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合计</w:t>
            </w:r>
          </w:p>
        </w:tc>
        <w:tc>
          <w:tcPr>
            <w:tcW w:w="534"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4A6B8808">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17.5</w:t>
            </w:r>
          </w:p>
        </w:tc>
        <w:tc>
          <w:tcPr>
            <w:tcW w:w="889" w:type="pct"/>
            <w:tcBorders>
              <w:top w:val="single" w:color="000000" w:sz="4" w:space="0"/>
              <w:left w:val="single" w:color="000000" w:sz="4" w:space="0"/>
              <w:bottom w:val="single" w:color="000000" w:sz="12" w:space="0"/>
              <w:right w:val="single" w:color="000000" w:sz="12" w:space="0"/>
            </w:tcBorders>
            <w:shd w:val="clear" w:color="auto" w:fill="FFFFFF"/>
            <w:vAlign w:val="center"/>
          </w:tcPr>
          <w:p w14:paraId="417644CE">
            <w:pPr>
              <w:spacing w:line="240" w:lineRule="auto"/>
              <w:ind w:firstLine="0" w:firstLineChars="0"/>
              <w:jc w:val="center"/>
              <w:rPr>
                <w:rFonts w:cstheme="minorBidi"/>
                <w:color w:val="000000"/>
                <w:sz w:val="21"/>
                <w:highlight w:val="none"/>
              </w:rPr>
            </w:pPr>
          </w:p>
        </w:tc>
      </w:tr>
    </w:tbl>
    <w:p w14:paraId="34296214">
      <w:pPr>
        <w:ind w:firstLine="480"/>
        <w:jc w:val="center"/>
        <w:rPr>
          <w:highlight w:val="none"/>
        </w:rPr>
      </w:pPr>
      <w:r>
        <w:rPr>
          <w:rFonts w:hint="eastAsia"/>
          <w:highlight w:val="none"/>
        </w:rPr>
        <w:t>表 3.1-2  4#塔吊XGT7026-12S1安装进度计划表</w:t>
      </w:r>
    </w:p>
    <w:tbl>
      <w:tblPr>
        <w:tblStyle w:val="128"/>
        <w:tblW w:w="4998" w:type="pct"/>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755"/>
        <w:gridCol w:w="3692"/>
        <w:gridCol w:w="1646"/>
        <w:gridCol w:w="910"/>
        <w:gridCol w:w="1516"/>
      </w:tblGrid>
      <w:tr w14:paraId="226882C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blHeader/>
        </w:trPr>
        <w:tc>
          <w:tcPr>
            <w:tcW w:w="443"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301CED85">
            <w:pPr>
              <w:spacing w:line="240" w:lineRule="auto"/>
              <w:ind w:firstLine="0" w:firstLineChars="0"/>
              <w:jc w:val="center"/>
              <w:rPr>
                <w:rFonts w:cstheme="minorBidi"/>
                <w:b w:val="0"/>
                <w:bCs/>
                <w:color w:val="000000"/>
                <w:sz w:val="21"/>
                <w:highlight w:val="none"/>
              </w:rPr>
            </w:pPr>
            <w:r>
              <w:rPr>
                <w:rFonts w:hint="eastAsia" w:cstheme="minorBidi"/>
                <w:b/>
                <w:bCs/>
                <w:color w:val="000000"/>
                <w:sz w:val="21"/>
                <w:highlight w:val="none"/>
              </w:rPr>
              <w:t>序号</w:t>
            </w:r>
          </w:p>
        </w:tc>
        <w:tc>
          <w:tcPr>
            <w:tcW w:w="2166"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312FEF22">
            <w:pPr>
              <w:spacing w:line="240" w:lineRule="auto"/>
              <w:ind w:firstLine="0" w:firstLineChars="0"/>
              <w:jc w:val="center"/>
              <w:rPr>
                <w:rFonts w:cstheme="minorBidi"/>
                <w:b w:val="0"/>
                <w:bCs/>
                <w:color w:val="000000"/>
                <w:sz w:val="21"/>
                <w:highlight w:val="none"/>
              </w:rPr>
            </w:pPr>
            <w:r>
              <w:rPr>
                <w:rFonts w:hint="eastAsia" w:cstheme="minorBidi"/>
                <w:b/>
                <w:bCs/>
                <w:color w:val="000000"/>
                <w:sz w:val="21"/>
                <w:highlight w:val="none"/>
              </w:rPr>
              <w:t>安装内容</w:t>
            </w:r>
          </w:p>
        </w:tc>
        <w:tc>
          <w:tcPr>
            <w:tcW w:w="965"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6CCF7E39">
            <w:pPr>
              <w:spacing w:line="240" w:lineRule="auto"/>
              <w:ind w:firstLine="0" w:firstLineChars="0"/>
              <w:jc w:val="center"/>
              <w:rPr>
                <w:rFonts w:cstheme="minorBidi"/>
                <w:b w:val="0"/>
                <w:bCs/>
                <w:color w:val="000000"/>
                <w:sz w:val="21"/>
                <w:highlight w:val="none"/>
              </w:rPr>
            </w:pPr>
            <w:r>
              <w:rPr>
                <w:rFonts w:hint="eastAsia" w:cstheme="minorBidi"/>
                <w:b/>
                <w:bCs/>
                <w:color w:val="000000"/>
                <w:sz w:val="21"/>
                <w:highlight w:val="none"/>
              </w:rPr>
              <w:t>关键设备</w:t>
            </w:r>
          </w:p>
        </w:tc>
        <w:tc>
          <w:tcPr>
            <w:tcW w:w="534" w:type="pct"/>
            <w:tcBorders>
              <w:top w:val="single" w:color="000000" w:sz="12" w:space="0"/>
              <w:left w:val="single" w:color="000000" w:sz="12" w:space="0"/>
              <w:bottom w:val="single" w:color="000000" w:sz="4" w:space="0"/>
              <w:right w:val="single" w:color="000000" w:sz="4" w:space="0"/>
            </w:tcBorders>
            <w:shd w:val="clear" w:color="auto" w:fill="FFFFFF"/>
            <w:vAlign w:val="center"/>
          </w:tcPr>
          <w:p w14:paraId="232858CA">
            <w:pPr>
              <w:spacing w:line="240" w:lineRule="auto"/>
              <w:ind w:firstLine="0" w:firstLineChars="0"/>
              <w:jc w:val="center"/>
              <w:rPr>
                <w:rFonts w:cstheme="minorBidi"/>
                <w:b w:val="0"/>
                <w:bCs/>
                <w:color w:val="000000"/>
                <w:sz w:val="21"/>
                <w:highlight w:val="none"/>
              </w:rPr>
            </w:pPr>
            <w:r>
              <w:rPr>
                <w:rFonts w:hint="eastAsia" w:cstheme="minorBidi"/>
                <w:b/>
                <w:bCs/>
                <w:color w:val="000000"/>
                <w:sz w:val="21"/>
                <w:highlight w:val="none"/>
              </w:rPr>
              <w:t>时间（天）</w:t>
            </w:r>
          </w:p>
        </w:tc>
        <w:tc>
          <w:tcPr>
            <w:tcW w:w="889"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5FD98EEB">
            <w:pPr>
              <w:spacing w:line="240" w:lineRule="auto"/>
              <w:ind w:firstLine="0" w:firstLineChars="0"/>
              <w:jc w:val="center"/>
              <w:rPr>
                <w:rFonts w:cstheme="minorBidi"/>
                <w:b w:val="0"/>
                <w:bCs/>
                <w:color w:val="000000"/>
                <w:sz w:val="21"/>
                <w:highlight w:val="none"/>
              </w:rPr>
            </w:pPr>
            <w:r>
              <w:rPr>
                <w:rFonts w:hint="eastAsia" w:cstheme="minorBidi"/>
                <w:b/>
                <w:bCs/>
                <w:color w:val="000000"/>
                <w:sz w:val="21"/>
                <w:highlight w:val="none"/>
              </w:rPr>
              <w:t>备注</w:t>
            </w:r>
          </w:p>
        </w:tc>
      </w:tr>
      <w:tr w14:paraId="0CFB270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4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DD16BF1">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w:t>
            </w:r>
          </w:p>
        </w:tc>
        <w:tc>
          <w:tcPr>
            <w:tcW w:w="21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39CE5E">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塔吊基础验收</w:t>
            </w:r>
          </w:p>
        </w:tc>
        <w:tc>
          <w:tcPr>
            <w:tcW w:w="965"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D8D60C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w:t>
            </w:r>
          </w:p>
        </w:tc>
        <w:tc>
          <w:tcPr>
            <w:tcW w:w="534"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3DAF463">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0.5</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6F07E9">
            <w:pPr>
              <w:spacing w:line="240" w:lineRule="auto"/>
              <w:ind w:firstLine="0" w:firstLineChars="0"/>
              <w:jc w:val="center"/>
              <w:rPr>
                <w:rFonts w:cstheme="minorBidi"/>
                <w:color w:val="000000"/>
                <w:sz w:val="21"/>
                <w:highlight w:val="none"/>
              </w:rPr>
            </w:pPr>
          </w:p>
        </w:tc>
      </w:tr>
      <w:tr w14:paraId="379AB6D1">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4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7ED52CE">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2</w:t>
            </w:r>
          </w:p>
        </w:tc>
        <w:tc>
          <w:tcPr>
            <w:tcW w:w="21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A854CC">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基础节、标准节、套架安装</w:t>
            </w:r>
          </w:p>
        </w:tc>
        <w:tc>
          <w:tcPr>
            <w:tcW w:w="965"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579F763">
            <w:pPr>
              <w:spacing w:line="240" w:lineRule="auto"/>
              <w:ind w:firstLine="0" w:firstLineChars="0"/>
              <w:jc w:val="center"/>
              <w:rPr>
                <w:rFonts w:cstheme="minorBidi"/>
                <w:color w:val="000000"/>
                <w:sz w:val="21"/>
                <w:highlight w:val="none"/>
              </w:rPr>
            </w:pPr>
            <w:r>
              <w:rPr>
                <w:rFonts w:cstheme="minorBidi"/>
                <w:highlight w:val="none"/>
              </w:rPr>
              <w:t>XGT360-20S1</w:t>
            </w:r>
          </w:p>
        </w:tc>
        <w:tc>
          <w:tcPr>
            <w:tcW w:w="534"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8AD65D7">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0.5</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9F6404">
            <w:pPr>
              <w:spacing w:line="240" w:lineRule="auto"/>
              <w:ind w:firstLine="0" w:firstLineChars="0"/>
              <w:jc w:val="center"/>
              <w:rPr>
                <w:rFonts w:cstheme="minorBidi"/>
                <w:color w:val="000000"/>
                <w:sz w:val="21"/>
                <w:highlight w:val="none"/>
              </w:rPr>
            </w:pPr>
          </w:p>
        </w:tc>
      </w:tr>
      <w:tr w14:paraId="2BCCA3D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4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789806C">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3</w:t>
            </w:r>
          </w:p>
        </w:tc>
        <w:tc>
          <w:tcPr>
            <w:tcW w:w="21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69BFBB">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下回转、上回转、回转塔身、司机室</w:t>
            </w:r>
          </w:p>
        </w:tc>
        <w:tc>
          <w:tcPr>
            <w:tcW w:w="965"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C2C58CA">
            <w:pPr>
              <w:spacing w:line="240" w:lineRule="auto"/>
              <w:ind w:firstLine="0" w:firstLineChars="0"/>
              <w:jc w:val="center"/>
              <w:rPr>
                <w:rFonts w:cstheme="minorBidi"/>
                <w:color w:val="000000"/>
                <w:sz w:val="21"/>
                <w:highlight w:val="none"/>
              </w:rPr>
            </w:pPr>
            <w:r>
              <w:rPr>
                <w:rFonts w:cstheme="minorBidi"/>
                <w:highlight w:val="none"/>
              </w:rPr>
              <w:t>XGT360-20S1</w:t>
            </w:r>
          </w:p>
        </w:tc>
        <w:tc>
          <w:tcPr>
            <w:tcW w:w="534"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BEE6260">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0.5</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62A8D3">
            <w:pPr>
              <w:spacing w:line="240" w:lineRule="auto"/>
              <w:ind w:firstLine="0" w:firstLineChars="0"/>
              <w:jc w:val="center"/>
              <w:rPr>
                <w:rFonts w:cstheme="minorBidi"/>
                <w:color w:val="000000"/>
                <w:sz w:val="21"/>
                <w:highlight w:val="none"/>
              </w:rPr>
            </w:pPr>
          </w:p>
        </w:tc>
      </w:tr>
      <w:tr w14:paraId="2E8CDD7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4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28C49F2">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4</w:t>
            </w:r>
          </w:p>
        </w:tc>
        <w:tc>
          <w:tcPr>
            <w:tcW w:w="21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7720F8">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平衡臂、起重臂、配重、安装</w:t>
            </w:r>
          </w:p>
        </w:tc>
        <w:tc>
          <w:tcPr>
            <w:tcW w:w="965"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AD306E1">
            <w:pPr>
              <w:spacing w:line="240" w:lineRule="auto"/>
              <w:ind w:firstLine="0" w:firstLineChars="0"/>
              <w:jc w:val="center"/>
              <w:rPr>
                <w:rFonts w:cstheme="minorBidi"/>
                <w:color w:val="000000"/>
                <w:sz w:val="21"/>
                <w:highlight w:val="none"/>
              </w:rPr>
            </w:pPr>
            <w:r>
              <w:rPr>
                <w:rFonts w:cstheme="minorBidi"/>
                <w:highlight w:val="none"/>
              </w:rPr>
              <w:t>XGT360-20S1</w:t>
            </w:r>
          </w:p>
        </w:tc>
        <w:tc>
          <w:tcPr>
            <w:tcW w:w="534"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FA97331">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0.5</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1AE170">
            <w:pPr>
              <w:spacing w:line="240" w:lineRule="auto"/>
              <w:ind w:firstLine="0" w:firstLineChars="0"/>
              <w:jc w:val="center"/>
              <w:rPr>
                <w:rFonts w:cstheme="minorBidi"/>
                <w:color w:val="000000"/>
                <w:sz w:val="21"/>
                <w:highlight w:val="none"/>
              </w:rPr>
            </w:pPr>
          </w:p>
        </w:tc>
      </w:tr>
      <w:tr w14:paraId="51C0DC3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4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F4EB41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5</w:t>
            </w:r>
          </w:p>
        </w:tc>
        <w:tc>
          <w:tcPr>
            <w:tcW w:w="21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2DCE40">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电气调试、钢丝绳穿绕</w:t>
            </w:r>
          </w:p>
        </w:tc>
        <w:tc>
          <w:tcPr>
            <w:tcW w:w="965"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60759B9">
            <w:pPr>
              <w:spacing w:line="240" w:lineRule="auto"/>
              <w:ind w:firstLine="0" w:firstLineChars="0"/>
              <w:jc w:val="center"/>
              <w:rPr>
                <w:rFonts w:cstheme="minorBidi"/>
                <w:color w:val="000000"/>
                <w:sz w:val="21"/>
                <w:highlight w:val="none"/>
              </w:rPr>
            </w:pPr>
            <w:r>
              <w:rPr>
                <w:rFonts w:cstheme="minorBidi"/>
                <w:highlight w:val="none"/>
              </w:rPr>
              <w:t>XGT360-20S1</w:t>
            </w:r>
          </w:p>
        </w:tc>
        <w:tc>
          <w:tcPr>
            <w:tcW w:w="534"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2012F91">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0.5</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EB8286">
            <w:pPr>
              <w:spacing w:line="240" w:lineRule="auto"/>
              <w:ind w:firstLine="0" w:firstLineChars="0"/>
              <w:jc w:val="center"/>
              <w:rPr>
                <w:rFonts w:cstheme="minorBidi"/>
                <w:color w:val="000000"/>
                <w:sz w:val="21"/>
                <w:highlight w:val="none"/>
              </w:rPr>
            </w:pPr>
          </w:p>
        </w:tc>
      </w:tr>
      <w:tr w14:paraId="260D4E2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4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87021A6">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6</w:t>
            </w:r>
          </w:p>
        </w:tc>
        <w:tc>
          <w:tcPr>
            <w:tcW w:w="21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1D121F">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顶升加节</w:t>
            </w:r>
          </w:p>
        </w:tc>
        <w:tc>
          <w:tcPr>
            <w:tcW w:w="965"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3297BA8">
            <w:pPr>
              <w:spacing w:line="240" w:lineRule="auto"/>
              <w:ind w:firstLine="0" w:firstLineChars="0"/>
              <w:jc w:val="center"/>
              <w:rPr>
                <w:rFonts w:cstheme="minorBidi"/>
                <w:color w:val="000000"/>
                <w:sz w:val="21"/>
                <w:highlight w:val="none"/>
              </w:rPr>
            </w:pPr>
          </w:p>
        </w:tc>
        <w:tc>
          <w:tcPr>
            <w:tcW w:w="534"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5A3BBF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0.5</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F82676">
            <w:pPr>
              <w:spacing w:line="240" w:lineRule="auto"/>
              <w:ind w:firstLine="0" w:firstLineChars="0"/>
              <w:jc w:val="center"/>
              <w:rPr>
                <w:rFonts w:cstheme="minorBidi"/>
                <w:color w:val="000000"/>
                <w:sz w:val="21"/>
                <w:highlight w:val="none"/>
              </w:rPr>
            </w:pPr>
          </w:p>
        </w:tc>
      </w:tr>
      <w:tr w14:paraId="58A54290">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4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E35A69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7</w:t>
            </w:r>
          </w:p>
        </w:tc>
        <w:tc>
          <w:tcPr>
            <w:tcW w:w="21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97A90A">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试吊验收</w:t>
            </w:r>
          </w:p>
        </w:tc>
        <w:tc>
          <w:tcPr>
            <w:tcW w:w="965"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06F7543">
            <w:pPr>
              <w:spacing w:line="240" w:lineRule="auto"/>
              <w:ind w:firstLine="0" w:firstLineChars="0"/>
              <w:jc w:val="center"/>
              <w:rPr>
                <w:rFonts w:cstheme="minorBidi"/>
                <w:color w:val="000000"/>
                <w:sz w:val="21"/>
                <w:highlight w:val="none"/>
              </w:rPr>
            </w:pPr>
          </w:p>
        </w:tc>
        <w:tc>
          <w:tcPr>
            <w:tcW w:w="534"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168DCB8">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0.5</w:t>
            </w:r>
          </w:p>
        </w:tc>
        <w:tc>
          <w:tcPr>
            <w:tcW w:w="88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7C35501">
            <w:pPr>
              <w:spacing w:line="240" w:lineRule="auto"/>
              <w:ind w:firstLine="0" w:firstLineChars="0"/>
              <w:jc w:val="center"/>
              <w:rPr>
                <w:rFonts w:cstheme="minorBidi"/>
                <w:color w:val="000000"/>
                <w:sz w:val="21"/>
                <w:highlight w:val="none"/>
              </w:rPr>
            </w:pPr>
          </w:p>
        </w:tc>
      </w:tr>
      <w:tr w14:paraId="63BB5A8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575" w:type="pct"/>
            <w:gridSpan w:val="3"/>
            <w:tcBorders>
              <w:top w:val="single" w:color="000000" w:sz="4" w:space="0"/>
              <w:left w:val="single" w:color="000000" w:sz="12" w:space="0"/>
              <w:bottom w:val="single" w:color="000000" w:sz="12" w:space="0"/>
              <w:right w:val="single" w:color="000000" w:sz="4" w:space="0"/>
            </w:tcBorders>
            <w:shd w:val="clear" w:color="auto" w:fill="FFFFFF"/>
            <w:vAlign w:val="center"/>
          </w:tcPr>
          <w:p w14:paraId="0499598B">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合计</w:t>
            </w:r>
          </w:p>
        </w:tc>
        <w:tc>
          <w:tcPr>
            <w:tcW w:w="534"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5E001952">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3.5</w:t>
            </w:r>
          </w:p>
        </w:tc>
        <w:tc>
          <w:tcPr>
            <w:tcW w:w="889" w:type="pct"/>
            <w:tcBorders>
              <w:top w:val="single" w:color="000000" w:sz="4" w:space="0"/>
              <w:left w:val="single" w:color="000000" w:sz="4" w:space="0"/>
              <w:bottom w:val="single" w:color="000000" w:sz="12" w:space="0"/>
              <w:right w:val="single" w:color="000000" w:sz="12" w:space="0"/>
            </w:tcBorders>
            <w:shd w:val="clear" w:color="auto" w:fill="FFFFFF"/>
            <w:vAlign w:val="center"/>
          </w:tcPr>
          <w:p w14:paraId="38F67B92">
            <w:pPr>
              <w:spacing w:line="240" w:lineRule="auto"/>
              <w:ind w:firstLine="0" w:firstLineChars="0"/>
              <w:jc w:val="center"/>
              <w:rPr>
                <w:rFonts w:cstheme="minorBidi"/>
                <w:color w:val="000000"/>
                <w:sz w:val="21"/>
                <w:highlight w:val="none"/>
              </w:rPr>
            </w:pPr>
          </w:p>
        </w:tc>
      </w:tr>
    </w:tbl>
    <w:p w14:paraId="437D6498">
      <w:pPr>
        <w:pStyle w:val="4"/>
        <w:bidi w:val="0"/>
        <w:ind w:left="0" w:leftChars="0" w:firstLine="0" w:firstLineChars="0"/>
        <w:rPr>
          <w:highlight w:val="none"/>
        </w:rPr>
      </w:pPr>
      <w:bookmarkStart w:id="38" w:name="_Toc21248"/>
      <w:r>
        <w:rPr>
          <w:rFonts w:hint="eastAsia"/>
          <w:highlight w:val="none"/>
        </w:rPr>
        <w:t>材料及设备计划</w:t>
      </w:r>
      <w:bookmarkEnd w:id="38"/>
    </w:p>
    <w:p w14:paraId="00949D2D">
      <w:pPr>
        <w:ind w:firstLine="480"/>
        <w:rPr>
          <w:highlight w:val="none"/>
        </w:rPr>
      </w:pPr>
      <w:r>
        <w:rPr>
          <w:rFonts w:hint="eastAsia"/>
          <w:highlight w:val="none"/>
        </w:rPr>
        <w:t>为保证现场设备安拆，材料及设备计划下表</w:t>
      </w:r>
    </w:p>
    <w:p w14:paraId="7652AAD4">
      <w:pPr>
        <w:pStyle w:val="18"/>
        <w:rPr>
          <w:rFonts w:cs="Times New Roman"/>
          <w:b w:val="0"/>
          <w:sz w:val="24"/>
          <w:szCs w:val="21"/>
          <w:highlight w:val="none"/>
        </w:rPr>
      </w:pPr>
      <w:r>
        <w:rPr>
          <w:rFonts w:hint="eastAsia" w:cs="Times New Roman"/>
          <w:b w:val="0"/>
          <w:sz w:val="24"/>
          <w:szCs w:val="21"/>
          <w:highlight w:val="none"/>
        </w:rPr>
        <w:t xml:space="preserve">表 </w:t>
      </w:r>
      <w:r>
        <w:rPr>
          <w:rFonts w:hint="eastAsia" w:cs="Times New Roman"/>
          <w:b w:val="0"/>
          <w:sz w:val="24"/>
          <w:szCs w:val="21"/>
          <w:highlight w:val="none"/>
        </w:rPr>
        <w:fldChar w:fldCharType="begin"/>
      </w:r>
      <w:r>
        <w:rPr>
          <w:rFonts w:hint="eastAsia" w:cs="Times New Roman"/>
          <w:b w:val="0"/>
          <w:sz w:val="24"/>
          <w:szCs w:val="21"/>
          <w:highlight w:val="none"/>
        </w:rPr>
        <w:instrText xml:space="preserve"> STYLEREF 3 \s </w:instrText>
      </w:r>
      <w:r>
        <w:rPr>
          <w:rFonts w:hint="eastAsia" w:cs="Times New Roman"/>
          <w:b w:val="0"/>
          <w:sz w:val="24"/>
          <w:szCs w:val="21"/>
          <w:highlight w:val="none"/>
        </w:rPr>
        <w:fldChar w:fldCharType="separate"/>
      </w:r>
      <w:r>
        <w:rPr>
          <w:rFonts w:hint="eastAsia" w:cs="Times New Roman"/>
          <w:b w:val="0"/>
          <w:sz w:val="24"/>
          <w:szCs w:val="21"/>
          <w:highlight w:val="none"/>
        </w:rPr>
        <w:t>3.2</w:t>
      </w:r>
      <w:r>
        <w:rPr>
          <w:rFonts w:hint="eastAsia" w:cs="Times New Roman"/>
          <w:b w:val="0"/>
          <w:sz w:val="24"/>
          <w:szCs w:val="21"/>
          <w:highlight w:val="none"/>
        </w:rPr>
        <w:fldChar w:fldCharType="end"/>
      </w:r>
      <w:r>
        <w:rPr>
          <w:rFonts w:hint="eastAsia" w:cs="Times New Roman"/>
          <w:b w:val="0"/>
          <w:sz w:val="24"/>
          <w:szCs w:val="21"/>
          <w:highlight w:val="none"/>
        </w:rPr>
        <w:noBreakHyphen/>
      </w:r>
      <w:r>
        <w:rPr>
          <w:rFonts w:hint="eastAsia" w:cs="Times New Roman"/>
          <w:b w:val="0"/>
          <w:sz w:val="24"/>
          <w:szCs w:val="21"/>
          <w:highlight w:val="none"/>
        </w:rPr>
        <w:fldChar w:fldCharType="begin"/>
      </w:r>
      <w:r>
        <w:rPr>
          <w:rFonts w:hint="eastAsia" w:cs="Times New Roman"/>
          <w:b w:val="0"/>
          <w:sz w:val="24"/>
          <w:szCs w:val="21"/>
          <w:highlight w:val="none"/>
        </w:rPr>
        <w:instrText xml:space="preserve"> SEQ 表 \* ARABIC \s 3 </w:instrText>
      </w:r>
      <w:r>
        <w:rPr>
          <w:rFonts w:hint="eastAsia" w:cs="Times New Roman"/>
          <w:b w:val="0"/>
          <w:sz w:val="24"/>
          <w:szCs w:val="21"/>
          <w:highlight w:val="none"/>
        </w:rPr>
        <w:fldChar w:fldCharType="separate"/>
      </w:r>
      <w:r>
        <w:rPr>
          <w:rFonts w:hint="eastAsia" w:cs="Times New Roman"/>
          <w:b w:val="0"/>
          <w:sz w:val="24"/>
          <w:szCs w:val="21"/>
          <w:highlight w:val="none"/>
        </w:rPr>
        <w:t>1</w:t>
      </w:r>
      <w:r>
        <w:rPr>
          <w:rFonts w:hint="eastAsia" w:cs="Times New Roman"/>
          <w:b w:val="0"/>
          <w:sz w:val="24"/>
          <w:szCs w:val="21"/>
          <w:highlight w:val="none"/>
        </w:rPr>
        <w:fldChar w:fldCharType="end"/>
      </w:r>
      <w:r>
        <w:rPr>
          <w:rFonts w:hint="eastAsia" w:cs="Times New Roman"/>
          <w:b w:val="0"/>
          <w:sz w:val="24"/>
          <w:szCs w:val="21"/>
          <w:highlight w:val="none"/>
        </w:rPr>
        <w:t>材料及设备计划表</w:t>
      </w:r>
    </w:p>
    <w:tbl>
      <w:tblPr>
        <w:tblStyle w:val="82"/>
        <w:tblW w:w="5034"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38"/>
        <w:gridCol w:w="1447"/>
        <w:gridCol w:w="2095"/>
        <w:gridCol w:w="673"/>
        <w:gridCol w:w="3540"/>
      </w:tblGrid>
      <w:tr w14:paraId="76DBE9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1DA34257">
            <w:pPr>
              <w:spacing w:line="240" w:lineRule="auto"/>
              <w:ind w:firstLine="0" w:firstLineChars="0"/>
              <w:jc w:val="center"/>
              <w:rPr>
                <w:rFonts w:cstheme="minorBidi"/>
                <w:b/>
                <w:bCs/>
                <w:color w:val="000000"/>
                <w:sz w:val="21"/>
                <w:highlight w:val="none"/>
              </w:rPr>
            </w:pPr>
            <w:r>
              <w:rPr>
                <w:rFonts w:hint="eastAsia" w:cstheme="minorBidi"/>
                <w:b/>
                <w:bCs/>
                <w:color w:val="000000"/>
                <w:sz w:val="21"/>
                <w:highlight w:val="none"/>
              </w:rPr>
              <w:t>序号</w:t>
            </w:r>
          </w:p>
        </w:tc>
        <w:tc>
          <w:tcPr>
            <w:tcW w:w="862"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26B47ADA">
            <w:pPr>
              <w:spacing w:line="240" w:lineRule="auto"/>
              <w:ind w:firstLine="0" w:firstLineChars="0"/>
              <w:jc w:val="center"/>
              <w:rPr>
                <w:rFonts w:cstheme="minorBidi"/>
                <w:b/>
                <w:bCs/>
                <w:color w:val="000000"/>
                <w:sz w:val="21"/>
                <w:highlight w:val="none"/>
              </w:rPr>
            </w:pPr>
            <w:r>
              <w:rPr>
                <w:rFonts w:hint="eastAsia" w:cstheme="minorBidi"/>
                <w:b/>
                <w:bCs/>
                <w:color w:val="000000"/>
                <w:sz w:val="21"/>
                <w:highlight w:val="none"/>
              </w:rPr>
              <w:t>名称</w:t>
            </w:r>
          </w:p>
        </w:tc>
        <w:tc>
          <w:tcPr>
            <w:tcW w:w="1248"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7F9ACDEB">
            <w:pPr>
              <w:spacing w:line="240" w:lineRule="auto"/>
              <w:ind w:firstLine="0" w:firstLineChars="0"/>
              <w:jc w:val="center"/>
              <w:rPr>
                <w:rFonts w:cstheme="minorBidi"/>
                <w:b/>
                <w:bCs/>
                <w:color w:val="000000"/>
                <w:sz w:val="21"/>
                <w:highlight w:val="none"/>
              </w:rPr>
            </w:pPr>
            <w:r>
              <w:rPr>
                <w:rFonts w:hint="eastAsia" w:cstheme="minorBidi"/>
                <w:b/>
                <w:bCs/>
                <w:color w:val="000000"/>
                <w:sz w:val="21"/>
                <w:highlight w:val="none"/>
              </w:rPr>
              <w:t>型号</w:t>
            </w:r>
          </w:p>
        </w:tc>
        <w:tc>
          <w:tcPr>
            <w:tcW w:w="401"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73B383D8">
            <w:pPr>
              <w:spacing w:line="240" w:lineRule="auto"/>
              <w:ind w:firstLine="0" w:firstLineChars="0"/>
              <w:jc w:val="center"/>
              <w:rPr>
                <w:rFonts w:cstheme="minorBidi"/>
                <w:b/>
                <w:bCs/>
                <w:color w:val="000000"/>
                <w:sz w:val="21"/>
                <w:highlight w:val="none"/>
              </w:rPr>
            </w:pPr>
            <w:r>
              <w:rPr>
                <w:rFonts w:hint="eastAsia" w:cstheme="minorBidi"/>
                <w:b/>
                <w:bCs/>
                <w:color w:val="000000"/>
                <w:sz w:val="21"/>
                <w:highlight w:val="none"/>
              </w:rPr>
              <w:t>数量</w:t>
            </w:r>
          </w:p>
        </w:tc>
        <w:tc>
          <w:tcPr>
            <w:tcW w:w="2106"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22643483">
            <w:pPr>
              <w:spacing w:line="240" w:lineRule="auto"/>
              <w:ind w:firstLine="0" w:firstLineChars="0"/>
              <w:jc w:val="center"/>
              <w:rPr>
                <w:rFonts w:cstheme="minorBidi"/>
                <w:b/>
                <w:bCs/>
                <w:color w:val="000000"/>
                <w:sz w:val="21"/>
                <w:highlight w:val="none"/>
              </w:rPr>
            </w:pPr>
            <w:r>
              <w:rPr>
                <w:rFonts w:hint="eastAsia" w:cstheme="minorBidi"/>
                <w:b/>
                <w:bCs/>
                <w:color w:val="000000"/>
                <w:sz w:val="21"/>
                <w:highlight w:val="none"/>
              </w:rPr>
              <w:t>备注</w:t>
            </w:r>
          </w:p>
        </w:tc>
      </w:tr>
      <w:tr w14:paraId="68FE80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5000" w:type="pct"/>
            <w:gridSpan w:val="5"/>
            <w:tcBorders>
              <w:top w:val="single" w:color="000000" w:sz="4" w:space="0"/>
              <w:left w:val="single" w:color="000000" w:sz="12" w:space="0"/>
              <w:bottom w:val="single" w:color="000000" w:sz="4" w:space="0"/>
              <w:right w:val="single" w:color="000000" w:sz="4" w:space="0"/>
            </w:tcBorders>
            <w:shd w:val="clear" w:color="auto" w:fill="FFFFFF"/>
            <w:vAlign w:val="center"/>
          </w:tcPr>
          <w:p w14:paraId="066667B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一、主要机械设备表</w:t>
            </w:r>
          </w:p>
        </w:tc>
      </w:tr>
      <w:tr w14:paraId="017846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D936FF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8EC80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汽车吊</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B5FC2C">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100t</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D3C0B3">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 台</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FA1DD7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安装XGT360-20S1型塔式起重机</w:t>
            </w:r>
          </w:p>
        </w:tc>
      </w:tr>
      <w:tr w14:paraId="315261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278F2E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2</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F87097">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塔式起重机</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2B21DE">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XGT360-20S1</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5DEEA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 台</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CD84FB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安装XGT7026-12S1型塔式起重机</w:t>
            </w:r>
          </w:p>
        </w:tc>
      </w:tr>
      <w:tr w14:paraId="70C848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5000" w:type="pct"/>
            <w:gridSpan w:val="5"/>
            <w:tcBorders>
              <w:top w:val="single" w:color="000000" w:sz="4" w:space="0"/>
              <w:left w:val="single" w:color="000000" w:sz="12" w:space="0"/>
              <w:bottom w:val="single" w:color="000000" w:sz="4" w:space="0"/>
              <w:right w:val="single" w:color="000000" w:sz="4" w:space="0"/>
            </w:tcBorders>
            <w:shd w:val="clear" w:color="auto" w:fill="FFFFFF"/>
            <w:vAlign w:val="center"/>
          </w:tcPr>
          <w:p w14:paraId="3668CAF0">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二、主要吊索具表</w:t>
            </w:r>
          </w:p>
        </w:tc>
      </w:tr>
      <w:tr w14:paraId="6C16FD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8E0544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ABFBA5">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起重用钢丝绳</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4D2EBE">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6*19S+FC-1870-20</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E45CEC">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4 根</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4C14027">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现场安装用</w:t>
            </w:r>
          </w:p>
        </w:tc>
      </w:tr>
      <w:tr w14:paraId="6DFA9A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9B8634B">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2</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B84AEE">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起重用钢丝绳</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5BE445">
            <w:pPr>
              <w:spacing w:line="240" w:lineRule="auto"/>
              <w:ind w:firstLine="0" w:firstLineChars="0"/>
              <w:jc w:val="center"/>
              <w:rPr>
                <w:rFonts w:hint="eastAsia" w:eastAsia="宋体" w:cstheme="minorBidi"/>
                <w:color w:val="000000"/>
                <w:sz w:val="21"/>
                <w:highlight w:val="none"/>
                <w:lang w:eastAsia="zh-CN"/>
              </w:rPr>
            </w:pPr>
            <w:r>
              <w:rPr>
                <w:rFonts w:hint="eastAsia" w:cstheme="minorBidi"/>
                <w:color w:val="000000"/>
                <w:sz w:val="21"/>
                <w:highlight w:val="none"/>
              </w:rPr>
              <w:t>6*19S+FC-1870-1</w:t>
            </w:r>
            <w:r>
              <w:rPr>
                <w:rFonts w:hint="eastAsia" w:cstheme="minorBidi"/>
                <w:color w:val="000000"/>
                <w:sz w:val="21"/>
                <w:highlight w:val="none"/>
                <w:lang w:val="en-US" w:eastAsia="zh-CN"/>
              </w:rPr>
              <w:t>8</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F320BC">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4 根</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B797D67">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现场安装用</w:t>
            </w:r>
          </w:p>
        </w:tc>
      </w:tr>
      <w:tr w14:paraId="575C41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06575B2">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3</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173A85">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卸 扣</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FCDC5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10 吨</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EF58A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4 个</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CA64383">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现场安装用</w:t>
            </w:r>
          </w:p>
        </w:tc>
      </w:tr>
      <w:tr w14:paraId="615956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5000" w:type="pct"/>
            <w:gridSpan w:val="5"/>
            <w:tcBorders>
              <w:top w:val="single" w:color="000000" w:sz="4" w:space="0"/>
              <w:left w:val="single" w:color="000000" w:sz="12" w:space="0"/>
              <w:bottom w:val="single" w:color="000000" w:sz="4" w:space="0"/>
              <w:right w:val="single" w:color="000000" w:sz="4" w:space="0"/>
            </w:tcBorders>
            <w:shd w:val="clear" w:color="auto" w:fill="FFFFFF"/>
            <w:vAlign w:val="center"/>
          </w:tcPr>
          <w:p w14:paraId="6604557F">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三、主要工具表</w:t>
            </w:r>
          </w:p>
        </w:tc>
      </w:tr>
      <w:tr w14:paraId="5205BD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01A4F4D">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B332DA">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力矩扳手</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9B3720">
            <w:pPr>
              <w:spacing w:line="240" w:lineRule="auto"/>
              <w:ind w:firstLine="0" w:firstLineChars="0"/>
              <w:jc w:val="center"/>
              <w:rPr>
                <w:rFonts w:cstheme="minorBidi"/>
                <w:color w:val="000000"/>
                <w:sz w:val="21"/>
                <w:highlight w:val="none"/>
              </w:rPr>
            </w:pP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E5E62C">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 套</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9D29780">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拆卸用，根据需求配置</w:t>
            </w:r>
          </w:p>
        </w:tc>
      </w:tr>
      <w:tr w14:paraId="7B0A87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C885522">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2</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A9D44A">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常用扳手</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78F3D8">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通用</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A6AA5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2 套</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0B59038">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拆卸用（随机）</w:t>
            </w:r>
          </w:p>
        </w:tc>
      </w:tr>
      <w:tr w14:paraId="72EE4D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FE9E1A6">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3</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E2D0CA">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手拉葫芦</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3B1428">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2t</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05BAAE">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4 只</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6F947AB">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现场安装用</w:t>
            </w:r>
          </w:p>
        </w:tc>
      </w:tr>
      <w:tr w14:paraId="764D5C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3F2ACD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4</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E3361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机械千斤顶</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520FD3">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5t</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781C9AE">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2 台</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03AEE8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现场安装用</w:t>
            </w:r>
          </w:p>
        </w:tc>
      </w:tr>
      <w:tr w14:paraId="03B5BE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3A6DDC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5</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974308">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大锤</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B52C7E">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18P</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1B0DB2">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4 把</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F55895C">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现场安装用</w:t>
            </w:r>
          </w:p>
        </w:tc>
      </w:tr>
      <w:tr w14:paraId="62659A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5610EDF">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6</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031F0E">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撬棍</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8540A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直径 30</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C248E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2 把</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40CD0A2">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现场安装用</w:t>
            </w:r>
          </w:p>
        </w:tc>
      </w:tr>
      <w:tr w14:paraId="6854D8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5000" w:type="pct"/>
            <w:gridSpan w:val="5"/>
            <w:tcBorders>
              <w:top w:val="single" w:color="000000" w:sz="4" w:space="0"/>
              <w:left w:val="single" w:color="000000" w:sz="12" w:space="0"/>
              <w:bottom w:val="single" w:color="000000" w:sz="4" w:space="0"/>
              <w:right w:val="single" w:color="000000" w:sz="4" w:space="0"/>
            </w:tcBorders>
            <w:shd w:val="clear" w:color="auto" w:fill="FFFFFF"/>
            <w:vAlign w:val="center"/>
          </w:tcPr>
          <w:p w14:paraId="7AF8E1FA">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四、其他机具材料</w:t>
            </w:r>
          </w:p>
        </w:tc>
      </w:tr>
      <w:tr w14:paraId="3BE6B8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7EBDB50">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46F5D6">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安全带</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B02C1A">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通用</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4378F1">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6 根</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ED6B3C4">
            <w:pPr>
              <w:spacing w:line="240" w:lineRule="auto"/>
              <w:ind w:firstLine="0" w:firstLineChars="0"/>
              <w:jc w:val="center"/>
              <w:rPr>
                <w:rFonts w:cstheme="minorBidi"/>
                <w:color w:val="000000"/>
                <w:sz w:val="21"/>
                <w:highlight w:val="none"/>
              </w:rPr>
            </w:pPr>
          </w:p>
        </w:tc>
      </w:tr>
      <w:tr w14:paraId="3CAD09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52DAA5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2</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5EA1F7">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安全帽</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F4A045">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通用</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96FA56">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6 顶</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1C8C2A2">
            <w:pPr>
              <w:spacing w:line="240" w:lineRule="auto"/>
              <w:ind w:firstLine="0" w:firstLineChars="0"/>
              <w:jc w:val="center"/>
              <w:rPr>
                <w:rFonts w:cstheme="minorBidi"/>
                <w:color w:val="000000"/>
                <w:sz w:val="21"/>
                <w:highlight w:val="none"/>
              </w:rPr>
            </w:pPr>
          </w:p>
        </w:tc>
      </w:tr>
      <w:tr w14:paraId="4CB2F1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0921638">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3</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B9280E">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对讲机</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F23E62">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通用</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EF792A">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6 台</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58D4685">
            <w:pPr>
              <w:spacing w:line="240" w:lineRule="auto"/>
              <w:ind w:firstLine="0" w:firstLineChars="0"/>
              <w:jc w:val="center"/>
              <w:rPr>
                <w:rFonts w:cstheme="minorBidi"/>
                <w:color w:val="000000"/>
                <w:sz w:val="21"/>
                <w:highlight w:val="none"/>
              </w:rPr>
            </w:pPr>
          </w:p>
        </w:tc>
      </w:tr>
      <w:tr w14:paraId="79CCFB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C0FCCBB">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4</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3EFF8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棕绳</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7B20D5">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Φ18</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4D6C3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50m</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6301BFB">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缆风绳用</w:t>
            </w:r>
          </w:p>
        </w:tc>
      </w:tr>
      <w:tr w14:paraId="1DE6F4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0E2BBBB">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5</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37D1E7">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警示带</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E8D57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通用</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134205">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500m</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F440243">
            <w:pPr>
              <w:spacing w:line="240" w:lineRule="auto"/>
              <w:ind w:firstLine="0" w:firstLineChars="0"/>
              <w:jc w:val="center"/>
              <w:rPr>
                <w:rFonts w:cstheme="minorBidi"/>
                <w:color w:val="000000"/>
                <w:sz w:val="21"/>
                <w:highlight w:val="none"/>
              </w:rPr>
            </w:pPr>
          </w:p>
        </w:tc>
      </w:tr>
      <w:tr w14:paraId="65CFAD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C3537BA">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6</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D8FD0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安全网</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D354C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通用</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A06291">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 套</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D4E77BD">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配重处用</w:t>
            </w:r>
          </w:p>
        </w:tc>
      </w:tr>
      <w:tr w14:paraId="356FA2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F80B1C4">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7</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046F20">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防滑手套</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3BA826">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通用</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9331E9">
            <w:pPr>
              <w:spacing w:line="240" w:lineRule="auto"/>
              <w:ind w:firstLine="0" w:firstLineChars="0"/>
              <w:jc w:val="center"/>
              <w:rPr>
                <w:rFonts w:cstheme="minorBidi"/>
                <w:color w:val="000000"/>
                <w:sz w:val="21"/>
                <w:highlight w:val="none"/>
              </w:rPr>
            </w:pPr>
            <w:r>
              <w:rPr>
                <w:rFonts w:hint="eastAsia" w:cstheme="minorBidi"/>
                <w:color w:val="000000"/>
                <w:sz w:val="21"/>
                <w:highlight w:val="none"/>
              </w:rPr>
              <w:t>12 双</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7255552">
            <w:pPr>
              <w:spacing w:line="240" w:lineRule="auto"/>
              <w:ind w:firstLine="0" w:firstLineChars="0"/>
              <w:jc w:val="center"/>
              <w:rPr>
                <w:rFonts w:cstheme="minorBidi"/>
                <w:color w:val="000000"/>
                <w:sz w:val="21"/>
                <w:highlight w:val="none"/>
              </w:rPr>
            </w:pPr>
          </w:p>
        </w:tc>
      </w:tr>
      <w:tr w14:paraId="6E6BD8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380"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78AFE24">
            <w:pPr>
              <w:spacing w:line="240" w:lineRule="auto"/>
              <w:ind w:firstLine="0" w:firstLineChars="0"/>
              <w:jc w:val="center"/>
              <w:rPr>
                <w:rFonts w:hint="eastAsia" w:eastAsia="宋体" w:cstheme="minorBidi"/>
                <w:color w:val="000000"/>
                <w:sz w:val="21"/>
                <w:highlight w:val="none"/>
                <w:lang w:val="en-US" w:eastAsia="zh-CN"/>
              </w:rPr>
            </w:pPr>
            <w:r>
              <w:rPr>
                <w:rFonts w:hint="eastAsia" w:cstheme="minorBidi"/>
                <w:color w:val="000000"/>
                <w:sz w:val="21"/>
                <w:highlight w:val="none"/>
                <w:lang w:val="en-US" w:eastAsia="zh-CN"/>
              </w:rPr>
              <w:t>8</w:t>
            </w:r>
          </w:p>
        </w:tc>
        <w:tc>
          <w:tcPr>
            <w:tcW w:w="86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4D4C08">
            <w:pPr>
              <w:spacing w:line="240" w:lineRule="auto"/>
              <w:ind w:firstLine="0" w:firstLineChars="0"/>
              <w:jc w:val="center"/>
              <w:rPr>
                <w:rFonts w:hint="eastAsia" w:eastAsia="宋体" w:cstheme="minorBidi"/>
                <w:color w:val="000000"/>
                <w:sz w:val="21"/>
                <w:highlight w:val="none"/>
                <w:lang w:val="en-US" w:eastAsia="zh-CN"/>
              </w:rPr>
            </w:pPr>
            <w:r>
              <w:rPr>
                <w:rFonts w:hint="eastAsia" w:cstheme="minorBidi"/>
                <w:color w:val="000000"/>
                <w:sz w:val="21"/>
                <w:highlight w:val="none"/>
                <w:lang w:val="en-US" w:eastAsia="zh-CN"/>
              </w:rPr>
              <w:t>风速仪</w:t>
            </w:r>
          </w:p>
        </w:tc>
        <w:tc>
          <w:tcPr>
            <w:tcW w:w="124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187A50">
            <w:pPr>
              <w:spacing w:line="240" w:lineRule="auto"/>
              <w:ind w:firstLine="0" w:firstLineChars="0"/>
              <w:jc w:val="center"/>
              <w:rPr>
                <w:rFonts w:hint="eastAsia" w:eastAsia="宋体" w:cstheme="minorBidi"/>
                <w:color w:val="000000"/>
                <w:sz w:val="21"/>
                <w:highlight w:val="none"/>
                <w:lang w:val="en-US" w:eastAsia="zh-CN"/>
              </w:rPr>
            </w:pPr>
            <w:r>
              <w:rPr>
                <w:rFonts w:hint="eastAsia" w:cstheme="minorBidi"/>
                <w:color w:val="000000"/>
                <w:sz w:val="21"/>
                <w:highlight w:val="none"/>
                <w:lang w:val="en-US" w:eastAsia="zh-CN"/>
              </w:rPr>
              <w:t>通用</w:t>
            </w:r>
          </w:p>
        </w:tc>
        <w:tc>
          <w:tcPr>
            <w:tcW w:w="4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99F22E">
            <w:pPr>
              <w:spacing w:line="240" w:lineRule="auto"/>
              <w:ind w:firstLine="0" w:firstLineChars="0"/>
              <w:jc w:val="center"/>
              <w:rPr>
                <w:rFonts w:hint="default" w:eastAsia="宋体" w:cstheme="minorBidi"/>
                <w:color w:val="000000"/>
                <w:sz w:val="21"/>
                <w:highlight w:val="none"/>
                <w:lang w:val="en-US" w:eastAsia="zh-CN"/>
              </w:rPr>
            </w:pPr>
            <w:r>
              <w:rPr>
                <w:rFonts w:hint="eastAsia" w:cstheme="minorBidi"/>
                <w:color w:val="000000"/>
                <w:sz w:val="21"/>
                <w:highlight w:val="none"/>
                <w:lang w:val="en-US" w:eastAsia="zh-CN"/>
              </w:rPr>
              <w:t>2台</w:t>
            </w:r>
          </w:p>
        </w:tc>
        <w:tc>
          <w:tcPr>
            <w:tcW w:w="2106"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19D0103">
            <w:pPr>
              <w:spacing w:line="240" w:lineRule="auto"/>
              <w:ind w:firstLine="0" w:firstLineChars="0"/>
              <w:jc w:val="center"/>
              <w:rPr>
                <w:rFonts w:hint="eastAsia" w:eastAsia="宋体" w:cstheme="minorBidi"/>
                <w:color w:val="000000"/>
                <w:sz w:val="21"/>
                <w:highlight w:val="none"/>
                <w:lang w:val="en-US" w:eastAsia="zh-CN"/>
              </w:rPr>
            </w:pPr>
            <w:r>
              <w:rPr>
                <w:rFonts w:hint="eastAsia" w:cstheme="minorBidi"/>
                <w:color w:val="000000"/>
                <w:sz w:val="21"/>
                <w:highlight w:val="none"/>
                <w:lang w:val="en-US" w:eastAsia="zh-CN"/>
              </w:rPr>
              <w:t>自带</w:t>
            </w:r>
          </w:p>
        </w:tc>
      </w:tr>
    </w:tbl>
    <w:p w14:paraId="31CA31F8">
      <w:pPr>
        <w:spacing w:line="240" w:lineRule="auto"/>
        <w:ind w:firstLine="0" w:firstLineChars="0"/>
        <w:jc w:val="center"/>
        <w:rPr>
          <w:rFonts w:cstheme="minorBidi"/>
          <w:sz w:val="21"/>
          <w:highlight w:val="none"/>
        </w:rPr>
      </w:pPr>
    </w:p>
    <w:p w14:paraId="4DFF4FD9">
      <w:pPr>
        <w:pStyle w:val="3"/>
        <w:bidi w:val="0"/>
        <w:ind w:left="432" w:leftChars="0" w:hanging="432" w:firstLineChars="0"/>
        <w:rPr>
          <w:highlight w:val="none"/>
        </w:rPr>
      </w:pPr>
      <w:bookmarkStart w:id="39" w:name="_Toc28545"/>
      <w:r>
        <w:rPr>
          <w:rFonts w:hint="eastAsia"/>
          <w:highlight w:val="none"/>
        </w:rPr>
        <w:t>施工方案概述</w:t>
      </w:r>
      <w:bookmarkEnd w:id="39"/>
    </w:p>
    <w:p w14:paraId="75844F61">
      <w:pPr>
        <w:pStyle w:val="4"/>
        <w:bidi w:val="0"/>
        <w:ind w:left="0" w:leftChars="0" w:firstLine="0" w:firstLineChars="0"/>
        <w:rPr>
          <w:highlight w:val="none"/>
        </w:rPr>
      </w:pPr>
      <w:bookmarkStart w:id="40" w:name="_Toc28533"/>
      <w:r>
        <w:rPr>
          <w:rFonts w:hint="eastAsia"/>
          <w:highlight w:val="none"/>
        </w:rPr>
        <w:t>塔吊安装施工工艺流程</w:t>
      </w:r>
      <w:bookmarkEnd w:id="40"/>
    </w:p>
    <w:p w14:paraId="59D83176">
      <w:pPr>
        <w:ind w:firstLine="480"/>
        <w:rPr>
          <w:highlight w:val="none"/>
        </w:rPr>
      </w:pPr>
      <w:r>
        <w:rPr>
          <w:rFonts w:hint="eastAsia"/>
          <w:highlight w:val="none"/>
        </w:rPr>
        <w:t>（1）XGT360-20S1安装顺序</w:t>
      </w:r>
    </w:p>
    <w:p w14:paraId="10B5D656">
      <w:pPr>
        <w:ind w:firstLine="0" w:firstLineChars="0"/>
        <w:rPr>
          <w:rFonts w:hint="eastAsia" w:eastAsia="宋体"/>
          <w:highlight w:val="none"/>
          <w:lang w:eastAsia="zh-CN"/>
        </w:rPr>
      </w:pPr>
      <w:r>
        <w:rPr>
          <w:rFonts w:hint="eastAsia" w:eastAsia="宋体"/>
          <w:highlight w:val="none"/>
          <w:lang w:eastAsia="zh-CN"/>
        </w:rPr>
        <w:drawing>
          <wp:inline distT="0" distB="0" distL="114300" distR="114300">
            <wp:extent cx="5271135" cy="2717800"/>
            <wp:effectExtent l="0" t="0" r="5715" b="6350"/>
            <wp:docPr id="125" name="图片 125" descr="a3de9e5787c84cfa13dce4b89f3a3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a3de9e5787c84cfa13dce4b89f3a36a"/>
                    <pic:cNvPicPr>
                      <a:picLocks noChangeAspect="1"/>
                    </pic:cNvPicPr>
                  </pic:nvPicPr>
                  <pic:blipFill>
                    <a:blip r:embed="rId46"/>
                    <a:stretch>
                      <a:fillRect/>
                    </a:stretch>
                  </pic:blipFill>
                  <pic:spPr>
                    <a:xfrm>
                      <a:off x="0" y="0"/>
                      <a:ext cx="5271135" cy="2717800"/>
                    </a:xfrm>
                    <a:prstGeom prst="rect">
                      <a:avLst/>
                    </a:prstGeom>
                  </pic:spPr>
                </pic:pic>
              </a:graphicData>
            </a:graphic>
          </wp:inline>
        </w:drawing>
      </w:r>
    </w:p>
    <w:p w14:paraId="5AE8DEFA">
      <w:pPr>
        <w:ind w:firstLine="480" w:firstLineChars="0"/>
        <w:rPr>
          <w:highlight w:val="none"/>
        </w:rPr>
      </w:pPr>
      <w:r>
        <w:rPr>
          <w:highlight w:val="none"/>
        </w:rPr>
        <w:t>（</w:t>
      </w:r>
      <w:r>
        <w:rPr>
          <w:rFonts w:hint="eastAsia"/>
          <w:highlight w:val="none"/>
        </w:rPr>
        <w:t>2</w:t>
      </w:r>
      <w:r>
        <w:rPr>
          <w:highlight w:val="none"/>
        </w:rPr>
        <w:t>）XGT7026-12S</w:t>
      </w:r>
      <w:r>
        <w:rPr>
          <w:rFonts w:hint="eastAsia"/>
          <w:highlight w:val="none"/>
        </w:rPr>
        <w:t>1安装顺序</w:t>
      </w:r>
    </w:p>
    <w:p w14:paraId="3EFCA017">
      <w:pPr>
        <w:ind w:firstLine="0" w:firstLineChars="0"/>
        <w:rPr>
          <w:rFonts w:hint="eastAsia" w:eastAsia="宋体"/>
          <w:highlight w:val="none"/>
          <w:lang w:eastAsia="zh-CN"/>
        </w:rPr>
      </w:pPr>
      <w:r>
        <w:rPr>
          <w:rFonts w:hint="eastAsia" w:eastAsia="宋体"/>
          <w:highlight w:val="none"/>
          <w:lang w:eastAsia="zh-CN"/>
        </w:rPr>
        <w:drawing>
          <wp:inline distT="0" distB="0" distL="114300" distR="114300">
            <wp:extent cx="5267960" cy="2662555"/>
            <wp:effectExtent l="0" t="0" r="8890" b="4445"/>
            <wp:docPr id="126" name="图片 126" descr="c81506c93e4023f58b268ecbf7a9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c81506c93e4023f58b268ecbf7a931f"/>
                    <pic:cNvPicPr>
                      <a:picLocks noChangeAspect="1"/>
                    </pic:cNvPicPr>
                  </pic:nvPicPr>
                  <pic:blipFill>
                    <a:blip r:embed="rId47"/>
                    <a:stretch>
                      <a:fillRect/>
                    </a:stretch>
                  </pic:blipFill>
                  <pic:spPr>
                    <a:xfrm>
                      <a:off x="0" y="0"/>
                      <a:ext cx="5267960" cy="2662555"/>
                    </a:xfrm>
                    <a:prstGeom prst="rect">
                      <a:avLst/>
                    </a:prstGeom>
                  </pic:spPr>
                </pic:pic>
              </a:graphicData>
            </a:graphic>
          </wp:inline>
        </w:drawing>
      </w:r>
    </w:p>
    <w:p w14:paraId="290A5812">
      <w:pPr>
        <w:ind w:firstLine="480"/>
        <w:rPr>
          <w:highlight w:val="none"/>
        </w:rPr>
      </w:pPr>
      <w:r>
        <w:rPr>
          <w:rFonts w:hint="eastAsia"/>
          <w:highlight w:val="none"/>
        </w:rPr>
        <w:t>在此方案中，先安装3#塔机，随后安装4#塔机。</w:t>
      </w:r>
    </w:p>
    <w:p w14:paraId="0F69F92A">
      <w:pPr>
        <w:pStyle w:val="4"/>
        <w:bidi w:val="0"/>
        <w:ind w:left="0" w:leftChars="0" w:firstLine="0" w:firstLineChars="0"/>
        <w:rPr>
          <w:highlight w:val="none"/>
        </w:rPr>
      </w:pPr>
      <w:bookmarkStart w:id="41" w:name="_Toc14241"/>
      <w:r>
        <w:rPr>
          <w:rFonts w:hint="eastAsia"/>
          <w:highlight w:val="none"/>
        </w:rPr>
        <w:t>主要设备选型</w:t>
      </w:r>
      <w:bookmarkEnd w:id="41"/>
    </w:p>
    <w:p w14:paraId="4FF9B4AC">
      <w:pPr>
        <w:pStyle w:val="5"/>
        <w:bidi w:val="0"/>
        <w:ind w:left="0" w:leftChars="0" w:firstLine="0" w:firstLineChars="0"/>
        <w:rPr>
          <w:highlight w:val="none"/>
        </w:rPr>
      </w:pPr>
      <w:r>
        <w:rPr>
          <w:rFonts w:hint="eastAsia"/>
          <w:highlight w:val="none"/>
        </w:rPr>
        <w:t>辅助起重设备选型</w:t>
      </w:r>
    </w:p>
    <w:p w14:paraId="56CD64DF">
      <w:pPr>
        <w:ind w:firstLine="480"/>
        <w:rPr>
          <w:highlight w:val="none"/>
        </w:rPr>
      </w:pPr>
      <w:r>
        <w:rPr>
          <w:rFonts w:hint="eastAsia"/>
          <w:highlight w:val="none"/>
        </w:rPr>
        <w:t>3#塔机的安装采用100t汽车吊进行安装，相应计算详见第1</w:t>
      </w:r>
      <w:r>
        <w:rPr>
          <w:highlight w:val="none"/>
        </w:rPr>
        <w:t>1章节，</w:t>
      </w:r>
      <w:r>
        <w:rPr>
          <w:rFonts w:hint="eastAsia"/>
          <w:highlight w:val="none"/>
        </w:rPr>
        <w:t>4#塔机采用3#塔机进行安装</w:t>
      </w:r>
      <w:r>
        <w:rPr>
          <w:highlight w:val="none"/>
        </w:rPr>
        <w:t>。</w:t>
      </w:r>
    </w:p>
    <w:p w14:paraId="6B492E1A">
      <w:pPr>
        <w:keepNext/>
        <w:ind w:firstLine="480"/>
        <w:jc w:val="center"/>
        <w:rPr>
          <w:highlight w:val="none"/>
        </w:rPr>
      </w:pPr>
      <w:r>
        <w:rPr>
          <w:rFonts w:hint="eastAsia"/>
          <w:highlight w:val="none"/>
        </w:rPr>
        <w:t xml:space="preserve">表 </w:t>
      </w:r>
      <w:r>
        <w:rPr>
          <w:rFonts w:hint="eastAsia"/>
          <w:highlight w:val="none"/>
        </w:rPr>
        <w:fldChar w:fldCharType="begin"/>
      </w:r>
      <w:r>
        <w:rPr>
          <w:rFonts w:hint="eastAsia"/>
          <w:highlight w:val="none"/>
        </w:rPr>
        <w:instrText xml:space="preserve"> STYLEREF 3 \s </w:instrText>
      </w:r>
      <w:r>
        <w:rPr>
          <w:rFonts w:hint="eastAsia"/>
          <w:highlight w:val="none"/>
        </w:rPr>
        <w:fldChar w:fldCharType="separate"/>
      </w:r>
      <w:r>
        <w:rPr>
          <w:rFonts w:hint="eastAsia"/>
          <w:highlight w:val="none"/>
        </w:rPr>
        <w:t>4.2.1</w:t>
      </w:r>
      <w:r>
        <w:rPr>
          <w:rFonts w:hint="eastAsia"/>
          <w:highlight w:val="none"/>
        </w:rPr>
        <w:fldChar w:fldCharType="end"/>
      </w:r>
      <w:r>
        <w:rPr>
          <w:rFonts w:hint="eastAsia"/>
          <w:highlight w:val="none"/>
        </w:rPr>
        <w:noBreakHyphen/>
      </w:r>
      <w:r>
        <w:rPr>
          <w:rFonts w:hint="eastAsia"/>
          <w:highlight w:val="none"/>
        </w:rPr>
        <w:fldChar w:fldCharType="begin"/>
      </w:r>
      <w:r>
        <w:rPr>
          <w:rFonts w:hint="eastAsia"/>
          <w:highlight w:val="none"/>
        </w:rPr>
        <w:instrText xml:space="preserve"> SEQ 表 \* ARABIC \s 3 </w:instrText>
      </w:r>
      <w:r>
        <w:rPr>
          <w:rFonts w:hint="eastAsia"/>
          <w:highlight w:val="none"/>
        </w:rPr>
        <w:fldChar w:fldCharType="separate"/>
      </w:r>
      <w:r>
        <w:rPr>
          <w:rFonts w:hint="eastAsia"/>
          <w:highlight w:val="none"/>
        </w:rPr>
        <w:t>1</w:t>
      </w:r>
      <w:r>
        <w:rPr>
          <w:rFonts w:hint="eastAsia"/>
          <w:highlight w:val="none"/>
        </w:rPr>
        <w:fldChar w:fldCharType="end"/>
      </w:r>
      <w:r>
        <w:rPr>
          <w:rFonts w:hint="eastAsia"/>
          <w:highlight w:val="none"/>
        </w:rPr>
        <w:t xml:space="preserve"> 100t汽车吊性能表</w:t>
      </w:r>
    </w:p>
    <w:p w14:paraId="006BDDC4">
      <w:pPr>
        <w:keepNext/>
        <w:ind w:firstLine="0" w:firstLineChars="0"/>
        <w:rPr>
          <w:highlight w:val="none"/>
        </w:rPr>
      </w:pPr>
      <w:r>
        <w:rPr>
          <w:highlight w:val="none"/>
        </w:rPr>
        <w:drawing>
          <wp:inline distT="0" distB="0" distL="114300" distR="114300">
            <wp:extent cx="5267325" cy="5511800"/>
            <wp:effectExtent l="0" t="0" r="9525" b="12700"/>
            <wp:docPr id="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48"/>
                    <a:stretch>
                      <a:fillRect/>
                    </a:stretch>
                  </pic:blipFill>
                  <pic:spPr>
                    <a:xfrm>
                      <a:off x="0" y="0"/>
                      <a:ext cx="5267325" cy="5511800"/>
                    </a:xfrm>
                    <a:prstGeom prst="rect">
                      <a:avLst/>
                    </a:prstGeom>
                    <a:noFill/>
                    <a:ln>
                      <a:noFill/>
                    </a:ln>
                  </pic:spPr>
                </pic:pic>
              </a:graphicData>
            </a:graphic>
          </wp:inline>
        </w:drawing>
      </w:r>
    </w:p>
    <w:p w14:paraId="02B0FF5D">
      <w:pPr>
        <w:keepNext/>
        <w:ind w:firstLine="0" w:firstLineChars="0"/>
        <w:rPr>
          <w:highlight w:val="none"/>
        </w:rPr>
      </w:pPr>
      <w:r>
        <w:rPr>
          <w:highlight w:val="none"/>
        </w:rPr>
        <w:drawing>
          <wp:inline distT="0" distB="0" distL="114300" distR="114300">
            <wp:extent cx="5271770" cy="4565650"/>
            <wp:effectExtent l="0" t="0" r="5080" b="6350"/>
            <wp:docPr id="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
                    <pic:cNvPicPr>
                      <a:picLocks noChangeAspect="1"/>
                    </pic:cNvPicPr>
                  </pic:nvPicPr>
                  <pic:blipFill>
                    <a:blip r:embed="rId49"/>
                    <a:stretch>
                      <a:fillRect/>
                    </a:stretch>
                  </pic:blipFill>
                  <pic:spPr>
                    <a:xfrm>
                      <a:off x="0" y="0"/>
                      <a:ext cx="5271770" cy="4565650"/>
                    </a:xfrm>
                    <a:prstGeom prst="rect">
                      <a:avLst/>
                    </a:prstGeom>
                    <a:noFill/>
                    <a:ln>
                      <a:noFill/>
                    </a:ln>
                  </pic:spPr>
                </pic:pic>
              </a:graphicData>
            </a:graphic>
          </wp:inline>
        </w:drawing>
      </w:r>
    </w:p>
    <w:p w14:paraId="5FCE69D5">
      <w:pPr>
        <w:pStyle w:val="2"/>
        <w:ind w:firstLine="0" w:firstLineChars="0"/>
        <w:rPr>
          <w:highlight w:val="none"/>
        </w:rPr>
      </w:pPr>
    </w:p>
    <w:p w14:paraId="0424DD9E">
      <w:pPr>
        <w:pStyle w:val="16"/>
        <w:ind w:firstLine="0" w:firstLineChars="0"/>
        <w:jc w:val="center"/>
        <w:rPr>
          <w:highlight w:val="none"/>
        </w:rPr>
      </w:pPr>
      <w:r>
        <w:rPr>
          <w:rFonts w:hint="eastAsia"/>
          <w:highlight w:val="none"/>
        </w:rPr>
        <w:t xml:space="preserve">表 </w:t>
      </w:r>
      <w:r>
        <w:rPr>
          <w:rFonts w:hint="eastAsia"/>
          <w:highlight w:val="none"/>
        </w:rPr>
        <w:fldChar w:fldCharType="begin"/>
      </w:r>
      <w:r>
        <w:rPr>
          <w:rFonts w:hint="eastAsia"/>
          <w:highlight w:val="none"/>
        </w:rPr>
        <w:instrText xml:space="preserve"> STYLEREF 3 \s </w:instrText>
      </w:r>
      <w:r>
        <w:rPr>
          <w:rFonts w:hint="eastAsia"/>
          <w:highlight w:val="none"/>
        </w:rPr>
        <w:fldChar w:fldCharType="separate"/>
      </w:r>
      <w:r>
        <w:rPr>
          <w:rFonts w:hint="eastAsia"/>
          <w:highlight w:val="none"/>
        </w:rPr>
        <w:t>4.2.1</w:t>
      </w:r>
      <w:r>
        <w:rPr>
          <w:rFonts w:hint="eastAsia"/>
          <w:highlight w:val="none"/>
        </w:rPr>
        <w:fldChar w:fldCharType="end"/>
      </w:r>
      <w:r>
        <w:rPr>
          <w:rFonts w:hint="eastAsia"/>
          <w:highlight w:val="none"/>
        </w:rPr>
        <w:noBreakHyphen/>
      </w:r>
      <w:r>
        <w:rPr>
          <w:rFonts w:hint="eastAsia"/>
          <w:highlight w:val="none"/>
        </w:rPr>
        <w:t>2 3#塔机安装时100t汽车吊负荷率</w:t>
      </w:r>
    </w:p>
    <w:tbl>
      <w:tblPr>
        <w:tblStyle w:val="44"/>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57"/>
        <w:gridCol w:w="1341"/>
        <w:gridCol w:w="2016"/>
        <w:gridCol w:w="816"/>
        <w:gridCol w:w="1033"/>
        <w:gridCol w:w="936"/>
        <w:gridCol w:w="1032"/>
        <w:gridCol w:w="891"/>
      </w:tblGrid>
      <w:tr w14:paraId="7F90A8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Merge w:val="restart"/>
            <w:vAlign w:val="center"/>
          </w:tcPr>
          <w:p w14:paraId="2476E7D6">
            <w:pPr>
              <w:widowControl/>
              <w:adjustRightInd w:val="0"/>
              <w:snapToGrid w:val="0"/>
              <w:spacing w:before="156" w:after="156"/>
              <w:ind w:firstLine="0" w:firstLineChars="0"/>
              <w:rPr>
                <w:rFonts w:ascii="宋体" w:hAnsi="宋体" w:cs="宋体"/>
                <w:szCs w:val="24"/>
                <w:highlight w:val="none"/>
              </w:rPr>
            </w:pPr>
            <w:r>
              <w:rPr>
                <w:rFonts w:hint="eastAsia" w:ascii="宋体" w:hAnsi="宋体" w:cs="宋体"/>
                <w:szCs w:val="24"/>
                <w:highlight w:val="none"/>
              </w:rPr>
              <w:t>序号</w:t>
            </w:r>
          </w:p>
        </w:tc>
        <w:tc>
          <w:tcPr>
            <w:tcW w:w="5167" w:type="dxa"/>
            <w:gridSpan w:val="4"/>
            <w:vAlign w:val="center"/>
          </w:tcPr>
          <w:p w14:paraId="4EB6A7F6">
            <w:pPr>
              <w:widowControl/>
              <w:adjustRightInd w:val="0"/>
              <w:snapToGrid w:val="0"/>
              <w:spacing w:before="156" w:after="156" w:line="240" w:lineRule="auto"/>
              <w:ind w:firstLine="480"/>
              <w:jc w:val="center"/>
              <w:rPr>
                <w:rFonts w:ascii="宋体" w:hAnsi="宋体" w:cs="宋体"/>
                <w:szCs w:val="24"/>
                <w:highlight w:val="none"/>
              </w:rPr>
            </w:pPr>
            <w:r>
              <w:rPr>
                <w:rFonts w:hint="eastAsia" w:ascii="宋体" w:hAnsi="宋体" w:cs="宋体"/>
                <w:szCs w:val="24"/>
                <w:highlight w:val="none"/>
              </w:rPr>
              <w:t>工况</w:t>
            </w:r>
          </w:p>
        </w:tc>
        <w:tc>
          <w:tcPr>
            <w:tcW w:w="1988" w:type="dxa"/>
            <w:gridSpan w:val="2"/>
            <w:vAlign w:val="center"/>
          </w:tcPr>
          <w:p w14:paraId="1A4052CE">
            <w:pPr>
              <w:widowControl/>
              <w:adjustRightInd w:val="0"/>
              <w:snapToGrid w:val="0"/>
              <w:spacing w:before="156" w:after="156"/>
              <w:ind w:firstLine="0" w:firstLineChars="0"/>
              <w:rPr>
                <w:rFonts w:ascii="宋体" w:hAnsi="宋体" w:cs="宋体"/>
                <w:szCs w:val="24"/>
                <w:highlight w:val="none"/>
              </w:rPr>
            </w:pPr>
            <w:r>
              <w:rPr>
                <w:rFonts w:hint="eastAsia" w:ascii="宋体" w:hAnsi="宋体" w:cs="宋体"/>
                <w:szCs w:val="24"/>
                <w:highlight w:val="none"/>
              </w:rPr>
              <w:t>100t汽车吊起重能力</w:t>
            </w:r>
          </w:p>
        </w:tc>
        <w:tc>
          <w:tcPr>
            <w:tcW w:w="910" w:type="dxa"/>
            <w:vMerge w:val="restart"/>
            <w:vAlign w:val="center"/>
          </w:tcPr>
          <w:p w14:paraId="7EDE341C">
            <w:pPr>
              <w:widowControl/>
              <w:adjustRightInd w:val="0"/>
              <w:snapToGrid w:val="0"/>
              <w:spacing w:before="156" w:after="156"/>
              <w:ind w:firstLine="0" w:firstLineChars="0"/>
              <w:jc w:val="center"/>
              <w:rPr>
                <w:rFonts w:ascii="宋体" w:hAnsi="宋体" w:cs="宋体"/>
                <w:szCs w:val="24"/>
                <w:highlight w:val="none"/>
              </w:rPr>
            </w:pPr>
            <w:r>
              <w:rPr>
                <w:rFonts w:hint="eastAsia" w:ascii="宋体" w:hAnsi="宋体" w:cs="宋体"/>
                <w:szCs w:val="24"/>
                <w:highlight w:val="none"/>
              </w:rPr>
              <w:t>汽车吊负荷率</w:t>
            </w:r>
          </w:p>
        </w:tc>
      </w:tr>
      <w:tr w14:paraId="52540A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64" w:hRule="atLeast"/>
          <w:jc w:val="center"/>
        </w:trPr>
        <w:tc>
          <w:tcPr>
            <w:tcW w:w="457" w:type="dxa"/>
            <w:vMerge w:val="continue"/>
            <w:vAlign w:val="center"/>
          </w:tcPr>
          <w:p w14:paraId="0541AF85">
            <w:pPr>
              <w:widowControl/>
              <w:adjustRightInd w:val="0"/>
              <w:snapToGrid w:val="0"/>
              <w:spacing w:before="156" w:after="156"/>
              <w:ind w:firstLine="482"/>
              <w:jc w:val="center"/>
              <w:rPr>
                <w:rFonts w:ascii="宋体" w:hAnsi="宋体" w:cs="宋体"/>
                <w:b/>
                <w:bCs/>
                <w:szCs w:val="24"/>
                <w:highlight w:val="none"/>
              </w:rPr>
            </w:pPr>
          </w:p>
        </w:tc>
        <w:tc>
          <w:tcPr>
            <w:tcW w:w="1393" w:type="dxa"/>
            <w:vAlign w:val="center"/>
          </w:tcPr>
          <w:p w14:paraId="08EB9D08">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吊装构件</w:t>
            </w:r>
          </w:p>
        </w:tc>
        <w:tc>
          <w:tcPr>
            <w:tcW w:w="1912" w:type="dxa"/>
            <w:vAlign w:val="center"/>
          </w:tcPr>
          <w:p w14:paraId="6882ADB1">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整体参数</w:t>
            </w:r>
          </w:p>
          <w:p w14:paraId="23B850FB">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（长*宽*高）</w:t>
            </w:r>
          </w:p>
        </w:tc>
        <w:tc>
          <w:tcPr>
            <w:tcW w:w="816" w:type="dxa"/>
            <w:vAlign w:val="center"/>
          </w:tcPr>
          <w:p w14:paraId="319437D3">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吊重（t）</w:t>
            </w:r>
          </w:p>
        </w:tc>
        <w:tc>
          <w:tcPr>
            <w:tcW w:w="1046" w:type="dxa"/>
            <w:vAlign w:val="center"/>
          </w:tcPr>
          <w:p w14:paraId="214A5B07">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吊装幅度（m）</w:t>
            </w:r>
          </w:p>
        </w:tc>
        <w:tc>
          <w:tcPr>
            <w:tcW w:w="943" w:type="dxa"/>
            <w:vAlign w:val="center"/>
          </w:tcPr>
          <w:p w14:paraId="52C55A01">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起重量（t）</w:t>
            </w:r>
          </w:p>
        </w:tc>
        <w:tc>
          <w:tcPr>
            <w:tcW w:w="1045" w:type="dxa"/>
            <w:vAlign w:val="center"/>
          </w:tcPr>
          <w:p w14:paraId="6DCFC050">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起升高度（m）</w:t>
            </w:r>
          </w:p>
        </w:tc>
        <w:tc>
          <w:tcPr>
            <w:tcW w:w="910" w:type="dxa"/>
            <w:vMerge w:val="continue"/>
            <w:vAlign w:val="center"/>
          </w:tcPr>
          <w:p w14:paraId="612D7B74">
            <w:pPr>
              <w:widowControl/>
              <w:adjustRightInd w:val="0"/>
              <w:snapToGrid w:val="0"/>
              <w:spacing w:before="156" w:after="156" w:line="240" w:lineRule="auto"/>
              <w:ind w:firstLine="482"/>
              <w:jc w:val="center"/>
              <w:rPr>
                <w:rFonts w:ascii="宋体" w:hAnsi="宋体" w:cs="宋体"/>
                <w:b/>
                <w:bCs/>
                <w:szCs w:val="24"/>
                <w:highlight w:val="none"/>
              </w:rPr>
            </w:pPr>
          </w:p>
        </w:tc>
      </w:tr>
      <w:tr w14:paraId="6123A3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6B46487A">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1</w:t>
            </w:r>
          </w:p>
        </w:tc>
        <w:tc>
          <w:tcPr>
            <w:tcW w:w="1393" w:type="dxa"/>
            <w:vAlign w:val="center"/>
          </w:tcPr>
          <w:p w14:paraId="1F05C130">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基础节一</w:t>
            </w:r>
          </w:p>
        </w:tc>
        <w:tc>
          <w:tcPr>
            <w:tcW w:w="1912" w:type="dxa"/>
            <w:vAlign w:val="center"/>
          </w:tcPr>
          <w:p w14:paraId="1FF981F0">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2*2*7.5</w:t>
            </w:r>
          </w:p>
        </w:tc>
        <w:tc>
          <w:tcPr>
            <w:tcW w:w="816" w:type="dxa"/>
            <w:vAlign w:val="center"/>
          </w:tcPr>
          <w:p w14:paraId="09B368D2">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5.02</w:t>
            </w:r>
          </w:p>
        </w:tc>
        <w:tc>
          <w:tcPr>
            <w:tcW w:w="1046" w:type="dxa"/>
            <w:vAlign w:val="center"/>
          </w:tcPr>
          <w:p w14:paraId="62AEF244">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21B8E0F5">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w:t>
            </w:r>
          </w:p>
        </w:tc>
        <w:tc>
          <w:tcPr>
            <w:tcW w:w="1045" w:type="dxa"/>
            <w:vAlign w:val="center"/>
          </w:tcPr>
          <w:p w14:paraId="786D05B4">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36</w:t>
            </w:r>
          </w:p>
        </w:tc>
        <w:tc>
          <w:tcPr>
            <w:tcW w:w="910" w:type="dxa"/>
            <w:vAlign w:val="center"/>
          </w:tcPr>
          <w:p w14:paraId="48CAE2B9">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46%</w:t>
            </w:r>
          </w:p>
        </w:tc>
      </w:tr>
      <w:tr w14:paraId="4BE127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3E52E29D">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2</w:t>
            </w:r>
          </w:p>
        </w:tc>
        <w:tc>
          <w:tcPr>
            <w:tcW w:w="1393" w:type="dxa"/>
            <w:vAlign w:val="center"/>
          </w:tcPr>
          <w:p w14:paraId="517A2700">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基础节二</w:t>
            </w:r>
          </w:p>
        </w:tc>
        <w:tc>
          <w:tcPr>
            <w:tcW w:w="1912" w:type="dxa"/>
            <w:vAlign w:val="center"/>
          </w:tcPr>
          <w:p w14:paraId="3511B13C">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2*2*7.5</w:t>
            </w:r>
          </w:p>
        </w:tc>
        <w:tc>
          <w:tcPr>
            <w:tcW w:w="816" w:type="dxa"/>
            <w:vAlign w:val="center"/>
          </w:tcPr>
          <w:p w14:paraId="2B6452AA">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5.06</w:t>
            </w:r>
          </w:p>
        </w:tc>
        <w:tc>
          <w:tcPr>
            <w:tcW w:w="1046" w:type="dxa"/>
            <w:vAlign w:val="center"/>
          </w:tcPr>
          <w:p w14:paraId="07BD616A">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1AACFB72">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w:t>
            </w:r>
          </w:p>
        </w:tc>
        <w:tc>
          <w:tcPr>
            <w:tcW w:w="1045" w:type="dxa"/>
            <w:vAlign w:val="center"/>
          </w:tcPr>
          <w:p w14:paraId="2E6D5775">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36</w:t>
            </w:r>
          </w:p>
        </w:tc>
        <w:tc>
          <w:tcPr>
            <w:tcW w:w="910" w:type="dxa"/>
            <w:vAlign w:val="center"/>
          </w:tcPr>
          <w:p w14:paraId="5E139D96">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47%</w:t>
            </w:r>
          </w:p>
        </w:tc>
      </w:tr>
      <w:tr w14:paraId="5D8B0D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0F73D81F">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3</w:t>
            </w:r>
          </w:p>
        </w:tc>
        <w:tc>
          <w:tcPr>
            <w:tcW w:w="1393" w:type="dxa"/>
            <w:vAlign w:val="center"/>
          </w:tcPr>
          <w:p w14:paraId="1299696B">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爬升架</w:t>
            </w:r>
          </w:p>
        </w:tc>
        <w:tc>
          <w:tcPr>
            <w:tcW w:w="1912" w:type="dxa"/>
            <w:vAlign w:val="center"/>
          </w:tcPr>
          <w:p w14:paraId="778EC556">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2.83*2.49*7.25</w:t>
            </w:r>
          </w:p>
        </w:tc>
        <w:tc>
          <w:tcPr>
            <w:tcW w:w="816" w:type="dxa"/>
            <w:vAlign w:val="center"/>
          </w:tcPr>
          <w:p w14:paraId="1EC412C5">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5.35</w:t>
            </w:r>
          </w:p>
        </w:tc>
        <w:tc>
          <w:tcPr>
            <w:tcW w:w="1046" w:type="dxa"/>
            <w:vAlign w:val="center"/>
          </w:tcPr>
          <w:p w14:paraId="2126577F">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22B77B0E">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w:t>
            </w:r>
          </w:p>
        </w:tc>
        <w:tc>
          <w:tcPr>
            <w:tcW w:w="1045" w:type="dxa"/>
            <w:vAlign w:val="center"/>
          </w:tcPr>
          <w:p w14:paraId="3E3AB167">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36</w:t>
            </w:r>
          </w:p>
        </w:tc>
        <w:tc>
          <w:tcPr>
            <w:tcW w:w="910" w:type="dxa"/>
            <w:vAlign w:val="center"/>
          </w:tcPr>
          <w:p w14:paraId="700D525D">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50%</w:t>
            </w:r>
          </w:p>
        </w:tc>
      </w:tr>
      <w:tr w14:paraId="671C21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12363552">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4</w:t>
            </w:r>
          </w:p>
        </w:tc>
        <w:tc>
          <w:tcPr>
            <w:tcW w:w="1393" w:type="dxa"/>
            <w:vAlign w:val="center"/>
          </w:tcPr>
          <w:p w14:paraId="0C1D661E">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特殊节</w:t>
            </w:r>
          </w:p>
        </w:tc>
        <w:tc>
          <w:tcPr>
            <w:tcW w:w="1912" w:type="dxa"/>
            <w:vAlign w:val="center"/>
          </w:tcPr>
          <w:p w14:paraId="2D2840BB">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2.46*2.49*3.8</w:t>
            </w:r>
          </w:p>
        </w:tc>
        <w:tc>
          <w:tcPr>
            <w:tcW w:w="816" w:type="dxa"/>
            <w:vAlign w:val="center"/>
          </w:tcPr>
          <w:p w14:paraId="5FBFFD51">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2.62</w:t>
            </w:r>
          </w:p>
        </w:tc>
        <w:tc>
          <w:tcPr>
            <w:tcW w:w="1046" w:type="dxa"/>
            <w:vAlign w:val="center"/>
          </w:tcPr>
          <w:p w14:paraId="663401E2">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21B1F73B">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w:t>
            </w:r>
          </w:p>
        </w:tc>
        <w:tc>
          <w:tcPr>
            <w:tcW w:w="1045" w:type="dxa"/>
            <w:vAlign w:val="center"/>
          </w:tcPr>
          <w:p w14:paraId="3D4D874A">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36</w:t>
            </w:r>
          </w:p>
        </w:tc>
        <w:tc>
          <w:tcPr>
            <w:tcW w:w="910" w:type="dxa"/>
            <w:vAlign w:val="center"/>
          </w:tcPr>
          <w:p w14:paraId="23AEB7A8">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24%</w:t>
            </w:r>
          </w:p>
        </w:tc>
      </w:tr>
      <w:tr w14:paraId="3FBD56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6B30CF07">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5</w:t>
            </w:r>
          </w:p>
        </w:tc>
        <w:tc>
          <w:tcPr>
            <w:tcW w:w="1393" w:type="dxa"/>
            <w:vAlign w:val="center"/>
          </w:tcPr>
          <w:p w14:paraId="1AD63D4D">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回转总成</w:t>
            </w:r>
          </w:p>
        </w:tc>
        <w:tc>
          <w:tcPr>
            <w:tcW w:w="1912" w:type="dxa"/>
            <w:vAlign w:val="center"/>
          </w:tcPr>
          <w:p w14:paraId="41DE07DB">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2.23*2.63*1.98</w:t>
            </w:r>
          </w:p>
        </w:tc>
        <w:tc>
          <w:tcPr>
            <w:tcW w:w="816" w:type="dxa"/>
            <w:vAlign w:val="center"/>
          </w:tcPr>
          <w:p w14:paraId="5F714AA1">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6.85</w:t>
            </w:r>
          </w:p>
        </w:tc>
        <w:tc>
          <w:tcPr>
            <w:tcW w:w="1046" w:type="dxa"/>
            <w:vAlign w:val="center"/>
          </w:tcPr>
          <w:p w14:paraId="5CC2184F">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5F23C00E">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w:t>
            </w:r>
          </w:p>
        </w:tc>
        <w:tc>
          <w:tcPr>
            <w:tcW w:w="1045" w:type="dxa"/>
            <w:vAlign w:val="center"/>
          </w:tcPr>
          <w:p w14:paraId="25E55224">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36</w:t>
            </w:r>
          </w:p>
        </w:tc>
        <w:tc>
          <w:tcPr>
            <w:tcW w:w="910" w:type="dxa"/>
            <w:vAlign w:val="center"/>
          </w:tcPr>
          <w:p w14:paraId="216CBAEA">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63%</w:t>
            </w:r>
          </w:p>
        </w:tc>
      </w:tr>
      <w:tr w14:paraId="1A4645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410F7901">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6</w:t>
            </w:r>
          </w:p>
        </w:tc>
        <w:tc>
          <w:tcPr>
            <w:tcW w:w="1393" w:type="dxa"/>
            <w:vAlign w:val="center"/>
          </w:tcPr>
          <w:p w14:paraId="61BC4962">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臂根节</w:t>
            </w:r>
          </w:p>
        </w:tc>
        <w:tc>
          <w:tcPr>
            <w:tcW w:w="1912" w:type="dxa"/>
            <w:vAlign w:val="center"/>
          </w:tcPr>
          <w:p w14:paraId="60A52180">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11.31*1.75*2.51</w:t>
            </w:r>
          </w:p>
        </w:tc>
        <w:tc>
          <w:tcPr>
            <w:tcW w:w="816" w:type="dxa"/>
            <w:vAlign w:val="center"/>
          </w:tcPr>
          <w:p w14:paraId="3F4EDACB">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5.86</w:t>
            </w:r>
          </w:p>
        </w:tc>
        <w:tc>
          <w:tcPr>
            <w:tcW w:w="1046" w:type="dxa"/>
            <w:vAlign w:val="center"/>
          </w:tcPr>
          <w:p w14:paraId="1D59C182">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2FE144AC">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w:t>
            </w:r>
          </w:p>
        </w:tc>
        <w:tc>
          <w:tcPr>
            <w:tcW w:w="1045" w:type="dxa"/>
            <w:vAlign w:val="center"/>
          </w:tcPr>
          <w:p w14:paraId="155B2397">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36</w:t>
            </w:r>
          </w:p>
        </w:tc>
        <w:tc>
          <w:tcPr>
            <w:tcW w:w="910" w:type="dxa"/>
            <w:vAlign w:val="center"/>
          </w:tcPr>
          <w:p w14:paraId="7BADDA98">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54%</w:t>
            </w:r>
          </w:p>
        </w:tc>
      </w:tr>
      <w:tr w14:paraId="3EF9FF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3101D51C">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7</w:t>
            </w:r>
          </w:p>
        </w:tc>
        <w:tc>
          <w:tcPr>
            <w:tcW w:w="1393" w:type="dxa"/>
            <w:vAlign w:val="center"/>
          </w:tcPr>
          <w:p w14:paraId="72C295CB">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平衡臂</w:t>
            </w:r>
          </w:p>
        </w:tc>
        <w:tc>
          <w:tcPr>
            <w:tcW w:w="1912" w:type="dxa"/>
            <w:vAlign w:val="center"/>
          </w:tcPr>
          <w:p w14:paraId="471EE1F4">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15.75*1.66*0.75</w:t>
            </w:r>
          </w:p>
        </w:tc>
        <w:tc>
          <w:tcPr>
            <w:tcW w:w="816" w:type="dxa"/>
            <w:vAlign w:val="center"/>
          </w:tcPr>
          <w:p w14:paraId="3A4B8425">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6.17</w:t>
            </w:r>
          </w:p>
        </w:tc>
        <w:tc>
          <w:tcPr>
            <w:tcW w:w="1046" w:type="dxa"/>
            <w:vAlign w:val="center"/>
          </w:tcPr>
          <w:p w14:paraId="553A5FC7">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3EE37638">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w:t>
            </w:r>
          </w:p>
        </w:tc>
        <w:tc>
          <w:tcPr>
            <w:tcW w:w="1045" w:type="dxa"/>
            <w:vAlign w:val="center"/>
          </w:tcPr>
          <w:p w14:paraId="126787C0">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36</w:t>
            </w:r>
          </w:p>
        </w:tc>
        <w:tc>
          <w:tcPr>
            <w:tcW w:w="910" w:type="dxa"/>
            <w:vAlign w:val="center"/>
          </w:tcPr>
          <w:p w14:paraId="55637BEB">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57%</w:t>
            </w:r>
          </w:p>
        </w:tc>
      </w:tr>
      <w:tr w14:paraId="3203DC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5458C297">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8</w:t>
            </w:r>
          </w:p>
        </w:tc>
        <w:tc>
          <w:tcPr>
            <w:tcW w:w="1393" w:type="dxa"/>
            <w:vAlign w:val="center"/>
          </w:tcPr>
          <w:p w14:paraId="1A387B4C">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平衡重A</w:t>
            </w:r>
          </w:p>
        </w:tc>
        <w:tc>
          <w:tcPr>
            <w:tcW w:w="1912" w:type="dxa"/>
            <w:vAlign w:val="center"/>
          </w:tcPr>
          <w:p w14:paraId="05782CBC">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2*0.4*2.77</w:t>
            </w:r>
          </w:p>
        </w:tc>
        <w:tc>
          <w:tcPr>
            <w:tcW w:w="816" w:type="dxa"/>
            <w:vAlign w:val="center"/>
          </w:tcPr>
          <w:p w14:paraId="18080BA2">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3.32</w:t>
            </w:r>
          </w:p>
        </w:tc>
        <w:tc>
          <w:tcPr>
            <w:tcW w:w="1046" w:type="dxa"/>
            <w:vAlign w:val="center"/>
          </w:tcPr>
          <w:p w14:paraId="7013F2EB">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2AC1D543">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w:t>
            </w:r>
          </w:p>
        </w:tc>
        <w:tc>
          <w:tcPr>
            <w:tcW w:w="1045" w:type="dxa"/>
            <w:vAlign w:val="center"/>
          </w:tcPr>
          <w:p w14:paraId="50F2FB63">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36</w:t>
            </w:r>
          </w:p>
        </w:tc>
        <w:tc>
          <w:tcPr>
            <w:tcW w:w="910" w:type="dxa"/>
            <w:vAlign w:val="center"/>
          </w:tcPr>
          <w:p w14:paraId="28B15FEB">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31%</w:t>
            </w:r>
          </w:p>
        </w:tc>
      </w:tr>
      <w:tr w14:paraId="4FCBE8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27EB174F">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9</w:t>
            </w:r>
          </w:p>
        </w:tc>
        <w:tc>
          <w:tcPr>
            <w:tcW w:w="1393" w:type="dxa"/>
            <w:vAlign w:val="center"/>
          </w:tcPr>
          <w:p w14:paraId="75D77328">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起重臂臂节二</w:t>
            </w:r>
          </w:p>
        </w:tc>
        <w:tc>
          <w:tcPr>
            <w:tcW w:w="1912" w:type="dxa"/>
            <w:vAlign w:val="center"/>
          </w:tcPr>
          <w:p w14:paraId="6590B87B">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5.35*1.45*2.51</w:t>
            </w:r>
          </w:p>
        </w:tc>
        <w:tc>
          <w:tcPr>
            <w:tcW w:w="816" w:type="dxa"/>
            <w:vAlign w:val="center"/>
          </w:tcPr>
          <w:p w14:paraId="2767607D">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1.765</w:t>
            </w:r>
          </w:p>
        </w:tc>
        <w:tc>
          <w:tcPr>
            <w:tcW w:w="1046" w:type="dxa"/>
            <w:vAlign w:val="center"/>
          </w:tcPr>
          <w:p w14:paraId="305C4CA3">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35DB6AFD">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w:t>
            </w:r>
          </w:p>
        </w:tc>
        <w:tc>
          <w:tcPr>
            <w:tcW w:w="1045" w:type="dxa"/>
            <w:vAlign w:val="center"/>
          </w:tcPr>
          <w:p w14:paraId="5EC2F17C">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36</w:t>
            </w:r>
          </w:p>
        </w:tc>
        <w:tc>
          <w:tcPr>
            <w:tcW w:w="910" w:type="dxa"/>
            <w:vAlign w:val="center"/>
          </w:tcPr>
          <w:p w14:paraId="0E247F3E">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16%</w:t>
            </w:r>
          </w:p>
        </w:tc>
      </w:tr>
      <w:tr w14:paraId="64EC80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3B1B4094">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10</w:t>
            </w:r>
          </w:p>
        </w:tc>
        <w:tc>
          <w:tcPr>
            <w:tcW w:w="1393" w:type="dxa"/>
            <w:vAlign w:val="center"/>
          </w:tcPr>
          <w:p w14:paraId="7A43317B">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起重臂臂节三</w:t>
            </w:r>
          </w:p>
        </w:tc>
        <w:tc>
          <w:tcPr>
            <w:tcW w:w="1912" w:type="dxa"/>
            <w:vAlign w:val="center"/>
          </w:tcPr>
          <w:p w14:paraId="52BA4260">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10.3*1.45*2.51</w:t>
            </w:r>
          </w:p>
        </w:tc>
        <w:tc>
          <w:tcPr>
            <w:tcW w:w="816" w:type="dxa"/>
            <w:vAlign w:val="center"/>
          </w:tcPr>
          <w:p w14:paraId="67C024DE">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2.652</w:t>
            </w:r>
          </w:p>
        </w:tc>
        <w:tc>
          <w:tcPr>
            <w:tcW w:w="1046" w:type="dxa"/>
            <w:vAlign w:val="center"/>
          </w:tcPr>
          <w:p w14:paraId="1942E29E">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3269FD74">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w:t>
            </w:r>
          </w:p>
        </w:tc>
        <w:tc>
          <w:tcPr>
            <w:tcW w:w="1045" w:type="dxa"/>
            <w:vAlign w:val="center"/>
          </w:tcPr>
          <w:p w14:paraId="6FADBF8E">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36</w:t>
            </w:r>
          </w:p>
        </w:tc>
        <w:tc>
          <w:tcPr>
            <w:tcW w:w="910" w:type="dxa"/>
            <w:vAlign w:val="center"/>
          </w:tcPr>
          <w:p w14:paraId="1180723E">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25%</w:t>
            </w:r>
          </w:p>
        </w:tc>
      </w:tr>
      <w:tr w14:paraId="3AA372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5C1B7228">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11</w:t>
            </w:r>
          </w:p>
        </w:tc>
        <w:tc>
          <w:tcPr>
            <w:tcW w:w="1393" w:type="dxa"/>
            <w:vAlign w:val="center"/>
          </w:tcPr>
          <w:p w14:paraId="0B843679">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起重臂臂节四</w:t>
            </w:r>
          </w:p>
        </w:tc>
        <w:tc>
          <w:tcPr>
            <w:tcW w:w="1912" w:type="dxa"/>
            <w:vAlign w:val="center"/>
          </w:tcPr>
          <w:p w14:paraId="2F94D98D">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10.29*1.45*2.44</w:t>
            </w:r>
          </w:p>
        </w:tc>
        <w:tc>
          <w:tcPr>
            <w:tcW w:w="816" w:type="dxa"/>
            <w:vAlign w:val="center"/>
          </w:tcPr>
          <w:p w14:paraId="4160E69A">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1.995</w:t>
            </w:r>
          </w:p>
        </w:tc>
        <w:tc>
          <w:tcPr>
            <w:tcW w:w="1046" w:type="dxa"/>
            <w:vAlign w:val="center"/>
          </w:tcPr>
          <w:p w14:paraId="2312921F">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58708104">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w:t>
            </w:r>
          </w:p>
        </w:tc>
        <w:tc>
          <w:tcPr>
            <w:tcW w:w="1045" w:type="dxa"/>
            <w:vAlign w:val="center"/>
          </w:tcPr>
          <w:p w14:paraId="35A8F2B5">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36</w:t>
            </w:r>
          </w:p>
        </w:tc>
        <w:tc>
          <w:tcPr>
            <w:tcW w:w="910" w:type="dxa"/>
            <w:vAlign w:val="center"/>
          </w:tcPr>
          <w:p w14:paraId="477465EF">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18%</w:t>
            </w:r>
          </w:p>
        </w:tc>
      </w:tr>
      <w:tr w14:paraId="50F5A5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17710AAA">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12</w:t>
            </w:r>
          </w:p>
        </w:tc>
        <w:tc>
          <w:tcPr>
            <w:tcW w:w="1393" w:type="dxa"/>
            <w:vAlign w:val="center"/>
          </w:tcPr>
          <w:p w14:paraId="3ECF342E">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起重臂臂节五</w:t>
            </w:r>
          </w:p>
        </w:tc>
        <w:tc>
          <w:tcPr>
            <w:tcW w:w="1912" w:type="dxa"/>
            <w:vAlign w:val="center"/>
          </w:tcPr>
          <w:p w14:paraId="090F1EA5">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5.28*1.45*2.39</w:t>
            </w:r>
          </w:p>
        </w:tc>
        <w:tc>
          <w:tcPr>
            <w:tcW w:w="816" w:type="dxa"/>
            <w:vAlign w:val="center"/>
          </w:tcPr>
          <w:p w14:paraId="445EBE39">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0.965</w:t>
            </w:r>
          </w:p>
        </w:tc>
        <w:tc>
          <w:tcPr>
            <w:tcW w:w="1046" w:type="dxa"/>
            <w:vAlign w:val="center"/>
          </w:tcPr>
          <w:p w14:paraId="2100319C">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79D5551E">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w:t>
            </w:r>
          </w:p>
        </w:tc>
        <w:tc>
          <w:tcPr>
            <w:tcW w:w="1045" w:type="dxa"/>
            <w:vAlign w:val="center"/>
          </w:tcPr>
          <w:p w14:paraId="7FF22E58">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36</w:t>
            </w:r>
          </w:p>
        </w:tc>
        <w:tc>
          <w:tcPr>
            <w:tcW w:w="910" w:type="dxa"/>
            <w:vAlign w:val="center"/>
          </w:tcPr>
          <w:p w14:paraId="43B1F694">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9%</w:t>
            </w:r>
          </w:p>
        </w:tc>
      </w:tr>
      <w:tr w14:paraId="1F7E64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740E8EA7">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13</w:t>
            </w:r>
          </w:p>
        </w:tc>
        <w:tc>
          <w:tcPr>
            <w:tcW w:w="1393" w:type="dxa"/>
            <w:vAlign w:val="center"/>
          </w:tcPr>
          <w:p w14:paraId="09C94C97">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起重臂臂节六及臂头</w:t>
            </w:r>
          </w:p>
        </w:tc>
        <w:tc>
          <w:tcPr>
            <w:tcW w:w="1912" w:type="dxa"/>
            <w:vAlign w:val="center"/>
          </w:tcPr>
          <w:p w14:paraId="7AD551CC">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10.82*1.45*2.37</w:t>
            </w:r>
          </w:p>
        </w:tc>
        <w:tc>
          <w:tcPr>
            <w:tcW w:w="816" w:type="dxa"/>
            <w:vAlign w:val="center"/>
          </w:tcPr>
          <w:p w14:paraId="7891F553">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1.649</w:t>
            </w:r>
          </w:p>
        </w:tc>
        <w:tc>
          <w:tcPr>
            <w:tcW w:w="1046" w:type="dxa"/>
            <w:vAlign w:val="center"/>
          </w:tcPr>
          <w:p w14:paraId="22A831AB">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09656873">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w:t>
            </w:r>
          </w:p>
        </w:tc>
        <w:tc>
          <w:tcPr>
            <w:tcW w:w="1045" w:type="dxa"/>
            <w:vAlign w:val="center"/>
          </w:tcPr>
          <w:p w14:paraId="1EF12D21">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36</w:t>
            </w:r>
          </w:p>
        </w:tc>
        <w:tc>
          <w:tcPr>
            <w:tcW w:w="910" w:type="dxa"/>
            <w:vAlign w:val="center"/>
          </w:tcPr>
          <w:p w14:paraId="239761F1">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15%</w:t>
            </w:r>
          </w:p>
        </w:tc>
      </w:tr>
      <w:tr w14:paraId="14E0DB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3976F19D">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14</w:t>
            </w:r>
          </w:p>
        </w:tc>
        <w:tc>
          <w:tcPr>
            <w:tcW w:w="1393" w:type="dxa"/>
            <w:vAlign w:val="center"/>
          </w:tcPr>
          <w:p w14:paraId="328943D0">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平衡重B</w:t>
            </w:r>
          </w:p>
        </w:tc>
        <w:tc>
          <w:tcPr>
            <w:tcW w:w="1912" w:type="dxa"/>
            <w:vAlign w:val="center"/>
          </w:tcPr>
          <w:p w14:paraId="3A2C70D6">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1.02*0.26*2.77</w:t>
            </w:r>
          </w:p>
        </w:tc>
        <w:tc>
          <w:tcPr>
            <w:tcW w:w="816" w:type="dxa"/>
            <w:vAlign w:val="center"/>
          </w:tcPr>
          <w:p w14:paraId="006713D8">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1.88</w:t>
            </w:r>
          </w:p>
        </w:tc>
        <w:tc>
          <w:tcPr>
            <w:tcW w:w="1046" w:type="dxa"/>
            <w:vAlign w:val="center"/>
          </w:tcPr>
          <w:p w14:paraId="64F16CAD">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74BEC8D1">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10.8</w:t>
            </w:r>
          </w:p>
        </w:tc>
        <w:tc>
          <w:tcPr>
            <w:tcW w:w="1045" w:type="dxa"/>
            <w:vAlign w:val="center"/>
          </w:tcPr>
          <w:p w14:paraId="4978FFA9">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36</w:t>
            </w:r>
          </w:p>
        </w:tc>
        <w:tc>
          <w:tcPr>
            <w:tcW w:w="910" w:type="dxa"/>
            <w:vAlign w:val="center"/>
          </w:tcPr>
          <w:p w14:paraId="10ECB0AC">
            <w:pPr>
              <w:widowControl/>
              <w:ind w:firstLine="0" w:firstLineChars="0"/>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17%</w:t>
            </w:r>
          </w:p>
        </w:tc>
      </w:tr>
    </w:tbl>
    <w:p w14:paraId="78CFE4A8">
      <w:pPr>
        <w:ind w:firstLine="480"/>
        <w:rPr>
          <w:highlight w:val="none"/>
        </w:rPr>
      </w:pPr>
      <w:r>
        <w:rPr>
          <w:rFonts w:hint="eastAsia"/>
          <w:highlight w:val="none"/>
        </w:rPr>
        <w:t>4#塔机的安装采用3#XGT360-20S1型塔机安装</w:t>
      </w:r>
    </w:p>
    <w:p w14:paraId="752DBEE1">
      <w:pPr>
        <w:pStyle w:val="16"/>
        <w:ind w:firstLine="0" w:firstLineChars="0"/>
        <w:jc w:val="center"/>
        <w:rPr>
          <w:highlight w:val="none"/>
        </w:rPr>
      </w:pPr>
      <w:r>
        <w:rPr>
          <w:rFonts w:hint="eastAsia"/>
          <w:highlight w:val="none"/>
        </w:rPr>
        <w:t>表4.2.1-3 XGT360-20S1型塔机起重性能表</w:t>
      </w:r>
    </w:p>
    <w:p w14:paraId="090FD8E7">
      <w:pPr>
        <w:ind w:firstLine="0" w:firstLineChars="0"/>
        <w:jc w:val="center"/>
        <w:rPr>
          <w:highlight w:val="none"/>
        </w:rPr>
      </w:pPr>
      <w:r>
        <w:rPr>
          <w:highlight w:val="none"/>
        </w:rPr>
        <w:drawing>
          <wp:inline distT="0" distB="0" distL="114300" distR="114300">
            <wp:extent cx="5173980" cy="4321810"/>
            <wp:effectExtent l="0" t="0" r="7620" b="254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50"/>
                    <a:stretch>
                      <a:fillRect/>
                    </a:stretch>
                  </pic:blipFill>
                  <pic:spPr>
                    <a:xfrm>
                      <a:off x="0" y="0"/>
                      <a:ext cx="5173980" cy="4321810"/>
                    </a:xfrm>
                    <a:prstGeom prst="rect">
                      <a:avLst/>
                    </a:prstGeom>
                    <a:noFill/>
                    <a:ln>
                      <a:noFill/>
                    </a:ln>
                  </pic:spPr>
                </pic:pic>
              </a:graphicData>
            </a:graphic>
          </wp:inline>
        </w:drawing>
      </w:r>
    </w:p>
    <w:p w14:paraId="7D361672">
      <w:pPr>
        <w:pStyle w:val="16"/>
        <w:ind w:firstLine="0" w:firstLineChars="0"/>
        <w:jc w:val="center"/>
        <w:rPr>
          <w:highlight w:val="none"/>
        </w:rPr>
      </w:pPr>
      <w:r>
        <w:rPr>
          <w:rFonts w:hint="eastAsia"/>
          <w:highlight w:val="none"/>
        </w:rPr>
        <w:t xml:space="preserve">表 </w:t>
      </w:r>
      <w:r>
        <w:rPr>
          <w:rFonts w:hint="eastAsia"/>
          <w:highlight w:val="none"/>
        </w:rPr>
        <w:fldChar w:fldCharType="begin"/>
      </w:r>
      <w:r>
        <w:rPr>
          <w:rFonts w:hint="eastAsia"/>
          <w:highlight w:val="none"/>
        </w:rPr>
        <w:instrText xml:space="preserve"> STYLEREF 3 \s </w:instrText>
      </w:r>
      <w:r>
        <w:rPr>
          <w:rFonts w:hint="eastAsia"/>
          <w:highlight w:val="none"/>
        </w:rPr>
        <w:fldChar w:fldCharType="separate"/>
      </w:r>
      <w:r>
        <w:rPr>
          <w:rFonts w:hint="eastAsia"/>
          <w:highlight w:val="none"/>
        </w:rPr>
        <w:t>4.2.1</w:t>
      </w:r>
      <w:r>
        <w:rPr>
          <w:rFonts w:hint="eastAsia"/>
          <w:highlight w:val="none"/>
        </w:rPr>
        <w:fldChar w:fldCharType="end"/>
      </w:r>
      <w:r>
        <w:rPr>
          <w:rFonts w:hint="eastAsia"/>
          <w:highlight w:val="none"/>
        </w:rPr>
        <w:noBreakHyphen/>
      </w:r>
      <w:r>
        <w:rPr>
          <w:rFonts w:hint="eastAsia"/>
          <w:highlight w:val="none"/>
        </w:rPr>
        <w:t xml:space="preserve">4 </w:t>
      </w:r>
      <w:r>
        <w:rPr>
          <w:rFonts w:hint="eastAsia"/>
          <w:highlight w:val="none"/>
          <w:lang w:val="en-US" w:eastAsia="zh-CN"/>
        </w:rPr>
        <w:t>4</w:t>
      </w:r>
      <w:r>
        <w:rPr>
          <w:rFonts w:hint="eastAsia"/>
          <w:highlight w:val="none"/>
        </w:rPr>
        <w:t>#塔机安装时</w:t>
      </w:r>
      <w:bookmarkStart w:id="42" w:name="OLE_LINK10"/>
      <w:bookmarkStart w:id="43" w:name="OLE_LINK11"/>
      <w:r>
        <w:rPr>
          <w:rFonts w:hint="eastAsia"/>
          <w:highlight w:val="none"/>
        </w:rPr>
        <w:t>XGT360-20S1</w:t>
      </w:r>
      <w:bookmarkEnd w:id="42"/>
      <w:bookmarkEnd w:id="43"/>
      <w:r>
        <w:rPr>
          <w:rFonts w:hint="eastAsia"/>
          <w:highlight w:val="none"/>
        </w:rPr>
        <w:t>型塔机负荷率</w:t>
      </w:r>
    </w:p>
    <w:tbl>
      <w:tblPr>
        <w:tblStyle w:val="44"/>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57"/>
        <w:gridCol w:w="1341"/>
        <w:gridCol w:w="2016"/>
        <w:gridCol w:w="816"/>
        <w:gridCol w:w="1033"/>
        <w:gridCol w:w="936"/>
        <w:gridCol w:w="1032"/>
        <w:gridCol w:w="891"/>
      </w:tblGrid>
      <w:tr w14:paraId="70A5FF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Merge w:val="restart"/>
            <w:vAlign w:val="center"/>
          </w:tcPr>
          <w:p w14:paraId="249DD3D0">
            <w:pPr>
              <w:widowControl/>
              <w:adjustRightInd w:val="0"/>
              <w:snapToGrid w:val="0"/>
              <w:spacing w:before="156" w:after="156"/>
              <w:ind w:firstLine="0" w:firstLineChars="0"/>
              <w:rPr>
                <w:rFonts w:ascii="宋体" w:hAnsi="宋体" w:cs="宋体"/>
                <w:szCs w:val="24"/>
                <w:highlight w:val="none"/>
              </w:rPr>
            </w:pPr>
            <w:r>
              <w:rPr>
                <w:rFonts w:hint="eastAsia" w:ascii="宋体" w:hAnsi="宋体" w:cs="宋体"/>
                <w:szCs w:val="24"/>
                <w:highlight w:val="none"/>
              </w:rPr>
              <w:t>序号</w:t>
            </w:r>
          </w:p>
        </w:tc>
        <w:tc>
          <w:tcPr>
            <w:tcW w:w="5167" w:type="dxa"/>
            <w:gridSpan w:val="4"/>
            <w:vAlign w:val="center"/>
          </w:tcPr>
          <w:p w14:paraId="4F70ED35">
            <w:pPr>
              <w:widowControl/>
              <w:adjustRightInd w:val="0"/>
              <w:snapToGrid w:val="0"/>
              <w:spacing w:before="156" w:after="156" w:line="240" w:lineRule="auto"/>
              <w:ind w:firstLine="480"/>
              <w:jc w:val="center"/>
              <w:rPr>
                <w:rFonts w:ascii="宋体" w:hAnsi="宋体" w:cs="宋体"/>
                <w:szCs w:val="24"/>
                <w:highlight w:val="none"/>
              </w:rPr>
            </w:pPr>
            <w:r>
              <w:rPr>
                <w:rFonts w:hint="eastAsia" w:ascii="宋体" w:hAnsi="宋体" w:cs="宋体"/>
                <w:szCs w:val="24"/>
                <w:highlight w:val="none"/>
              </w:rPr>
              <w:t>工况</w:t>
            </w:r>
          </w:p>
        </w:tc>
        <w:tc>
          <w:tcPr>
            <w:tcW w:w="1988" w:type="dxa"/>
            <w:gridSpan w:val="2"/>
            <w:vAlign w:val="center"/>
          </w:tcPr>
          <w:p w14:paraId="698FEFF4">
            <w:pPr>
              <w:widowControl/>
              <w:adjustRightInd w:val="0"/>
              <w:snapToGrid w:val="0"/>
              <w:spacing w:before="156" w:after="156"/>
              <w:ind w:firstLine="0" w:firstLineChars="0"/>
              <w:rPr>
                <w:rFonts w:ascii="宋体" w:hAnsi="宋体" w:cs="宋体"/>
                <w:szCs w:val="24"/>
                <w:highlight w:val="none"/>
              </w:rPr>
            </w:pPr>
            <w:r>
              <w:rPr>
                <w:highlight w:val="none"/>
              </w:rPr>
              <w:t>XGT360-20S1</w:t>
            </w:r>
            <w:r>
              <w:rPr>
                <w:rFonts w:hint="eastAsia" w:ascii="宋体" w:hAnsi="宋体" w:cs="宋体"/>
                <w:szCs w:val="24"/>
                <w:highlight w:val="none"/>
              </w:rPr>
              <w:t>起重能力</w:t>
            </w:r>
          </w:p>
        </w:tc>
        <w:tc>
          <w:tcPr>
            <w:tcW w:w="910" w:type="dxa"/>
            <w:vMerge w:val="restart"/>
            <w:vAlign w:val="center"/>
          </w:tcPr>
          <w:p w14:paraId="27230BE7">
            <w:pPr>
              <w:widowControl/>
              <w:adjustRightInd w:val="0"/>
              <w:snapToGrid w:val="0"/>
              <w:spacing w:before="156" w:after="156"/>
              <w:ind w:firstLine="0" w:firstLineChars="0"/>
              <w:jc w:val="center"/>
              <w:rPr>
                <w:rFonts w:ascii="宋体" w:hAnsi="宋体" w:cs="宋体"/>
                <w:szCs w:val="24"/>
                <w:highlight w:val="none"/>
              </w:rPr>
            </w:pPr>
            <w:r>
              <w:rPr>
                <w:rFonts w:hint="eastAsia" w:ascii="宋体" w:hAnsi="宋体" w:cs="宋体"/>
                <w:szCs w:val="24"/>
                <w:highlight w:val="none"/>
                <w:lang w:val="en-US" w:eastAsia="zh-CN"/>
              </w:rPr>
              <w:t>3#塔机</w:t>
            </w:r>
            <w:r>
              <w:rPr>
                <w:rFonts w:hint="eastAsia" w:ascii="宋体" w:hAnsi="宋体" w:cs="宋体"/>
                <w:szCs w:val="24"/>
                <w:highlight w:val="none"/>
              </w:rPr>
              <w:t>负荷率</w:t>
            </w:r>
            <w:bookmarkStart w:id="228" w:name="_GoBack"/>
            <w:bookmarkEnd w:id="228"/>
          </w:p>
        </w:tc>
      </w:tr>
      <w:tr w14:paraId="37C059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64" w:hRule="atLeast"/>
          <w:jc w:val="center"/>
        </w:trPr>
        <w:tc>
          <w:tcPr>
            <w:tcW w:w="457" w:type="dxa"/>
            <w:vMerge w:val="continue"/>
            <w:vAlign w:val="center"/>
          </w:tcPr>
          <w:p w14:paraId="058516E8">
            <w:pPr>
              <w:widowControl/>
              <w:adjustRightInd w:val="0"/>
              <w:snapToGrid w:val="0"/>
              <w:spacing w:before="156" w:after="156"/>
              <w:ind w:firstLine="482"/>
              <w:jc w:val="center"/>
              <w:rPr>
                <w:rFonts w:ascii="宋体" w:hAnsi="宋体" w:cs="宋体"/>
                <w:b/>
                <w:bCs/>
                <w:szCs w:val="24"/>
                <w:highlight w:val="none"/>
              </w:rPr>
            </w:pPr>
          </w:p>
        </w:tc>
        <w:tc>
          <w:tcPr>
            <w:tcW w:w="1393" w:type="dxa"/>
            <w:vAlign w:val="center"/>
          </w:tcPr>
          <w:p w14:paraId="0ABDCA10">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吊装构件</w:t>
            </w:r>
          </w:p>
        </w:tc>
        <w:tc>
          <w:tcPr>
            <w:tcW w:w="1912" w:type="dxa"/>
            <w:vAlign w:val="center"/>
          </w:tcPr>
          <w:p w14:paraId="31E87A51">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整体参数</w:t>
            </w:r>
          </w:p>
          <w:p w14:paraId="64EE5B44">
            <w:pPr>
              <w:pStyle w:val="7"/>
              <w:numPr>
                <w:ilvl w:val="3"/>
                <w:numId w:val="0"/>
              </w:numPr>
              <w:jc w:val="center"/>
              <w:rPr>
                <w:highlight w:val="none"/>
              </w:rPr>
            </w:pPr>
            <w:r>
              <w:rPr>
                <w:rFonts w:hint="eastAsia" w:ascii="宋体" w:hAnsi="宋体" w:cs="宋体"/>
                <w:b w:val="0"/>
                <w:kern w:val="2"/>
                <w:szCs w:val="24"/>
                <w:highlight w:val="none"/>
              </w:rPr>
              <w:t>（长*宽*高）</w:t>
            </w:r>
          </w:p>
        </w:tc>
        <w:tc>
          <w:tcPr>
            <w:tcW w:w="816" w:type="dxa"/>
            <w:vAlign w:val="center"/>
          </w:tcPr>
          <w:p w14:paraId="60E70C5D">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吊重（t）</w:t>
            </w:r>
          </w:p>
        </w:tc>
        <w:tc>
          <w:tcPr>
            <w:tcW w:w="1046" w:type="dxa"/>
            <w:vAlign w:val="center"/>
          </w:tcPr>
          <w:p w14:paraId="3EB08C21">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吊装幅度（m）</w:t>
            </w:r>
          </w:p>
        </w:tc>
        <w:tc>
          <w:tcPr>
            <w:tcW w:w="943" w:type="dxa"/>
            <w:vAlign w:val="center"/>
          </w:tcPr>
          <w:p w14:paraId="6AC279D7">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起重量（t）</w:t>
            </w:r>
          </w:p>
        </w:tc>
        <w:tc>
          <w:tcPr>
            <w:tcW w:w="1045" w:type="dxa"/>
            <w:vAlign w:val="center"/>
          </w:tcPr>
          <w:p w14:paraId="5AD3AF93">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起升高度（m）</w:t>
            </w:r>
          </w:p>
        </w:tc>
        <w:tc>
          <w:tcPr>
            <w:tcW w:w="910" w:type="dxa"/>
            <w:vMerge w:val="continue"/>
            <w:vAlign w:val="center"/>
          </w:tcPr>
          <w:p w14:paraId="19BB838D">
            <w:pPr>
              <w:widowControl/>
              <w:adjustRightInd w:val="0"/>
              <w:snapToGrid w:val="0"/>
              <w:spacing w:before="156" w:after="156" w:line="240" w:lineRule="auto"/>
              <w:ind w:firstLine="482"/>
              <w:jc w:val="center"/>
              <w:rPr>
                <w:rFonts w:ascii="宋体" w:hAnsi="宋体" w:cs="宋体"/>
                <w:b/>
                <w:bCs/>
                <w:szCs w:val="24"/>
                <w:highlight w:val="none"/>
              </w:rPr>
            </w:pPr>
          </w:p>
        </w:tc>
      </w:tr>
      <w:tr w14:paraId="5D4323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1F804AF5">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1</w:t>
            </w:r>
          </w:p>
        </w:tc>
        <w:tc>
          <w:tcPr>
            <w:tcW w:w="1393" w:type="dxa"/>
            <w:vAlign w:val="center"/>
          </w:tcPr>
          <w:p w14:paraId="76B1EA1B">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基础节</w:t>
            </w:r>
          </w:p>
        </w:tc>
        <w:tc>
          <w:tcPr>
            <w:tcW w:w="1912" w:type="dxa"/>
            <w:vAlign w:val="center"/>
          </w:tcPr>
          <w:p w14:paraId="4E839484">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2*2*7.5</w:t>
            </w:r>
          </w:p>
        </w:tc>
        <w:tc>
          <w:tcPr>
            <w:tcW w:w="816" w:type="dxa"/>
            <w:vAlign w:val="center"/>
          </w:tcPr>
          <w:p w14:paraId="450536E7">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4.08</w:t>
            </w:r>
          </w:p>
        </w:tc>
        <w:tc>
          <w:tcPr>
            <w:tcW w:w="1046" w:type="dxa"/>
            <w:vAlign w:val="center"/>
          </w:tcPr>
          <w:p w14:paraId="3ECD3CA7">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40.6</w:t>
            </w:r>
          </w:p>
        </w:tc>
        <w:tc>
          <w:tcPr>
            <w:tcW w:w="943" w:type="dxa"/>
            <w:vAlign w:val="center"/>
          </w:tcPr>
          <w:p w14:paraId="33142FF0">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7.9</w:t>
            </w:r>
          </w:p>
        </w:tc>
        <w:tc>
          <w:tcPr>
            <w:tcW w:w="1045" w:type="dxa"/>
            <w:vAlign w:val="center"/>
          </w:tcPr>
          <w:p w14:paraId="514828BD">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bidi="ar"/>
              </w:rPr>
              <w:t>10</w:t>
            </w:r>
          </w:p>
        </w:tc>
        <w:tc>
          <w:tcPr>
            <w:tcW w:w="910" w:type="dxa"/>
            <w:vAlign w:val="center"/>
          </w:tcPr>
          <w:p w14:paraId="414ADCD6">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51</w:t>
            </w:r>
            <w:r>
              <w:rPr>
                <w:rFonts w:hint="eastAsia" w:ascii="宋体" w:hAnsi="宋体" w:cs="宋体"/>
                <w:color w:val="000000"/>
                <w:kern w:val="0"/>
                <w:szCs w:val="24"/>
                <w:lang w:bidi="ar"/>
              </w:rPr>
              <w:t>%</w:t>
            </w:r>
          </w:p>
        </w:tc>
      </w:tr>
      <w:tr w14:paraId="2C8953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50AE6CFD">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2</w:t>
            </w:r>
          </w:p>
        </w:tc>
        <w:tc>
          <w:tcPr>
            <w:tcW w:w="1393" w:type="dxa"/>
            <w:vAlign w:val="center"/>
          </w:tcPr>
          <w:p w14:paraId="5513055B">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标准节</w:t>
            </w:r>
          </w:p>
        </w:tc>
        <w:tc>
          <w:tcPr>
            <w:tcW w:w="1912" w:type="dxa"/>
            <w:vAlign w:val="center"/>
          </w:tcPr>
          <w:p w14:paraId="41B0701D">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2*2*3</w:t>
            </w:r>
          </w:p>
        </w:tc>
        <w:tc>
          <w:tcPr>
            <w:tcW w:w="816" w:type="dxa"/>
            <w:vAlign w:val="center"/>
          </w:tcPr>
          <w:p w14:paraId="7E4937FA">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1.85</w:t>
            </w:r>
          </w:p>
        </w:tc>
        <w:tc>
          <w:tcPr>
            <w:tcW w:w="1046" w:type="dxa"/>
            <w:vAlign w:val="center"/>
          </w:tcPr>
          <w:p w14:paraId="1F3F5EE3">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40.6</w:t>
            </w:r>
          </w:p>
        </w:tc>
        <w:tc>
          <w:tcPr>
            <w:tcW w:w="943" w:type="dxa"/>
            <w:vAlign w:val="center"/>
          </w:tcPr>
          <w:p w14:paraId="1AA8B506">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7.9</w:t>
            </w:r>
          </w:p>
        </w:tc>
        <w:tc>
          <w:tcPr>
            <w:tcW w:w="1045" w:type="dxa"/>
            <w:vAlign w:val="center"/>
          </w:tcPr>
          <w:p w14:paraId="4F9ED981">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bidi="ar"/>
              </w:rPr>
              <w:t>13</w:t>
            </w:r>
          </w:p>
        </w:tc>
        <w:tc>
          <w:tcPr>
            <w:tcW w:w="910" w:type="dxa"/>
            <w:vAlign w:val="center"/>
          </w:tcPr>
          <w:p w14:paraId="3A27C6F7">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23</w:t>
            </w:r>
            <w:r>
              <w:rPr>
                <w:rFonts w:hint="eastAsia" w:ascii="宋体" w:hAnsi="宋体" w:cs="宋体"/>
                <w:color w:val="000000"/>
                <w:kern w:val="0"/>
                <w:szCs w:val="24"/>
                <w:lang w:bidi="ar"/>
              </w:rPr>
              <w:t>%</w:t>
            </w:r>
          </w:p>
        </w:tc>
      </w:tr>
      <w:tr w14:paraId="14014B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72ACCF75">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3</w:t>
            </w:r>
          </w:p>
        </w:tc>
        <w:tc>
          <w:tcPr>
            <w:tcW w:w="1393" w:type="dxa"/>
            <w:vAlign w:val="center"/>
          </w:tcPr>
          <w:p w14:paraId="6FB3B3DE">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爬升架</w:t>
            </w:r>
          </w:p>
        </w:tc>
        <w:tc>
          <w:tcPr>
            <w:tcW w:w="1912" w:type="dxa"/>
            <w:vAlign w:val="center"/>
          </w:tcPr>
          <w:p w14:paraId="3C2DC71C">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2.83*2.61*7.25</w:t>
            </w:r>
          </w:p>
        </w:tc>
        <w:tc>
          <w:tcPr>
            <w:tcW w:w="816" w:type="dxa"/>
            <w:vAlign w:val="center"/>
          </w:tcPr>
          <w:p w14:paraId="64F2295B">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5.5</w:t>
            </w:r>
          </w:p>
        </w:tc>
        <w:tc>
          <w:tcPr>
            <w:tcW w:w="1046" w:type="dxa"/>
            <w:vAlign w:val="center"/>
          </w:tcPr>
          <w:p w14:paraId="0E01AB74">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40.6</w:t>
            </w:r>
          </w:p>
        </w:tc>
        <w:tc>
          <w:tcPr>
            <w:tcW w:w="943" w:type="dxa"/>
            <w:vAlign w:val="center"/>
          </w:tcPr>
          <w:p w14:paraId="05187BBF">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7.9</w:t>
            </w:r>
          </w:p>
        </w:tc>
        <w:tc>
          <w:tcPr>
            <w:tcW w:w="1045" w:type="dxa"/>
            <w:vAlign w:val="center"/>
          </w:tcPr>
          <w:p w14:paraId="4C1B11C6">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bidi="ar"/>
              </w:rPr>
              <w:t>20</w:t>
            </w:r>
          </w:p>
        </w:tc>
        <w:tc>
          <w:tcPr>
            <w:tcW w:w="910" w:type="dxa"/>
            <w:vAlign w:val="center"/>
          </w:tcPr>
          <w:p w14:paraId="60B996C9">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69%</w:t>
            </w:r>
          </w:p>
        </w:tc>
      </w:tr>
      <w:tr w14:paraId="6865A7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15AE3AEF">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4</w:t>
            </w:r>
          </w:p>
        </w:tc>
        <w:tc>
          <w:tcPr>
            <w:tcW w:w="1393" w:type="dxa"/>
            <w:vAlign w:val="center"/>
          </w:tcPr>
          <w:p w14:paraId="63CCBA0F">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特殊节</w:t>
            </w:r>
          </w:p>
        </w:tc>
        <w:tc>
          <w:tcPr>
            <w:tcW w:w="1912" w:type="dxa"/>
            <w:vAlign w:val="center"/>
          </w:tcPr>
          <w:p w14:paraId="6A9B7D60">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2.45*2.45*3.26</w:t>
            </w:r>
          </w:p>
        </w:tc>
        <w:tc>
          <w:tcPr>
            <w:tcW w:w="816" w:type="dxa"/>
            <w:vAlign w:val="center"/>
          </w:tcPr>
          <w:p w14:paraId="7AFBEBC4">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2.53</w:t>
            </w:r>
          </w:p>
        </w:tc>
        <w:tc>
          <w:tcPr>
            <w:tcW w:w="1046" w:type="dxa"/>
            <w:vAlign w:val="center"/>
          </w:tcPr>
          <w:p w14:paraId="57A6E285">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40.6</w:t>
            </w:r>
          </w:p>
        </w:tc>
        <w:tc>
          <w:tcPr>
            <w:tcW w:w="943" w:type="dxa"/>
            <w:vAlign w:val="center"/>
          </w:tcPr>
          <w:p w14:paraId="1283FA80">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7.9</w:t>
            </w:r>
          </w:p>
        </w:tc>
        <w:tc>
          <w:tcPr>
            <w:tcW w:w="1045" w:type="dxa"/>
            <w:vAlign w:val="center"/>
          </w:tcPr>
          <w:p w14:paraId="0498A39C">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bidi="ar"/>
              </w:rPr>
              <w:t>17</w:t>
            </w:r>
          </w:p>
        </w:tc>
        <w:tc>
          <w:tcPr>
            <w:tcW w:w="910" w:type="dxa"/>
            <w:vAlign w:val="center"/>
          </w:tcPr>
          <w:p w14:paraId="355A2C9B">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32%</w:t>
            </w:r>
          </w:p>
        </w:tc>
      </w:tr>
      <w:tr w14:paraId="1665AA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49C9D970">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5</w:t>
            </w:r>
          </w:p>
        </w:tc>
        <w:tc>
          <w:tcPr>
            <w:tcW w:w="1393" w:type="dxa"/>
            <w:vAlign w:val="center"/>
          </w:tcPr>
          <w:p w14:paraId="1C53BF8A">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回转总成</w:t>
            </w:r>
          </w:p>
        </w:tc>
        <w:tc>
          <w:tcPr>
            <w:tcW w:w="1912" w:type="dxa"/>
            <w:vAlign w:val="center"/>
          </w:tcPr>
          <w:p w14:paraId="6CDF38AB">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2.59*2.03*1.95</w:t>
            </w:r>
          </w:p>
        </w:tc>
        <w:tc>
          <w:tcPr>
            <w:tcW w:w="816" w:type="dxa"/>
            <w:vAlign w:val="center"/>
          </w:tcPr>
          <w:p w14:paraId="3036D047">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5.59</w:t>
            </w:r>
          </w:p>
        </w:tc>
        <w:tc>
          <w:tcPr>
            <w:tcW w:w="1046" w:type="dxa"/>
            <w:vAlign w:val="center"/>
          </w:tcPr>
          <w:p w14:paraId="370957D6">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40.6</w:t>
            </w:r>
          </w:p>
        </w:tc>
        <w:tc>
          <w:tcPr>
            <w:tcW w:w="943" w:type="dxa"/>
            <w:vAlign w:val="center"/>
          </w:tcPr>
          <w:p w14:paraId="60B35ECA">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7.9</w:t>
            </w:r>
          </w:p>
        </w:tc>
        <w:tc>
          <w:tcPr>
            <w:tcW w:w="1045" w:type="dxa"/>
            <w:vAlign w:val="center"/>
          </w:tcPr>
          <w:p w14:paraId="11754408">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bidi="ar"/>
              </w:rPr>
              <w:t>22</w:t>
            </w:r>
          </w:p>
        </w:tc>
        <w:tc>
          <w:tcPr>
            <w:tcW w:w="910" w:type="dxa"/>
            <w:vAlign w:val="center"/>
          </w:tcPr>
          <w:p w14:paraId="75FD5ACD">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70%</w:t>
            </w:r>
          </w:p>
        </w:tc>
      </w:tr>
      <w:tr w14:paraId="1BFFE1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7AA6FBF0">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6</w:t>
            </w:r>
          </w:p>
        </w:tc>
        <w:tc>
          <w:tcPr>
            <w:tcW w:w="1393" w:type="dxa"/>
            <w:vAlign w:val="center"/>
          </w:tcPr>
          <w:p w14:paraId="5486AD63">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臂根节</w:t>
            </w:r>
          </w:p>
        </w:tc>
        <w:tc>
          <w:tcPr>
            <w:tcW w:w="1912" w:type="dxa"/>
            <w:vAlign w:val="center"/>
          </w:tcPr>
          <w:p w14:paraId="61335896">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11.39*1.16*2.55</w:t>
            </w:r>
          </w:p>
        </w:tc>
        <w:tc>
          <w:tcPr>
            <w:tcW w:w="816" w:type="dxa"/>
            <w:vAlign w:val="center"/>
          </w:tcPr>
          <w:p w14:paraId="7A510654">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4.6</w:t>
            </w:r>
          </w:p>
        </w:tc>
        <w:tc>
          <w:tcPr>
            <w:tcW w:w="1046" w:type="dxa"/>
            <w:vAlign w:val="center"/>
          </w:tcPr>
          <w:p w14:paraId="2618FE98">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40.6</w:t>
            </w:r>
          </w:p>
        </w:tc>
        <w:tc>
          <w:tcPr>
            <w:tcW w:w="943" w:type="dxa"/>
            <w:vAlign w:val="center"/>
          </w:tcPr>
          <w:p w14:paraId="68814BF6">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7.9</w:t>
            </w:r>
          </w:p>
        </w:tc>
        <w:tc>
          <w:tcPr>
            <w:tcW w:w="1045" w:type="dxa"/>
            <w:vAlign w:val="center"/>
          </w:tcPr>
          <w:p w14:paraId="37ED2959">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bidi="ar"/>
              </w:rPr>
              <w:t>27</w:t>
            </w:r>
          </w:p>
        </w:tc>
        <w:tc>
          <w:tcPr>
            <w:tcW w:w="910" w:type="dxa"/>
            <w:vAlign w:val="center"/>
          </w:tcPr>
          <w:p w14:paraId="337A6698">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58%</w:t>
            </w:r>
          </w:p>
        </w:tc>
      </w:tr>
      <w:tr w14:paraId="020F23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65CD8A53">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7</w:t>
            </w:r>
          </w:p>
        </w:tc>
        <w:tc>
          <w:tcPr>
            <w:tcW w:w="1393" w:type="dxa"/>
            <w:vAlign w:val="center"/>
          </w:tcPr>
          <w:p w14:paraId="744B7633">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平衡臂</w:t>
            </w:r>
          </w:p>
        </w:tc>
        <w:tc>
          <w:tcPr>
            <w:tcW w:w="1912" w:type="dxa"/>
            <w:vAlign w:val="center"/>
          </w:tcPr>
          <w:p w14:paraId="0C3651C4">
            <w:pPr>
              <w:widowControl/>
              <w:ind w:firstLine="0" w:firstLineChars="0"/>
              <w:jc w:val="center"/>
              <w:textAlignment w:val="center"/>
              <w:rPr>
                <w:rFonts w:hint="default" w:ascii="宋体" w:hAnsi="宋体" w:eastAsia="宋体" w:cs="宋体"/>
                <w:color w:val="000000"/>
                <w:kern w:val="0"/>
                <w:szCs w:val="24"/>
                <w:highlight w:val="none"/>
                <w:lang w:val="en-US" w:eastAsia="zh-CN" w:bidi="ar"/>
              </w:rPr>
            </w:pPr>
            <w:r>
              <w:rPr>
                <w:rFonts w:hint="eastAsia" w:ascii="宋体" w:hAnsi="宋体" w:cs="宋体"/>
                <w:color w:val="000000"/>
                <w:kern w:val="0"/>
                <w:szCs w:val="24"/>
                <w:highlight w:val="none"/>
                <w:lang w:val="en-US" w:eastAsia="zh-CN" w:bidi="ar"/>
              </w:rPr>
              <w:t>11.75</w:t>
            </w:r>
            <w:r>
              <w:rPr>
                <w:rFonts w:hint="eastAsia" w:ascii="宋体" w:hAnsi="宋体" w:cs="宋体"/>
                <w:color w:val="000000"/>
                <w:kern w:val="0"/>
                <w:szCs w:val="24"/>
                <w:highlight w:val="none"/>
                <w:lang w:bidi="ar"/>
              </w:rPr>
              <w:t>*</w:t>
            </w:r>
            <w:r>
              <w:rPr>
                <w:rFonts w:hint="eastAsia" w:ascii="宋体" w:hAnsi="宋体" w:cs="宋体"/>
                <w:color w:val="000000"/>
                <w:kern w:val="0"/>
                <w:szCs w:val="24"/>
                <w:highlight w:val="none"/>
                <w:lang w:val="en-US" w:eastAsia="zh-CN" w:bidi="ar"/>
              </w:rPr>
              <w:t>2.99</w:t>
            </w:r>
            <w:r>
              <w:rPr>
                <w:rFonts w:hint="eastAsia" w:ascii="宋体" w:hAnsi="宋体" w:cs="宋体"/>
                <w:color w:val="000000"/>
                <w:kern w:val="0"/>
                <w:szCs w:val="24"/>
                <w:highlight w:val="none"/>
                <w:lang w:bidi="ar"/>
              </w:rPr>
              <w:t>*</w:t>
            </w:r>
            <w:r>
              <w:rPr>
                <w:rFonts w:hint="eastAsia" w:ascii="宋体" w:hAnsi="宋体" w:cs="宋体"/>
                <w:color w:val="000000"/>
                <w:kern w:val="0"/>
                <w:szCs w:val="24"/>
                <w:highlight w:val="none"/>
                <w:lang w:val="en-US" w:eastAsia="zh-CN" w:bidi="ar"/>
              </w:rPr>
              <w:t>1.58</w:t>
            </w:r>
          </w:p>
        </w:tc>
        <w:tc>
          <w:tcPr>
            <w:tcW w:w="816" w:type="dxa"/>
            <w:vAlign w:val="center"/>
          </w:tcPr>
          <w:p w14:paraId="1677388D">
            <w:pPr>
              <w:widowControl/>
              <w:ind w:firstLine="0" w:firstLineChars="0"/>
              <w:jc w:val="center"/>
              <w:textAlignment w:val="center"/>
              <w:rPr>
                <w:rFonts w:hint="default" w:ascii="宋体" w:hAnsi="宋体" w:eastAsia="宋体" w:cs="宋体"/>
                <w:color w:val="000000"/>
                <w:kern w:val="0"/>
                <w:szCs w:val="24"/>
                <w:highlight w:val="none"/>
                <w:lang w:val="en-US" w:eastAsia="zh-CN" w:bidi="ar"/>
              </w:rPr>
            </w:pPr>
            <w:r>
              <w:rPr>
                <w:rFonts w:hint="eastAsia" w:ascii="宋体" w:hAnsi="宋体" w:cs="宋体"/>
                <w:color w:val="000000"/>
                <w:kern w:val="0"/>
                <w:szCs w:val="24"/>
                <w:highlight w:val="none"/>
                <w:lang w:val="en-US" w:eastAsia="zh-CN" w:bidi="ar"/>
              </w:rPr>
              <w:t>9.8</w:t>
            </w:r>
          </w:p>
        </w:tc>
        <w:tc>
          <w:tcPr>
            <w:tcW w:w="1046" w:type="dxa"/>
            <w:vAlign w:val="center"/>
          </w:tcPr>
          <w:p w14:paraId="6EA2C2D5">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28</w:t>
            </w:r>
          </w:p>
        </w:tc>
        <w:tc>
          <w:tcPr>
            <w:tcW w:w="943" w:type="dxa"/>
            <w:vAlign w:val="center"/>
          </w:tcPr>
          <w:p w14:paraId="46C7202A">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val="en-US" w:eastAsia="zh-CN" w:bidi="ar"/>
              </w:rPr>
              <w:t>12.1</w:t>
            </w:r>
          </w:p>
        </w:tc>
        <w:tc>
          <w:tcPr>
            <w:tcW w:w="1045" w:type="dxa"/>
            <w:vAlign w:val="center"/>
          </w:tcPr>
          <w:p w14:paraId="0FB30D40">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27</w:t>
            </w:r>
          </w:p>
        </w:tc>
        <w:tc>
          <w:tcPr>
            <w:tcW w:w="910" w:type="dxa"/>
            <w:vAlign w:val="center"/>
          </w:tcPr>
          <w:p w14:paraId="7870C127">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val="en-US" w:eastAsia="zh-CN" w:bidi="ar"/>
              </w:rPr>
              <w:t>80</w:t>
            </w:r>
            <w:r>
              <w:rPr>
                <w:rFonts w:hint="eastAsia" w:ascii="宋体" w:hAnsi="宋体" w:cs="宋体"/>
                <w:color w:val="000000"/>
                <w:kern w:val="0"/>
                <w:szCs w:val="24"/>
                <w:highlight w:val="none"/>
                <w:lang w:bidi="ar"/>
              </w:rPr>
              <w:t>%</w:t>
            </w:r>
          </w:p>
        </w:tc>
      </w:tr>
      <w:tr w14:paraId="113D17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1E7966AE">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8</w:t>
            </w:r>
          </w:p>
        </w:tc>
        <w:tc>
          <w:tcPr>
            <w:tcW w:w="1393" w:type="dxa"/>
            <w:vAlign w:val="center"/>
          </w:tcPr>
          <w:p w14:paraId="37B0022A">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平衡重A</w:t>
            </w:r>
          </w:p>
        </w:tc>
        <w:tc>
          <w:tcPr>
            <w:tcW w:w="1912" w:type="dxa"/>
            <w:vAlign w:val="center"/>
          </w:tcPr>
          <w:p w14:paraId="7E809168">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0.9*0.37*3.5</w:t>
            </w:r>
          </w:p>
        </w:tc>
        <w:tc>
          <w:tcPr>
            <w:tcW w:w="816" w:type="dxa"/>
            <w:vAlign w:val="center"/>
          </w:tcPr>
          <w:p w14:paraId="51C26735">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2.8</w:t>
            </w:r>
          </w:p>
        </w:tc>
        <w:tc>
          <w:tcPr>
            <w:tcW w:w="1046" w:type="dxa"/>
            <w:vAlign w:val="center"/>
          </w:tcPr>
          <w:p w14:paraId="5874793B">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28</w:t>
            </w:r>
          </w:p>
        </w:tc>
        <w:tc>
          <w:tcPr>
            <w:tcW w:w="943" w:type="dxa"/>
            <w:vAlign w:val="center"/>
          </w:tcPr>
          <w:p w14:paraId="58D3446B">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bidi="ar"/>
              </w:rPr>
              <w:t>12.</w:t>
            </w:r>
            <w:r>
              <w:rPr>
                <w:rFonts w:hint="eastAsia" w:ascii="宋体" w:hAnsi="宋体" w:cs="宋体"/>
                <w:color w:val="000000"/>
                <w:kern w:val="0"/>
                <w:szCs w:val="24"/>
                <w:lang w:val="en-US" w:eastAsia="zh-CN" w:bidi="ar"/>
              </w:rPr>
              <w:t>1</w:t>
            </w:r>
          </w:p>
        </w:tc>
        <w:tc>
          <w:tcPr>
            <w:tcW w:w="1045" w:type="dxa"/>
            <w:vAlign w:val="center"/>
          </w:tcPr>
          <w:p w14:paraId="098B5618">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bidi="ar"/>
              </w:rPr>
              <w:t>30</w:t>
            </w:r>
          </w:p>
        </w:tc>
        <w:tc>
          <w:tcPr>
            <w:tcW w:w="910" w:type="dxa"/>
            <w:vAlign w:val="center"/>
          </w:tcPr>
          <w:p w14:paraId="4C48572B">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23</w:t>
            </w:r>
            <w:r>
              <w:rPr>
                <w:rFonts w:hint="eastAsia" w:ascii="宋体" w:hAnsi="宋体" w:cs="宋体"/>
                <w:color w:val="000000"/>
                <w:kern w:val="0"/>
                <w:szCs w:val="24"/>
                <w:lang w:bidi="ar"/>
              </w:rPr>
              <w:t>%</w:t>
            </w:r>
          </w:p>
        </w:tc>
      </w:tr>
      <w:tr w14:paraId="7CF591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3E037468">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9</w:t>
            </w:r>
          </w:p>
        </w:tc>
        <w:tc>
          <w:tcPr>
            <w:tcW w:w="1393" w:type="dxa"/>
            <w:vAlign w:val="center"/>
          </w:tcPr>
          <w:p w14:paraId="132E199D">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起重臂臂节二</w:t>
            </w:r>
          </w:p>
        </w:tc>
        <w:tc>
          <w:tcPr>
            <w:tcW w:w="1912" w:type="dxa"/>
            <w:vAlign w:val="center"/>
          </w:tcPr>
          <w:p w14:paraId="2651FE40">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10.25*1.15*2.36</w:t>
            </w:r>
          </w:p>
        </w:tc>
        <w:tc>
          <w:tcPr>
            <w:tcW w:w="816" w:type="dxa"/>
            <w:vAlign w:val="center"/>
          </w:tcPr>
          <w:p w14:paraId="40A11C97">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2.3</w:t>
            </w:r>
          </w:p>
        </w:tc>
        <w:tc>
          <w:tcPr>
            <w:tcW w:w="1046" w:type="dxa"/>
            <w:vAlign w:val="center"/>
          </w:tcPr>
          <w:p w14:paraId="0A4C8E2F">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30</w:t>
            </w:r>
          </w:p>
        </w:tc>
        <w:tc>
          <w:tcPr>
            <w:tcW w:w="943" w:type="dxa"/>
            <w:vAlign w:val="center"/>
          </w:tcPr>
          <w:p w14:paraId="22858AC7">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bidi="ar"/>
              </w:rPr>
              <w:t>12.</w:t>
            </w:r>
            <w:r>
              <w:rPr>
                <w:rFonts w:hint="eastAsia" w:ascii="宋体" w:hAnsi="宋体" w:cs="宋体"/>
                <w:color w:val="000000"/>
                <w:kern w:val="0"/>
                <w:szCs w:val="24"/>
                <w:lang w:val="en-US" w:eastAsia="zh-CN" w:bidi="ar"/>
              </w:rPr>
              <w:t>1</w:t>
            </w:r>
          </w:p>
        </w:tc>
        <w:tc>
          <w:tcPr>
            <w:tcW w:w="1045" w:type="dxa"/>
            <w:vAlign w:val="center"/>
          </w:tcPr>
          <w:p w14:paraId="50AA494E">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bidi="ar"/>
              </w:rPr>
              <w:t>27</w:t>
            </w:r>
          </w:p>
        </w:tc>
        <w:tc>
          <w:tcPr>
            <w:tcW w:w="910" w:type="dxa"/>
            <w:vAlign w:val="center"/>
          </w:tcPr>
          <w:p w14:paraId="420AB050">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19</w:t>
            </w:r>
            <w:r>
              <w:rPr>
                <w:rFonts w:hint="eastAsia" w:ascii="宋体" w:hAnsi="宋体" w:cs="宋体"/>
                <w:color w:val="000000"/>
                <w:kern w:val="0"/>
                <w:szCs w:val="24"/>
                <w:lang w:bidi="ar"/>
              </w:rPr>
              <w:t>%</w:t>
            </w:r>
          </w:p>
        </w:tc>
      </w:tr>
      <w:tr w14:paraId="2AEE29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75847ED0">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10</w:t>
            </w:r>
          </w:p>
        </w:tc>
        <w:tc>
          <w:tcPr>
            <w:tcW w:w="1393" w:type="dxa"/>
            <w:vAlign w:val="center"/>
          </w:tcPr>
          <w:p w14:paraId="6ECC1BD9">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起重臂臂节三</w:t>
            </w:r>
          </w:p>
        </w:tc>
        <w:tc>
          <w:tcPr>
            <w:tcW w:w="1912" w:type="dxa"/>
            <w:vAlign w:val="center"/>
          </w:tcPr>
          <w:p w14:paraId="18085D25">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10.22*1.15*2.34</w:t>
            </w:r>
          </w:p>
        </w:tc>
        <w:tc>
          <w:tcPr>
            <w:tcW w:w="816" w:type="dxa"/>
            <w:vAlign w:val="center"/>
          </w:tcPr>
          <w:p w14:paraId="4199F1F7">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w:t>
            </w:r>
          </w:p>
        </w:tc>
        <w:tc>
          <w:tcPr>
            <w:tcW w:w="1046" w:type="dxa"/>
            <w:vAlign w:val="center"/>
          </w:tcPr>
          <w:p w14:paraId="6E0776E2">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22</w:t>
            </w:r>
          </w:p>
        </w:tc>
        <w:tc>
          <w:tcPr>
            <w:tcW w:w="943" w:type="dxa"/>
            <w:vAlign w:val="center"/>
          </w:tcPr>
          <w:p w14:paraId="61050487">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14.9</w:t>
            </w:r>
          </w:p>
        </w:tc>
        <w:tc>
          <w:tcPr>
            <w:tcW w:w="1045" w:type="dxa"/>
            <w:vAlign w:val="center"/>
          </w:tcPr>
          <w:p w14:paraId="638617C7">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bidi="ar"/>
              </w:rPr>
              <w:t>27</w:t>
            </w:r>
          </w:p>
        </w:tc>
        <w:tc>
          <w:tcPr>
            <w:tcW w:w="910" w:type="dxa"/>
            <w:vAlign w:val="center"/>
          </w:tcPr>
          <w:p w14:paraId="7DFA9E91">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13</w:t>
            </w:r>
            <w:r>
              <w:rPr>
                <w:rFonts w:hint="eastAsia" w:ascii="宋体" w:hAnsi="宋体" w:cs="宋体"/>
                <w:color w:val="000000"/>
                <w:kern w:val="0"/>
                <w:szCs w:val="24"/>
                <w:lang w:bidi="ar"/>
              </w:rPr>
              <w:t>%</w:t>
            </w:r>
          </w:p>
        </w:tc>
      </w:tr>
      <w:tr w14:paraId="005659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246CBB61">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11</w:t>
            </w:r>
          </w:p>
        </w:tc>
        <w:tc>
          <w:tcPr>
            <w:tcW w:w="1393" w:type="dxa"/>
            <w:vAlign w:val="center"/>
          </w:tcPr>
          <w:p w14:paraId="4048670A">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起重臂臂节四</w:t>
            </w:r>
          </w:p>
        </w:tc>
        <w:tc>
          <w:tcPr>
            <w:tcW w:w="1912" w:type="dxa"/>
            <w:vAlign w:val="center"/>
          </w:tcPr>
          <w:p w14:paraId="29246CF2">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10.14*1.15*2.25</w:t>
            </w:r>
          </w:p>
        </w:tc>
        <w:tc>
          <w:tcPr>
            <w:tcW w:w="816" w:type="dxa"/>
            <w:vAlign w:val="center"/>
          </w:tcPr>
          <w:p w14:paraId="19906DB7">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1.3</w:t>
            </w:r>
          </w:p>
        </w:tc>
        <w:tc>
          <w:tcPr>
            <w:tcW w:w="1046" w:type="dxa"/>
            <w:vAlign w:val="center"/>
          </w:tcPr>
          <w:p w14:paraId="1ED3FC79">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14</w:t>
            </w:r>
          </w:p>
        </w:tc>
        <w:tc>
          <w:tcPr>
            <w:tcW w:w="943" w:type="dxa"/>
            <w:vAlign w:val="center"/>
          </w:tcPr>
          <w:p w14:paraId="6DC56025">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19.7</w:t>
            </w:r>
          </w:p>
        </w:tc>
        <w:tc>
          <w:tcPr>
            <w:tcW w:w="1045" w:type="dxa"/>
            <w:vAlign w:val="center"/>
          </w:tcPr>
          <w:p w14:paraId="0C0E89DC">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bidi="ar"/>
              </w:rPr>
              <w:t>27</w:t>
            </w:r>
          </w:p>
        </w:tc>
        <w:tc>
          <w:tcPr>
            <w:tcW w:w="910" w:type="dxa"/>
            <w:vAlign w:val="center"/>
          </w:tcPr>
          <w:p w14:paraId="1FD5DAE6">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6</w:t>
            </w:r>
            <w:r>
              <w:rPr>
                <w:rFonts w:hint="eastAsia" w:ascii="宋体" w:hAnsi="宋体" w:cs="宋体"/>
                <w:color w:val="000000"/>
                <w:kern w:val="0"/>
                <w:szCs w:val="24"/>
                <w:lang w:bidi="ar"/>
              </w:rPr>
              <w:t>%</w:t>
            </w:r>
          </w:p>
        </w:tc>
      </w:tr>
      <w:tr w14:paraId="41460C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57" w:type="dxa"/>
            <w:vAlign w:val="center"/>
          </w:tcPr>
          <w:p w14:paraId="26EFC47B">
            <w:pPr>
              <w:widowControl/>
              <w:adjustRightInd w:val="0"/>
              <w:snapToGrid w:val="0"/>
              <w:spacing w:before="156" w:after="156" w:line="240" w:lineRule="auto"/>
              <w:ind w:firstLine="0" w:firstLineChars="0"/>
              <w:jc w:val="center"/>
              <w:rPr>
                <w:rFonts w:ascii="宋体" w:hAnsi="宋体" w:cs="宋体"/>
                <w:szCs w:val="24"/>
                <w:highlight w:val="none"/>
              </w:rPr>
            </w:pPr>
            <w:r>
              <w:rPr>
                <w:rFonts w:hint="eastAsia" w:ascii="宋体" w:hAnsi="宋体" w:cs="宋体"/>
                <w:szCs w:val="24"/>
                <w:highlight w:val="none"/>
              </w:rPr>
              <w:t>12</w:t>
            </w:r>
          </w:p>
        </w:tc>
        <w:tc>
          <w:tcPr>
            <w:tcW w:w="1393" w:type="dxa"/>
            <w:vAlign w:val="center"/>
          </w:tcPr>
          <w:p w14:paraId="16B8C679">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平衡重B</w:t>
            </w:r>
          </w:p>
        </w:tc>
        <w:tc>
          <w:tcPr>
            <w:tcW w:w="1912" w:type="dxa"/>
            <w:vAlign w:val="center"/>
          </w:tcPr>
          <w:p w14:paraId="63429029">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0.9*0.37*2.63</w:t>
            </w:r>
          </w:p>
        </w:tc>
        <w:tc>
          <w:tcPr>
            <w:tcW w:w="816" w:type="dxa"/>
            <w:vAlign w:val="center"/>
          </w:tcPr>
          <w:p w14:paraId="438522DF">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2.1</w:t>
            </w:r>
          </w:p>
        </w:tc>
        <w:tc>
          <w:tcPr>
            <w:tcW w:w="1046" w:type="dxa"/>
            <w:vAlign w:val="center"/>
          </w:tcPr>
          <w:p w14:paraId="64011E7B">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28</w:t>
            </w:r>
          </w:p>
        </w:tc>
        <w:tc>
          <w:tcPr>
            <w:tcW w:w="943" w:type="dxa"/>
            <w:vAlign w:val="center"/>
          </w:tcPr>
          <w:p w14:paraId="64247609">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bidi="ar"/>
              </w:rPr>
              <w:t>12.</w:t>
            </w:r>
            <w:r>
              <w:rPr>
                <w:rFonts w:hint="eastAsia" w:ascii="宋体" w:hAnsi="宋体" w:cs="宋体"/>
                <w:color w:val="000000"/>
                <w:kern w:val="0"/>
                <w:szCs w:val="24"/>
                <w:lang w:val="en-US" w:eastAsia="zh-CN" w:bidi="ar"/>
              </w:rPr>
              <w:t>1</w:t>
            </w:r>
          </w:p>
        </w:tc>
        <w:tc>
          <w:tcPr>
            <w:tcW w:w="1045" w:type="dxa"/>
            <w:vAlign w:val="center"/>
          </w:tcPr>
          <w:p w14:paraId="6B6914A2">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bidi="ar"/>
              </w:rPr>
              <w:t>30</w:t>
            </w:r>
          </w:p>
        </w:tc>
        <w:tc>
          <w:tcPr>
            <w:tcW w:w="910" w:type="dxa"/>
            <w:vAlign w:val="center"/>
          </w:tcPr>
          <w:p w14:paraId="40CE3CAC">
            <w:pPr>
              <w:widowControl/>
              <w:ind w:firstLine="0" w:firstLineChars="0"/>
              <w:jc w:val="center"/>
              <w:textAlignment w:val="center"/>
              <w:rPr>
                <w:rFonts w:ascii="宋体" w:hAnsi="宋体" w:cs="宋体"/>
                <w:color w:val="000000"/>
                <w:kern w:val="0"/>
                <w:szCs w:val="24"/>
                <w:highlight w:val="none"/>
                <w:lang w:bidi="ar"/>
              </w:rPr>
            </w:pPr>
            <w:r>
              <w:rPr>
                <w:rFonts w:hint="eastAsia" w:ascii="宋体" w:hAnsi="宋体" w:cs="宋体"/>
                <w:color w:val="000000"/>
                <w:kern w:val="0"/>
                <w:szCs w:val="24"/>
                <w:lang w:val="en-US" w:eastAsia="zh-CN" w:bidi="ar"/>
              </w:rPr>
              <w:t>17</w:t>
            </w:r>
            <w:r>
              <w:rPr>
                <w:rFonts w:hint="eastAsia" w:ascii="宋体" w:hAnsi="宋体" w:cs="宋体"/>
                <w:color w:val="000000"/>
                <w:kern w:val="0"/>
                <w:szCs w:val="24"/>
                <w:lang w:bidi="ar"/>
              </w:rPr>
              <w:t>%</w:t>
            </w:r>
          </w:p>
        </w:tc>
      </w:tr>
    </w:tbl>
    <w:p w14:paraId="30BEAF21">
      <w:pPr>
        <w:ind w:firstLine="0" w:firstLineChars="0"/>
        <w:jc w:val="center"/>
        <w:rPr>
          <w:highlight w:val="none"/>
        </w:rPr>
      </w:pPr>
    </w:p>
    <w:p w14:paraId="0AFF0591">
      <w:pPr>
        <w:pStyle w:val="5"/>
        <w:bidi w:val="0"/>
        <w:ind w:left="0" w:leftChars="0" w:firstLine="0" w:firstLineChars="0"/>
        <w:rPr>
          <w:highlight w:val="none"/>
        </w:rPr>
      </w:pPr>
      <w:r>
        <w:rPr>
          <w:rFonts w:hint="eastAsia"/>
          <w:highlight w:val="none"/>
        </w:rPr>
        <w:t>吊装钢丝绳选型</w:t>
      </w:r>
    </w:p>
    <w:p w14:paraId="3D11CFB5">
      <w:pPr>
        <w:ind w:firstLine="480"/>
        <w:rPr>
          <w:rFonts w:ascii="宋体" w:hAnsi="宋体" w:cs="宋体"/>
          <w:highlight w:val="none"/>
        </w:rPr>
      </w:pPr>
      <w:r>
        <w:rPr>
          <w:rFonts w:hint="eastAsia" w:ascii="宋体" w:hAnsi="宋体" w:cs="宋体"/>
          <w:highlight w:val="none"/>
        </w:rPr>
        <w:t>相应验算详见第1</w:t>
      </w:r>
      <w:r>
        <w:rPr>
          <w:rFonts w:ascii="宋体" w:hAnsi="宋体" w:cs="宋体"/>
          <w:highlight w:val="none"/>
        </w:rPr>
        <w:t>1</w:t>
      </w:r>
      <w:r>
        <w:rPr>
          <w:rFonts w:hint="eastAsia" w:ascii="宋体" w:hAnsi="宋体" w:cs="宋体"/>
          <w:highlight w:val="none"/>
        </w:rPr>
        <w:t>章节</w:t>
      </w:r>
    </w:p>
    <w:p w14:paraId="73714334">
      <w:pPr>
        <w:pStyle w:val="4"/>
        <w:bidi w:val="0"/>
        <w:ind w:left="0" w:leftChars="0" w:firstLine="0" w:firstLineChars="0"/>
        <w:rPr>
          <w:highlight w:val="none"/>
        </w:rPr>
      </w:pPr>
      <w:bookmarkStart w:id="44" w:name="_Toc28080"/>
      <w:r>
        <w:rPr>
          <w:rFonts w:hint="eastAsia"/>
          <w:highlight w:val="none"/>
        </w:rPr>
        <w:t>塔吊安装前施工准备</w:t>
      </w:r>
      <w:bookmarkEnd w:id="44"/>
    </w:p>
    <w:p w14:paraId="07C4AF9C">
      <w:pPr>
        <w:pStyle w:val="5"/>
        <w:bidi w:val="0"/>
        <w:ind w:left="0" w:leftChars="0" w:firstLine="0" w:firstLineChars="0"/>
        <w:rPr>
          <w:highlight w:val="none"/>
        </w:rPr>
      </w:pPr>
      <w:r>
        <w:rPr>
          <w:rFonts w:hint="eastAsia"/>
          <w:highlight w:val="none"/>
        </w:rPr>
        <w:t>技术准备</w:t>
      </w:r>
    </w:p>
    <w:p w14:paraId="3204E065">
      <w:pPr>
        <w:ind w:firstLine="480"/>
        <w:rPr>
          <w:highlight w:val="none"/>
        </w:rPr>
      </w:pPr>
      <w:r>
        <w:rPr>
          <w:rFonts w:hint="eastAsia"/>
          <w:highlight w:val="none"/>
        </w:rPr>
        <w:t>设备技术资料查验、安装方案、人员及工器具审核及报备工作。</w:t>
      </w:r>
    </w:p>
    <w:p w14:paraId="4CBB6799">
      <w:pPr>
        <w:pStyle w:val="5"/>
        <w:bidi w:val="0"/>
        <w:ind w:left="0" w:leftChars="0" w:firstLine="0" w:firstLineChars="0"/>
        <w:rPr>
          <w:highlight w:val="none"/>
        </w:rPr>
      </w:pPr>
      <w:r>
        <w:rPr>
          <w:rFonts w:hint="eastAsia"/>
          <w:highlight w:val="none"/>
        </w:rPr>
        <w:t>组织准备</w:t>
      </w:r>
    </w:p>
    <w:p w14:paraId="444B085F">
      <w:pPr>
        <w:ind w:firstLine="480"/>
        <w:rPr>
          <w:highlight w:val="none"/>
        </w:rPr>
      </w:pPr>
      <w:r>
        <w:rPr>
          <w:rFonts w:hint="eastAsia"/>
          <w:highlight w:val="none"/>
        </w:rPr>
        <w:t>（1）施工队伍应有合格的安装资质，且熟悉塔式起重机安装工艺。</w:t>
      </w:r>
    </w:p>
    <w:p w14:paraId="7564EDCB">
      <w:pPr>
        <w:ind w:firstLine="480"/>
        <w:rPr>
          <w:highlight w:val="none"/>
        </w:rPr>
      </w:pPr>
      <w:r>
        <w:rPr>
          <w:rFonts w:hint="eastAsia"/>
          <w:highlight w:val="none"/>
        </w:rPr>
        <w:t>（2）成立安装安全领导小组和安装工作小组，对整个安装过程进行有效监管。</w:t>
      </w:r>
    </w:p>
    <w:p w14:paraId="1C224ABD">
      <w:pPr>
        <w:ind w:firstLine="480"/>
        <w:rPr>
          <w:highlight w:val="none"/>
        </w:rPr>
      </w:pPr>
      <w:r>
        <w:rPr>
          <w:rFonts w:hint="eastAsia"/>
          <w:highlight w:val="none"/>
        </w:rPr>
        <w:t>（3）组织学习安全技术措施，现场进行技术交底，落实每项工作。</w:t>
      </w:r>
    </w:p>
    <w:p w14:paraId="7B26D41A">
      <w:pPr>
        <w:ind w:firstLine="480"/>
        <w:rPr>
          <w:highlight w:val="none"/>
        </w:rPr>
      </w:pPr>
      <w:r>
        <w:rPr>
          <w:rFonts w:hint="eastAsia"/>
          <w:highlight w:val="none"/>
        </w:rPr>
        <w:t>（4）所有进行安装的有关人员，均需持证上岗，并针对本工程经过培训。</w:t>
      </w:r>
    </w:p>
    <w:p w14:paraId="7F8A72CE">
      <w:pPr>
        <w:pStyle w:val="5"/>
        <w:bidi w:val="0"/>
        <w:ind w:left="0" w:leftChars="0" w:firstLine="0" w:firstLineChars="0"/>
        <w:rPr>
          <w:highlight w:val="none"/>
        </w:rPr>
      </w:pPr>
      <w:r>
        <w:rPr>
          <w:rFonts w:hint="eastAsia"/>
          <w:highlight w:val="none"/>
        </w:rPr>
        <w:t>工索具、起重设备准备</w:t>
      </w:r>
    </w:p>
    <w:p w14:paraId="6B62D33A">
      <w:pPr>
        <w:ind w:firstLine="480"/>
        <w:rPr>
          <w:highlight w:val="none"/>
        </w:rPr>
      </w:pPr>
      <w:r>
        <w:rPr>
          <w:rFonts w:hint="eastAsia"/>
          <w:highlight w:val="none"/>
        </w:rPr>
        <w:t>（1）准备好安装人员的安全带，安全绳，防滑鞋，安全帽等。</w:t>
      </w:r>
    </w:p>
    <w:p w14:paraId="33517357">
      <w:pPr>
        <w:ind w:firstLine="480"/>
        <w:rPr>
          <w:highlight w:val="none"/>
        </w:rPr>
      </w:pPr>
      <w:r>
        <w:rPr>
          <w:rFonts w:hint="eastAsia"/>
          <w:highlight w:val="none"/>
        </w:rPr>
        <w:t>（2）定好吊装主要部件的尺寸，重量，高度，确定起重设备规格，并准备好吊装机具，安装工具（扳手、大锤、钢丝绳、手拉葫芦、氧气乙炔）等。</w:t>
      </w:r>
    </w:p>
    <w:p w14:paraId="1AF46622">
      <w:pPr>
        <w:ind w:firstLine="480"/>
        <w:rPr>
          <w:highlight w:val="none"/>
        </w:rPr>
      </w:pPr>
      <w:r>
        <w:rPr>
          <w:rFonts w:hint="eastAsia"/>
          <w:highlight w:val="none"/>
        </w:rPr>
        <w:t>（3）所有起重设备应进行试吊，确保设备完好。</w:t>
      </w:r>
    </w:p>
    <w:p w14:paraId="3E381AFA">
      <w:pPr>
        <w:ind w:firstLine="480"/>
        <w:rPr>
          <w:highlight w:val="none"/>
        </w:rPr>
      </w:pPr>
      <w:r>
        <w:rPr>
          <w:rFonts w:hint="eastAsia"/>
          <w:highlight w:val="none"/>
        </w:rPr>
        <w:t>（4）所有手动吊装、焊接、测量等工具，均需经计量检验合格，方可用于本工程。</w:t>
      </w:r>
    </w:p>
    <w:p w14:paraId="6CDDCF1A">
      <w:pPr>
        <w:pStyle w:val="5"/>
        <w:bidi w:val="0"/>
        <w:ind w:left="0" w:leftChars="0" w:firstLine="0" w:firstLineChars="0"/>
        <w:rPr>
          <w:highlight w:val="none"/>
        </w:rPr>
      </w:pPr>
      <w:r>
        <w:rPr>
          <w:rFonts w:hint="eastAsia"/>
          <w:highlight w:val="none"/>
        </w:rPr>
        <w:t>检查准备</w:t>
      </w:r>
    </w:p>
    <w:p w14:paraId="2A845974">
      <w:pPr>
        <w:ind w:firstLine="480"/>
        <w:rPr>
          <w:highlight w:val="none"/>
        </w:rPr>
      </w:pPr>
      <w:r>
        <w:rPr>
          <w:rFonts w:hint="eastAsia"/>
          <w:highlight w:val="none"/>
        </w:rPr>
        <w:t>正式施工前，做好主要施工机具和分项工艺的检验工作。根据检验结果，对工艺进行进一步的修改及细化。</w:t>
      </w:r>
    </w:p>
    <w:p w14:paraId="28E108A7">
      <w:pPr>
        <w:ind w:firstLine="480"/>
        <w:rPr>
          <w:highlight w:val="none"/>
        </w:rPr>
      </w:pPr>
      <w:r>
        <w:rPr>
          <w:rFonts w:hint="eastAsia"/>
          <w:highlight w:val="none"/>
        </w:rPr>
        <w:t>（1）设备检查</w:t>
      </w:r>
    </w:p>
    <w:p w14:paraId="6249A4B0">
      <w:pPr>
        <w:ind w:firstLine="480"/>
        <w:rPr>
          <w:highlight w:val="none"/>
        </w:rPr>
      </w:pPr>
      <w:r>
        <w:rPr>
          <w:rFonts w:hint="eastAsia"/>
          <w:highlight w:val="none"/>
        </w:rPr>
        <w:t>a塔吊所有钢构件无变形、无裂纹；塔吊所有电机机座是否固定牢靠，传动部位有无变形、裂纹；</w:t>
      </w:r>
    </w:p>
    <w:p w14:paraId="617EE861">
      <w:pPr>
        <w:ind w:firstLine="480"/>
        <w:rPr>
          <w:highlight w:val="none"/>
        </w:rPr>
      </w:pPr>
      <w:r>
        <w:rPr>
          <w:rFonts w:hint="eastAsia"/>
          <w:highlight w:val="none"/>
        </w:rPr>
        <w:t>b塔吊所有滑轮部位有无防钢丝绳脱槽装置，滑轮轴有无磨损，滑轮座是否固定牢靠；塔吊所有防护栏杆是否完好，焊接牢靠，无锈蚀；</w:t>
      </w:r>
    </w:p>
    <w:p w14:paraId="4AF4CF69">
      <w:pPr>
        <w:ind w:firstLine="480"/>
        <w:rPr>
          <w:highlight w:val="none"/>
        </w:rPr>
      </w:pPr>
      <w:r>
        <w:rPr>
          <w:rFonts w:hint="eastAsia"/>
          <w:highlight w:val="none"/>
        </w:rPr>
        <w:t>c塔吊所有柱销孔和销柱体符合要求，无晃动、无严重磨损；</w:t>
      </w:r>
    </w:p>
    <w:p w14:paraId="5AC6530B">
      <w:pPr>
        <w:ind w:firstLine="480"/>
        <w:rPr>
          <w:highlight w:val="none"/>
        </w:rPr>
      </w:pPr>
      <w:r>
        <w:rPr>
          <w:rFonts w:hint="eastAsia"/>
          <w:highlight w:val="none"/>
        </w:rPr>
        <w:t>d塔吊所有柱销上的开口销是否配套，并开口；</w:t>
      </w:r>
    </w:p>
    <w:p w14:paraId="45028B19">
      <w:pPr>
        <w:ind w:firstLine="480"/>
        <w:rPr>
          <w:highlight w:val="none"/>
        </w:rPr>
      </w:pPr>
      <w:r>
        <w:rPr>
          <w:rFonts w:hint="eastAsia"/>
          <w:highlight w:val="none"/>
        </w:rPr>
        <w:t>e检查钢丝绳磨损状况；检查顶升套架围栏支撑连接部位部件是否完好；</w:t>
      </w:r>
    </w:p>
    <w:p w14:paraId="47192678">
      <w:pPr>
        <w:ind w:firstLine="480"/>
        <w:rPr>
          <w:highlight w:val="none"/>
        </w:rPr>
      </w:pPr>
      <w:r>
        <w:rPr>
          <w:rFonts w:hint="eastAsia"/>
          <w:highlight w:val="none"/>
        </w:rPr>
        <w:t>f检查顶升套架机构滑动部位及支撑的爪钩等处是否完好；</w:t>
      </w:r>
    </w:p>
    <w:p w14:paraId="6A4025D1">
      <w:pPr>
        <w:ind w:firstLine="480"/>
        <w:rPr>
          <w:highlight w:val="none"/>
        </w:rPr>
      </w:pPr>
      <w:r>
        <w:rPr>
          <w:rFonts w:hint="eastAsia"/>
          <w:highlight w:val="none"/>
        </w:rPr>
        <w:t xml:space="preserve">g检查顶升套架标准节安装推入机构是否完好，各部件无变形； </w:t>
      </w:r>
    </w:p>
    <w:p w14:paraId="5D611033">
      <w:pPr>
        <w:ind w:firstLine="480"/>
        <w:rPr>
          <w:highlight w:val="none"/>
        </w:rPr>
      </w:pPr>
      <w:r>
        <w:rPr>
          <w:rFonts w:hint="eastAsia"/>
          <w:highlight w:val="none"/>
        </w:rPr>
        <w:t>h检查回转支撑机构是否润滑良好，螺栓是否紧固；</w:t>
      </w:r>
    </w:p>
    <w:p w14:paraId="6735CDE9">
      <w:pPr>
        <w:ind w:firstLine="480"/>
        <w:rPr>
          <w:highlight w:val="none"/>
        </w:rPr>
      </w:pPr>
      <w:r>
        <w:rPr>
          <w:rFonts w:hint="eastAsia"/>
          <w:highlight w:val="none"/>
        </w:rPr>
        <w:t>i检查电器是否完好无损，电缆线无老化、裸露，各电气绝缘保证良好；</w:t>
      </w:r>
    </w:p>
    <w:p w14:paraId="1002D536">
      <w:pPr>
        <w:ind w:firstLine="480"/>
        <w:rPr>
          <w:highlight w:val="none"/>
        </w:rPr>
      </w:pPr>
      <w:r>
        <w:rPr>
          <w:rFonts w:hint="eastAsia"/>
          <w:highlight w:val="none"/>
        </w:rPr>
        <w:t>j幅度、力矩、超重、回转、吊钩高度限位器和电铃等安全装置齐全，并保证其灵敏可靠；检查吊钩保险、大钢丝绳卷筒保险、防小钢丝绳断绳装置等保险装置是否完好；检查司机楼、闸箱等是否完好，固定牢靠；</w:t>
      </w:r>
    </w:p>
    <w:p w14:paraId="08245E17">
      <w:pPr>
        <w:ind w:firstLine="480"/>
        <w:rPr>
          <w:highlight w:val="none"/>
        </w:rPr>
      </w:pPr>
      <w:r>
        <w:rPr>
          <w:rFonts w:hint="eastAsia"/>
          <w:highlight w:val="none"/>
        </w:rPr>
        <w:t>k检查刹车部位是否完好，刹车皮是否磨损严重；</w:t>
      </w:r>
    </w:p>
    <w:p w14:paraId="01BEDE84">
      <w:pPr>
        <w:ind w:firstLine="480"/>
        <w:rPr>
          <w:highlight w:val="none"/>
        </w:rPr>
      </w:pPr>
      <w:r>
        <w:rPr>
          <w:rFonts w:hint="eastAsia"/>
          <w:highlight w:val="none"/>
        </w:rPr>
        <w:t>l查塔吊小车行走轮是否润滑良好，有无严重磨损和裂纹；检查配重、配重吊环是否牢固，完好。</w:t>
      </w:r>
    </w:p>
    <w:p w14:paraId="1BFB071D">
      <w:pPr>
        <w:pStyle w:val="5"/>
        <w:bidi w:val="0"/>
        <w:ind w:left="0" w:leftChars="0" w:firstLine="0" w:firstLineChars="0"/>
        <w:rPr>
          <w:highlight w:val="none"/>
        </w:rPr>
      </w:pPr>
      <w:r>
        <w:rPr>
          <w:rFonts w:hint="eastAsia"/>
          <w:highlight w:val="none"/>
        </w:rPr>
        <w:t>其他</w:t>
      </w:r>
    </w:p>
    <w:p w14:paraId="552E46BD">
      <w:pPr>
        <w:ind w:firstLine="480"/>
        <w:rPr>
          <w:highlight w:val="none"/>
        </w:rPr>
      </w:pPr>
      <w:r>
        <w:rPr>
          <w:rFonts w:hint="eastAsia"/>
          <w:highlight w:val="none"/>
        </w:rPr>
        <w:t>（1）在吊装前应</w:t>
      </w:r>
      <w:r>
        <w:rPr>
          <w:rFonts w:hint="eastAsia"/>
          <w:color w:val="000000" w:themeColor="text1"/>
          <w:highlight w:val="none"/>
          <w14:textFill>
            <w14:solidFill>
              <w14:schemeClr w14:val="tx1"/>
            </w14:solidFill>
          </w14:textFill>
        </w:rPr>
        <w:t>做好</w:t>
      </w:r>
      <w:r>
        <w:rPr>
          <w:rFonts w:hint="eastAsia"/>
          <w:highlight w:val="none"/>
        </w:rPr>
        <w:t>现场气象资料的预报和收集工作，在吊装过程中应对现场气象情况进行实时监控并要安装单位提供当地气象局三天内的天气报告。</w:t>
      </w:r>
    </w:p>
    <w:p w14:paraId="0ACFF498">
      <w:pPr>
        <w:ind w:firstLine="480"/>
        <w:rPr>
          <w:highlight w:val="none"/>
        </w:rPr>
      </w:pPr>
      <w:r>
        <w:rPr>
          <w:rFonts w:hint="eastAsia"/>
          <w:highlight w:val="none"/>
        </w:rPr>
        <w:t>（2）划分安全警戒区域，指定监护人员，非工作人员不得进入警戒区。</w:t>
      </w:r>
    </w:p>
    <w:p w14:paraId="34044235">
      <w:pPr>
        <w:ind w:firstLine="480"/>
        <w:rPr>
          <w:highlight w:val="none"/>
        </w:rPr>
      </w:pPr>
      <w:r>
        <w:rPr>
          <w:rFonts w:hint="eastAsia"/>
          <w:highlight w:val="none"/>
        </w:rPr>
        <w:t>（3）每台塔式起重机设立专用配电箱，符合临时用电《</w:t>
      </w:r>
      <w:r>
        <w:rPr>
          <w:rFonts w:hint="eastAsia"/>
          <w:highlight w:val="none"/>
          <w:lang w:eastAsia="zh-CN"/>
        </w:rPr>
        <w:t>建筑与市政工程施工现场临时用电安全技术标准</w:t>
      </w:r>
      <w:r>
        <w:rPr>
          <w:rFonts w:hint="eastAsia"/>
          <w:highlight w:val="none"/>
        </w:rPr>
        <w:t>》（JGJ</w:t>
      </w:r>
      <w:r>
        <w:rPr>
          <w:rFonts w:hint="eastAsia"/>
          <w:highlight w:val="none"/>
          <w:lang w:val="en-US" w:eastAsia="zh-CN"/>
        </w:rPr>
        <w:t>/T</w:t>
      </w:r>
      <w:r>
        <w:rPr>
          <w:rFonts w:hint="eastAsia"/>
          <w:highlight w:val="none"/>
        </w:rPr>
        <w:t>46-20</w:t>
      </w:r>
      <w:r>
        <w:rPr>
          <w:rFonts w:hint="eastAsia"/>
          <w:highlight w:val="none"/>
          <w:lang w:val="en-US" w:eastAsia="zh-CN"/>
        </w:rPr>
        <w:t>24</w:t>
      </w:r>
      <w:r>
        <w:rPr>
          <w:rFonts w:hint="eastAsia"/>
          <w:highlight w:val="none"/>
        </w:rPr>
        <w:t>）相关要求。</w:t>
      </w:r>
    </w:p>
    <w:p w14:paraId="421A9825">
      <w:pPr>
        <w:pStyle w:val="4"/>
        <w:bidi w:val="0"/>
        <w:ind w:left="0" w:leftChars="0" w:firstLine="0" w:firstLineChars="0"/>
        <w:rPr>
          <w:highlight w:val="none"/>
        </w:rPr>
      </w:pPr>
      <w:bookmarkStart w:id="45" w:name="_Toc11196"/>
      <w:r>
        <w:rPr>
          <w:rFonts w:hint="eastAsia"/>
          <w:highlight w:val="none"/>
        </w:rPr>
        <w:t>安装具体步骤（XGT360-20S1型塔吊）</w:t>
      </w:r>
      <w:bookmarkEnd w:id="45"/>
    </w:p>
    <w:p w14:paraId="72F1A854">
      <w:pPr>
        <w:pStyle w:val="5"/>
        <w:bidi w:val="0"/>
        <w:ind w:left="0" w:leftChars="0" w:firstLine="0" w:firstLineChars="0"/>
        <w:rPr>
          <w:highlight w:val="none"/>
        </w:rPr>
      </w:pPr>
      <w:r>
        <w:rPr>
          <w:rFonts w:hint="eastAsia"/>
          <w:highlight w:val="none"/>
        </w:rPr>
        <w:t>塔吊基础</w:t>
      </w:r>
    </w:p>
    <w:p w14:paraId="372CF59C">
      <w:pPr>
        <w:ind w:firstLine="480"/>
        <w:rPr>
          <w:highlight w:val="none"/>
        </w:rPr>
      </w:pPr>
      <w:r>
        <w:rPr>
          <w:rFonts w:hint="eastAsia"/>
          <w:highlight w:val="none"/>
        </w:rPr>
        <w:t>3#塔吊基础</w:t>
      </w:r>
      <w:r>
        <w:rPr>
          <w:rFonts w:hint="eastAsia"/>
          <w:highlight w:val="none"/>
          <w:lang w:val="en-US" w:eastAsia="zh-CN"/>
        </w:rPr>
        <w:t>采用钢结构承台</w:t>
      </w:r>
      <w:r>
        <w:rPr>
          <w:rFonts w:hint="eastAsia"/>
          <w:highlight w:val="none"/>
        </w:rPr>
        <w:t>，</w:t>
      </w:r>
      <w:r>
        <w:rPr>
          <w:rFonts w:hint="eastAsia"/>
          <w:highlight w:val="none"/>
          <w:lang w:val="en-US" w:eastAsia="zh-CN"/>
        </w:rPr>
        <w:t>基础竖腿采用钢板焊接组合截面，</w:t>
      </w:r>
      <w:r>
        <w:rPr>
          <w:rFonts w:hint="eastAsia"/>
          <w:highlight w:val="none"/>
        </w:rPr>
        <w:t>其上设置3HN900</w:t>
      </w:r>
      <w:r>
        <w:rPr>
          <w:highlight w:val="none"/>
        </w:rPr>
        <w:t>×</w:t>
      </w:r>
      <w:r>
        <w:rPr>
          <w:rFonts w:hint="eastAsia"/>
          <w:highlight w:val="none"/>
        </w:rPr>
        <w:t>300型钢水平梁作为基础节支撑，结构具体布置见图4.4.1-1~4.4.1-</w:t>
      </w:r>
      <w:r>
        <w:rPr>
          <w:rFonts w:hint="eastAsia"/>
          <w:highlight w:val="none"/>
          <w:lang w:val="en-US" w:eastAsia="zh-CN"/>
        </w:rPr>
        <w:t>3</w:t>
      </w:r>
      <w:r>
        <w:rPr>
          <w:rFonts w:hint="eastAsia"/>
          <w:highlight w:val="none"/>
          <w:lang w:eastAsia="zh-CN"/>
        </w:rPr>
        <w:t>，</w:t>
      </w:r>
      <w:r>
        <w:rPr>
          <w:rFonts w:hint="eastAsia"/>
          <w:highlight w:val="none"/>
          <w:lang w:val="en-US" w:eastAsia="zh-CN"/>
        </w:rPr>
        <w:t>塔机固定支腿与钢结构承台焊接要求见附件9</w:t>
      </w:r>
      <w:r>
        <w:rPr>
          <w:rFonts w:hint="eastAsia"/>
          <w:highlight w:val="none"/>
        </w:rPr>
        <w:t>。</w:t>
      </w:r>
    </w:p>
    <w:p w14:paraId="737DFFCA">
      <w:pPr>
        <w:adjustRightInd w:val="0"/>
        <w:snapToGrid w:val="0"/>
        <w:spacing w:line="240" w:lineRule="auto"/>
        <w:ind w:firstLine="0" w:firstLineChars="0"/>
        <w:rPr>
          <w:rFonts w:hint="eastAsia" w:eastAsia="宋体"/>
          <w:highlight w:val="none"/>
          <w:lang w:eastAsia="zh-CN"/>
        </w:rPr>
      </w:pPr>
      <w:r>
        <w:rPr>
          <w:rFonts w:hint="eastAsia" w:eastAsia="宋体"/>
          <w:highlight w:val="none"/>
          <w:lang w:eastAsia="zh-CN"/>
        </w:rPr>
        <w:drawing>
          <wp:inline distT="0" distB="0" distL="114300" distR="114300">
            <wp:extent cx="5573395" cy="3434715"/>
            <wp:effectExtent l="0" t="0" r="8255" b="13335"/>
            <wp:docPr id="116" name="图片 116" descr="174450648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1744506481575"/>
                    <pic:cNvPicPr>
                      <a:picLocks noChangeAspect="1"/>
                    </pic:cNvPicPr>
                  </pic:nvPicPr>
                  <pic:blipFill>
                    <a:blip r:embed="rId51"/>
                    <a:stretch>
                      <a:fillRect/>
                    </a:stretch>
                  </pic:blipFill>
                  <pic:spPr>
                    <a:xfrm>
                      <a:off x="0" y="0"/>
                      <a:ext cx="5573395" cy="3434715"/>
                    </a:xfrm>
                    <a:prstGeom prst="rect">
                      <a:avLst/>
                    </a:prstGeom>
                  </pic:spPr>
                </pic:pic>
              </a:graphicData>
            </a:graphic>
          </wp:inline>
        </w:drawing>
      </w:r>
    </w:p>
    <w:p w14:paraId="09DF1C1B">
      <w:pPr>
        <w:numPr>
          <w:ilvl w:val="0"/>
          <w:numId w:val="24"/>
        </w:numPr>
        <w:tabs>
          <w:tab w:val="left" w:pos="420"/>
          <w:tab w:val="clear" w:pos="0"/>
        </w:tabs>
        <w:adjustRightInd w:val="0"/>
        <w:snapToGrid w:val="0"/>
        <w:spacing w:after="156" w:afterLines="50"/>
        <w:ind w:firstLineChars="0"/>
        <w:jc w:val="center"/>
        <w:rPr>
          <w:rStyle w:val="47"/>
          <w:bCs/>
          <w:szCs w:val="22"/>
          <w:highlight w:val="none"/>
        </w:rPr>
      </w:pPr>
      <w:r>
        <w:rPr>
          <w:rStyle w:val="47"/>
          <w:rFonts w:hint="eastAsia" w:asciiTheme="minorEastAsia" w:hAnsiTheme="minorEastAsia" w:eastAsiaTheme="minorEastAsia" w:cstheme="minorEastAsia"/>
          <w:bCs/>
          <w:szCs w:val="22"/>
          <w:highlight w:val="none"/>
        </w:rPr>
        <w:t>塔吊基础平面布置图</w:t>
      </w:r>
    </w:p>
    <w:p w14:paraId="2550F4A0">
      <w:pPr>
        <w:ind w:firstLine="0" w:firstLineChars="0"/>
        <w:rPr>
          <w:highlight w:val="none"/>
        </w:rPr>
      </w:pPr>
      <w:r>
        <w:rPr>
          <w:highlight w:val="none"/>
        </w:rPr>
        <w:object>
          <v:shape id="_x0000_i1025" o:spt="75" type="#_x0000_t75" style="height:148.3pt;width:402.8pt;" o:ole="t" filled="f" o:preferrelative="t" stroked="f" coordsize="21600,21600">
            <v:path/>
            <v:fill on="f" focussize="0,0"/>
            <v:stroke on="f" joinstyle="miter"/>
            <v:imagedata r:id="rId53" cropleft="13031f" croptop="8666f" cropright="9509f" cropbottom="16371f" o:title=""/>
            <o:lock v:ext="edit" aspectratio="f"/>
            <w10:wrap type="none"/>
            <w10:anchorlock/>
          </v:shape>
          <o:OLEObject Type="Embed" ProgID="AutoCAD.Drawing.23" ShapeID="_x0000_i1025" DrawAspect="Content" ObjectID="_1468075725" r:id="rId52">
            <o:LockedField>false</o:LockedField>
          </o:OLEObject>
        </w:object>
      </w:r>
    </w:p>
    <w:p w14:paraId="53EADDCB">
      <w:pPr>
        <w:numPr>
          <w:ilvl w:val="0"/>
          <w:numId w:val="24"/>
        </w:numPr>
        <w:tabs>
          <w:tab w:val="left" w:pos="420"/>
          <w:tab w:val="clear" w:pos="0"/>
        </w:tabs>
        <w:adjustRightInd w:val="0"/>
        <w:snapToGrid w:val="0"/>
        <w:spacing w:after="156" w:afterLines="50"/>
        <w:ind w:firstLineChars="0"/>
        <w:jc w:val="center"/>
        <w:rPr>
          <w:sz w:val="21"/>
          <w:highlight w:val="none"/>
        </w:rPr>
      </w:pPr>
      <w:r>
        <w:rPr>
          <w:rStyle w:val="47"/>
          <w:rFonts w:hint="eastAsia" w:asciiTheme="minorEastAsia" w:hAnsiTheme="minorEastAsia" w:eastAsiaTheme="minorEastAsia" w:cstheme="minorEastAsia"/>
          <w:bCs/>
          <w:sz w:val="21"/>
          <w:highlight w:val="none"/>
        </w:rPr>
        <w:t>塔吊基础及加强结构立面图</w:t>
      </w:r>
    </w:p>
    <w:p w14:paraId="015ABBE6">
      <w:pPr>
        <w:ind w:firstLine="480"/>
        <w:rPr>
          <w:highlight w:val="none"/>
        </w:rPr>
      </w:pPr>
    </w:p>
    <w:p w14:paraId="44F3891F">
      <w:pPr>
        <w:ind w:firstLine="480"/>
        <w:rPr>
          <w:highlight w:val="none"/>
        </w:rPr>
      </w:pPr>
      <w:r>
        <w:rPr>
          <w:rFonts w:hint="eastAsia"/>
          <w:highlight w:val="none"/>
        </w:rPr>
        <w:t>3#塔吊采用钢平台形式，塔吊支腿焊接在钢平台上，如4.4.1-1图所示</w:t>
      </w:r>
    </w:p>
    <w:p w14:paraId="3A91A8DC">
      <w:pPr>
        <w:pStyle w:val="2"/>
        <w:ind w:left="0" w:leftChars="0" w:firstLine="0" w:firstLineChars="0"/>
        <w:jc w:val="both"/>
        <w:rPr>
          <w:highlight w:val="none"/>
        </w:rPr>
      </w:pPr>
      <w:r>
        <w:rPr>
          <w:highlight w:val="none"/>
        </w:rPr>
        <w:drawing>
          <wp:inline distT="0" distB="0" distL="114300" distR="114300">
            <wp:extent cx="5264785" cy="4112260"/>
            <wp:effectExtent l="0" t="0" r="12065"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4"/>
                    <a:stretch>
                      <a:fillRect/>
                    </a:stretch>
                  </pic:blipFill>
                  <pic:spPr>
                    <a:xfrm>
                      <a:off x="0" y="0"/>
                      <a:ext cx="5264785" cy="4112260"/>
                    </a:xfrm>
                    <a:prstGeom prst="rect">
                      <a:avLst/>
                    </a:prstGeom>
                    <a:noFill/>
                    <a:ln>
                      <a:noFill/>
                    </a:ln>
                  </pic:spPr>
                </pic:pic>
              </a:graphicData>
            </a:graphic>
          </wp:inline>
        </w:drawing>
      </w:r>
      <w:r>
        <w:rPr>
          <w:highlight w:val="none"/>
        </w:rPr>
        <w:drawing>
          <wp:inline distT="0" distB="0" distL="114300" distR="114300">
            <wp:extent cx="5273040" cy="3173730"/>
            <wp:effectExtent l="0" t="0" r="3810"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55"/>
                    <a:stretch>
                      <a:fillRect/>
                    </a:stretch>
                  </pic:blipFill>
                  <pic:spPr>
                    <a:xfrm>
                      <a:off x="0" y="0"/>
                      <a:ext cx="5273040" cy="3173730"/>
                    </a:xfrm>
                    <a:prstGeom prst="rect">
                      <a:avLst/>
                    </a:prstGeom>
                    <a:noFill/>
                    <a:ln>
                      <a:noFill/>
                    </a:ln>
                  </pic:spPr>
                </pic:pic>
              </a:graphicData>
            </a:graphic>
          </wp:inline>
        </w:drawing>
      </w:r>
      <w:r>
        <w:rPr>
          <w:highlight w:val="none"/>
        </w:rPr>
        <w:drawing>
          <wp:inline distT="0" distB="0" distL="114300" distR="114300">
            <wp:extent cx="3038475" cy="2981325"/>
            <wp:effectExtent l="0" t="0" r="9525" b="9525"/>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56"/>
                    <a:stretch>
                      <a:fillRect/>
                    </a:stretch>
                  </pic:blipFill>
                  <pic:spPr>
                    <a:xfrm>
                      <a:off x="0" y="0"/>
                      <a:ext cx="3038475" cy="2981325"/>
                    </a:xfrm>
                    <a:prstGeom prst="rect">
                      <a:avLst/>
                    </a:prstGeom>
                    <a:noFill/>
                    <a:ln>
                      <a:noFill/>
                    </a:ln>
                  </pic:spPr>
                </pic:pic>
              </a:graphicData>
            </a:graphic>
          </wp:inline>
        </w:drawing>
      </w:r>
    </w:p>
    <w:p w14:paraId="0808EC85">
      <w:pPr>
        <w:pStyle w:val="2"/>
        <w:ind w:firstLine="480"/>
        <w:rPr>
          <w:highlight w:val="none"/>
        </w:rPr>
      </w:pPr>
      <w:r>
        <w:rPr>
          <w:rFonts w:hint="eastAsia"/>
          <w:highlight w:val="none"/>
        </w:rPr>
        <w:t xml:space="preserve">                   图4.4.1-</w:t>
      </w:r>
      <w:r>
        <w:rPr>
          <w:rFonts w:hint="eastAsia"/>
          <w:highlight w:val="none"/>
          <w:lang w:val="en-US" w:eastAsia="zh-CN"/>
        </w:rPr>
        <w:t>3</w:t>
      </w:r>
      <w:r>
        <w:rPr>
          <w:rFonts w:hint="eastAsia"/>
          <w:highlight w:val="none"/>
        </w:rPr>
        <w:t>塔吊基础形式</w:t>
      </w:r>
    </w:p>
    <w:p w14:paraId="77478415">
      <w:pPr>
        <w:pStyle w:val="5"/>
        <w:bidi w:val="0"/>
        <w:ind w:left="0" w:leftChars="0" w:firstLine="0" w:firstLineChars="0"/>
        <w:rPr>
          <w:highlight w:val="none"/>
        </w:rPr>
      </w:pPr>
      <w:r>
        <w:rPr>
          <w:rFonts w:hint="eastAsia"/>
          <w:highlight w:val="none"/>
        </w:rPr>
        <w:t>安装基础节</w:t>
      </w:r>
    </w:p>
    <w:p w14:paraId="58841700">
      <w:pPr>
        <w:pStyle w:val="7"/>
        <w:bidi w:val="0"/>
        <w:ind w:left="864" w:leftChars="0" w:hanging="864" w:firstLineChars="0"/>
        <w:rPr>
          <w:highlight w:val="none"/>
        </w:rPr>
      </w:pPr>
      <w:r>
        <w:rPr>
          <w:rFonts w:hint="eastAsia"/>
          <w:highlight w:val="none"/>
        </w:rPr>
        <w:t>安装前的条件</w:t>
      </w:r>
    </w:p>
    <w:p w14:paraId="0B369587">
      <w:pPr>
        <w:pStyle w:val="18"/>
        <w:rPr>
          <w:rFonts w:ascii="宋体" w:hAnsi="宋体" w:cs="宋体"/>
          <w:bCs/>
          <w:color w:val="000000" w:themeColor="text1"/>
          <w:highlight w:val="none"/>
          <w14:textFill>
            <w14:solidFill>
              <w14:schemeClr w14:val="tx1"/>
            </w14:solidFill>
          </w14:textFill>
        </w:rPr>
      </w:pPr>
      <w:r>
        <w:rPr>
          <w:rFonts w:hint="eastAsia"/>
          <w:highlight w:val="none"/>
        </w:rPr>
        <w:t xml:space="preserve">表 </w:t>
      </w:r>
      <w:r>
        <w:rPr>
          <w:highlight w:val="none"/>
        </w:rPr>
        <w:fldChar w:fldCharType="begin"/>
      </w:r>
      <w:r>
        <w:rPr>
          <w:highlight w:val="none"/>
        </w:rPr>
        <w:instrText xml:space="preserve"> </w:instrText>
      </w:r>
      <w:r>
        <w:rPr>
          <w:rFonts w:hint="eastAsia"/>
          <w:highlight w:val="none"/>
        </w:rPr>
        <w:instrText xml:space="preserve">STYLEREF 3 \s</w:instrText>
      </w:r>
      <w:r>
        <w:rPr>
          <w:highlight w:val="none"/>
        </w:rPr>
        <w:instrText xml:space="preserve"> </w:instrText>
      </w:r>
      <w:r>
        <w:rPr>
          <w:highlight w:val="none"/>
        </w:rPr>
        <w:fldChar w:fldCharType="separate"/>
      </w:r>
      <w:r>
        <w:rPr>
          <w:highlight w:val="none"/>
        </w:rPr>
        <w:t>4.</w:t>
      </w:r>
      <w:r>
        <w:rPr>
          <w:rFonts w:hint="eastAsia"/>
          <w:highlight w:val="none"/>
        </w:rPr>
        <w:t>4</w:t>
      </w:r>
      <w:r>
        <w:rPr>
          <w:highlight w:val="none"/>
        </w:rPr>
        <w:t>.</w:t>
      </w:r>
      <w:r>
        <w:rPr>
          <w:rFonts w:hint="eastAsia"/>
          <w:highlight w:val="none"/>
        </w:rPr>
        <w:t>2</w:t>
      </w:r>
      <w:r>
        <w:rPr>
          <w:highlight w:val="none"/>
        </w:rPr>
        <w:fldChar w:fldCharType="end"/>
      </w:r>
      <w:r>
        <w:rPr>
          <w:rFonts w:hint="eastAsia"/>
          <w:highlight w:val="none"/>
        </w:rPr>
        <w:t>.1</w:t>
      </w:r>
      <w:r>
        <w:rPr>
          <w:highlight w:val="none"/>
        </w:rPr>
        <w:noBreakHyphen/>
      </w:r>
      <w:r>
        <w:rPr>
          <w:highlight w:val="none"/>
        </w:rPr>
        <w:fldChar w:fldCharType="begin"/>
      </w:r>
      <w:r>
        <w:rPr>
          <w:highlight w:val="none"/>
        </w:rPr>
        <w:instrText xml:space="preserve"> </w:instrText>
      </w:r>
      <w:r>
        <w:rPr>
          <w:rFonts w:hint="eastAsia"/>
          <w:highlight w:val="none"/>
        </w:rPr>
        <w:instrText xml:space="preserve">SEQ 表 \* ARABIC \s 3</w:instrText>
      </w:r>
      <w:r>
        <w:rPr>
          <w:highlight w:val="none"/>
        </w:rPr>
        <w:instrText xml:space="preserve"> </w:instrText>
      </w:r>
      <w:r>
        <w:rPr>
          <w:highlight w:val="none"/>
        </w:rPr>
        <w:fldChar w:fldCharType="separate"/>
      </w:r>
      <w:r>
        <w:rPr>
          <w:highlight w:val="none"/>
        </w:rPr>
        <w:t>1</w:t>
      </w:r>
      <w:r>
        <w:rPr>
          <w:highlight w:val="none"/>
        </w:rPr>
        <w:fldChar w:fldCharType="end"/>
      </w:r>
      <w:r>
        <w:rPr>
          <w:rFonts w:hint="eastAsia" w:ascii="宋体" w:hAnsi="宋体" w:cs="宋体"/>
          <w:bCs/>
          <w:color w:val="000000" w:themeColor="text1"/>
          <w:highlight w:val="none"/>
          <w14:textFill>
            <w14:solidFill>
              <w14:schemeClr w14:val="tx1"/>
            </w14:solidFill>
          </w14:textFill>
        </w:rPr>
        <w:t>安装前提表</w:t>
      </w:r>
    </w:p>
    <w:tbl>
      <w:tblPr>
        <w:tblStyle w:val="159"/>
        <w:tblW w:w="4999" w:type="pct"/>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2377"/>
        <w:gridCol w:w="6143"/>
      </w:tblGrid>
      <w:tr w14:paraId="2C6B1C8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395"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397AFC8E">
            <w:pPr>
              <w:pStyle w:val="53"/>
              <w:rPr>
                <w:rFonts w:ascii="Times New Roman" w:hAnsi="Times New Roman" w:eastAsia="宋体" w:cstheme="minorBidi"/>
                <w:b w:val="0"/>
                <w:bCs w:val="0"/>
                <w:i w:val="0"/>
                <w:highlight w:val="none"/>
              </w:rPr>
            </w:pPr>
            <w:r>
              <w:rPr>
                <w:rFonts w:hint="eastAsia" w:ascii="Times New Roman" w:hAnsi="Times New Roman" w:eastAsia="宋体" w:cstheme="minorBidi"/>
                <w:b/>
                <w:bCs w:val="0"/>
                <w:i w:val="0"/>
                <w:highlight w:val="none"/>
              </w:rPr>
              <w:t>序号</w:t>
            </w:r>
          </w:p>
        </w:tc>
        <w:tc>
          <w:tcPr>
            <w:tcW w:w="3604"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6234CD3F">
            <w:pPr>
              <w:pStyle w:val="53"/>
              <w:rPr>
                <w:rFonts w:ascii="Times New Roman" w:hAnsi="Times New Roman" w:eastAsia="宋体" w:cstheme="minorBidi"/>
                <w:b w:val="0"/>
                <w:bCs w:val="0"/>
                <w:i w:val="0"/>
                <w:highlight w:val="none"/>
              </w:rPr>
            </w:pPr>
            <w:r>
              <w:rPr>
                <w:rFonts w:hint="eastAsia" w:ascii="Times New Roman" w:hAnsi="Times New Roman" w:eastAsia="宋体" w:cstheme="minorBidi"/>
                <w:b/>
                <w:bCs w:val="0"/>
                <w:i w:val="0"/>
                <w:highlight w:val="none"/>
              </w:rPr>
              <w:t>安装前需具备条件</w:t>
            </w:r>
          </w:p>
        </w:tc>
      </w:tr>
      <w:tr w14:paraId="428C940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1395"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3CEAFFD">
            <w:pPr>
              <w:pStyle w:val="53"/>
              <w:rPr>
                <w:rFonts w:ascii="Times New Roman" w:hAnsi="Times New Roman" w:eastAsia="宋体" w:cstheme="minorBidi"/>
                <w:b w:val="0"/>
                <w:i w:val="0"/>
                <w:highlight w:val="none"/>
              </w:rPr>
            </w:pPr>
            <w:r>
              <w:rPr>
                <w:rFonts w:hint="eastAsia" w:ascii="Times New Roman" w:hAnsi="Times New Roman" w:eastAsia="宋体" w:cstheme="minorBidi"/>
                <w:b w:val="0"/>
                <w:i w:val="0"/>
                <w:highlight w:val="none"/>
              </w:rPr>
              <w:t>1</w:t>
            </w:r>
          </w:p>
        </w:tc>
        <w:tc>
          <w:tcPr>
            <w:tcW w:w="3604"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54F67FB">
            <w:pPr>
              <w:pStyle w:val="53"/>
              <w:rPr>
                <w:rFonts w:cstheme="minorBidi"/>
                <w:b w:val="0"/>
                <w:highlight w:val="none"/>
              </w:rPr>
            </w:pPr>
            <w:r>
              <w:rPr>
                <w:rFonts w:hint="eastAsia" w:cstheme="minorBidi"/>
                <w:b w:val="0"/>
                <w:highlight w:val="none"/>
              </w:rPr>
              <w:t>基础验收合格并出具验收表</w:t>
            </w:r>
          </w:p>
        </w:tc>
      </w:tr>
      <w:tr w14:paraId="49724DB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1395"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F28587F">
            <w:pPr>
              <w:pStyle w:val="53"/>
              <w:rPr>
                <w:rFonts w:ascii="Times New Roman" w:hAnsi="Times New Roman" w:eastAsia="宋体" w:cstheme="minorBidi"/>
                <w:b w:val="0"/>
                <w:i w:val="0"/>
                <w:highlight w:val="none"/>
              </w:rPr>
            </w:pPr>
            <w:r>
              <w:rPr>
                <w:rFonts w:hint="eastAsia" w:ascii="Times New Roman" w:hAnsi="Times New Roman" w:eastAsia="宋体" w:cstheme="minorBidi"/>
                <w:b w:val="0"/>
                <w:i w:val="0"/>
                <w:highlight w:val="none"/>
              </w:rPr>
              <w:t>2</w:t>
            </w:r>
          </w:p>
        </w:tc>
        <w:tc>
          <w:tcPr>
            <w:tcW w:w="3604"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FAC94D0">
            <w:pPr>
              <w:pStyle w:val="53"/>
              <w:rPr>
                <w:rFonts w:cstheme="minorBidi"/>
                <w:b w:val="0"/>
                <w:highlight w:val="none"/>
              </w:rPr>
            </w:pPr>
            <w:r>
              <w:rPr>
                <w:rFonts w:hint="eastAsia" w:cstheme="minorBidi"/>
                <w:b w:val="0"/>
                <w:highlight w:val="none"/>
              </w:rPr>
              <w:t>配置符合要求的塔机专用配电箱</w:t>
            </w:r>
          </w:p>
        </w:tc>
      </w:tr>
      <w:tr w14:paraId="1966DFA2">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1395"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F940647">
            <w:pPr>
              <w:pStyle w:val="53"/>
              <w:rPr>
                <w:rFonts w:ascii="Times New Roman" w:hAnsi="Times New Roman" w:eastAsia="宋体" w:cstheme="minorBidi"/>
                <w:b w:val="0"/>
                <w:i w:val="0"/>
                <w:highlight w:val="none"/>
              </w:rPr>
            </w:pPr>
            <w:r>
              <w:rPr>
                <w:rFonts w:hint="eastAsia" w:ascii="Times New Roman" w:hAnsi="Times New Roman" w:eastAsia="宋体" w:cstheme="minorBidi"/>
                <w:b w:val="0"/>
                <w:i w:val="0"/>
                <w:highlight w:val="none"/>
              </w:rPr>
              <w:t>3</w:t>
            </w:r>
          </w:p>
        </w:tc>
        <w:tc>
          <w:tcPr>
            <w:tcW w:w="3604"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47250F8">
            <w:pPr>
              <w:pStyle w:val="53"/>
              <w:rPr>
                <w:rFonts w:cstheme="minorBidi"/>
                <w:b w:val="0"/>
                <w:highlight w:val="none"/>
              </w:rPr>
            </w:pPr>
            <w:r>
              <w:rPr>
                <w:rFonts w:hint="eastAsia" w:cstheme="minorBidi"/>
                <w:b w:val="0"/>
                <w:highlight w:val="none"/>
              </w:rPr>
              <w:t>现场具备吊机及运输车辆的行驶条件</w:t>
            </w:r>
          </w:p>
        </w:tc>
      </w:tr>
      <w:tr w14:paraId="5C833B6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1395"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62E37D2B">
            <w:pPr>
              <w:pStyle w:val="53"/>
              <w:rPr>
                <w:rFonts w:ascii="Times New Roman" w:hAnsi="Times New Roman" w:eastAsia="宋体" w:cstheme="minorBidi"/>
                <w:b w:val="0"/>
                <w:i w:val="0"/>
                <w:highlight w:val="none"/>
              </w:rPr>
            </w:pPr>
            <w:r>
              <w:rPr>
                <w:rFonts w:hint="eastAsia" w:ascii="Times New Roman" w:hAnsi="Times New Roman" w:eastAsia="宋体" w:cstheme="minorBidi"/>
                <w:b w:val="0"/>
                <w:i w:val="0"/>
                <w:highlight w:val="none"/>
              </w:rPr>
              <w:t>4</w:t>
            </w:r>
          </w:p>
        </w:tc>
        <w:tc>
          <w:tcPr>
            <w:tcW w:w="3604" w:type="pct"/>
            <w:tcBorders>
              <w:top w:val="single" w:color="000000" w:sz="4" w:space="0"/>
              <w:left w:val="single" w:color="000000" w:sz="4" w:space="0"/>
              <w:bottom w:val="single" w:color="000000" w:sz="12" w:space="0"/>
              <w:right w:val="single" w:color="000000" w:sz="12" w:space="0"/>
            </w:tcBorders>
            <w:shd w:val="clear" w:color="auto" w:fill="FFFFFF"/>
            <w:vAlign w:val="center"/>
          </w:tcPr>
          <w:p w14:paraId="2EC33258">
            <w:pPr>
              <w:pStyle w:val="53"/>
              <w:rPr>
                <w:rFonts w:cstheme="minorBidi"/>
                <w:b w:val="0"/>
                <w:highlight w:val="none"/>
              </w:rPr>
            </w:pPr>
            <w:r>
              <w:rPr>
                <w:rFonts w:hint="eastAsia" w:cstheme="minorBidi"/>
                <w:b w:val="0"/>
                <w:highlight w:val="none"/>
              </w:rPr>
              <w:t>现场具备辅助吊机支设的场地及塔机拼装场地</w:t>
            </w:r>
          </w:p>
        </w:tc>
      </w:tr>
    </w:tbl>
    <w:p w14:paraId="7AD89D3E">
      <w:pPr>
        <w:pStyle w:val="7"/>
        <w:bidi w:val="0"/>
        <w:ind w:left="864" w:leftChars="0" w:hanging="864" w:firstLineChars="0"/>
        <w:rPr>
          <w:highlight w:val="none"/>
        </w:rPr>
      </w:pPr>
      <w:r>
        <w:rPr>
          <w:rFonts w:hint="eastAsia"/>
          <w:highlight w:val="none"/>
        </w:rPr>
        <w:t>安装基础节</w:t>
      </w:r>
    </w:p>
    <w:p w14:paraId="4C4E5A7A">
      <w:pPr>
        <w:ind w:firstLine="480"/>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rFonts w:hint="eastAsia"/>
          <w:highlight w:val="none"/>
        </w:rPr>
        <w:t>基础节吊装采用四点吊，基础节以顶部四个销轴孔作为吊装孔，采用4根20mm6×19S+FC1870Mpa的钢丝绳配套GB/T 25854-6-DW10卸扣进行吊装。</w:t>
      </w:r>
    </w:p>
    <w:p w14:paraId="46619FB4">
      <w:pPr>
        <w:ind w:firstLine="48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作业人员在地面上先将钢丝绳一端挂在吊机吊钩，另一端与卸扣连接，卸扣与吊装孔连接，并在基础节立杆上栓好2根溜绳。启动吊机，将基础节缓慢提升，用溜绳控制其摆动。起吊基础节至塔吊固定支腿上方，吊机缓慢落钩，直至基础节底部销轴孔与预埋固定支腿轴孔对齐，作业人员插入与预埋固定支腿的连接销轴，完成基础节与固定支腿的连接，并在销轴端部插入开口销固定。基础节吊装示意如下图所示</w:t>
      </w:r>
    </w:p>
    <w:p w14:paraId="4DB58767">
      <w:pPr>
        <w:pStyle w:val="40"/>
        <w:ind w:firstLine="0" w:firstLineChars="0"/>
        <w:jc w:val="center"/>
        <w:rPr>
          <w:highlight w:val="none"/>
        </w:rPr>
      </w:pPr>
      <w:r>
        <w:rPr>
          <w:highlight w:val="none"/>
        </w:rPr>
        <w:drawing>
          <wp:inline distT="0" distB="0" distL="114300" distR="114300">
            <wp:extent cx="3505835" cy="4676775"/>
            <wp:effectExtent l="0" t="0" r="18415" b="9525"/>
            <wp:docPr id="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9"/>
                    <pic:cNvPicPr>
                      <a:picLocks noChangeAspect="1"/>
                    </pic:cNvPicPr>
                  </pic:nvPicPr>
                  <pic:blipFill>
                    <a:blip r:embed="rId57"/>
                    <a:stretch>
                      <a:fillRect/>
                    </a:stretch>
                  </pic:blipFill>
                  <pic:spPr>
                    <a:xfrm>
                      <a:off x="0" y="0"/>
                      <a:ext cx="3505835" cy="4676775"/>
                    </a:xfrm>
                    <a:prstGeom prst="rect">
                      <a:avLst/>
                    </a:prstGeom>
                    <a:noFill/>
                    <a:ln>
                      <a:noFill/>
                    </a:ln>
                  </pic:spPr>
                </pic:pic>
              </a:graphicData>
            </a:graphic>
          </wp:inline>
        </w:drawing>
      </w:r>
    </w:p>
    <w:p w14:paraId="4B6028B7">
      <w:pPr>
        <w:ind w:firstLine="480"/>
        <w:jc w:val="center"/>
        <w:rPr>
          <w:highlight w:val="none"/>
        </w:rPr>
      </w:pPr>
      <w:r>
        <w:rPr>
          <w:rFonts w:hint="eastAsia"/>
          <w:highlight w:val="none"/>
        </w:rPr>
        <w:t>图4.4.2.2</w:t>
      </w:r>
      <w:r>
        <w:rPr>
          <w:rFonts w:hint="eastAsia"/>
          <w:highlight w:val="none"/>
        </w:rPr>
        <w:noBreakHyphen/>
      </w:r>
      <w:r>
        <w:rPr>
          <w:rFonts w:hint="eastAsia"/>
          <w:highlight w:val="none"/>
        </w:rPr>
        <w:t>1   3#塔机基础节吊装立面示意图</w:t>
      </w:r>
    </w:p>
    <w:p w14:paraId="6B2388EE">
      <w:pPr>
        <w:pStyle w:val="40"/>
        <w:ind w:firstLine="0" w:firstLineChars="0"/>
        <w:jc w:val="center"/>
        <w:rPr>
          <w:color w:val="auto"/>
          <w:kern w:val="2"/>
          <w:sz w:val="24"/>
          <w:szCs w:val="21"/>
          <w:highlight w:val="none"/>
        </w:rPr>
      </w:pPr>
      <w:r>
        <w:rPr>
          <w:highlight w:val="none"/>
        </w:rPr>
        <w:drawing>
          <wp:inline distT="0" distB="0" distL="114300" distR="114300">
            <wp:extent cx="4011930" cy="2945130"/>
            <wp:effectExtent l="0" t="0" r="7620" b="7620"/>
            <wp:docPr id="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pic:cNvPicPr>
                  </pic:nvPicPr>
                  <pic:blipFill>
                    <a:blip r:embed="rId58"/>
                    <a:stretch>
                      <a:fillRect/>
                    </a:stretch>
                  </pic:blipFill>
                  <pic:spPr>
                    <a:xfrm>
                      <a:off x="0" y="0"/>
                      <a:ext cx="4011930" cy="2945130"/>
                    </a:xfrm>
                    <a:prstGeom prst="rect">
                      <a:avLst/>
                    </a:prstGeom>
                    <a:noFill/>
                    <a:ln>
                      <a:noFill/>
                    </a:ln>
                  </pic:spPr>
                </pic:pic>
              </a:graphicData>
            </a:graphic>
          </wp:inline>
        </w:drawing>
      </w:r>
    </w:p>
    <w:p w14:paraId="0DDC262A">
      <w:pPr>
        <w:pStyle w:val="40"/>
        <w:ind w:firstLine="480"/>
        <w:jc w:val="center"/>
        <w:rPr>
          <w:color w:val="auto"/>
          <w:kern w:val="2"/>
          <w:sz w:val="24"/>
          <w:szCs w:val="21"/>
          <w:highlight w:val="none"/>
        </w:rPr>
      </w:pPr>
      <w:r>
        <w:rPr>
          <w:rFonts w:hint="eastAsia"/>
          <w:color w:val="auto"/>
          <w:kern w:val="2"/>
          <w:sz w:val="24"/>
          <w:szCs w:val="21"/>
          <w:highlight w:val="none"/>
        </w:rPr>
        <w:t>图4.4.2.2</w:t>
      </w:r>
      <w:r>
        <w:rPr>
          <w:rFonts w:hint="eastAsia"/>
          <w:color w:val="auto"/>
          <w:kern w:val="2"/>
          <w:sz w:val="24"/>
          <w:szCs w:val="21"/>
          <w:highlight w:val="none"/>
        </w:rPr>
        <w:noBreakHyphen/>
      </w:r>
      <w:r>
        <w:rPr>
          <w:rFonts w:hint="eastAsia"/>
          <w:color w:val="auto"/>
          <w:kern w:val="2"/>
          <w:sz w:val="24"/>
          <w:szCs w:val="21"/>
          <w:highlight w:val="none"/>
        </w:rPr>
        <w:t>2    3#塔机基础节吊装平面示意图</w:t>
      </w:r>
    </w:p>
    <w:p w14:paraId="51606AA6">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作业人员通过基础节爬梯爬至基础节顶部，系挂好安全带，站立在基础节横杆上，吊机放松吊钩，作业人员解除卸扣与基础节的连接，完成基础节（S</w:t>
      </w:r>
      <w:r>
        <w:rPr>
          <w:highlight w:val="none"/>
        </w:rPr>
        <w:t>69JT</w:t>
      </w:r>
      <w:r>
        <w:rPr>
          <w:rFonts w:hint="eastAsia"/>
          <w:highlight w:val="none"/>
        </w:rPr>
        <w:t>）的安装。采用同样步骤完成两节基础节安装。</w:t>
      </w:r>
    </w:p>
    <w:p w14:paraId="14631908">
      <w:pPr>
        <w:ind w:firstLine="480"/>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rFonts w:hint="eastAsia"/>
          <w:highlight w:val="none"/>
        </w:rPr>
        <w:t>塔吊基础节安装时设置警戒区，起吊安排专人负责指挥，专人操作，严禁无关人员进入起重作业范围内。基础节吊装后采</w:t>
      </w:r>
      <w:r>
        <w:rPr>
          <w:highlight w:val="none"/>
        </w:rPr>
        <w:t>用</w:t>
      </w:r>
      <w:r>
        <w:rPr>
          <w:rFonts w:hint="eastAsia"/>
          <w:highlight w:val="none"/>
        </w:rPr>
        <w:t>垂</w:t>
      </w:r>
      <w:r>
        <w:rPr>
          <w:highlight w:val="none"/>
        </w:rPr>
        <w:t>线法检查其垂直度，主弦杆四个侧面的垂直度误差应不大于 1.5/1000。</w:t>
      </w:r>
    </w:p>
    <w:p w14:paraId="0201C9CB">
      <w:pPr>
        <w:pStyle w:val="16"/>
        <w:rPr>
          <w:rFonts w:hint="eastAsia"/>
          <w:highlight w:val="none"/>
          <w:lang w:val="en-US" w:eastAsia="zh-CN"/>
        </w:rPr>
      </w:pPr>
      <w:r>
        <w:rPr>
          <w:rFonts w:hint="eastAsia"/>
          <w:highlight w:val="none"/>
          <w:lang w:val="en-US" w:eastAsia="zh-CN"/>
        </w:rPr>
        <w:t>注意：</w:t>
      </w:r>
    </w:p>
    <w:p w14:paraId="655F74BB">
      <w:pPr>
        <w:pStyle w:val="16"/>
        <w:numPr>
          <w:ilvl w:val="0"/>
          <w:numId w:val="25"/>
        </w:numPr>
        <w:ind w:left="425" w:leftChars="0" w:hanging="425" w:firstLineChars="0"/>
        <w:rPr>
          <w:rFonts w:hint="eastAsia"/>
          <w:highlight w:val="none"/>
          <w:lang w:val="en-US" w:eastAsia="zh-CN"/>
        </w:rPr>
      </w:pPr>
      <w:r>
        <w:rPr>
          <w:rFonts w:hint="eastAsia"/>
          <w:highlight w:val="none"/>
          <w:lang w:val="en-US" w:eastAsia="zh-CN"/>
        </w:rPr>
        <w:t>测量基础节的各项尺寸，如边长、高度、螺栓孔间距等，应符合设计要求，允许偏差在规定范围内。</w:t>
      </w:r>
    </w:p>
    <w:p w14:paraId="2B15F3DE">
      <w:pPr>
        <w:pStyle w:val="16"/>
        <w:numPr>
          <w:ilvl w:val="0"/>
          <w:numId w:val="25"/>
        </w:numPr>
        <w:ind w:left="425" w:leftChars="0" w:hanging="425" w:firstLineChars="0"/>
        <w:rPr>
          <w:rFonts w:hint="eastAsia" w:eastAsia="宋体"/>
          <w:highlight w:val="none"/>
          <w:lang w:val="en-US" w:eastAsia="zh-CN"/>
        </w:rPr>
      </w:pPr>
      <w:r>
        <w:rPr>
          <w:rFonts w:hint="eastAsia" w:eastAsia="宋体"/>
          <w:highlight w:val="none"/>
          <w:lang w:val="en-US" w:eastAsia="zh-CN"/>
        </w:rPr>
        <w:t>使用水平仪测量基础节的水平度，其水平度偏差通常不超过规定值。</w:t>
      </w:r>
    </w:p>
    <w:p w14:paraId="2CB3F31E">
      <w:pPr>
        <w:pStyle w:val="16"/>
        <w:numPr>
          <w:ilvl w:val="0"/>
          <w:numId w:val="25"/>
        </w:numPr>
        <w:ind w:left="425" w:leftChars="0" w:hanging="425" w:firstLineChars="0"/>
        <w:rPr>
          <w:rFonts w:hint="eastAsia" w:eastAsia="宋体"/>
          <w:highlight w:val="none"/>
          <w:lang w:val="en-US" w:eastAsia="zh-CN"/>
        </w:rPr>
      </w:pPr>
      <w:r>
        <w:rPr>
          <w:rFonts w:hint="eastAsia"/>
          <w:highlight w:val="none"/>
          <w:lang w:val="en-US" w:eastAsia="zh-CN"/>
        </w:rPr>
        <w:t>用</w:t>
      </w:r>
      <w:r>
        <w:rPr>
          <w:rFonts w:hint="eastAsia" w:eastAsia="宋体"/>
          <w:highlight w:val="none"/>
          <w:lang w:val="en-US" w:eastAsia="zh-CN"/>
        </w:rPr>
        <w:t>销轴连接，检查销轴的安装是否到位，开口销是否齐全且开口符合要求。</w:t>
      </w:r>
    </w:p>
    <w:p w14:paraId="6B65C1A0">
      <w:pPr>
        <w:pStyle w:val="16"/>
        <w:numPr>
          <w:ilvl w:val="0"/>
          <w:numId w:val="25"/>
        </w:numPr>
        <w:ind w:left="425" w:leftChars="0" w:hanging="425" w:firstLineChars="0"/>
        <w:rPr>
          <w:rFonts w:hint="eastAsia"/>
          <w:highlight w:val="none"/>
          <w:lang w:val="en-US" w:eastAsia="zh-CN"/>
        </w:rPr>
      </w:pPr>
      <w:r>
        <w:rPr>
          <w:rFonts w:hint="eastAsia"/>
          <w:highlight w:val="none"/>
          <w:lang w:val="en-US" w:eastAsia="zh-CN"/>
        </w:rPr>
        <w:t>检测接地电阻值，应符合塔式起重机的安全要求，一般不大于规定值。同时检查接地极的安装是否牢固，接地线有无破损、断裂等情况。</w:t>
      </w:r>
    </w:p>
    <w:p w14:paraId="4B846F27">
      <w:pPr>
        <w:pStyle w:val="16"/>
        <w:numPr>
          <w:ilvl w:val="0"/>
          <w:numId w:val="25"/>
        </w:numPr>
        <w:ind w:left="425" w:leftChars="0" w:hanging="425" w:firstLineChars="0"/>
        <w:rPr>
          <w:rFonts w:hint="eastAsia"/>
          <w:highlight w:val="none"/>
          <w:lang w:val="en-US" w:eastAsia="zh-CN"/>
        </w:rPr>
      </w:pPr>
      <w:r>
        <w:rPr>
          <w:rFonts w:hint="eastAsia"/>
          <w:highlight w:val="none"/>
          <w:lang w:val="en-US" w:eastAsia="zh-CN"/>
        </w:rPr>
        <w:t>查看基础节上的电气线路是否布置整齐、固定可靠，有无破损、漏电等隐患。</w:t>
      </w:r>
    </w:p>
    <w:p w14:paraId="605BD777">
      <w:pPr>
        <w:pStyle w:val="5"/>
        <w:bidi w:val="0"/>
        <w:ind w:left="0" w:leftChars="0" w:firstLine="0" w:firstLineChars="0"/>
        <w:rPr>
          <w:highlight w:val="none"/>
        </w:rPr>
      </w:pPr>
      <w:r>
        <w:rPr>
          <w:rFonts w:hint="eastAsia"/>
          <w:highlight w:val="none"/>
        </w:rPr>
        <w:t>安装套架</w:t>
      </w:r>
    </w:p>
    <w:p w14:paraId="01DBC74E">
      <w:pPr>
        <w:pStyle w:val="7"/>
        <w:bidi w:val="0"/>
        <w:ind w:left="864" w:leftChars="0" w:hanging="864" w:firstLineChars="0"/>
        <w:rPr>
          <w:highlight w:val="none"/>
        </w:rPr>
      </w:pPr>
      <w:r>
        <w:rPr>
          <w:rFonts w:hint="eastAsia"/>
          <w:highlight w:val="none"/>
        </w:rPr>
        <w:t>安装套架平台</w:t>
      </w:r>
    </w:p>
    <w:p w14:paraId="69959720">
      <w:pPr>
        <w:ind w:firstLine="480"/>
        <w:jc w:val="left"/>
        <w:rPr>
          <w:highlight w:val="none"/>
        </w:rPr>
      </w:pPr>
      <w:r>
        <w:rPr>
          <w:highlight w:val="none"/>
        </w:rPr>
        <w:t xml:space="preserve">爬升架装有2层含有扶手栏杆的平台:下层包括四个平台，即爬升架每面各一个。上层包括三个平台，即爬升架左右面各一个，后面也有一个，依靠爬梯连接上下两层平台。 </w:t>
      </w:r>
      <w:r>
        <w:rPr>
          <w:rFonts w:hint="eastAsia"/>
          <w:highlight w:val="none"/>
        </w:rPr>
        <w:t xml:space="preserve">       </w:t>
      </w:r>
    </w:p>
    <w:p w14:paraId="70CC49DF">
      <w:pPr>
        <w:ind w:firstLine="0" w:firstLineChars="0"/>
        <w:jc w:val="center"/>
        <w:rPr>
          <w:highlight w:val="none"/>
        </w:rPr>
      </w:pPr>
      <w:r>
        <w:rPr>
          <w:highlight w:val="none"/>
        </w:rPr>
        <w:drawing>
          <wp:inline distT="0" distB="0" distL="114300" distR="114300">
            <wp:extent cx="3114675" cy="3790950"/>
            <wp:effectExtent l="0" t="0" r="9525" b="0"/>
            <wp:docPr id="3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1"/>
                    <pic:cNvPicPr>
                      <a:picLocks noChangeAspect="1"/>
                    </pic:cNvPicPr>
                  </pic:nvPicPr>
                  <pic:blipFill>
                    <a:blip r:embed="rId59"/>
                    <a:stretch>
                      <a:fillRect/>
                    </a:stretch>
                  </pic:blipFill>
                  <pic:spPr>
                    <a:xfrm>
                      <a:off x="0" y="0"/>
                      <a:ext cx="3114675" cy="3790950"/>
                    </a:xfrm>
                    <a:prstGeom prst="rect">
                      <a:avLst/>
                    </a:prstGeom>
                    <a:noFill/>
                    <a:ln>
                      <a:noFill/>
                    </a:ln>
                  </pic:spPr>
                </pic:pic>
              </a:graphicData>
            </a:graphic>
          </wp:inline>
        </w:drawing>
      </w:r>
    </w:p>
    <w:p w14:paraId="38D88770">
      <w:pPr>
        <w:ind w:firstLine="480"/>
        <w:jc w:val="center"/>
        <w:rPr>
          <w:highlight w:val="none"/>
        </w:rPr>
      </w:pPr>
      <w:r>
        <w:rPr>
          <w:highlight w:val="none"/>
        </w:rPr>
        <w:t>图4.</w:t>
      </w:r>
      <w:r>
        <w:rPr>
          <w:rFonts w:hint="eastAsia"/>
          <w:highlight w:val="none"/>
        </w:rPr>
        <w:t>4.3.1-1</w:t>
      </w:r>
      <w:r>
        <w:rPr>
          <w:highlight w:val="none"/>
        </w:rPr>
        <w:t>套架平台示意图</w:t>
      </w:r>
    </w:p>
    <w:p w14:paraId="065E2CEC">
      <w:pPr>
        <w:pStyle w:val="7"/>
        <w:bidi w:val="0"/>
        <w:ind w:left="864" w:leftChars="0" w:hanging="864" w:firstLineChars="0"/>
        <w:rPr>
          <w:highlight w:val="none"/>
        </w:rPr>
      </w:pPr>
      <w:r>
        <w:rPr>
          <w:rFonts w:hint="eastAsia"/>
          <w:highlight w:val="none"/>
        </w:rPr>
        <w:t>安装顶升横梁，油缸及液压站</w:t>
      </w:r>
    </w:p>
    <w:p w14:paraId="2D847499">
      <w:pPr>
        <w:ind w:firstLine="480"/>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highlight w:val="none"/>
        </w:rPr>
        <w:t>顶升横梁组装:撑脚横梁(1)与脚止动靴(2)连接，插入销轴(3)，选用轴端挡板(5)用螺栓(4)、垫圈(6)紧固。</w:t>
      </w:r>
    </w:p>
    <w:p w14:paraId="26920B93">
      <w:pPr>
        <w:ind w:firstLine="0" w:firstLineChars="0"/>
        <w:jc w:val="center"/>
        <w:rPr>
          <w:highlight w:val="none"/>
        </w:rPr>
      </w:pPr>
      <w:r>
        <w:rPr>
          <w:highlight w:val="none"/>
        </w:rPr>
        <w:drawing>
          <wp:inline distT="0" distB="0" distL="114300" distR="114300">
            <wp:extent cx="3324225" cy="2219325"/>
            <wp:effectExtent l="0" t="0" r="9525" b="9525"/>
            <wp:docPr id="3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2"/>
                    <pic:cNvPicPr>
                      <a:picLocks noChangeAspect="1"/>
                    </pic:cNvPicPr>
                  </pic:nvPicPr>
                  <pic:blipFill>
                    <a:blip r:embed="rId60"/>
                    <a:stretch>
                      <a:fillRect/>
                    </a:stretch>
                  </pic:blipFill>
                  <pic:spPr>
                    <a:xfrm>
                      <a:off x="0" y="0"/>
                      <a:ext cx="3324225" cy="2219325"/>
                    </a:xfrm>
                    <a:prstGeom prst="rect">
                      <a:avLst/>
                    </a:prstGeom>
                    <a:noFill/>
                    <a:ln>
                      <a:noFill/>
                    </a:ln>
                  </pic:spPr>
                </pic:pic>
              </a:graphicData>
            </a:graphic>
          </wp:inline>
        </w:drawing>
      </w:r>
    </w:p>
    <w:p w14:paraId="3A31FB80">
      <w:pPr>
        <w:ind w:firstLine="480"/>
        <w:jc w:val="left"/>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highlight w:val="none"/>
        </w:rPr>
        <w:t>将吊索绕在顶升横梁(1)上方销孔之间，使用双倍长的吊索以便能更好地引导横梁靠在塔身节的踏步上，将横梁精准定位，使其两侧挂靴挂在踏步上。</w:t>
      </w:r>
    </w:p>
    <w:p w14:paraId="1B882FDF">
      <w:pPr>
        <w:ind w:firstLine="0" w:firstLineChars="0"/>
        <w:jc w:val="center"/>
        <w:rPr>
          <w:highlight w:val="none"/>
        </w:rPr>
      </w:pPr>
      <w:r>
        <w:rPr>
          <w:highlight w:val="none"/>
        </w:rPr>
        <w:drawing>
          <wp:inline distT="0" distB="0" distL="114300" distR="114300">
            <wp:extent cx="3619500" cy="2724150"/>
            <wp:effectExtent l="0" t="0" r="0" b="0"/>
            <wp:docPr id="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3"/>
                    <pic:cNvPicPr>
                      <a:picLocks noChangeAspect="1"/>
                    </pic:cNvPicPr>
                  </pic:nvPicPr>
                  <pic:blipFill>
                    <a:blip r:embed="rId61"/>
                    <a:stretch>
                      <a:fillRect/>
                    </a:stretch>
                  </pic:blipFill>
                  <pic:spPr>
                    <a:xfrm>
                      <a:off x="0" y="0"/>
                      <a:ext cx="3619500" cy="2724150"/>
                    </a:xfrm>
                    <a:prstGeom prst="rect">
                      <a:avLst/>
                    </a:prstGeom>
                    <a:noFill/>
                    <a:ln>
                      <a:noFill/>
                    </a:ln>
                  </pic:spPr>
                </pic:pic>
              </a:graphicData>
            </a:graphic>
          </wp:inline>
        </w:drawing>
      </w:r>
    </w:p>
    <w:p w14:paraId="34F591E3">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highlight w:val="none"/>
        </w:rPr>
        <w:t>将吊索绕至油缸(1)。将油缸上方固定在爬升架耳板上，并用销轴(2)和开口销(3)固定。伸出油缸，然后将活塞杆固定在顶升横梁耳板上，并用销轴(4)和开口销(5)固定，如下图所示</w:t>
      </w:r>
      <w:r>
        <w:rPr>
          <w:rFonts w:hint="eastAsia"/>
          <w:highlight w:val="none"/>
        </w:rPr>
        <w:t>：</w:t>
      </w:r>
    </w:p>
    <w:p w14:paraId="688FD083">
      <w:pPr>
        <w:ind w:firstLine="480"/>
        <w:rPr>
          <w:highlight w:val="none"/>
        </w:rPr>
      </w:pPr>
      <w:r>
        <w:rPr>
          <w:highlight w:val="none"/>
        </w:rPr>
        <w:drawing>
          <wp:inline distT="0" distB="0" distL="114300" distR="114300">
            <wp:extent cx="4886325" cy="3762375"/>
            <wp:effectExtent l="0" t="0" r="9525" b="9525"/>
            <wp:docPr id="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4"/>
                    <pic:cNvPicPr>
                      <a:picLocks noChangeAspect="1"/>
                    </pic:cNvPicPr>
                  </pic:nvPicPr>
                  <pic:blipFill>
                    <a:blip r:embed="rId62"/>
                    <a:stretch>
                      <a:fillRect/>
                    </a:stretch>
                  </pic:blipFill>
                  <pic:spPr>
                    <a:xfrm>
                      <a:off x="0" y="0"/>
                      <a:ext cx="4886325" cy="3762375"/>
                    </a:xfrm>
                    <a:prstGeom prst="rect">
                      <a:avLst/>
                    </a:prstGeom>
                    <a:noFill/>
                    <a:ln>
                      <a:noFill/>
                    </a:ln>
                  </pic:spPr>
                </pic:pic>
              </a:graphicData>
            </a:graphic>
          </wp:inline>
        </w:drawing>
      </w:r>
    </w:p>
    <w:p w14:paraId="48A475FA">
      <w:pPr>
        <w:pStyle w:val="7"/>
        <w:bidi w:val="0"/>
        <w:ind w:left="864" w:leftChars="0" w:hanging="864" w:firstLineChars="0"/>
        <w:rPr>
          <w:highlight w:val="none"/>
        </w:rPr>
      </w:pPr>
      <w:r>
        <w:rPr>
          <w:rFonts w:hint="eastAsia"/>
          <w:highlight w:val="none"/>
        </w:rPr>
        <w:t>套架吊装</w:t>
      </w:r>
    </w:p>
    <w:p w14:paraId="1791F7E1">
      <w:pPr>
        <w:ind w:firstLine="480"/>
        <w:rPr>
          <w:highlight w:val="none"/>
        </w:rPr>
      </w:pPr>
      <w:r>
        <w:rPr>
          <w:rFonts w:hint="eastAsia" w:ascii="宋体" w:hAnsi="宋体" w:cs="宋体"/>
          <w:highlight w:val="none"/>
          <w:lang w:eastAsia="zh-CN"/>
        </w:rPr>
        <w:t>（</w:t>
      </w:r>
      <w:r>
        <w:rPr>
          <w:rFonts w:hint="eastAsia" w:ascii="宋体" w:hAnsi="宋体" w:cs="宋体"/>
          <w:highlight w:val="none"/>
          <w:lang w:val="en-US" w:eastAsia="zh-CN"/>
        </w:rPr>
        <w:t>1</w:t>
      </w:r>
      <w:r>
        <w:rPr>
          <w:rFonts w:hint="eastAsia" w:ascii="宋体" w:hAnsi="宋体" w:cs="宋体"/>
          <w:highlight w:val="none"/>
          <w:lang w:eastAsia="zh-CN"/>
        </w:rPr>
        <w:t>）</w:t>
      </w:r>
      <w:r>
        <w:rPr>
          <w:rFonts w:hint="eastAsia" w:ascii="宋体" w:hAnsi="宋体" w:cs="宋体"/>
          <w:highlight w:val="none"/>
        </w:rPr>
        <w:t>采用吊机配合人工在地面上将套架架体、平台、顶升横梁、油缸及液压站等拼装成整体，</w:t>
      </w:r>
      <w:r>
        <w:rPr>
          <w:rFonts w:hint="eastAsia"/>
          <w:highlight w:val="none"/>
        </w:rPr>
        <w:t>套架吊装采用四点吊，以套架顶部四个销轴孔作为吊装孔，采用4根20mm6×19S+FC1870Mpa的钢丝绳配套</w:t>
      </w:r>
      <w:r>
        <w:rPr>
          <w:highlight w:val="none"/>
        </w:rPr>
        <w:t>GB/T 25854-6-DW</w:t>
      </w:r>
      <w:r>
        <w:rPr>
          <w:rFonts w:hint="eastAsia"/>
          <w:highlight w:val="none"/>
        </w:rPr>
        <w:t>10卸扣进行吊装。</w:t>
      </w:r>
    </w:p>
    <w:p w14:paraId="422B86E8">
      <w:pPr>
        <w:ind w:firstLine="48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作业人员在地面上先将钢丝绳一端挂在吊机吊钩，另一端与卸扣连接，卸扣与吊装孔连接，并在套架立杆上栓好2根溜绳。启动吊机，将套架缓慢提升，用溜绳控制其摆动。起吊套架至基础节上方，吊机缓慢落钩，将套架套入基础节，作业人员通过爬梯爬至基础节对应的套架爬爪处，将安全带系挂在基础节横杆上，将爬爪放在基础节踏步上，并通过安全销固定。套架吊装示意如下图所示。</w:t>
      </w:r>
    </w:p>
    <w:p w14:paraId="0AA8F8BF">
      <w:pPr>
        <w:pStyle w:val="17"/>
        <w:ind w:left="0" w:firstLine="0" w:firstLineChars="0"/>
        <w:jc w:val="center"/>
        <w:rPr>
          <w:rFonts w:hint="default"/>
          <w:highlight w:val="none"/>
        </w:rPr>
      </w:pPr>
      <w:r>
        <w:rPr>
          <w:highlight w:val="none"/>
        </w:rPr>
        <w:drawing>
          <wp:inline distT="0" distB="0" distL="114300" distR="114300">
            <wp:extent cx="3597910" cy="4827270"/>
            <wp:effectExtent l="0" t="0" r="2540" b="11430"/>
            <wp:docPr id="3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5"/>
                    <pic:cNvPicPr>
                      <a:picLocks noChangeAspect="1"/>
                    </pic:cNvPicPr>
                  </pic:nvPicPr>
                  <pic:blipFill>
                    <a:blip r:embed="rId63"/>
                    <a:stretch>
                      <a:fillRect/>
                    </a:stretch>
                  </pic:blipFill>
                  <pic:spPr>
                    <a:xfrm>
                      <a:off x="0" y="0"/>
                      <a:ext cx="3597910" cy="4827270"/>
                    </a:xfrm>
                    <a:prstGeom prst="rect">
                      <a:avLst/>
                    </a:prstGeom>
                    <a:noFill/>
                    <a:ln>
                      <a:noFill/>
                    </a:ln>
                  </pic:spPr>
                </pic:pic>
              </a:graphicData>
            </a:graphic>
          </wp:inline>
        </w:drawing>
      </w:r>
    </w:p>
    <w:p w14:paraId="3FA0A991">
      <w:pPr>
        <w:ind w:firstLine="480"/>
        <w:jc w:val="center"/>
        <w:rPr>
          <w:highlight w:val="none"/>
        </w:rPr>
      </w:pPr>
      <w:r>
        <w:rPr>
          <w:rFonts w:hint="eastAsia"/>
          <w:highlight w:val="none"/>
        </w:rPr>
        <w:t>图 4.4.3.3</w:t>
      </w:r>
      <w:r>
        <w:rPr>
          <w:rFonts w:hint="eastAsia"/>
          <w:highlight w:val="none"/>
        </w:rPr>
        <w:noBreakHyphen/>
      </w:r>
      <w:r>
        <w:rPr>
          <w:rFonts w:hint="eastAsia"/>
          <w:highlight w:val="none"/>
        </w:rPr>
        <w:t>1    3#套架吊装立面示意图</w:t>
      </w:r>
    </w:p>
    <w:p w14:paraId="25E9D4B0">
      <w:pPr>
        <w:pStyle w:val="40"/>
        <w:ind w:firstLine="0" w:firstLineChars="0"/>
        <w:jc w:val="center"/>
        <w:rPr>
          <w:color w:val="auto"/>
          <w:kern w:val="2"/>
          <w:sz w:val="24"/>
          <w:szCs w:val="21"/>
          <w:highlight w:val="none"/>
        </w:rPr>
      </w:pPr>
      <w:r>
        <w:rPr>
          <w:highlight w:val="none"/>
        </w:rPr>
        <w:drawing>
          <wp:inline distT="0" distB="0" distL="114300" distR="114300">
            <wp:extent cx="5269865" cy="3868420"/>
            <wp:effectExtent l="0" t="0" r="6985" b="1778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58"/>
                    <a:stretch>
                      <a:fillRect/>
                    </a:stretch>
                  </pic:blipFill>
                  <pic:spPr>
                    <a:xfrm>
                      <a:off x="0" y="0"/>
                      <a:ext cx="5269865" cy="3868420"/>
                    </a:xfrm>
                    <a:prstGeom prst="rect">
                      <a:avLst/>
                    </a:prstGeom>
                    <a:noFill/>
                    <a:ln>
                      <a:noFill/>
                    </a:ln>
                  </pic:spPr>
                </pic:pic>
              </a:graphicData>
            </a:graphic>
          </wp:inline>
        </w:drawing>
      </w:r>
    </w:p>
    <w:p w14:paraId="31689133">
      <w:pPr>
        <w:ind w:firstLine="480"/>
        <w:jc w:val="center"/>
        <w:rPr>
          <w:highlight w:val="none"/>
        </w:rPr>
      </w:pPr>
      <w:r>
        <w:rPr>
          <w:rFonts w:hint="eastAsia"/>
          <w:highlight w:val="none"/>
        </w:rPr>
        <w:t>图 4.4.3.3</w:t>
      </w:r>
      <w:r>
        <w:rPr>
          <w:rFonts w:hint="eastAsia"/>
          <w:highlight w:val="none"/>
        </w:rPr>
        <w:noBreakHyphen/>
      </w:r>
      <w:r>
        <w:rPr>
          <w:rFonts w:hint="eastAsia"/>
          <w:highlight w:val="none"/>
        </w:rPr>
        <w:t>4   3#套架吊装平面示意图</w:t>
      </w:r>
    </w:p>
    <w:p w14:paraId="0BA54BFA">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作业人员通过爬梯爬至套架顶部，将安全带系挂在套架顶部的横杆上，站立在套架顶部的平台上，吊机放松吊钩，作业人员解除卸扣与套架的连接。</w:t>
      </w:r>
    </w:p>
    <w:p w14:paraId="2CEF3C90">
      <w:pPr>
        <w:ind w:firstLine="480"/>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rFonts w:hint="eastAsia"/>
          <w:highlight w:val="none"/>
        </w:rPr>
        <w:t>塔吊套架安装时设置警戒区，起吊安排专人负责指挥，专人操作，严禁无关人员进入起重作业范围内。</w:t>
      </w:r>
    </w:p>
    <w:p w14:paraId="0C76AD14">
      <w:pPr>
        <w:pStyle w:val="5"/>
        <w:bidi w:val="0"/>
        <w:ind w:left="0" w:leftChars="0" w:firstLine="0" w:firstLineChars="0"/>
        <w:rPr>
          <w:highlight w:val="none"/>
        </w:rPr>
      </w:pPr>
      <w:r>
        <w:rPr>
          <w:rFonts w:hint="eastAsia"/>
          <w:highlight w:val="none"/>
        </w:rPr>
        <w:t>安装特殊节</w:t>
      </w:r>
    </w:p>
    <w:p w14:paraId="6E58BEB5">
      <w:pPr>
        <w:ind w:firstLine="480"/>
        <w:rPr>
          <w:highlight w:val="none"/>
        </w:rPr>
      </w:pPr>
      <w:r>
        <w:rPr>
          <w:rFonts w:hint="eastAsia" w:ascii="宋体" w:hAnsi="宋体" w:cs="宋体"/>
          <w:highlight w:val="none"/>
          <w:lang w:eastAsia="zh-CN"/>
        </w:rPr>
        <w:t>（</w:t>
      </w:r>
      <w:r>
        <w:rPr>
          <w:rFonts w:hint="eastAsia" w:ascii="宋体" w:hAnsi="宋体" w:cs="宋体"/>
          <w:highlight w:val="none"/>
          <w:lang w:val="en-US" w:eastAsia="zh-CN"/>
        </w:rPr>
        <w:t>1</w:t>
      </w:r>
      <w:r>
        <w:rPr>
          <w:rFonts w:hint="eastAsia" w:ascii="宋体" w:hAnsi="宋体" w:cs="宋体"/>
          <w:highlight w:val="none"/>
          <w:lang w:eastAsia="zh-CN"/>
        </w:rPr>
        <w:t>）</w:t>
      </w:r>
      <w:r>
        <w:rPr>
          <w:rFonts w:hint="eastAsia" w:ascii="宋体" w:hAnsi="宋体" w:cs="宋体"/>
          <w:highlight w:val="none"/>
        </w:rPr>
        <w:t>采用吊机配合人工在地面上将特殊节结构、特殊节平台、引进衡量等拼装成特殊节总成，</w:t>
      </w:r>
      <w:r>
        <w:rPr>
          <w:rFonts w:hint="eastAsia"/>
          <w:highlight w:val="none"/>
        </w:rPr>
        <w:t>特殊节吊装采用四点吊，以特殊节顶部四个销轴孔作为吊装孔，采用4根20mm6×19S+FC1870Mpa的钢丝绳配套GB/T 25854-6-DW10卸扣进行吊装。</w:t>
      </w:r>
    </w:p>
    <w:p w14:paraId="5CE4DD1C">
      <w:pPr>
        <w:ind w:firstLine="480"/>
        <w:rPr>
          <w:highlight w:val="none"/>
        </w:rPr>
      </w:pPr>
      <w:r>
        <w:rPr>
          <w:rFonts w:hint="eastAsia"/>
          <w:highlight w:val="none"/>
        </w:rPr>
        <w:t>（</w:t>
      </w:r>
      <w:r>
        <w:rPr>
          <w:rFonts w:hint="eastAsia"/>
          <w:highlight w:val="none"/>
          <w:lang w:val="en-US" w:eastAsia="zh-CN"/>
        </w:rPr>
        <w:t>2</w:t>
      </w:r>
      <w:r>
        <w:rPr>
          <w:rFonts w:hint="eastAsia"/>
          <w:highlight w:val="none"/>
        </w:rPr>
        <w:t>）作业人员在地面上先将钢丝绳一端挂在吊机吊钩，另一端与卸扣连接，卸扣与吊装孔连接，并在特殊节上栓好2根溜绳。启动吊机，将特殊节缓慢提升，用溜绳控制其摆动。起吊特殊节至标准节上方，吊机缓慢落钩，直至特殊节销轴孔与标准节销轴孔对齐，将安全带系挂在</w:t>
      </w:r>
      <w:r>
        <w:rPr>
          <w:rFonts w:hint="eastAsia"/>
          <w:highlight w:val="none"/>
          <w:lang w:val="en-US" w:eastAsia="zh-CN"/>
        </w:rPr>
        <w:t>标准节</w:t>
      </w:r>
      <w:r>
        <w:rPr>
          <w:rFonts w:hint="eastAsia"/>
          <w:highlight w:val="none"/>
        </w:rPr>
        <w:t>顶部的横杆上，站立在标准节顶部的平台上，插入标准节与特殊节的连接销轴，完成特殊节与标准节的连接。</w:t>
      </w:r>
    </w:p>
    <w:p w14:paraId="2A0502DF">
      <w:pPr>
        <w:ind w:firstLine="480"/>
        <w:rPr>
          <w:rFonts w:cs="宋体"/>
          <w:szCs w:val="24"/>
          <w:highlight w:val="none"/>
        </w:rPr>
      </w:pPr>
      <w:r>
        <w:rPr>
          <w:rFonts w:hint="eastAsia" w:cs="宋体"/>
          <w:szCs w:val="24"/>
          <w:highlight w:val="none"/>
        </w:rPr>
        <w:t>（</w:t>
      </w:r>
      <w:r>
        <w:rPr>
          <w:rFonts w:hint="eastAsia" w:cs="宋体"/>
          <w:szCs w:val="24"/>
          <w:highlight w:val="none"/>
          <w:lang w:val="en-US" w:eastAsia="zh-CN"/>
        </w:rPr>
        <w:t>3</w:t>
      </w:r>
      <w:r>
        <w:rPr>
          <w:rFonts w:hint="eastAsia" w:cs="宋体"/>
          <w:szCs w:val="24"/>
          <w:highlight w:val="none"/>
        </w:rPr>
        <w:t>）操作顶升系统，将油缸伸长，使顶升横梁销轴落入到最上面一个塔身节的踏步圆弧槽内，再将套架顶升至与</w:t>
      </w:r>
      <w:r>
        <w:rPr>
          <w:rFonts w:hint="eastAsia"/>
          <w:highlight w:val="none"/>
        </w:rPr>
        <w:t>特殊节</w:t>
      </w:r>
      <w:r>
        <w:rPr>
          <w:rFonts w:hint="eastAsia" w:cs="宋体"/>
          <w:szCs w:val="24"/>
          <w:highlight w:val="none"/>
        </w:rPr>
        <w:t>连接耳板接触，用 4 根φ80(φ80×215/260)销轴将套架与下支座连接牢固。</w:t>
      </w:r>
      <w:r>
        <w:rPr>
          <w:rFonts w:hint="eastAsia"/>
          <w:highlight w:val="none"/>
        </w:rPr>
        <w:t>特殊节</w:t>
      </w:r>
      <w:r>
        <w:rPr>
          <w:rFonts w:hint="eastAsia" w:cs="宋体"/>
          <w:szCs w:val="24"/>
          <w:highlight w:val="none"/>
        </w:rPr>
        <w:t>的安装示意图如下</w:t>
      </w:r>
    </w:p>
    <w:p w14:paraId="611770FC">
      <w:pPr>
        <w:ind w:firstLine="480"/>
        <w:jc w:val="center"/>
        <w:rPr>
          <w:rFonts w:cs="宋体"/>
          <w:szCs w:val="24"/>
          <w:highlight w:val="none"/>
        </w:rPr>
      </w:pPr>
      <w:r>
        <w:rPr>
          <w:highlight w:val="none"/>
        </w:rPr>
        <w:drawing>
          <wp:inline distT="0" distB="0" distL="114300" distR="114300">
            <wp:extent cx="2588260" cy="4050665"/>
            <wp:effectExtent l="0" t="0" r="2540" b="6985"/>
            <wp:docPr id="4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2"/>
                    <pic:cNvPicPr>
                      <a:picLocks noChangeAspect="1"/>
                    </pic:cNvPicPr>
                  </pic:nvPicPr>
                  <pic:blipFill>
                    <a:blip r:embed="rId64"/>
                    <a:stretch>
                      <a:fillRect/>
                    </a:stretch>
                  </pic:blipFill>
                  <pic:spPr>
                    <a:xfrm>
                      <a:off x="0" y="0"/>
                      <a:ext cx="2588260" cy="4050665"/>
                    </a:xfrm>
                    <a:prstGeom prst="rect">
                      <a:avLst/>
                    </a:prstGeom>
                    <a:noFill/>
                    <a:ln>
                      <a:noFill/>
                    </a:ln>
                  </pic:spPr>
                </pic:pic>
              </a:graphicData>
            </a:graphic>
          </wp:inline>
        </w:drawing>
      </w:r>
    </w:p>
    <w:p w14:paraId="61F9781A">
      <w:pPr>
        <w:adjustRightInd w:val="0"/>
        <w:snapToGrid w:val="0"/>
        <w:ind w:firstLine="0" w:firstLineChars="0"/>
        <w:jc w:val="center"/>
        <w:rPr>
          <w:highlight w:val="none"/>
        </w:rPr>
      </w:pPr>
      <w:r>
        <w:rPr>
          <w:rFonts w:hint="eastAsia"/>
          <w:highlight w:val="none"/>
        </w:rPr>
        <w:t>图 4.4.4</w:t>
      </w:r>
      <w:r>
        <w:rPr>
          <w:rFonts w:hint="eastAsia"/>
          <w:highlight w:val="none"/>
        </w:rPr>
        <w:noBreakHyphen/>
      </w:r>
      <w:r>
        <w:rPr>
          <w:rFonts w:hint="eastAsia"/>
          <w:highlight w:val="none"/>
        </w:rPr>
        <w:t>1 1#塔吊特殊节吊装立面示意图</w:t>
      </w:r>
    </w:p>
    <w:p w14:paraId="76580448">
      <w:pPr>
        <w:adjustRightInd w:val="0"/>
        <w:snapToGrid w:val="0"/>
        <w:ind w:firstLine="0" w:firstLineChars="0"/>
        <w:jc w:val="center"/>
        <w:rPr>
          <w:highlight w:val="none"/>
        </w:rPr>
      </w:pPr>
      <w:r>
        <w:rPr>
          <w:highlight w:val="none"/>
        </w:rPr>
        <w:drawing>
          <wp:inline distT="0" distB="0" distL="114300" distR="114300">
            <wp:extent cx="4243705" cy="3115310"/>
            <wp:effectExtent l="0" t="0" r="4445" b="889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58"/>
                    <a:stretch>
                      <a:fillRect/>
                    </a:stretch>
                  </pic:blipFill>
                  <pic:spPr>
                    <a:xfrm>
                      <a:off x="0" y="0"/>
                      <a:ext cx="4243705" cy="3115310"/>
                    </a:xfrm>
                    <a:prstGeom prst="rect">
                      <a:avLst/>
                    </a:prstGeom>
                    <a:noFill/>
                    <a:ln>
                      <a:noFill/>
                    </a:ln>
                  </pic:spPr>
                </pic:pic>
              </a:graphicData>
            </a:graphic>
          </wp:inline>
        </w:drawing>
      </w:r>
    </w:p>
    <w:p w14:paraId="70D74AA6">
      <w:pPr>
        <w:adjustRightInd w:val="0"/>
        <w:snapToGrid w:val="0"/>
        <w:ind w:firstLine="0" w:firstLineChars="0"/>
        <w:jc w:val="center"/>
        <w:rPr>
          <w:highlight w:val="none"/>
        </w:rPr>
      </w:pPr>
      <w:r>
        <w:rPr>
          <w:rFonts w:hint="eastAsia"/>
          <w:highlight w:val="none"/>
        </w:rPr>
        <w:t>图 4.4.4</w:t>
      </w:r>
      <w:r>
        <w:rPr>
          <w:rFonts w:hint="eastAsia"/>
          <w:highlight w:val="none"/>
        </w:rPr>
        <w:noBreakHyphen/>
      </w:r>
      <w:r>
        <w:rPr>
          <w:rFonts w:hint="eastAsia"/>
          <w:highlight w:val="none"/>
        </w:rPr>
        <w:t>1 1#塔吊特殊节吊装平面示意图</w:t>
      </w:r>
    </w:p>
    <w:p w14:paraId="195364CA">
      <w:pPr>
        <w:pStyle w:val="5"/>
        <w:bidi w:val="0"/>
        <w:ind w:left="0" w:leftChars="0" w:firstLine="0" w:firstLineChars="0"/>
        <w:rPr>
          <w:highlight w:val="none"/>
        </w:rPr>
      </w:pPr>
      <w:r>
        <w:rPr>
          <w:rFonts w:hint="eastAsia"/>
          <w:highlight w:val="none"/>
        </w:rPr>
        <w:t>安装回转总成</w:t>
      </w:r>
    </w:p>
    <w:p w14:paraId="27DA734B">
      <w:pPr>
        <w:ind w:firstLine="480"/>
        <w:rPr>
          <w:highlight w:val="none"/>
        </w:rPr>
      </w:pPr>
      <w:r>
        <w:rPr>
          <w:rFonts w:hint="eastAsia" w:ascii="宋体" w:hAnsi="宋体" w:cs="宋体"/>
          <w:highlight w:val="none"/>
          <w:lang w:eastAsia="zh-CN"/>
        </w:rPr>
        <w:t>（</w:t>
      </w:r>
      <w:r>
        <w:rPr>
          <w:rFonts w:hint="eastAsia" w:ascii="宋体" w:hAnsi="宋体" w:cs="宋体"/>
          <w:highlight w:val="none"/>
          <w:lang w:val="en-US" w:eastAsia="zh-CN"/>
        </w:rPr>
        <w:t>1</w:t>
      </w:r>
      <w:r>
        <w:rPr>
          <w:rFonts w:hint="eastAsia" w:ascii="宋体" w:hAnsi="宋体" w:cs="宋体"/>
          <w:highlight w:val="none"/>
          <w:lang w:eastAsia="zh-CN"/>
        </w:rPr>
        <w:t>）</w:t>
      </w:r>
      <w:r>
        <w:rPr>
          <w:rFonts w:hint="eastAsia" w:ascii="宋体" w:hAnsi="宋体" w:cs="宋体"/>
          <w:highlight w:val="none"/>
        </w:rPr>
        <w:t>采用吊机配合人工在地面上将回转支座、回转限位器、司机室和维修平台等拼装成回转总成，</w:t>
      </w:r>
      <w:r>
        <w:rPr>
          <w:rFonts w:hint="eastAsia"/>
          <w:highlight w:val="none"/>
        </w:rPr>
        <w:t>回转总成吊装采用四点吊，以回转总成顶部四个销轴孔作为吊装孔，采用4根20mm6×19S+FC1870Mpa的钢丝绳配套</w:t>
      </w:r>
      <w:r>
        <w:rPr>
          <w:highlight w:val="none"/>
        </w:rPr>
        <w:t>GB/T 25854-6-DW</w:t>
      </w:r>
      <w:r>
        <w:rPr>
          <w:rFonts w:hint="eastAsia"/>
          <w:highlight w:val="none"/>
        </w:rPr>
        <w:t>10卸扣进行吊装。</w:t>
      </w:r>
    </w:p>
    <w:p w14:paraId="6D259B2D">
      <w:pPr>
        <w:ind w:firstLine="480"/>
        <w:rPr>
          <w:rFonts w:cs="宋体"/>
          <w:szCs w:val="24"/>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作业人员在地面上先将钢丝绳一端挂在吊机吊钩，另一端与卸扣连接，卸扣与吊装孔连接，并在回转总成上栓好2根溜绳。启动吊机，将回转总成缓慢提升，用溜绳控制其摆动。起吊回转总成至特殊节上方，吊机缓慢落钩，直至回转总成下支座销轴孔与特殊节销轴孔对齐，将安全带系挂在特殊节顶部的横杆上，站立在特殊节顶部的平台上，插入特殊节与回转总成下支座的连接销轴，完成回转总成与特殊节的连接。</w:t>
      </w:r>
      <w:r>
        <w:rPr>
          <w:rFonts w:hint="eastAsia" w:cs="宋体"/>
          <w:szCs w:val="24"/>
          <w:highlight w:val="none"/>
        </w:rPr>
        <w:t>回转总成的安装示意图如下</w:t>
      </w:r>
    </w:p>
    <w:p w14:paraId="1ACA40BE">
      <w:pPr>
        <w:pStyle w:val="17"/>
        <w:ind w:left="0" w:firstLine="0" w:firstLineChars="0"/>
        <w:jc w:val="center"/>
        <w:rPr>
          <w:rFonts w:hint="default"/>
          <w:highlight w:val="none"/>
        </w:rPr>
      </w:pPr>
      <w:r>
        <w:rPr>
          <w:highlight w:val="none"/>
        </w:rPr>
        <w:drawing>
          <wp:inline distT="0" distB="0" distL="114300" distR="114300">
            <wp:extent cx="2929890" cy="4198620"/>
            <wp:effectExtent l="0" t="0" r="3810" b="11430"/>
            <wp:docPr id="4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3"/>
                    <pic:cNvPicPr>
                      <a:picLocks noChangeAspect="1"/>
                    </pic:cNvPicPr>
                  </pic:nvPicPr>
                  <pic:blipFill>
                    <a:blip r:embed="rId65"/>
                    <a:stretch>
                      <a:fillRect/>
                    </a:stretch>
                  </pic:blipFill>
                  <pic:spPr>
                    <a:xfrm>
                      <a:off x="0" y="0"/>
                      <a:ext cx="2929890" cy="4198620"/>
                    </a:xfrm>
                    <a:prstGeom prst="rect">
                      <a:avLst/>
                    </a:prstGeom>
                    <a:noFill/>
                    <a:ln>
                      <a:noFill/>
                    </a:ln>
                  </pic:spPr>
                </pic:pic>
              </a:graphicData>
            </a:graphic>
          </wp:inline>
        </w:drawing>
      </w:r>
    </w:p>
    <w:p w14:paraId="0F6EADA4">
      <w:pPr>
        <w:pStyle w:val="17"/>
        <w:ind w:firstLine="240"/>
        <w:jc w:val="center"/>
        <w:rPr>
          <w:rFonts w:hint="default"/>
          <w:highlight w:val="none"/>
        </w:rPr>
      </w:pPr>
      <w:r>
        <w:rPr>
          <w:rFonts w:ascii="Times New Roman" w:hAnsi="Times New Roman" w:eastAsia="宋体"/>
          <w:highlight w:val="none"/>
        </w:rPr>
        <w:t>图 4.4.5</w:t>
      </w:r>
      <w:r>
        <w:rPr>
          <w:rFonts w:ascii="Times New Roman" w:hAnsi="Times New Roman" w:eastAsia="宋体"/>
          <w:highlight w:val="none"/>
        </w:rPr>
        <w:noBreakHyphen/>
      </w:r>
      <w:r>
        <w:rPr>
          <w:rFonts w:ascii="Times New Roman" w:hAnsi="Times New Roman" w:eastAsia="宋体"/>
          <w:highlight w:val="none"/>
        </w:rPr>
        <w:t>1   3#</w:t>
      </w:r>
      <w:r>
        <w:rPr>
          <w:rFonts w:eastAsia="宋体"/>
          <w:highlight w:val="none"/>
        </w:rPr>
        <w:t>塔吊</w:t>
      </w:r>
      <w:r>
        <w:rPr>
          <w:rFonts w:ascii="Times New Roman" w:hAnsi="Times New Roman" w:eastAsia="宋体"/>
          <w:highlight w:val="none"/>
        </w:rPr>
        <w:t>回转总成吊装立面示意图</w:t>
      </w:r>
    </w:p>
    <w:p w14:paraId="300DAFA4">
      <w:pPr>
        <w:pStyle w:val="17"/>
        <w:ind w:left="0" w:leftChars="0" w:firstLine="0" w:firstLineChars="0"/>
        <w:jc w:val="center"/>
        <w:rPr>
          <w:rFonts w:hint="default" w:ascii="Times New Roman" w:hAnsi="Times New Roman" w:eastAsia="宋体"/>
          <w:highlight w:val="none"/>
        </w:rPr>
      </w:pPr>
      <w:r>
        <w:rPr>
          <w:highlight w:val="none"/>
        </w:rPr>
        <w:drawing>
          <wp:inline distT="0" distB="0" distL="114300" distR="114300">
            <wp:extent cx="4741545" cy="3480435"/>
            <wp:effectExtent l="0" t="0" r="1905" b="5715"/>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58"/>
                    <a:stretch>
                      <a:fillRect/>
                    </a:stretch>
                  </pic:blipFill>
                  <pic:spPr>
                    <a:xfrm>
                      <a:off x="0" y="0"/>
                      <a:ext cx="4741545" cy="3480435"/>
                    </a:xfrm>
                    <a:prstGeom prst="rect">
                      <a:avLst/>
                    </a:prstGeom>
                    <a:noFill/>
                    <a:ln>
                      <a:noFill/>
                    </a:ln>
                  </pic:spPr>
                </pic:pic>
              </a:graphicData>
            </a:graphic>
          </wp:inline>
        </w:drawing>
      </w:r>
    </w:p>
    <w:p w14:paraId="56939A57">
      <w:pPr>
        <w:pStyle w:val="17"/>
        <w:ind w:firstLine="240"/>
        <w:jc w:val="center"/>
        <w:rPr>
          <w:rFonts w:hint="default" w:ascii="Times New Roman" w:hAnsi="Times New Roman" w:eastAsia="宋体"/>
          <w:highlight w:val="none"/>
        </w:rPr>
      </w:pPr>
      <w:r>
        <w:rPr>
          <w:rFonts w:ascii="Times New Roman" w:hAnsi="Times New Roman" w:eastAsia="宋体"/>
          <w:highlight w:val="none"/>
        </w:rPr>
        <w:t>图 4.4.5</w:t>
      </w:r>
      <w:r>
        <w:rPr>
          <w:rFonts w:ascii="Times New Roman" w:hAnsi="Times New Roman" w:eastAsia="宋体"/>
          <w:highlight w:val="none"/>
        </w:rPr>
        <w:noBreakHyphen/>
      </w:r>
      <w:r>
        <w:rPr>
          <w:rFonts w:ascii="Times New Roman" w:hAnsi="Times New Roman" w:eastAsia="宋体"/>
          <w:highlight w:val="none"/>
        </w:rPr>
        <w:t>2  3#</w:t>
      </w:r>
      <w:r>
        <w:rPr>
          <w:rFonts w:eastAsia="宋体"/>
          <w:highlight w:val="none"/>
        </w:rPr>
        <w:t>塔吊</w:t>
      </w:r>
      <w:r>
        <w:rPr>
          <w:rFonts w:ascii="Times New Roman" w:hAnsi="Times New Roman" w:eastAsia="宋体"/>
          <w:highlight w:val="none"/>
        </w:rPr>
        <w:t>回转总成吊装平面示意图</w:t>
      </w:r>
    </w:p>
    <w:p w14:paraId="3540013F">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作业人员通过爬梯爬至回转总成顶部，将安全带系挂在回转总成顶部的横杆上，站立在回转总成顶部，吊机放松吊钩，作业人员解除卸扣与回转总成的连接。</w:t>
      </w:r>
    </w:p>
    <w:p w14:paraId="582A5217">
      <w:pPr>
        <w:ind w:firstLine="480"/>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rFonts w:hint="eastAsia"/>
          <w:highlight w:val="none"/>
        </w:rPr>
        <w:t>塔吊回转总成安装时设置警戒区，起吊安排专人负责指挥，专人操作，严禁无关人员进入起重作业范围内。</w:t>
      </w:r>
    </w:p>
    <w:p w14:paraId="4E5B4A57">
      <w:pPr>
        <w:pStyle w:val="5"/>
        <w:bidi w:val="0"/>
        <w:ind w:left="0" w:leftChars="0" w:firstLine="0" w:firstLineChars="0"/>
        <w:rPr>
          <w:highlight w:val="none"/>
        </w:rPr>
      </w:pPr>
      <w:r>
        <w:rPr>
          <w:rFonts w:hint="eastAsia"/>
          <w:highlight w:val="none"/>
        </w:rPr>
        <w:t>安装臂根节</w:t>
      </w:r>
    </w:p>
    <w:p w14:paraId="74328575">
      <w:pPr>
        <w:ind w:firstLine="480"/>
        <w:rPr>
          <w:rFonts w:hint="eastAsia"/>
          <w:highlight w:val="none"/>
          <w:lang w:val="en-US" w:eastAsia="zh-CN"/>
        </w:rPr>
      </w:pPr>
      <w:r>
        <w:rPr>
          <w:rFonts w:hint="eastAsia"/>
          <w:highlight w:val="none"/>
          <w:lang w:val="en-US" w:eastAsia="zh-CN"/>
        </w:rPr>
        <w:t>（1）在地面将小车安装在臂根节靠塔身引进侧根部，打入防脱销轴以固定。</w:t>
      </w:r>
    </w:p>
    <w:p w14:paraId="2EE5B0BF">
      <w:pPr>
        <w:ind w:firstLine="48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采用吊机配合人工在地面上将臂根节拼装完成，臂根节吊装采用四点吊，以臂根节顶部四个销轴孔作为吊装孔，采用4根20mm6×19S+FC1870Mpa的钢丝绳配套</w:t>
      </w:r>
      <w:r>
        <w:rPr>
          <w:highlight w:val="none"/>
        </w:rPr>
        <w:t>GB/T 25854-6-DW</w:t>
      </w:r>
      <w:r>
        <w:rPr>
          <w:rFonts w:hint="eastAsia"/>
          <w:highlight w:val="none"/>
        </w:rPr>
        <w:t>10卸扣进行吊装。</w:t>
      </w:r>
    </w:p>
    <w:p w14:paraId="1315261E">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作业人员在地面上先将钢丝绳一端挂在吊机吊钩，另一端与卸扣连接，卸扣与吊装孔连接，并在臂根节上栓好2根溜绳。启动吊机，将臂根节缓慢提升，用溜绳控制其摆动。起吊臂根节至回转总成上方，吊机缓慢落钩，直至回转总成上支座销轴孔与臂根节销轴孔对齐，将安全带系挂在臂根节顶部的横杆上，插入臂根节与回转总成上支座的连接销轴，完成回转总成与臂根节的连接。臂根节的安装示意图如下：</w:t>
      </w:r>
    </w:p>
    <w:p w14:paraId="64B7DCF9">
      <w:pPr>
        <w:ind w:firstLine="0" w:firstLineChars="0"/>
        <w:jc w:val="center"/>
        <w:rPr>
          <w:highlight w:val="none"/>
        </w:rPr>
      </w:pPr>
      <w:r>
        <w:rPr>
          <w:highlight w:val="none"/>
        </w:rPr>
        <w:drawing>
          <wp:inline distT="0" distB="0" distL="114300" distR="114300">
            <wp:extent cx="2902585" cy="3873500"/>
            <wp:effectExtent l="0" t="0" r="12065" b="12700"/>
            <wp:docPr id="4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4"/>
                    <pic:cNvPicPr>
                      <a:picLocks noChangeAspect="1"/>
                    </pic:cNvPicPr>
                  </pic:nvPicPr>
                  <pic:blipFill>
                    <a:blip r:embed="rId66"/>
                    <a:stretch>
                      <a:fillRect/>
                    </a:stretch>
                  </pic:blipFill>
                  <pic:spPr>
                    <a:xfrm>
                      <a:off x="0" y="0"/>
                      <a:ext cx="2902585" cy="3873500"/>
                    </a:xfrm>
                    <a:prstGeom prst="rect">
                      <a:avLst/>
                    </a:prstGeom>
                    <a:noFill/>
                    <a:ln>
                      <a:noFill/>
                    </a:ln>
                  </pic:spPr>
                </pic:pic>
              </a:graphicData>
            </a:graphic>
          </wp:inline>
        </w:drawing>
      </w:r>
    </w:p>
    <w:p w14:paraId="32793CBA">
      <w:pPr>
        <w:ind w:firstLine="0" w:firstLineChars="0"/>
        <w:jc w:val="center"/>
        <w:rPr>
          <w:highlight w:val="none"/>
        </w:rPr>
      </w:pPr>
      <w:r>
        <w:rPr>
          <w:rFonts w:hint="eastAsia"/>
          <w:highlight w:val="none"/>
        </w:rPr>
        <w:t>图 4.4.6</w:t>
      </w:r>
      <w:r>
        <w:rPr>
          <w:rFonts w:hint="eastAsia"/>
          <w:highlight w:val="none"/>
        </w:rPr>
        <w:noBreakHyphen/>
      </w:r>
      <w:r>
        <w:rPr>
          <w:rFonts w:hint="eastAsia"/>
          <w:highlight w:val="none"/>
        </w:rPr>
        <w:t>1  3#塔吊臂根节吊装立面示意图</w:t>
      </w:r>
    </w:p>
    <w:p w14:paraId="1E848E39">
      <w:pPr>
        <w:ind w:firstLine="0" w:firstLineChars="0"/>
        <w:jc w:val="center"/>
        <w:rPr>
          <w:highlight w:val="none"/>
        </w:rPr>
      </w:pPr>
      <w:r>
        <w:rPr>
          <w:highlight w:val="none"/>
        </w:rPr>
        <w:drawing>
          <wp:inline distT="0" distB="0" distL="114300" distR="114300">
            <wp:extent cx="5268595" cy="3627755"/>
            <wp:effectExtent l="0" t="0" r="8255" b="10795"/>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67"/>
                    <a:stretch>
                      <a:fillRect/>
                    </a:stretch>
                  </pic:blipFill>
                  <pic:spPr>
                    <a:xfrm>
                      <a:off x="0" y="0"/>
                      <a:ext cx="5268595" cy="3627755"/>
                    </a:xfrm>
                    <a:prstGeom prst="rect">
                      <a:avLst/>
                    </a:prstGeom>
                    <a:noFill/>
                    <a:ln>
                      <a:noFill/>
                    </a:ln>
                  </pic:spPr>
                </pic:pic>
              </a:graphicData>
            </a:graphic>
          </wp:inline>
        </w:drawing>
      </w:r>
    </w:p>
    <w:p w14:paraId="67E9E3C1">
      <w:pPr>
        <w:ind w:firstLine="0" w:firstLineChars="0"/>
        <w:jc w:val="center"/>
        <w:rPr>
          <w:highlight w:val="none"/>
        </w:rPr>
      </w:pPr>
      <w:r>
        <w:rPr>
          <w:rFonts w:hint="eastAsia"/>
          <w:highlight w:val="none"/>
        </w:rPr>
        <w:t>图 4.4.6</w:t>
      </w:r>
      <w:r>
        <w:rPr>
          <w:rFonts w:hint="eastAsia"/>
          <w:highlight w:val="none"/>
        </w:rPr>
        <w:noBreakHyphen/>
      </w:r>
      <w:r>
        <w:rPr>
          <w:rFonts w:hint="eastAsia"/>
          <w:highlight w:val="none"/>
        </w:rPr>
        <w:t>2  3#塔吊臂根节吊装平面示意图</w:t>
      </w:r>
    </w:p>
    <w:p w14:paraId="13C7DF0E">
      <w:pPr>
        <w:pStyle w:val="5"/>
        <w:bidi w:val="0"/>
        <w:ind w:left="0" w:leftChars="0" w:firstLine="0" w:firstLineChars="0"/>
        <w:rPr>
          <w:highlight w:val="none"/>
        </w:rPr>
      </w:pPr>
      <w:r>
        <w:rPr>
          <w:rFonts w:hint="eastAsia"/>
          <w:highlight w:val="none"/>
        </w:rPr>
        <w:t>安装平衡臂</w:t>
      </w:r>
      <w:r>
        <w:rPr>
          <w:rFonts w:hint="eastAsia"/>
          <w:highlight w:val="none"/>
          <w:lang w:val="en-US" w:eastAsia="zh-CN"/>
        </w:rPr>
        <w:t>臂节一</w:t>
      </w:r>
    </w:p>
    <w:p w14:paraId="48040197">
      <w:pPr>
        <w:ind w:firstLine="480"/>
        <w:rPr>
          <w:rFonts w:ascii="宋体" w:hAnsi="宋体" w:cs="宋体"/>
          <w:highlight w:val="none"/>
        </w:rPr>
      </w:pPr>
      <w:r>
        <w:rPr>
          <w:rFonts w:hint="eastAsia" w:ascii="宋体" w:hAnsi="宋体" w:cs="宋体"/>
          <w:highlight w:val="none"/>
        </w:rPr>
        <w:t>（1）采用吊机配合人工在地面上</w:t>
      </w:r>
      <w:r>
        <w:rPr>
          <w:rFonts w:hint="eastAsia"/>
          <w:highlight w:val="none"/>
        </w:rPr>
        <w:t>将平衡臂分别组装好（含走台及栏杆）起重臂臂根节吊装采用四点吊，以平衡臂臂节上弦杆吊耳作为吊装孔，采用4根20mm6×19S+FC1870Mpa的钢丝绳配套</w:t>
      </w:r>
      <w:r>
        <w:rPr>
          <w:highlight w:val="none"/>
        </w:rPr>
        <w:t>GB/T 25854-6-DW</w:t>
      </w:r>
      <w:r>
        <w:rPr>
          <w:rFonts w:hint="eastAsia"/>
          <w:highlight w:val="none"/>
        </w:rPr>
        <w:t>10卸扣进行吊装。</w:t>
      </w:r>
    </w:p>
    <w:p w14:paraId="1BDCA171">
      <w:pPr>
        <w:ind w:firstLine="480"/>
        <w:rPr>
          <w:highlight w:val="none"/>
        </w:rPr>
      </w:pPr>
      <w:r>
        <w:rPr>
          <w:rFonts w:hint="eastAsia"/>
          <w:highlight w:val="none"/>
        </w:rPr>
        <w:t>（2）作业人员在地面上先将钢丝绳一端挂在吊机吊钩，另一端与卸扣连接，卸扣与吊装孔连接，并在平衡臂臂节1上栓好2根溜绳。启动吊机，将平衡臂缓慢提升，用溜绳控制其摆动。起吊平衡臂至臂根节上后方，将组装好的平衡臂(1)吊起，对接臂根节连接耳板(2)，插入销轴(3)、销(4)及R 形销(5)，缓慢放下。将平衡臂放置一定程度，把安装在臂根节上的短拉杆(6)和平衡臂上的长拉杆(7)对接好后，插入销轴(8)及开口销(9)缓慢放下，直到拉绷紧，平衡水平。安装示意图如下：</w:t>
      </w:r>
    </w:p>
    <w:p w14:paraId="2CD39650">
      <w:pPr>
        <w:ind w:firstLine="0" w:firstLineChars="0"/>
        <w:jc w:val="center"/>
        <w:rPr>
          <w:highlight w:val="none"/>
        </w:rPr>
      </w:pPr>
      <w:r>
        <w:rPr>
          <w:highlight w:val="none"/>
        </w:rPr>
        <w:drawing>
          <wp:inline distT="0" distB="0" distL="114300" distR="114300">
            <wp:extent cx="4404360" cy="2691130"/>
            <wp:effectExtent l="0" t="0" r="15240" b="13970"/>
            <wp:docPr id="4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0"/>
                    <pic:cNvPicPr>
                      <a:picLocks noChangeAspect="1"/>
                    </pic:cNvPicPr>
                  </pic:nvPicPr>
                  <pic:blipFill>
                    <a:blip r:embed="rId68"/>
                    <a:stretch>
                      <a:fillRect/>
                    </a:stretch>
                  </pic:blipFill>
                  <pic:spPr>
                    <a:xfrm>
                      <a:off x="0" y="0"/>
                      <a:ext cx="4404360" cy="2691130"/>
                    </a:xfrm>
                    <a:prstGeom prst="rect">
                      <a:avLst/>
                    </a:prstGeom>
                    <a:noFill/>
                    <a:ln>
                      <a:noFill/>
                    </a:ln>
                  </pic:spPr>
                </pic:pic>
              </a:graphicData>
            </a:graphic>
          </wp:inline>
        </w:drawing>
      </w:r>
    </w:p>
    <w:p w14:paraId="790CFF9C">
      <w:pPr>
        <w:pStyle w:val="40"/>
        <w:ind w:firstLine="0" w:firstLineChars="0"/>
        <w:jc w:val="center"/>
        <w:rPr>
          <w:color w:val="auto"/>
          <w:kern w:val="2"/>
          <w:sz w:val="24"/>
          <w:szCs w:val="21"/>
          <w:highlight w:val="none"/>
        </w:rPr>
      </w:pPr>
      <w:r>
        <w:rPr>
          <w:highlight w:val="none"/>
        </w:rPr>
        <w:drawing>
          <wp:inline distT="0" distB="0" distL="114300" distR="114300">
            <wp:extent cx="2616835" cy="3101340"/>
            <wp:effectExtent l="0" t="0" r="12065" b="3810"/>
            <wp:docPr id="5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5"/>
                    <pic:cNvPicPr>
                      <a:picLocks noChangeAspect="1"/>
                    </pic:cNvPicPr>
                  </pic:nvPicPr>
                  <pic:blipFill>
                    <a:blip r:embed="rId69"/>
                    <a:stretch>
                      <a:fillRect/>
                    </a:stretch>
                  </pic:blipFill>
                  <pic:spPr>
                    <a:xfrm>
                      <a:off x="0" y="0"/>
                      <a:ext cx="2616835" cy="3101340"/>
                    </a:xfrm>
                    <a:prstGeom prst="rect">
                      <a:avLst/>
                    </a:prstGeom>
                    <a:noFill/>
                    <a:ln>
                      <a:noFill/>
                    </a:ln>
                  </pic:spPr>
                </pic:pic>
              </a:graphicData>
            </a:graphic>
          </wp:inline>
        </w:drawing>
      </w:r>
    </w:p>
    <w:p w14:paraId="504A386A">
      <w:pPr>
        <w:spacing w:before="154"/>
        <w:ind w:left="121" w:firstLine="240" w:firstLineChars="100"/>
        <w:jc w:val="center"/>
        <w:rPr>
          <w:highlight w:val="none"/>
        </w:rPr>
      </w:pPr>
      <w:r>
        <w:rPr>
          <w:rFonts w:hint="eastAsia"/>
          <w:highlight w:val="none"/>
        </w:rPr>
        <w:t>图 4.4.7</w:t>
      </w:r>
      <w:r>
        <w:rPr>
          <w:rFonts w:hint="eastAsia"/>
          <w:highlight w:val="none"/>
        </w:rPr>
        <w:noBreakHyphen/>
      </w:r>
      <w:r>
        <w:rPr>
          <w:rFonts w:hint="eastAsia"/>
          <w:highlight w:val="none"/>
        </w:rPr>
        <w:t>2   3#塔吊平衡臂吊装立面示意图</w:t>
      </w:r>
    </w:p>
    <w:p w14:paraId="35366985">
      <w:pPr>
        <w:spacing w:before="154"/>
        <w:ind w:firstLine="0" w:firstLineChars="0"/>
        <w:jc w:val="center"/>
        <w:rPr>
          <w:rFonts w:ascii="仿宋" w:hAnsi="仿宋" w:eastAsia="仿宋"/>
          <w:highlight w:val="none"/>
        </w:rPr>
      </w:pPr>
      <w:r>
        <w:rPr>
          <w:highlight w:val="none"/>
        </w:rPr>
        <w:drawing>
          <wp:inline distT="0" distB="0" distL="114300" distR="114300">
            <wp:extent cx="5268595" cy="3324860"/>
            <wp:effectExtent l="0" t="0" r="8255" b="8890"/>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70"/>
                    <a:stretch>
                      <a:fillRect/>
                    </a:stretch>
                  </pic:blipFill>
                  <pic:spPr>
                    <a:xfrm>
                      <a:off x="0" y="0"/>
                      <a:ext cx="5268595" cy="3324860"/>
                    </a:xfrm>
                    <a:prstGeom prst="rect">
                      <a:avLst/>
                    </a:prstGeom>
                    <a:noFill/>
                    <a:ln>
                      <a:noFill/>
                    </a:ln>
                  </pic:spPr>
                </pic:pic>
              </a:graphicData>
            </a:graphic>
          </wp:inline>
        </w:drawing>
      </w:r>
    </w:p>
    <w:p w14:paraId="6996D9DA">
      <w:pPr>
        <w:pStyle w:val="16"/>
        <w:ind w:firstLine="480"/>
        <w:jc w:val="center"/>
        <w:rPr>
          <w:szCs w:val="21"/>
          <w:highlight w:val="none"/>
        </w:rPr>
      </w:pPr>
      <w:r>
        <w:rPr>
          <w:rFonts w:hint="eastAsia" w:ascii="Times New Roman" w:hAnsi="Times New Roman"/>
          <w:szCs w:val="21"/>
          <w:highlight w:val="none"/>
        </w:rPr>
        <w:t>图 4.</w:t>
      </w:r>
      <w:r>
        <w:rPr>
          <w:rFonts w:hint="eastAsia"/>
          <w:szCs w:val="21"/>
          <w:highlight w:val="none"/>
        </w:rPr>
        <w:t>4</w:t>
      </w:r>
      <w:r>
        <w:rPr>
          <w:rFonts w:hint="eastAsia" w:ascii="Times New Roman" w:hAnsi="Times New Roman"/>
          <w:szCs w:val="21"/>
          <w:highlight w:val="none"/>
        </w:rPr>
        <w:t>.</w:t>
      </w:r>
      <w:r>
        <w:rPr>
          <w:rFonts w:hint="eastAsia"/>
          <w:szCs w:val="21"/>
          <w:highlight w:val="none"/>
        </w:rPr>
        <w:t>7</w:t>
      </w:r>
      <w:r>
        <w:rPr>
          <w:rFonts w:hint="eastAsia" w:ascii="Times New Roman" w:hAnsi="Times New Roman"/>
          <w:szCs w:val="21"/>
          <w:highlight w:val="none"/>
        </w:rPr>
        <w:noBreakHyphen/>
      </w:r>
      <w:r>
        <w:rPr>
          <w:rFonts w:hint="eastAsia" w:ascii="Times New Roman" w:hAnsi="Times New Roman"/>
          <w:szCs w:val="21"/>
          <w:highlight w:val="none"/>
        </w:rPr>
        <w:t xml:space="preserve">3   </w:t>
      </w:r>
      <w:r>
        <w:rPr>
          <w:rFonts w:hint="eastAsia"/>
          <w:szCs w:val="21"/>
          <w:highlight w:val="none"/>
        </w:rPr>
        <w:t>3#塔吊平衡臂吊装平面示意图</w:t>
      </w:r>
    </w:p>
    <w:p w14:paraId="146BFB65">
      <w:pPr>
        <w:ind w:firstLine="480"/>
        <w:rPr>
          <w:highlight w:val="none"/>
        </w:rPr>
      </w:pPr>
      <w:r>
        <w:rPr>
          <w:rFonts w:hint="eastAsia" w:ascii="宋体" w:hAnsi="宋体" w:cs="宋体"/>
          <w:highlight w:val="none"/>
        </w:rPr>
        <w:t>（3）</w:t>
      </w:r>
      <w:r>
        <w:rPr>
          <w:rFonts w:hint="eastAsia"/>
          <w:highlight w:val="none"/>
        </w:rPr>
        <w:t>作业人员通过爬梯爬至臂根节，将安全带交替系挂在平衡臂臂节护栏，沿走道走行至平衡臂臂节吊点位置，吊机放松吊钩，作业人员解除钢丝绳与平衡臂臂节吊点的连接。</w:t>
      </w:r>
    </w:p>
    <w:p w14:paraId="62BD7B6F">
      <w:pPr>
        <w:ind w:firstLine="480"/>
        <w:rPr>
          <w:highlight w:val="none"/>
        </w:rPr>
      </w:pPr>
      <w:r>
        <w:rPr>
          <w:rFonts w:hint="eastAsia" w:ascii="宋体" w:hAnsi="宋体" w:cs="宋体"/>
          <w:highlight w:val="none"/>
        </w:rPr>
        <w:t>（4）</w:t>
      </w:r>
      <w:r>
        <w:rPr>
          <w:rFonts w:hint="eastAsia"/>
          <w:highlight w:val="none"/>
        </w:rPr>
        <w:t>平衡臂臂节安装时设置警戒区，起吊安排专人负责指挥，专人操作，严禁无关人员进入起重作业范围内。</w:t>
      </w:r>
    </w:p>
    <w:p w14:paraId="2C0ECEB4">
      <w:pPr>
        <w:pStyle w:val="5"/>
        <w:bidi w:val="0"/>
        <w:ind w:left="0" w:leftChars="0" w:firstLine="0" w:firstLineChars="0"/>
        <w:rPr>
          <w:highlight w:val="none"/>
        </w:rPr>
      </w:pPr>
      <w:r>
        <w:rPr>
          <w:rFonts w:hint="eastAsia"/>
          <w:highlight w:val="none"/>
        </w:rPr>
        <w:t>安装第1块</w:t>
      </w:r>
      <w:r>
        <w:rPr>
          <w:rFonts w:hint="eastAsia"/>
          <w:highlight w:val="none"/>
          <w:lang w:val="en-US" w:eastAsia="zh-CN"/>
        </w:rPr>
        <w:t>3.32t</w:t>
      </w:r>
      <w:r>
        <w:rPr>
          <w:rFonts w:hint="eastAsia"/>
          <w:highlight w:val="none"/>
        </w:rPr>
        <w:t>平衡重</w:t>
      </w:r>
    </w:p>
    <w:p w14:paraId="291CED87">
      <w:pPr>
        <w:ind w:firstLine="480"/>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rFonts w:hint="eastAsia"/>
          <w:highlight w:val="none"/>
        </w:rPr>
        <w:t>安装第1块</w:t>
      </w:r>
      <w:r>
        <w:rPr>
          <w:rFonts w:hint="eastAsia"/>
          <w:highlight w:val="none"/>
          <w:lang w:val="en-US" w:eastAsia="zh-CN"/>
        </w:rPr>
        <w:t>3.32t</w:t>
      </w:r>
      <w:r>
        <w:rPr>
          <w:rFonts w:hint="eastAsia"/>
          <w:highlight w:val="none"/>
        </w:rPr>
        <w:t>平衡重</w:t>
      </w:r>
      <w:r>
        <w:rPr>
          <w:rFonts w:hint="eastAsia"/>
          <w:highlight w:val="none"/>
          <w:lang w:eastAsia="zh-CN"/>
        </w:rPr>
        <w:t>，</w:t>
      </w:r>
      <w:r>
        <w:rPr>
          <w:rFonts w:hint="eastAsia"/>
          <w:highlight w:val="none"/>
        </w:rPr>
        <w:t>平衡重吊装采用两点吊，采用2根1</w:t>
      </w:r>
      <w:r>
        <w:rPr>
          <w:rFonts w:hint="eastAsia"/>
          <w:highlight w:val="none"/>
          <w:lang w:val="en-US" w:eastAsia="zh-CN"/>
        </w:rPr>
        <w:t>8</w:t>
      </w:r>
      <w:r>
        <w:rPr>
          <w:rFonts w:hint="eastAsia"/>
          <w:highlight w:val="none"/>
        </w:rPr>
        <w:t>mm  6×19S+FC 1870Mpa的钢丝绳配套GB/T 25854-6-DW10卸扣与平衡重吊耳进行连接吊装。</w:t>
      </w:r>
    </w:p>
    <w:p w14:paraId="3BAF8561">
      <w:pPr>
        <w:widowControl/>
        <w:ind w:firstLine="480"/>
        <w:jc w:val="left"/>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作业人员在地面上先将钢丝绳一端挂在吊机吊钩，另一端与卸扣连接，卸扣与吊耳通过销轴连接，并在平衡重栓好2根溜绳。启动吊机，</w:t>
      </w:r>
      <w:r>
        <w:rPr>
          <w:rFonts w:hint="eastAsia" w:ascii="宋体" w:hAnsi="宋体" w:cs="宋体"/>
          <w:color w:val="000000"/>
          <w:kern w:val="0"/>
          <w:szCs w:val="24"/>
          <w:highlight w:val="none"/>
          <w:lang w:bidi="ar"/>
        </w:rPr>
        <w:t>将一块</w:t>
      </w:r>
      <w:r>
        <w:rPr>
          <w:rFonts w:hint="eastAsia" w:ascii="宋体" w:hAnsi="宋体" w:cs="宋体"/>
          <w:color w:val="000000"/>
          <w:kern w:val="0"/>
          <w:szCs w:val="24"/>
          <w:highlight w:val="none"/>
          <w:lang w:val="en-US" w:eastAsia="zh-CN" w:bidi="ar"/>
        </w:rPr>
        <w:t>3.32</w:t>
      </w:r>
      <w:r>
        <w:rPr>
          <w:rFonts w:hint="eastAsia" w:ascii="宋体" w:hAnsi="宋体" w:cs="宋体"/>
          <w:color w:val="000000"/>
          <w:kern w:val="0"/>
          <w:szCs w:val="24"/>
          <w:highlight w:val="none"/>
          <w:lang w:bidi="ar"/>
        </w:rPr>
        <w:t>t配重块</w:t>
      </w:r>
      <w:r>
        <w:rPr>
          <w:rFonts w:hint="eastAsia"/>
          <w:highlight w:val="none"/>
        </w:rPr>
        <w:t>缓慢提升，用溜绳控制其摆动。</w:t>
      </w:r>
      <w:r>
        <w:rPr>
          <w:rFonts w:hint="eastAsia" w:ascii="宋体" w:hAnsi="宋体" w:cs="宋体"/>
          <w:color w:val="000000"/>
          <w:kern w:val="0"/>
          <w:szCs w:val="24"/>
          <w:highlight w:val="none"/>
          <w:lang w:bidi="ar"/>
        </w:rPr>
        <w:t>从平衡臂端部开口处平稳起吊，装入平衡臂，位置靠近起升机构旁边，用配重销紧固在平衡臂上，即完成平衡臂安装。</w:t>
      </w:r>
      <w:r>
        <w:rPr>
          <w:rFonts w:hint="eastAsia"/>
          <w:highlight w:val="none"/>
        </w:rPr>
        <w:t>平衡重安装后，作业人员解除卸扣与平衡重吊耳的连接。平衡重吊装示意如下图所示。</w:t>
      </w:r>
    </w:p>
    <w:p w14:paraId="53D8432E">
      <w:pPr>
        <w:pStyle w:val="16"/>
        <w:ind w:firstLine="0" w:firstLineChars="0"/>
        <w:jc w:val="center"/>
        <w:rPr>
          <w:highlight w:val="none"/>
        </w:rPr>
      </w:pPr>
      <w:r>
        <w:rPr>
          <w:highlight w:val="none"/>
        </w:rPr>
        <w:drawing>
          <wp:inline distT="0" distB="0" distL="114300" distR="114300">
            <wp:extent cx="2077720" cy="2927985"/>
            <wp:effectExtent l="0" t="0" r="17780" b="5715"/>
            <wp:docPr id="5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6"/>
                    <pic:cNvPicPr>
                      <a:picLocks noChangeAspect="1"/>
                    </pic:cNvPicPr>
                  </pic:nvPicPr>
                  <pic:blipFill>
                    <a:blip r:embed="rId71"/>
                    <a:stretch>
                      <a:fillRect/>
                    </a:stretch>
                  </pic:blipFill>
                  <pic:spPr>
                    <a:xfrm>
                      <a:off x="0" y="0"/>
                      <a:ext cx="2077720" cy="2927985"/>
                    </a:xfrm>
                    <a:prstGeom prst="rect">
                      <a:avLst/>
                    </a:prstGeom>
                    <a:noFill/>
                    <a:ln>
                      <a:noFill/>
                    </a:ln>
                  </pic:spPr>
                </pic:pic>
              </a:graphicData>
            </a:graphic>
          </wp:inline>
        </w:drawing>
      </w:r>
    </w:p>
    <w:p w14:paraId="746C8754">
      <w:pPr>
        <w:widowControl/>
        <w:ind w:firstLine="480"/>
        <w:jc w:val="center"/>
        <w:rPr>
          <w:highlight w:val="none"/>
        </w:rPr>
      </w:pPr>
      <w:r>
        <w:rPr>
          <w:rFonts w:hint="eastAsia"/>
          <w:highlight w:val="none"/>
        </w:rPr>
        <w:t>图 4.4.8-2    3#塔吊平衡重吊装立面示意图</w:t>
      </w:r>
    </w:p>
    <w:p w14:paraId="04A639AA">
      <w:pPr>
        <w:pStyle w:val="17"/>
        <w:ind w:left="0" w:leftChars="0" w:firstLine="0" w:firstLineChars="0"/>
        <w:jc w:val="center"/>
        <w:rPr>
          <w:rFonts w:hint="default"/>
          <w:highlight w:val="none"/>
        </w:rPr>
      </w:pPr>
      <w:r>
        <w:rPr>
          <w:highlight w:val="none"/>
        </w:rPr>
        <w:drawing>
          <wp:inline distT="0" distB="0" distL="114300" distR="114300">
            <wp:extent cx="3670300" cy="2315845"/>
            <wp:effectExtent l="0" t="0" r="6350" b="8255"/>
            <wp:docPr id="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
                    <pic:cNvPicPr>
                      <a:picLocks noChangeAspect="1"/>
                    </pic:cNvPicPr>
                  </pic:nvPicPr>
                  <pic:blipFill>
                    <a:blip r:embed="rId70"/>
                    <a:stretch>
                      <a:fillRect/>
                    </a:stretch>
                  </pic:blipFill>
                  <pic:spPr>
                    <a:xfrm>
                      <a:off x="0" y="0"/>
                      <a:ext cx="3670300" cy="2315845"/>
                    </a:xfrm>
                    <a:prstGeom prst="rect">
                      <a:avLst/>
                    </a:prstGeom>
                    <a:noFill/>
                    <a:ln>
                      <a:noFill/>
                    </a:ln>
                  </pic:spPr>
                </pic:pic>
              </a:graphicData>
            </a:graphic>
          </wp:inline>
        </w:drawing>
      </w:r>
    </w:p>
    <w:p w14:paraId="340515EF">
      <w:pPr>
        <w:widowControl/>
        <w:ind w:firstLine="480"/>
        <w:jc w:val="center"/>
        <w:rPr>
          <w:highlight w:val="none"/>
        </w:rPr>
      </w:pPr>
      <w:r>
        <w:rPr>
          <w:rFonts w:hint="eastAsia"/>
          <w:highlight w:val="none"/>
        </w:rPr>
        <w:t>图 4.4.8-3    3#塔吊平衡重吊装平面示意图</w:t>
      </w:r>
    </w:p>
    <w:p w14:paraId="3DC4BA5D">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塔吊平衡重安装时设置警戒区，起吊安排专人负责指挥，专人操作，严禁无关人员进入起重作业范围内。</w:t>
      </w:r>
    </w:p>
    <w:p w14:paraId="1077B59F">
      <w:pPr>
        <w:pStyle w:val="5"/>
        <w:bidi w:val="0"/>
        <w:ind w:left="0" w:leftChars="0" w:firstLine="0" w:firstLineChars="0"/>
        <w:rPr>
          <w:highlight w:val="none"/>
        </w:rPr>
      </w:pPr>
      <w:r>
        <w:rPr>
          <w:rFonts w:hint="eastAsia"/>
          <w:highlight w:val="none"/>
        </w:rPr>
        <w:t>安装剩余起重臂</w:t>
      </w:r>
    </w:p>
    <w:p w14:paraId="565CAFEC">
      <w:pPr>
        <w:rPr>
          <w:highlight w:val="none"/>
        </w:rPr>
      </w:pPr>
      <w:r>
        <w:rPr>
          <w:rFonts w:hint="eastAsia"/>
          <w:highlight w:val="none"/>
          <w:lang w:val="en-US" w:eastAsia="zh-CN"/>
        </w:rPr>
        <w:t>（1）依次安装</w:t>
      </w:r>
      <w:r>
        <w:rPr>
          <w:rFonts w:hint="eastAsia" w:ascii="宋体" w:hAnsi="宋体" w:eastAsia="宋体" w:cs="宋体"/>
          <w:color w:val="000000"/>
          <w:kern w:val="0"/>
          <w:sz w:val="24"/>
          <w:szCs w:val="24"/>
          <w:highlight w:val="none"/>
          <w:lang w:val="en-US" w:eastAsia="zh-CN" w:bidi="ar"/>
        </w:rPr>
        <w:t>臂节二</w:t>
      </w:r>
      <w:r>
        <w:rPr>
          <w:rFonts w:hint="default" w:ascii="Times New Roman" w:hAnsi="Times New Roman" w:eastAsia="宋体" w:cs="Times New Roman"/>
          <w:color w:val="000000"/>
          <w:kern w:val="0"/>
          <w:sz w:val="24"/>
          <w:szCs w:val="24"/>
          <w:highlight w:val="none"/>
          <w:lang w:val="en-US" w:eastAsia="zh-CN" w:bidi="ar"/>
        </w:rPr>
        <w:t>T1551</w:t>
      </w:r>
      <w:r>
        <w:rPr>
          <w:rFonts w:hint="eastAsia" w:ascii="Times New Roman" w:hAnsi="Times New Roman" w:eastAsia="宋体"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臂节</w:t>
      </w:r>
      <w:r>
        <w:rPr>
          <w:rFonts w:hint="eastAsia" w:ascii="宋体" w:hAnsi="宋体" w:cs="宋体"/>
          <w:color w:val="000000"/>
          <w:kern w:val="0"/>
          <w:sz w:val="24"/>
          <w:szCs w:val="24"/>
          <w:highlight w:val="none"/>
          <w:lang w:val="en-US" w:eastAsia="zh-CN" w:bidi="ar"/>
        </w:rPr>
        <w:t>三</w:t>
      </w:r>
      <w:r>
        <w:rPr>
          <w:rFonts w:hint="default" w:ascii="Times New Roman" w:hAnsi="Times New Roman" w:eastAsia="宋体" w:cs="Times New Roman"/>
          <w:color w:val="000000"/>
          <w:kern w:val="0"/>
          <w:sz w:val="24"/>
          <w:szCs w:val="24"/>
          <w:highlight w:val="none"/>
          <w:lang w:val="en-US" w:eastAsia="zh-CN" w:bidi="ar"/>
        </w:rPr>
        <w:t>T155</w:t>
      </w:r>
      <w:r>
        <w:rPr>
          <w:rFonts w:hint="eastAsia" w:cs="Times New Roman"/>
          <w:color w:val="000000"/>
          <w:kern w:val="0"/>
          <w:sz w:val="24"/>
          <w:szCs w:val="24"/>
          <w:highlight w:val="none"/>
          <w:lang w:val="en-US" w:eastAsia="zh-CN" w:bidi="ar"/>
        </w:rPr>
        <w:t>2A</w:t>
      </w:r>
      <w:r>
        <w:rPr>
          <w:rFonts w:hint="eastAsia" w:ascii="Times New Roman" w:hAnsi="Times New Roman" w:eastAsia="宋体"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臂节四</w:t>
      </w:r>
      <w:r>
        <w:rPr>
          <w:rFonts w:hint="default" w:ascii="Times New Roman" w:hAnsi="Times New Roman" w:eastAsia="宋体" w:cs="Times New Roman"/>
          <w:color w:val="000000"/>
          <w:kern w:val="0"/>
          <w:sz w:val="24"/>
          <w:szCs w:val="24"/>
          <w:highlight w:val="none"/>
          <w:lang w:val="en-US" w:eastAsia="zh-CN" w:bidi="ar"/>
        </w:rPr>
        <w:t>T1553</w:t>
      </w:r>
      <w:r>
        <w:rPr>
          <w:rFonts w:hint="eastAsia" w:ascii="Times New Roman" w:hAnsi="Times New Roman" w:eastAsia="宋体"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 xml:space="preserve">臂节五 </w:t>
      </w:r>
      <w:r>
        <w:rPr>
          <w:rFonts w:hint="default" w:ascii="Times New Roman" w:hAnsi="Times New Roman" w:eastAsia="宋体" w:cs="Times New Roman"/>
          <w:color w:val="000000"/>
          <w:kern w:val="0"/>
          <w:sz w:val="24"/>
          <w:szCs w:val="24"/>
          <w:highlight w:val="none"/>
          <w:lang w:val="en-US" w:eastAsia="zh-CN" w:bidi="ar"/>
        </w:rPr>
        <w:t>T1554</w:t>
      </w:r>
      <w:r>
        <w:rPr>
          <w:rFonts w:hint="eastAsia" w:ascii="Times New Roman" w:hAnsi="Times New Roman" w:eastAsia="宋体"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臂节六</w:t>
      </w:r>
      <w:r>
        <w:rPr>
          <w:rFonts w:hint="default" w:ascii="Times New Roman" w:hAnsi="Times New Roman" w:eastAsia="宋体" w:cs="Times New Roman"/>
          <w:color w:val="000000"/>
          <w:kern w:val="0"/>
          <w:sz w:val="24"/>
          <w:szCs w:val="24"/>
          <w:highlight w:val="none"/>
          <w:lang w:val="en-US" w:eastAsia="zh-CN" w:bidi="ar"/>
        </w:rPr>
        <w:t>T1555</w:t>
      </w:r>
      <w:r>
        <w:rPr>
          <w:rFonts w:hint="eastAsia" w:ascii="Times New Roman" w:hAnsi="Times New Roman" w:eastAsia="宋体" w:cs="Times New Roman"/>
          <w:color w:val="000000"/>
          <w:kern w:val="0"/>
          <w:sz w:val="24"/>
          <w:szCs w:val="24"/>
          <w:highlight w:val="none"/>
          <w:lang w:val="en-US" w:eastAsia="zh-CN" w:bidi="ar"/>
        </w:rPr>
        <w:t>和</w:t>
      </w:r>
      <w:r>
        <w:rPr>
          <w:rFonts w:hint="eastAsia" w:ascii="宋体" w:hAnsi="宋体" w:eastAsia="宋体" w:cs="宋体"/>
          <w:color w:val="000000"/>
          <w:kern w:val="0"/>
          <w:sz w:val="24"/>
          <w:szCs w:val="24"/>
          <w:highlight w:val="none"/>
          <w:lang w:val="en-US" w:eastAsia="zh-CN" w:bidi="ar"/>
        </w:rPr>
        <w:t>臂头</w:t>
      </w:r>
      <w:r>
        <w:rPr>
          <w:rFonts w:hint="default" w:ascii="Times New Roman" w:hAnsi="Times New Roman" w:eastAsia="宋体" w:cs="Times New Roman"/>
          <w:color w:val="000000"/>
          <w:kern w:val="0"/>
          <w:sz w:val="24"/>
          <w:szCs w:val="24"/>
          <w:highlight w:val="none"/>
          <w:lang w:val="en-US" w:eastAsia="zh-CN" w:bidi="ar"/>
        </w:rPr>
        <w:t>T15T3</w:t>
      </w:r>
      <w:r>
        <w:rPr>
          <w:rFonts w:hint="eastAsia" w:ascii="Times New Roman" w:hAnsi="Times New Roman" w:eastAsia="宋体" w:cs="Times New Roman"/>
          <w:color w:val="000000"/>
          <w:kern w:val="0"/>
          <w:sz w:val="24"/>
          <w:szCs w:val="24"/>
          <w:highlight w:val="none"/>
          <w:lang w:val="en-US" w:eastAsia="zh-CN" w:bidi="ar"/>
        </w:rPr>
        <w:t>。</w:t>
      </w:r>
    </w:p>
    <w:p w14:paraId="09597251">
      <w:pPr>
        <w:ind w:firstLine="480"/>
        <w:rPr>
          <w:rFonts w:ascii="宋体" w:hAnsi="宋体" w:cs="宋体"/>
          <w:bCs/>
          <w:szCs w:val="24"/>
          <w:highlight w:val="none"/>
          <w:lang w:val="en-GB"/>
        </w:rPr>
      </w:pPr>
      <w:r>
        <w:rPr>
          <w:rFonts w:hint="eastAsia" w:ascii="宋体" w:hAnsi="宋体" w:cs="宋体"/>
          <w:bCs/>
          <w:szCs w:val="24"/>
          <w:highlight w:val="none"/>
        </w:rPr>
        <w:t>（</w:t>
      </w:r>
      <w:r>
        <w:rPr>
          <w:rFonts w:hint="eastAsia" w:ascii="宋体" w:hAnsi="宋体" w:cs="宋体"/>
          <w:bCs/>
          <w:szCs w:val="24"/>
          <w:highlight w:val="none"/>
          <w:lang w:val="en-US" w:eastAsia="zh-CN"/>
        </w:rPr>
        <w:t>2</w:t>
      </w:r>
      <w:r>
        <w:rPr>
          <w:rFonts w:hint="eastAsia" w:ascii="宋体" w:hAnsi="宋体" w:cs="宋体"/>
          <w:bCs/>
          <w:szCs w:val="24"/>
          <w:highlight w:val="none"/>
        </w:rPr>
        <w:t>）起重臂的安装采用分节吊装的方式。用用</w:t>
      </w:r>
      <w:r>
        <w:rPr>
          <w:rFonts w:hint="eastAsia" w:ascii="宋体" w:hAnsi="宋体" w:cs="宋体"/>
          <w:bCs/>
          <w:szCs w:val="24"/>
          <w:highlight w:val="none"/>
          <w:lang w:val="en-US" w:eastAsia="zh-CN"/>
        </w:rPr>
        <w:t>2</w:t>
      </w:r>
      <w:r>
        <w:rPr>
          <w:rFonts w:hint="eastAsia" w:ascii="宋体" w:hAnsi="宋体" w:cs="宋体"/>
          <w:bCs/>
          <w:szCs w:val="24"/>
          <w:highlight w:val="none"/>
        </w:rPr>
        <w:t>根</w:t>
      </w:r>
      <w:r>
        <w:rPr>
          <w:rFonts w:hint="eastAsia"/>
          <w:highlight w:val="none"/>
        </w:rPr>
        <w:t>1</w:t>
      </w:r>
      <w:r>
        <w:rPr>
          <w:rFonts w:hint="eastAsia"/>
          <w:highlight w:val="none"/>
          <w:lang w:val="en-US" w:eastAsia="zh-CN"/>
        </w:rPr>
        <w:t>8</w:t>
      </w:r>
      <w:r>
        <w:rPr>
          <w:rFonts w:hint="eastAsia"/>
          <w:highlight w:val="none"/>
        </w:rPr>
        <w:t>mm  6×19S+FC 1870Mpa配套GB/T 25854-6-DW10卸扣</w:t>
      </w:r>
      <w:r>
        <w:rPr>
          <w:rFonts w:hint="eastAsia" w:ascii="宋体" w:hAnsi="宋体" w:cs="宋体"/>
          <w:bCs/>
          <w:szCs w:val="24"/>
          <w:highlight w:val="none"/>
        </w:rPr>
        <w:t>按顺序吊装起重臂臂节，试吊起重臂，使根部稍倾斜，倾斜角度不合适，应适当调整，并再次试吊，直至起重臂角度最佳为止，在起重臂上弦做好标志，以便拆卸时吊点选择。起吊前，将麻绳固定于便于牵引的一端，缓慢起吊起重臂至空中，可通过电力或手动摇动回转机构回转到安装起重臂的最佳角度，将起重臂上弦杆1个用销轴与前一节臂上弦杆的销孔连接，穿好立销及开口销。缓慢落钩至起重臂下弦与平衡臂下弦连接口对正后，缓慢落下起重臂，安装下弦连接专用高强螺栓，完成一节起重臂的安装。</w:t>
      </w:r>
    </w:p>
    <w:p w14:paraId="1718645B">
      <w:pPr>
        <w:spacing w:after="156" w:afterLines="50" w:line="300" w:lineRule="auto"/>
        <w:ind w:firstLine="480"/>
        <w:jc w:val="left"/>
        <w:rPr>
          <w:rFonts w:ascii="宋体" w:hAnsi="宋体" w:cs="宋体"/>
          <w:bCs/>
          <w:szCs w:val="24"/>
          <w:highlight w:val="none"/>
        </w:rPr>
      </w:pPr>
      <w:r>
        <w:rPr>
          <w:rFonts w:hint="eastAsia" w:ascii="宋体" w:hAnsi="宋体" w:cs="宋体"/>
          <w:bCs/>
          <w:szCs w:val="24"/>
          <w:highlight w:val="none"/>
        </w:rPr>
        <w:t>（</w:t>
      </w:r>
      <w:r>
        <w:rPr>
          <w:rFonts w:hint="eastAsia" w:ascii="宋体" w:hAnsi="宋体" w:cs="宋体"/>
          <w:bCs/>
          <w:szCs w:val="24"/>
          <w:highlight w:val="none"/>
          <w:lang w:val="en-US" w:eastAsia="zh-CN"/>
        </w:rPr>
        <w:t>3</w:t>
      </w:r>
      <w:r>
        <w:rPr>
          <w:rFonts w:hint="eastAsia" w:ascii="宋体" w:hAnsi="宋体" w:cs="宋体"/>
          <w:bCs/>
          <w:szCs w:val="24"/>
          <w:highlight w:val="none"/>
        </w:rPr>
        <w:t>）各个起重臂节的在空中拼装方式都相同。如下图所示。</w:t>
      </w:r>
    </w:p>
    <w:p w14:paraId="6B888878">
      <w:pPr>
        <w:pStyle w:val="40"/>
        <w:ind w:firstLine="0" w:firstLineChars="0"/>
        <w:jc w:val="center"/>
        <w:rPr>
          <w:highlight w:val="none"/>
        </w:rPr>
      </w:pPr>
      <w:r>
        <w:rPr>
          <w:highlight w:val="none"/>
        </w:rPr>
        <w:drawing>
          <wp:inline distT="0" distB="0" distL="114300" distR="114300">
            <wp:extent cx="4677410" cy="4551045"/>
            <wp:effectExtent l="0" t="0" r="8890" b="1905"/>
            <wp:docPr id="5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7"/>
                    <pic:cNvPicPr>
                      <a:picLocks noChangeAspect="1"/>
                    </pic:cNvPicPr>
                  </pic:nvPicPr>
                  <pic:blipFill>
                    <a:blip r:embed="rId72"/>
                    <a:stretch>
                      <a:fillRect/>
                    </a:stretch>
                  </pic:blipFill>
                  <pic:spPr>
                    <a:xfrm>
                      <a:off x="0" y="0"/>
                      <a:ext cx="4677410" cy="4551045"/>
                    </a:xfrm>
                    <a:prstGeom prst="rect">
                      <a:avLst/>
                    </a:prstGeom>
                    <a:noFill/>
                    <a:ln>
                      <a:noFill/>
                    </a:ln>
                  </pic:spPr>
                </pic:pic>
              </a:graphicData>
            </a:graphic>
          </wp:inline>
        </w:drawing>
      </w:r>
    </w:p>
    <w:p w14:paraId="6538230B">
      <w:pPr>
        <w:widowControl/>
        <w:ind w:firstLine="480"/>
        <w:jc w:val="center"/>
        <w:rPr>
          <w:highlight w:val="none"/>
        </w:rPr>
      </w:pPr>
      <w:r>
        <w:rPr>
          <w:rFonts w:hint="eastAsia"/>
          <w:highlight w:val="none"/>
        </w:rPr>
        <w:t>图4.4.9-1 起重臂组合图</w:t>
      </w:r>
    </w:p>
    <w:p w14:paraId="17ECB83D">
      <w:pPr>
        <w:pStyle w:val="40"/>
        <w:ind w:firstLine="0" w:firstLineChars="0"/>
        <w:jc w:val="center"/>
        <w:rPr>
          <w:highlight w:val="none"/>
        </w:rPr>
      </w:pPr>
      <w:r>
        <w:rPr>
          <w:highlight w:val="none"/>
        </w:rPr>
        <w:drawing>
          <wp:inline distT="0" distB="0" distL="114300" distR="114300">
            <wp:extent cx="3663315" cy="3048635"/>
            <wp:effectExtent l="0" t="0" r="13335" b="18415"/>
            <wp:docPr id="5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8"/>
                    <pic:cNvPicPr>
                      <a:picLocks noChangeAspect="1"/>
                    </pic:cNvPicPr>
                  </pic:nvPicPr>
                  <pic:blipFill>
                    <a:blip r:embed="rId73"/>
                    <a:stretch>
                      <a:fillRect/>
                    </a:stretch>
                  </pic:blipFill>
                  <pic:spPr>
                    <a:xfrm>
                      <a:off x="0" y="0"/>
                      <a:ext cx="3663315" cy="3048635"/>
                    </a:xfrm>
                    <a:prstGeom prst="rect">
                      <a:avLst/>
                    </a:prstGeom>
                    <a:noFill/>
                    <a:ln>
                      <a:noFill/>
                    </a:ln>
                  </pic:spPr>
                </pic:pic>
              </a:graphicData>
            </a:graphic>
          </wp:inline>
        </w:drawing>
      </w:r>
    </w:p>
    <w:p w14:paraId="3EEBF81F">
      <w:pPr>
        <w:widowControl/>
        <w:ind w:firstLine="480"/>
        <w:jc w:val="center"/>
        <w:rPr>
          <w:highlight w:val="none"/>
        </w:rPr>
      </w:pPr>
      <w:r>
        <w:rPr>
          <w:rFonts w:hint="eastAsia"/>
          <w:highlight w:val="none"/>
        </w:rPr>
        <w:t>图 4.4.9</w:t>
      </w:r>
      <w:r>
        <w:rPr>
          <w:rFonts w:hint="eastAsia"/>
          <w:highlight w:val="none"/>
        </w:rPr>
        <w:noBreakHyphen/>
      </w:r>
      <w:r>
        <w:rPr>
          <w:rFonts w:hint="eastAsia"/>
          <w:highlight w:val="none"/>
        </w:rPr>
        <w:t>2   3#塔吊起重臂臂节二吊装立面示意图</w:t>
      </w:r>
    </w:p>
    <w:p w14:paraId="18981143">
      <w:pPr>
        <w:widowControl/>
        <w:ind w:firstLine="0" w:firstLineChars="0"/>
        <w:jc w:val="center"/>
        <w:rPr>
          <w:highlight w:val="none"/>
        </w:rPr>
      </w:pPr>
      <w:r>
        <w:rPr>
          <w:highlight w:val="none"/>
        </w:rPr>
        <w:drawing>
          <wp:inline distT="0" distB="0" distL="114300" distR="114300">
            <wp:extent cx="5090795" cy="3000375"/>
            <wp:effectExtent l="0" t="0" r="14605" b="9525"/>
            <wp:docPr id="4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4"/>
                    <pic:cNvPicPr>
                      <a:picLocks noChangeAspect="1"/>
                    </pic:cNvPicPr>
                  </pic:nvPicPr>
                  <pic:blipFill>
                    <a:blip r:embed="rId74"/>
                    <a:stretch>
                      <a:fillRect/>
                    </a:stretch>
                  </pic:blipFill>
                  <pic:spPr>
                    <a:xfrm>
                      <a:off x="0" y="0"/>
                      <a:ext cx="5090795" cy="3000375"/>
                    </a:xfrm>
                    <a:prstGeom prst="rect">
                      <a:avLst/>
                    </a:prstGeom>
                    <a:noFill/>
                    <a:ln>
                      <a:noFill/>
                    </a:ln>
                  </pic:spPr>
                </pic:pic>
              </a:graphicData>
            </a:graphic>
          </wp:inline>
        </w:drawing>
      </w:r>
    </w:p>
    <w:p w14:paraId="1B9076C4">
      <w:pPr>
        <w:widowControl/>
        <w:ind w:firstLine="480"/>
        <w:jc w:val="center"/>
        <w:rPr>
          <w:highlight w:val="none"/>
        </w:rPr>
      </w:pPr>
      <w:r>
        <w:rPr>
          <w:rFonts w:hint="eastAsia"/>
          <w:highlight w:val="none"/>
        </w:rPr>
        <w:t>图 4.4.9</w:t>
      </w:r>
      <w:r>
        <w:rPr>
          <w:rFonts w:hint="eastAsia"/>
          <w:highlight w:val="none"/>
        </w:rPr>
        <w:noBreakHyphen/>
      </w:r>
      <w:r>
        <w:rPr>
          <w:rFonts w:hint="eastAsia"/>
          <w:highlight w:val="none"/>
        </w:rPr>
        <w:t>3   3#塔吊起重臂臂节二吊装平面示意图</w:t>
      </w:r>
    </w:p>
    <w:p w14:paraId="1142C931">
      <w:pPr>
        <w:spacing w:after="156" w:afterLines="50" w:line="300" w:lineRule="auto"/>
        <w:ind w:firstLine="0" w:firstLineChars="0"/>
        <w:jc w:val="center"/>
        <w:rPr>
          <w:highlight w:val="none"/>
        </w:rPr>
      </w:pPr>
    </w:p>
    <w:p w14:paraId="4564E460">
      <w:pPr>
        <w:spacing w:after="156" w:afterLines="50" w:line="300" w:lineRule="auto"/>
        <w:ind w:firstLine="0" w:firstLineChars="0"/>
        <w:jc w:val="center"/>
        <w:rPr>
          <w:highlight w:val="none"/>
        </w:rPr>
      </w:pPr>
    </w:p>
    <w:p w14:paraId="76B300AD">
      <w:pPr>
        <w:spacing w:after="156" w:afterLines="50" w:line="300" w:lineRule="auto"/>
        <w:ind w:firstLine="0" w:firstLineChars="0"/>
        <w:jc w:val="center"/>
        <w:rPr>
          <w:highlight w:val="none"/>
        </w:rPr>
      </w:pPr>
      <w:r>
        <w:rPr>
          <w:highlight w:val="none"/>
        </w:rPr>
        <w:drawing>
          <wp:inline distT="0" distB="0" distL="114300" distR="114300">
            <wp:extent cx="5271135" cy="4119245"/>
            <wp:effectExtent l="0" t="0" r="5715" b="14605"/>
            <wp:docPr id="5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0"/>
                    <pic:cNvPicPr>
                      <a:picLocks noChangeAspect="1"/>
                    </pic:cNvPicPr>
                  </pic:nvPicPr>
                  <pic:blipFill>
                    <a:blip r:embed="rId75"/>
                    <a:stretch>
                      <a:fillRect/>
                    </a:stretch>
                  </pic:blipFill>
                  <pic:spPr>
                    <a:xfrm>
                      <a:off x="0" y="0"/>
                      <a:ext cx="5271135" cy="4119245"/>
                    </a:xfrm>
                    <a:prstGeom prst="rect">
                      <a:avLst/>
                    </a:prstGeom>
                    <a:noFill/>
                    <a:ln>
                      <a:noFill/>
                    </a:ln>
                  </pic:spPr>
                </pic:pic>
              </a:graphicData>
            </a:graphic>
          </wp:inline>
        </w:drawing>
      </w:r>
      <w:r>
        <w:rPr>
          <w:highlight w:val="none"/>
        </w:rPr>
        <w:drawing>
          <wp:inline distT="0" distB="0" distL="114300" distR="114300">
            <wp:extent cx="5269865" cy="3742055"/>
            <wp:effectExtent l="0" t="0" r="6985" b="10795"/>
            <wp:docPr id="5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1"/>
                    <pic:cNvPicPr>
                      <a:picLocks noChangeAspect="1"/>
                    </pic:cNvPicPr>
                  </pic:nvPicPr>
                  <pic:blipFill>
                    <a:blip r:embed="rId76"/>
                    <a:stretch>
                      <a:fillRect/>
                    </a:stretch>
                  </pic:blipFill>
                  <pic:spPr>
                    <a:xfrm>
                      <a:off x="0" y="0"/>
                      <a:ext cx="5269865" cy="3742055"/>
                    </a:xfrm>
                    <a:prstGeom prst="rect">
                      <a:avLst/>
                    </a:prstGeom>
                    <a:noFill/>
                    <a:ln>
                      <a:noFill/>
                    </a:ln>
                  </pic:spPr>
                </pic:pic>
              </a:graphicData>
            </a:graphic>
          </wp:inline>
        </w:drawing>
      </w:r>
      <w:r>
        <w:rPr>
          <w:highlight w:val="none"/>
        </w:rPr>
        <w:drawing>
          <wp:inline distT="0" distB="0" distL="114300" distR="114300">
            <wp:extent cx="5269865" cy="3246120"/>
            <wp:effectExtent l="0" t="0" r="6985" b="11430"/>
            <wp:docPr id="5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2"/>
                    <pic:cNvPicPr>
                      <a:picLocks noChangeAspect="1"/>
                    </pic:cNvPicPr>
                  </pic:nvPicPr>
                  <pic:blipFill>
                    <a:blip r:embed="rId77"/>
                    <a:stretch>
                      <a:fillRect/>
                    </a:stretch>
                  </pic:blipFill>
                  <pic:spPr>
                    <a:xfrm>
                      <a:off x="0" y="0"/>
                      <a:ext cx="5269865" cy="3246120"/>
                    </a:xfrm>
                    <a:prstGeom prst="rect">
                      <a:avLst/>
                    </a:prstGeom>
                    <a:noFill/>
                    <a:ln>
                      <a:noFill/>
                    </a:ln>
                  </pic:spPr>
                </pic:pic>
              </a:graphicData>
            </a:graphic>
          </wp:inline>
        </w:drawing>
      </w:r>
      <w:r>
        <w:rPr>
          <w:highlight w:val="none"/>
        </w:rPr>
        <w:drawing>
          <wp:inline distT="0" distB="0" distL="114300" distR="114300">
            <wp:extent cx="5271135" cy="3039110"/>
            <wp:effectExtent l="0" t="0" r="5715" b="8890"/>
            <wp:docPr id="5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3"/>
                    <pic:cNvPicPr>
                      <a:picLocks noChangeAspect="1"/>
                    </pic:cNvPicPr>
                  </pic:nvPicPr>
                  <pic:blipFill>
                    <a:blip r:embed="rId78"/>
                    <a:stretch>
                      <a:fillRect/>
                    </a:stretch>
                  </pic:blipFill>
                  <pic:spPr>
                    <a:xfrm>
                      <a:off x="0" y="0"/>
                      <a:ext cx="5271135" cy="3039110"/>
                    </a:xfrm>
                    <a:prstGeom prst="rect">
                      <a:avLst/>
                    </a:prstGeom>
                    <a:noFill/>
                    <a:ln>
                      <a:noFill/>
                    </a:ln>
                  </pic:spPr>
                </pic:pic>
              </a:graphicData>
            </a:graphic>
          </wp:inline>
        </w:drawing>
      </w:r>
    </w:p>
    <w:p w14:paraId="4CDEDCCE">
      <w:pPr>
        <w:pStyle w:val="40"/>
        <w:ind w:firstLine="480"/>
        <w:jc w:val="center"/>
        <w:rPr>
          <w:color w:val="auto"/>
          <w:kern w:val="2"/>
          <w:sz w:val="24"/>
          <w:szCs w:val="21"/>
          <w:highlight w:val="none"/>
        </w:rPr>
      </w:pPr>
      <w:r>
        <w:rPr>
          <w:rFonts w:hint="eastAsia"/>
          <w:color w:val="auto"/>
          <w:kern w:val="2"/>
          <w:sz w:val="24"/>
          <w:szCs w:val="21"/>
          <w:highlight w:val="none"/>
        </w:rPr>
        <w:t>图 4.4.9</w:t>
      </w:r>
      <w:r>
        <w:rPr>
          <w:rFonts w:hint="eastAsia"/>
          <w:color w:val="auto"/>
          <w:kern w:val="2"/>
          <w:sz w:val="24"/>
          <w:szCs w:val="21"/>
          <w:highlight w:val="none"/>
        </w:rPr>
        <w:noBreakHyphen/>
      </w:r>
      <w:r>
        <w:rPr>
          <w:rFonts w:hint="eastAsia"/>
          <w:color w:val="auto"/>
          <w:kern w:val="2"/>
          <w:sz w:val="24"/>
          <w:szCs w:val="21"/>
          <w:highlight w:val="none"/>
        </w:rPr>
        <w:t>4    3#塔吊剩余起重臂吊装立面示意图</w:t>
      </w:r>
    </w:p>
    <w:p w14:paraId="528ABCEA">
      <w:pPr>
        <w:pStyle w:val="40"/>
        <w:ind w:left="0" w:leftChars="0" w:firstLine="0" w:firstLineChars="0"/>
        <w:jc w:val="center"/>
        <w:rPr>
          <w:color w:val="auto"/>
          <w:kern w:val="2"/>
          <w:sz w:val="24"/>
          <w:szCs w:val="21"/>
          <w:highlight w:val="none"/>
        </w:rPr>
      </w:pPr>
      <w:r>
        <w:rPr>
          <w:highlight w:val="none"/>
        </w:rPr>
        <w:drawing>
          <wp:inline distT="0" distB="0" distL="114300" distR="114300">
            <wp:extent cx="4205605" cy="2004060"/>
            <wp:effectExtent l="0" t="0" r="4445" b="15240"/>
            <wp:docPr id="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pic:cNvPicPr>
                      <a:picLocks noChangeAspect="1"/>
                    </pic:cNvPicPr>
                  </pic:nvPicPr>
                  <pic:blipFill>
                    <a:blip r:embed="rId79"/>
                    <a:stretch>
                      <a:fillRect/>
                    </a:stretch>
                  </pic:blipFill>
                  <pic:spPr>
                    <a:xfrm>
                      <a:off x="0" y="0"/>
                      <a:ext cx="4205605" cy="2004060"/>
                    </a:xfrm>
                    <a:prstGeom prst="rect">
                      <a:avLst/>
                    </a:prstGeom>
                    <a:noFill/>
                    <a:ln>
                      <a:noFill/>
                    </a:ln>
                  </pic:spPr>
                </pic:pic>
              </a:graphicData>
            </a:graphic>
          </wp:inline>
        </w:drawing>
      </w:r>
      <w:r>
        <w:rPr>
          <w:highlight w:val="none"/>
        </w:rPr>
        <w:drawing>
          <wp:inline distT="0" distB="0" distL="114300" distR="114300">
            <wp:extent cx="4139565" cy="2215515"/>
            <wp:effectExtent l="0" t="0" r="13335" b="13335"/>
            <wp:docPr id="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6"/>
                    <pic:cNvPicPr>
                      <a:picLocks noChangeAspect="1"/>
                    </pic:cNvPicPr>
                  </pic:nvPicPr>
                  <pic:blipFill>
                    <a:blip r:embed="rId80"/>
                    <a:stretch>
                      <a:fillRect/>
                    </a:stretch>
                  </pic:blipFill>
                  <pic:spPr>
                    <a:xfrm>
                      <a:off x="0" y="0"/>
                      <a:ext cx="4139565" cy="2215515"/>
                    </a:xfrm>
                    <a:prstGeom prst="rect">
                      <a:avLst/>
                    </a:prstGeom>
                    <a:noFill/>
                    <a:ln>
                      <a:noFill/>
                    </a:ln>
                  </pic:spPr>
                </pic:pic>
              </a:graphicData>
            </a:graphic>
          </wp:inline>
        </w:drawing>
      </w:r>
      <w:r>
        <w:rPr>
          <w:highlight w:val="none"/>
        </w:rPr>
        <w:drawing>
          <wp:inline distT="0" distB="0" distL="114300" distR="114300">
            <wp:extent cx="3408680" cy="1922780"/>
            <wp:effectExtent l="0" t="0" r="1270" b="1270"/>
            <wp:docPr id="5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7"/>
                    <pic:cNvPicPr>
                      <a:picLocks noChangeAspect="1"/>
                    </pic:cNvPicPr>
                  </pic:nvPicPr>
                  <pic:blipFill>
                    <a:blip r:embed="rId81"/>
                    <a:stretch>
                      <a:fillRect/>
                    </a:stretch>
                  </pic:blipFill>
                  <pic:spPr>
                    <a:xfrm>
                      <a:off x="0" y="0"/>
                      <a:ext cx="3408680" cy="1922780"/>
                    </a:xfrm>
                    <a:prstGeom prst="rect">
                      <a:avLst/>
                    </a:prstGeom>
                    <a:noFill/>
                    <a:ln>
                      <a:noFill/>
                    </a:ln>
                  </pic:spPr>
                </pic:pic>
              </a:graphicData>
            </a:graphic>
          </wp:inline>
        </w:drawing>
      </w:r>
      <w:r>
        <w:rPr>
          <w:highlight w:val="none"/>
        </w:rPr>
        <w:drawing>
          <wp:inline distT="0" distB="0" distL="114300" distR="114300">
            <wp:extent cx="3728720" cy="2268220"/>
            <wp:effectExtent l="0" t="0" r="5080" b="17780"/>
            <wp:docPr id="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8"/>
                    <pic:cNvPicPr>
                      <a:picLocks noChangeAspect="1"/>
                    </pic:cNvPicPr>
                  </pic:nvPicPr>
                  <pic:blipFill>
                    <a:blip r:embed="rId82"/>
                    <a:stretch>
                      <a:fillRect/>
                    </a:stretch>
                  </pic:blipFill>
                  <pic:spPr>
                    <a:xfrm>
                      <a:off x="0" y="0"/>
                      <a:ext cx="3728720" cy="2268220"/>
                    </a:xfrm>
                    <a:prstGeom prst="rect">
                      <a:avLst/>
                    </a:prstGeom>
                    <a:noFill/>
                    <a:ln>
                      <a:noFill/>
                    </a:ln>
                  </pic:spPr>
                </pic:pic>
              </a:graphicData>
            </a:graphic>
          </wp:inline>
        </w:drawing>
      </w:r>
    </w:p>
    <w:p w14:paraId="47E260BC">
      <w:pPr>
        <w:pStyle w:val="40"/>
        <w:ind w:firstLine="480"/>
        <w:jc w:val="center"/>
        <w:rPr>
          <w:color w:val="auto"/>
          <w:kern w:val="2"/>
          <w:sz w:val="24"/>
          <w:szCs w:val="21"/>
          <w:highlight w:val="none"/>
        </w:rPr>
      </w:pPr>
      <w:r>
        <w:rPr>
          <w:rFonts w:hint="eastAsia"/>
          <w:color w:val="auto"/>
          <w:kern w:val="2"/>
          <w:sz w:val="24"/>
          <w:szCs w:val="21"/>
          <w:highlight w:val="none"/>
        </w:rPr>
        <w:t>图 4.4.9</w:t>
      </w:r>
      <w:r>
        <w:rPr>
          <w:rFonts w:hint="eastAsia"/>
          <w:color w:val="auto"/>
          <w:kern w:val="2"/>
          <w:sz w:val="24"/>
          <w:szCs w:val="21"/>
          <w:highlight w:val="none"/>
        </w:rPr>
        <w:noBreakHyphen/>
      </w:r>
      <w:r>
        <w:rPr>
          <w:rFonts w:hint="eastAsia"/>
          <w:color w:val="auto"/>
          <w:kern w:val="2"/>
          <w:sz w:val="24"/>
          <w:szCs w:val="21"/>
          <w:highlight w:val="none"/>
        </w:rPr>
        <w:t>5  3#塔吊其余起重臂吊装平面示意图</w:t>
      </w:r>
    </w:p>
    <w:p w14:paraId="61BAEB55">
      <w:pPr>
        <w:ind w:firstLine="480"/>
        <w:rPr>
          <w:rFonts w:ascii="宋体" w:hAnsi="宋体" w:cs="宋体"/>
          <w:b/>
          <w:bCs/>
          <w:szCs w:val="24"/>
          <w:highlight w:val="none"/>
        </w:rPr>
      </w:pPr>
      <w:r>
        <w:rPr>
          <w:rFonts w:hint="eastAsia"/>
          <w:highlight w:val="none"/>
        </w:rPr>
        <w:t>（</w:t>
      </w:r>
      <w:r>
        <w:rPr>
          <w:rFonts w:hint="eastAsia"/>
          <w:highlight w:val="none"/>
          <w:lang w:val="en-US" w:eastAsia="zh-CN"/>
        </w:rPr>
        <w:t>4</w:t>
      </w:r>
      <w:r>
        <w:rPr>
          <w:rFonts w:hint="eastAsia"/>
          <w:highlight w:val="none"/>
        </w:rPr>
        <w:t>）塔吊起重臂总成安装时设置警戒区，起吊安排专人负责指挥，专人操作，严禁无关人员进入起重作业范围内。</w:t>
      </w:r>
    </w:p>
    <w:p w14:paraId="290D45BF">
      <w:pPr>
        <w:pStyle w:val="5"/>
        <w:bidi w:val="0"/>
        <w:ind w:left="0" w:leftChars="0" w:firstLine="0" w:firstLineChars="0"/>
        <w:rPr>
          <w:highlight w:val="none"/>
        </w:rPr>
      </w:pPr>
      <w:r>
        <w:rPr>
          <w:rFonts w:hint="eastAsia"/>
          <w:highlight w:val="none"/>
        </w:rPr>
        <w:t>安装剩余平衡重</w:t>
      </w:r>
    </w:p>
    <w:p w14:paraId="6FF62C56">
      <w:pPr>
        <w:ind w:firstLine="480"/>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rFonts w:hint="eastAsia"/>
          <w:highlight w:val="none"/>
        </w:rPr>
        <w:t>剩余平衡重吊装方法同</w:t>
      </w:r>
      <w:r>
        <w:rPr>
          <w:rFonts w:hint="eastAsia"/>
          <w:b/>
          <w:bCs/>
          <w:highlight w:val="none"/>
        </w:rPr>
        <w:t>安装第1块平衡重</w:t>
      </w:r>
      <w:r>
        <w:rPr>
          <w:rFonts w:hint="eastAsia"/>
          <w:highlight w:val="none"/>
        </w:rPr>
        <w:t>。吊装完成后检查并确认相邻平衡重块的整个表面是否贴紧。</w:t>
      </w:r>
    </w:p>
    <w:p w14:paraId="4204D455">
      <w:pPr>
        <w:pStyle w:val="16"/>
        <w:ind w:firstLine="480"/>
        <w:jc w:val="center"/>
        <w:rPr>
          <w:highlight w:val="none"/>
        </w:rPr>
      </w:pPr>
      <w:r>
        <w:rPr>
          <w:rFonts w:hint="eastAsia" w:ascii="Times New Roman" w:hAnsi="Times New Roman"/>
          <w:szCs w:val="21"/>
          <w:highlight w:val="none"/>
        </w:rPr>
        <w:t>表4.4.10-1 平衡重组合表</w:t>
      </w:r>
    </w:p>
    <w:p w14:paraId="4EC0A56D">
      <w:pPr>
        <w:pStyle w:val="17"/>
        <w:ind w:firstLine="240"/>
        <w:rPr>
          <w:rFonts w:hint="default"/>
          <w:highlight w:val="none"/>
        </w:rPr>
      </w:pPr>
      <w:r>
        <w:rPr>
          <w:highlight w:val="none"/>
        </w:rPr>
        <w:drawing>
          <wp:inline distT="0" distB="0" distL="114300" distR="114300">
            <wp:extent cx="5273040" cy="1062990"/>
            <wp:effectExtent l="0" t="0" r="3810" b="3810"/>
            <wp:docPr id="6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8"/>
                    <pic:cNvPicPr>
                      <a:picLocks noChangeAspect="1"/>
                    </pic:cNvPicPr>
                  </pic:nvPicPr>
                  <pic:blipFill>
                    <a:blip r:embed="rId83"/>
                    <a:stretch>
                      <a:fillRect/>
                    </a:stretch>
                  </pic:blipFill>
                  <pic:spPr>
                    <a:xfrm>
                      <a:off x="0" y="0"/>
                      <a:ext cx="5273040" cy="1062990"/>
                    </a:xfrm>
                    <a:prstGeom prst="rect">
                      <a:avLst/>
                    </a:prstGeom>
                    <a:noFill/>
                    <a:ln>
                      <a:noFill/>
                    </a:ln>
                  </pic:spPr>
                </pic:pic>
              </a:graphicData>
            </a:graphic>
          </wp:inline>
        </w:drawing>
      </w:r>
    </w:p>
    <w:p w14:paraId="44835F49">
      <w:pPr>
        <w:widowControl/>
        <w:adjustRightInd w:val="0"/>
        <w:snapToGrid w:val="0"/>
        <w:ind w:firstLine="48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按从起升机构侧向</w:t>
      </w:r>
      <w:r>
        <w:rPr>
          <w:rFonts w:hint="eastAsia"/>
          <w:highlight w:val="none"/>
          <w:lang w:val="en-US" w:eastAsia="zh-CN"/>
        </w:rPr>
        <w:t>远离</w:t>
      </w:r>
      <w:r>
        <w:rPr>
          <w:rFonts w:hint="eastAsia"/>
          <w:highlight w:val="none"/>
        </w:rPr>
        <w:t>塔身侧依次吊装平衡重。</w:t>
      </w:r>
    </w:p>
    <w:p w14:paraId="253624DC">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作业人员在地面上先将钢丝绳一端挂在吊机吊钩上，另一端与卸扣连接，启动吊机，将卸扣缓慢提升至平衡重上方时，缓慢放松吊钩，作业人员通过平衡臂走道走行至平衡臂尾部，将安全带系挂在平衡臂横杆上，将配重吊起放置于平衡臂的配重槽上时，穿入平衡重销孔轴，然后平稳地将平衡重落于配重槽内。解除吊装钢丝绳。</w:t>
      </w:r>
    </w:p>
    <w:p w14:paraId="3615EEF7">
      <w:pPr>
        <w:ind w:firstLine="480"/>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rFonts w:hint="eastAsia"/>
          <w:highlight w:val="none"/>
        </w:rPr>
        <w:t>塔吊平衡重安装时设置警戒区，起吊安排专人负责指挥，专人操作，严禁无关人员进入起重作业范围内。</w:t>
      </w:r>
    </w:p>
    <w:p w14:paraId="74E13C1E">
      <w:pPr>
        <w:pStyle w:val="16"/>
        <w:ind w:firstLine="0" w:firstLineChars="0"/>
        <w:jc w:val="center"/>
        <w:rPr>
          <w:highlight w:val="none"/>
        </w:rPr>
      </w:pPr>
      <w:r>
        <w:rPr>
          <w:highlight w:val="none"/>
        </w:rPr>
        <w:drawing>
          <wp:inline distT="0" distB="0" distL="114300" distR="114300">
            <wp:extent cx="4768215" cy="3359785"/>
            <wp:effectExtent l="0" t="0" r="13335" b="12065"/>
            <wp:docPr id="6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9"/>
                    <pic:cNvPicPr>
                      <a:picLocks noChangeAspect="1"/>
                    </pic:cNvPicPr>
                  </pic:nvPicPr>
                  <pic:blipFill>
                    <a:blip r:embed="rId84"/>
                    <a:stretch>
                      <a:fillRect/>
                    </a:stretch>
                  </pic:blipFill>
                  <pic:spPr>
                    <a:xfrm>
                      <a:off x="0" y="0"/>
                      <a:ext cx="4768215" cy="3359785"/>
                    </a:xfrm>
                    <a:prstGeom prst="rect">
                      <a:avLst/>
                    </a:prstGeom>
                    <a:noFill/>
                    <a:ln>
                      <a:noFill/>
                    </a:ln>
                  </pic:spPr>
                </pic:pic>
              </a:graphicData>
            </a:graphic>
          </wp:inline>
        </w:drawing>
      </w:r>
    </w:p>
    <w:p w14:paraId="4966DCF5">
      <w:pPr>
        <w:widowControl/>
        <w:ind w:firstLine="480"/>
        <w:jc w:val="center"/>
        <w:rPr>
          <w:highlight w:val="none"/>
        </w:rPr>
      </w:pPr>
      <w:r>
        <w:rPr>
          <w:rFonts w:hint="eastAsia"/>
          <w:highlight w:val="none"/>
        </w:rPr>
        <w:t>图 4.4.10</w:t>
      </w:r>
      <w:r>
        <w:rPr>
          <w:rFonts w:hint="eastAsia"/>
          <w:highlight w:val="none"/>
        </w:rPr>
        <w:noBreakHyphen/>
      </w:r>
      <w:r>
        <w:rPr>
          <w:rFonts w:hint="eastAsia"/>
          <w:highlight w:val="none"/>
        </w:rPr>
        <w:t>2  3#塔吊剩余平衡重吊装立面示意图</w:t>
      </w:r>
    </w:p>
    <w:p w14:paraId="7FEF1E16">
      <w:pPr>
        <w:widowControl/>
        <w:ind w:firstLine="480"/>
        <w:jc w:val="center"/>
        <w:rPr>
          <w:highlight w:val="none"/>
        </w:rPr>
      </w:pPr>
      <w:r>
        <w:rPr>
          <w:highlight w:val="none"/>
        </w:rPr>
        <w:drawing>
          <wp:inline distT="0" distB="0" distL="114300" distR="114300">
            <wp:extent cx="5271135" cy="2599055"/>
            <wp:effectExtent l="0" t="0" r="5715" b="10795"/>
            <wp:docPr id="6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9"/>
                    <pic:cNvPicPr>
                      <a:picLocks noChangeAspect="1"/>
                    </pic:cNvPicPr>
                  </pic:nvPicPr>
                  <pic:blipFill>
                    <a:blip r:embed="rId85"/>
                    <a:stretch>
                      <a:fillRect/>
                    </a:stretch>
                  </pic:blipFill>
                  <pic:spPr>
                    <a:xfrm>
                      <a:off x="0" y="0"/>
                      <a:ext cx="5271135" cy="2599055"/>
                    </a:xfrm>
                    <a:prstGeom prst="rect">
                      <a:avLst/>
                    </a:prstGeom>
                    <a:noFill/>
                    <a:ln>
                      <a:noFill/>
                    </a:ln>
                  </pic:spPr>
                </pic:pic>
              </a:graphicData>
            </a:graphic>
          </wp:inline>
        </w:drawing>
      </w:r>
    </w:p>
    <w:p w14:paraId="12EB4ED2">
      <w:pPr>
        <w:widowControl/>
        <w:ind w:firstLine="480"/>
        <w:jc w:val="center"/>
        <w:rPr>
          <w:highlight w:val="none"/>
        </w:rPr>
      </w:pPr>
      <w:r>
        <w:rPr>
          <w:rFonts w:hint="eastAsia"/>
          <w:highlight w:val="none"/>
        </w:rPr>
        <w:t xml:space="preserve"> 图 4.4.10</w:t>
      </w:r>
      <w:r>
        <w:rPr>
          <w:rFonts w:hint="eastAsia"/>
          <w:highlight w:val="none"/>
        </w:rPr>
        <w:noBreakHyphen/>
      </w:r>
      <w:r>
        <w:rPr>
          <w:rFonts w:hint="eastAsia"/>
          <w:highlight w:val="none"/>
        </w:rPr>
        <w:t>3    3#塔吊剩余平衡重吊装立面示意图</w:t>
      </w:r>
    </w:p>
    <w:p w14:paraId="3A29C717">
      <w:pPr>
        <w:pStyle w:val="5"/>
        <w:bidi w:val="0"/>
        <w:ind w:left="0" w:leftChars="0" w:firstLine="0" w:firstLineChars="0"/>
        <w:rPr>
          <w:highlight w:val="none"/>
        </w:rPr>
      </w:pPr>
      <w:r>
        <w:rPr>
          <w:rFonts w:hint="eastAsia"/>
          <w:highlight w:val="none"/>
        </w:rPr>
        <w:t>穿绕钢丝绳</w:t>
      </w:r>
    </w:p>
    <w:p w14:paraId="1B2C60E3">
      <w:pPr>
        <w:pStyle w:val="7"/>
        <w:bidi w:val="0"/>
        <w:ind w:left="864" w:leftChars="0" w:hanging="864" w:firstLineChars="0"/>
        <w:rPr>
          <w:highlight w:val="none"/>
        </w:rPr>
      </w:pPr>
      <w:r>
        <w:rPr>
          <w:rFonts w:hint="eastAsia"/>
          <w:highlight w:val="none"/>
        </w:rPr>
        <w:t>穿绕变幅钢丝绳</w:t>
      </w:r>
    </w:p>
    <w:p w14:paraId="534BCB8A">
      <w:pPr>
        <w:ind w:firstLine="480"/>
        <w:rPr>
          <w:highlight w:val="none"/>
        </w:rPr>
      </w:pPr>
      <w:r>
        <w:rPr>
          <w:rFonts w:hint="eastAsia"/>
          <w:highlight w:val="none"/>
        </w:rPr>
        <w:t>根据实际使用的起重臂长度确定所需的变幅钢丝绳长度。穿绕变幅钢丝绳之前检查变幅小车是否锁定。</w:t>
      </w:r>
    </w:p>
    <w:p w14:paraId="4DA75FB3">
      <w:pPr>
        <w:ind w:firstLine="480"/>
        <w:rPr>
          <w:rFonts w:hint="eastAsia"/>
          <w:highlight w:val="none"/>
        </w:rPr>
      </w:pPr>
      <w:r>
        <w:rPr>
          <w:rFonts w:hint="eastAsia"/>
          <w:highlight w:val="none"/>
        </w:rPr>
        <w:t>操作步骤:</w:t>
      </w:r>
    </w:p>
    <w:p w14:paraId="70EBAEDC">
      <w:pPr>
        <w:ind w:firstLine="480"/>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rFonts w:hint="eastAsia"/>
          <w:highlight w:val="none"/>
        </w:rPr>
        <w:t>钢丝绳从变幅卷筒(1)出发，穿过起重臂根部滑轮(2)，使用销轴(3)和开口销(4)将楔形接头(5)固定在小车上。</w:t>
      </w:r>
    </w:p>
    <w:p w14:paraId="1E729265">
      <w:pPr>
        <w:ind w:firstLine="0" w:firstLineChars="0"/>
        <w:rPr>
          <w:highlight w:val="none"/>
        </w:rPr>
      </w:pPr>
      <w:r>
        <w:rPr>
          <w:highlight w:val="none"/>
        </w:rPr>
        <w:drawing>
          <wp:inline distT="0" distB="0" distL="114300" distR="114300">
            <wp:extent cx="5271135" cy="3091815"/>
            <wp:effectExtent l="0" t="0" r="5715" b="13335"/>
            <wp:docPr id="6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1"/>
                    <pic:cNvPicPr>
                      <a:picLocks noChangeAspect="1"/>
                    </pic:cNvPicPr>
                  </pic:nvPicPr>
                  <pic:blipFill>
                    <a:blip r:embed="rId86"/>
                    <a:stretch>
                      <a:fillRect/>
                    </a:stretch>
                  </pic:blipFill>
                  <pic:spPr>
                    <a:xfrm>
                      <a:off x="0" y="0"/>
                      <a:ext cx="5271135" cy="3091815"/>
                    </a:xfrm>
                    <a:prstGeom prst="rect">
                      <a:avLst/>
                    </a:prstGeom>
                    <a:noFill/>
                    <a:ln>
                      <a:noFill/>
                    </a:ln>
                  </pic:spPr>
                </pic:pic>
              </a:graphicData>
            </a:graphic>
          </wp:inline>
        </w:drawing>
      </w:r>
    </w:p>
    <w:p w14:paraId="00092ABB">
      <w:pPr>
        <w:ind w:firstLine="48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张紧变幅钢丝绳，并缓慢将其卷绕在变幅机构。</w:t>
      </w:r>
    </w:p>
    <w:p w14:paraId="340ECE94">
      <w:pPr>
        <w:ind w:firstLine="0" w:firstLineChars="0"/>
        <w:jc w:val="center"/>
        <w:rPr>
          <w:highlight w:val="none"/>
        </w:rPr>
      </w:pPr>
      <w:r>
        <w:rPr>
          <w:highlight w:val="none"/>
        </w:rPr>
        <w:drawing>
          <wp:inline distT="0" distB="0" distL="114300" distR="114300">
            <wp:extent cx="2590800" cy="1447800"/>
            <wp:effectExtent l="0" t="0" r="0" b="0"/>
            <wp:docPr id="7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2"/>
                    <pic:cNvPicPr>
                      <a:picLocks noChangeAspect="1"/>
                    </pic:cNvPicPr>
                  </pic:nvPicPr>
                  <pic:blipFill>
                    <a:blip r:embed="rId87"/>
                    <a:stretch>
                      <a:fillRect/>
                    </a:stretch>
                  </pic:blipFill>
                  <pic:spPr>
                    <a:xfrm>
                      <a:off x="0" y="0"/>
                      <a:ext cx="2590800" cy="1447800"/>
                    </a:xfrm>
                    <a:prstGeom prst="rect">
                      <a:avLst/>
                    </a:prstGeom>
                    <a:noFill/>
                    <a:ln>
                      <a:noFill/>
                    </a:ln>
                  </pic:spPr>
                </pic:pic>
              </a:graphicData>
            </a:graphic>
          </wp:inline>
        </w:drawing>
      </w:r>
    </w:p>
    <w:p w14:paraId="7CDDE094">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从卷轴上退下钢丝绳。</w:t>
      </w:r>
    </w:p>
    <w:p w14:paraId="74F5401E">
      <w:pPr>
        <w:ind w:firstLine="0" w:firstLineChars="0"/>
        <w:jc w:val="center"/>
        <w:rPr>
          <w:highlight w:val="none"/>
        </w:rPr>
      </w:pPr>
      <w:r>
        <w:rPr>
          <w:highlight w:val="none"/>
        </w:rPr>
        <w:drawing>
          <wp:inline distT="0" distB="0" distL="114300" distR="114300">
            <wp:extent cx="3105150" cy="1457325"/>
            <wp:effectExtent l="0" t="0" r="0" b="9525"/>
            <wp:docPr id="7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3"/>
                    <pic:cNvPicPr>
                      <a:picLocks noChangeAspect="1"/>
                    </pic:cNvPicPr>
                  </pic:nvPicPr>
                  <pic:blipFill>
                    <a:blip r:embed="rId88"/>
                    <a:stretch>
                      <a:fillRect/>
                    </a:stretch>
                  </pic:blipFill>
                  <pic:spPr>
                    <a:xfrm>
                      <a:off x="0" y="0"/>
                      <a:ext cx="3105150" cy="1457325"/>
                    </a:xfrm>
                    <a:prstGeom prst="rect">
                      <a:avLst/>
                    </a:prstGeom>
                    <a:noFill/>
                    <a:ln>
                      <a:noFill/>
                    </a:ln>
                  </pic:spPr>
                </pic:pic>
              </a:graphicData>
            </a:graphic>
          </wp:inline>
        </w:drawing>
      </w:r>
    </w:p>
    <w:p w14:paraId="62B150AE">
      <w:pPr>
        <w:ind w:firstLine="480"/>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rFonts w:hint="eastAsia"/>
          <w:highlight w:val="none"/>
        </w:rPr>
        <w:t>钢丝绳一端穿过起重臂端部滑轮。从卷筒下方缠绕钢丝绳，确保至少3留在卷筒。</w:t>
      </w:r>
    </w:p>
    <w:p w14:paraId="55F312A8">
      <w:pPr>
        <w:ind w:firstLine="0" w:firstLineChars="0"/>
        <w:jc w:val="center"/>
        <w:rPr>
          <w:highlight w:val="none"/>
        </w:rPr>
      </w:pPr>
      <w:r>
        <w:rPr>
          <w:highlight w:val="none"/>
        </w:rPr>
        <w:drawing>
          <wp:inline distT="0" distB="0" distL="114300" distR="114300">
            <wp:extent cx="3762375" cy="1504950"/>
            <wp:effectExtent l="0" t="0" r="9525" b="0"/>
            <wp:docPr id="7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4"/>
                    <pic:cNvPicPr>
                      <a:picLocks noChangeAspect="1"/>
                    </pic:cNvPicPr>
                  </pic:nvPicPr>
                  <pic:blipFill>
                    <a:blip r:embed="rId89"/>
                    <a:stretch>
                      <a:fillRect/>
                    </a:stretch>
                  </pic:blipFill>
                  <pic:spPr>
                    <a:xfrm>
                      <a:off x="0" y="0"/>
                      <a:ext cx="3762375" cy="1504950"/>
                    </a:xfrm>
                    <a:prstGeom prst="rect">
                      <a:avLst/>
                    </a:prstGeom>
                    <a:noFill/>
                    <a:ln>
                      <a:noFill/>
                    </a:ln>
                  </pic:spPr>
                </pic:pic>
              </a:graphicData>
            </a:graphic>
          </wp:inline>
        </w:drawing>
      </w:r>
    </w:p>
    <w:p w14:paraId="0C69ECA2">
      <w:pPr>
        <w:ind w:firstLine="480"/>
        <w:rPr>
          <w:highlight w:val="none"/>
        </w:rPr>
      </w:pPr>
      <w:r>
        <w:rPr>
          <w:rFonts w:hint="eastAsia"/>
          <w:highlight w:val="none"/>
          <w:lang w:eastAsia="zh-CN"/>
        </w:rPr>
        <w:t>（</w:t>
      </w:r>
      <w:r>
        <w:rPr>
          <w:rFonts w:hint="eastAsia"/>
          <w:highlight w:val="none"/>
          <w:lang w:val="en-US" w:eastAsia="zh-CN"/>
        </w:rPr>
        <w:t>5</w:t>
      </w:r>
      <w:r>
        <w:rPr>
          <w:rFonts w:hint="eastAsia"/>
          <w:highlight w:val="none"/>
          <w:lang w:eastAsia="zh-CN"/>
        </w:rPr>
        <w:t>）</w:t>
      </w:r>
      <w:r>
        <w:rPr>
          <w:rFonts w:hint="eastAsia"/>
          <w:highlight w:val="none"/>
        </w:rPr>
        <w:t>用螺栓(3)和压板(4)将钢丝绳固定至变幅卷筒侧面。</w:t>
      </w:r>
    </w:p>
    <w:p w14:paraId="55FF66D2">
      <w:pPr>
        <w:ind w:firstLine="0" w:firstLineChars="0"/>
        <w:jc w:val="center"/>
        <w:rPr>
          <w:highlight w:val="none"/>
        </w:rPr>
      </w:pPr>
      <w:r>
        <w:rPr>
          <w:highlight w:val="none"/>
        </w:rPr>
        <w:drawing>
          <wp:inline distT="0" distB="0" distL="114300" distR="114300">
            <wp:extent cx="3057525" cy="1800225"/>
            <wp:effectExtent l="0" t="0" r="9525" b="9525"/>
            <wp:docPr id="7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5"/>
                    <pic:cNvPicPr>
                      <a:picLocks noChangeAspect="1"/>
                    </pic:cNvPicPr>
                  </pic:nvPicPr>
                  <pic:blipFill>
                    <a:blip r:embed="rId90"/>
                    <a:stretch>
                      <a:fillRect/>
                    </a:stretch>
                  </pic:blipFill>
                  <pic:spPr>
                    <a:xfrm>
                      <a:off x="0" y="0"/>
                      <a:ext cx="3057525" cy="1800225"/>
                    </a:xfrm>
                    <a:prstGeom prst="rect">
                      <a:avLst/>
                    </a:prstGeom>
                    <a:noFill/>
                    <a:ln>
                      <a:noFill/>
                    </a:ln>
                  </pic:spPr>
                </pic:pic>
              </a:graphicData>
            </a:graphic>
          </wp:inline>
        </w:drawing>
      </w:r>
    </w:p>
    <w:p w14:paraId="00BF2F4A">
      <w:pPr>
        <w:ind w:firstLine="480"/>
        <w:jc w:val="left"/>
        <w:rPr>
          <w:rFonts w:hint="eastAsia"/>
          <w:highlight w:val="none"/>
        </w:rPr>
      </w:pPr>
      <w:r>
        <w:rPr>
          <w:rFonts w:hint="eastAsia"/>
          <w:highlight w:val="none"/>
          <w:lang w:eastAsia="zh-CN"/>
        </w:rPr>
        <w:t>（</w:t>
      </w:r>
      <w:r>
        <w:rPr>
          <w:rFonts w:hint="eastAsia"/>
          <w:highlight w:val="none"/>
          <w:lang w:val="en-US" w:eastAsia="zh-CN"/>
        </w:rPr>
        <w:t>6</w:t>
      </w:r>
      <w:r>
        <w:rPr>
          <w:rFonts w:hint="eastAsia"/>
          <w:highlight w:val="none"/>
          <w:lang w:eastAsia="zh-CN"/>
        </w:rPr>
        <w:t>）</w:t>
      </w:r>
      <w:r>
        <w:rPr>
          <w:rFonts w:hint="eastAsia"/>
          <w:highlight w:val="none"/>
        </w:rPr>
        <w:t>钢丝绳一端(1)穿过防断绳装置(3)的导环(2)。从下向上缠绕钢丝绳至张紧卷筒(4),并且确保3圈留在卷筒。钢丝绳穿过张紧卷筒的孔(5)，并用楔块(7)和楔套(6)固定钢丝绳。用手柄(8)张紧钢丝绳。</w:t>
      </w:r>
    </w:p>
    <w:p w14:paraId="5A4A3544">
      <w:pPr>
        <w:ind w:left="0" w:leftChars="0" w:firstLine="0" w:firstLineChars="0"/>
        <w:jc w:val="center"/>
        <w:rPr>
          <w:highlight w:val="none"/>
        </w:rPr>
      </w:pPr>
      <w:r>
        <w:rPr>
          <w:highlight w:val="none"/>
        </w:rPr>
        <w:drawing>
          <wp:inline distT="0" distB="0" distL="114300" distR="114300">
            <wp:extent cx="3762375" cy="3571875"/>
            <wp:effectExtent l="0" t="0" r="9525" b="9525"/>
            <wp:docPr id="7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6"/>
                    <pic:cNvPicPr>
                      <a:picLocks noChangeAspect="1"/>
                    </pic:cNvPicPr>
                  </pic:nvPicPr>
                  <pic:blipFill>
                    <a:blip r:embed="rId91"/>
                    <a:stretch>
                      <a:fillRect/>
                    </a:stretch>
                  </pic:blipFill>
                  <pic:spPr>
                    <a:xfrm>
                      <a:off x="0" y="0"/>
                      <a:ext cx="3762375" cy="3571875"/>
                    </a:xfrm>
                    <a:prstGeom prst="rect">
                      <a:avLst/>
                    </a:prstGeom>
                    <a:noFill/>
                    <a:ln>
                      <a:noFill/>
                    </a:ln>
                  </pic:spPr>
                </pic:pic>
              </a:graphicData>
            </a:graphic>
          </wp:inline>
        </w:drawing>
      </w:r>
    </w:p>
    <w:p w14:paraId="4EBC9019">
      <w:pPr>
        <w:pStyle w:val="7"/>
        <w:bidi w:val="0"/>
        <w:ind w:left="864" w:leftChars="0" w:hanging="864" w:firstLineChars="0"/>
        <w:rPr>
          <w:highlight w:val="none"/>
        </w:rPr>
      </w:pPr>
      <w:r>
        <w:rPr>
          <w:rFonts w:hint="eastAsia"/>
          <w:highlight w:val="none"/>
        </w:rPr>
        <w:t>穿绕起升钢丝绳</w:t>
      </w:r>
    </w:p>
    <w:p w14:paraId="5BCD9C94">
      <w:pPr>
        <w:ind w:firstLine="480"/>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rFonts w:hint="eastAsia"/>
          <w:highlight w:val="none"/>
        </w:rPr>
        <w:t>钢丝绳从起升机构(1)卷筒上端出绳，穿过平衡臂臂根节上托绳轮(2)，再穿过臂根节上起重量限制器滑轮(3)，再穿过起重臂臂根部滑轮(4)，然后钢丝绳伸出连接小车。</w:t>
      </w:r>
    </w:p>
    <w:p w14:paraId="2F80BE60">
      <w:pPr>
        <w:ind w:firstLine="0" w:firstLineChars="0"/>
        <w:jc w:val="center"/>
        <w:rPr>
          <w:highlight w:val="none"/>
        </w:rPr>
      </w:pPr>
      <w:r>
        <w:rPr>
          <w:highlight w:val="none"/>
        </w:rPr>
        <w:drawing>
          <wp:inline distT="0" distB="0" distL="114300" distR="114300">
            <wp:extent cx="5274310" cy="2923540"/>
            <wp:effectExtent l="0" t="0" r="2540" b="10160"/>
            <wp:docPr id="7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7"/>
                    <pic:cNvPicPr>
                      <a:picLocks noChangeAspect="1"/>
                    </pic:cNvPicPr>
                  </pic:nvPicPr>
                  <pic:blipFill>
                    <a:blip r:embed="rId92"/>
                    <a:stretch>
                      <a:fillRect/>
                    </a:stretch>
                  </pic:blipFill>
                  <pic:spPr>
                    <a:xfrm>
                      <a:off x="0" y="0"/>
                      <a:ext cx="5274310" cy="2923540"/>
                    </a:xfrm>
                    <a:prstGeom prst="rect">
                      <a:avLst/>
                    </a:prstGeom>
                    <a:noFill/>
                    <a:ln>
                      <a:noFill/>
                    </a:ln>
                  </pic:spPr>
                </pic:pic>
              </a:graphicData>
            </a:graphic>
          </wp:inline>
        </w:drawing>
      </w:r>
    </w:p>
    <w:p w14:paraId="0A7B4809">
      <w:pPr>
        <w:ind w:firstLine="48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穿绕变幅小车上起升钢丝绳。由于本小车和吊钩为自动变倍率方式，变倍率时通过吊钩上上下滑轮组自动断开方式实现，因此起升钢丝绳的绕绳方式不变。</w:t>
      </w:r>
    </w:p>
    <w:p w14:paraId="1C5DDECC">
      <w:pPr>
        <w:ind w:firstLine="0" w:firstLineChars="0"/>
        <w:jc w:val="center"/>
        <w:rPr>
          <w:highlight w:val="none"/>
        </w:rPr>
      </w:pPr>
      <w:r>
        <w:rPr>
          <w:highlight w:val="none"/>
        </w:rPr>
        <w:drawing>
          <wp:inline distT="0" distB="0" distL="114300" distR="114300">
            <wp:extent cx="5271770" cy="2418715"/>
            <wp:effectExtent l="0" t="0" r="5080" b="635"/>
            <wp:docPr id="7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8"/>
                    <pic:cNvPicPr>
                      <a:picLocks noChangeAspect="1"/>
                    </pic:cNvPicPr>
                  </pic:nvPicPr>
                  <pic:blipFill>
                    <a:blip r:embed="rId93"/>
                    <a:stretch>
                      <a:fillRect/>
                    </a:stretch>
                  </pic:blipFill>
                  <pic:spPr>
                    <a:xfrm>
                      <a:off x="0" y="0"/>
                      <a:ext cx="5271770" cy="2418715"/>
                    </a:xfrm>
                    <a:prstGeom prst="rect">
                      <a:avLst/>
                    </a:prstGeom>
                    <a:noFill/>
                    <a:ln>
                      <a:noFill/>
                    </a:ln>
                  </pic:spPr>
                </pic:pic>
              </a:graphicData>
            </a:graphic>
          </wp:inline>
        </w:drawing>
      </w:r>
    </w:p>
    <w:p w14:paraId="2EA76695">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起升钢丝绳从小车绕出之后进入起重臂臂头防扭装置。用块(3)锁住钢丝绳(1)至楔套(2)，并在钢丝绳末端装上一个绳夹(4)。用销轴(6)和开口销(7)安装楔套(2)至钢丝绳防扭器(5)。安装完毕后检查防扭器是否旋转自如。</w:t>
      </w:r>
    </w:p>
    <w:p w14:paraId="4965E5DB">
      <w:pPr>
        <w:ind w:firstLine="0" w:firstLineChars="0"/>
        <w:jc w:val="center"/>
        <w:rPr>
          <w:highlight w:val="none"/>
        </w:rPr>
      </w:pPr>
      <w:r>
        <w:rPr>
          <w:highlight w:val="none"/>
        </w:rPr>
        <w:drawing>
          <wp:inline distT="0" distB="0" distL="114300" distR="114300">
            <wp:extent cx="5269865" cy="1981200"/>
            <wp:effectExtent l="0" t="0" r="6985" b="0"/>
            <wp:docPr id="7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9"/>
                    <pic:cNvPicPr>
                      <a:picLocks noChangeAspect="1"/>
                    </pic:cNvPicPr>
                  </pic:nvPicPr>
                  <pic:blipFill>
                    <a:blip r:embed="rId94"/>
                    <a:stretch>
                      <a:fillRect/>
                    </a:stretch>
                  </pic:blipFill>
                  <pic:spPr>
                    <a:xfrm>
                      <a:off x="0" y="0"/>
                      <a:ext cx="5269865" cy="1981200"/>
                    </a:xfrm>
                    <a:prstGeom prst="rect">
                      <a:avLst/>
                    </a:prstGeom>
                    <a:noFill/>
                    <a:ln>
                      <a:noFill/>
                    </a:ln>
                  </pic:spPr>
                </pic:pic>
              </a:graphicData>
            </a:graphic>
          </wp:inline>
        </w:drawing>
      </w:r>
    </w:p>
    <w:p w14:paraId="3C43D2FB">
      <w:pPr>
        <w:pStyle w:val="5"/>
        <w:bidi w:val="0"/>
        <w:ind w:left="0" w:leftChars="0" w:firstLine="0" w:firstLineChars="0"/>
        <w:rPr>
          <w:highlight w:val="none"/>
        </w:rPr>
      </w:pPr>
      <w:r>
        <w:rPr>
          <w:rFonts w:hint="eastAsia"/>
          <w:highlight w:val="none"/>
        </w:rPr>
        <w:t>电气系统安装及试运转</w:t>
      </w:r>
    </w:p>
    <w:p w14:paraId="00BD768D">
      <w:pPr>
        <w:ind w:firstLine="480"/>
        <w:rPr>
          <w:highlight w:val="none"/>
        </w:rPr>
      </w:pPr>
      <w:r>
        <w:rPr>
          <w:rFonts w:hint="eastAsia"/>
          <w:highlight w:val="none"/>
        </w:rPr>
        <w:t>（1）起重臂安装完成后，按照说明书的要求，进行</w:t>
      </w:r>
      <w:r>
        <w:rPr>
          <w:highlight w:val="none"/>
        </w:rPr>
        <w:t>驾配箱、主控柜</w:t>
      </w:r>
      <w:r>
        <w:rPr>
          <w:rFonts w:hint="eastAsia"/>
          <w:highlight w:val="none"/>
        </w:rPr>
        <w:t>、</w:t>
      </w:r>
      <w:r>
        <w:rPr>
          <w:highlight w:val="none"/>
        </w:rPr>
        <w:t>重量限制器、力矩限制器、起升限位器、回转限位器、变幅限位器、行走限位器</w:t>
      </w:r>
      <w:r>
        <w:rPr>
          <w:rFonts w:hint="eastAsia"/>
          <w:highlight w:val="none"/>
        </w:rPr>
        <w:t>等的安装。</w:t>
      </w:r>
    </w:p>
    <w:p w14:paraId="4D279E1D">
      <w:pPr>
        <w:ind w:firstLine="480"/>
        <w:rPr>
          <w:highlight w:val="none"/>
        </w:rPr>
      </w:pPr>
      <w:r>
        <w:rPr>
          <w:rFonts w:hint="eastAsia"/>
          <w:highlight w:val="none"/>
        </w:rPr>
        <w:t>（2）在塔头顶部安装风速仪，平衡臂尾部以及起重臂前端部各安装一个警示灯。</w:t>
      </w:r>
    </w:p>
    <w:p w14:paraId="3F8A7F24">
      <w:pPr>
        <w:ind w:firstLine="480"/>
        <w:rPr>
          <w:highlight w:val="none"/>
        </w:rPr>
      </w:pPr>
      <w:r>
        <w:rPr>
          <w:rFonts w:hint="eastAsia"/>
          <w:highlight w:val="none"/>
        </w:rPr>
        <w:t>（3）在风速不大于3m/s且空载状态下，检查塔身轴线的垂直度，允许偏差为 4/1000。</w:t>
      </w:r>
    </w:p>
    <w:p w14:paraId="4D9436E8">
      <w:pPr>
        <w:ind w:firstLine="480"/>
        <w:rPr>
          <w:highlight w:val="none"/>
        </w:rPr>
      </w:pPr>
      <w:r>
        <w:rPr>
          <w:rFonts w:hint="eastAsia"/>
          <w:highlight w:val="none"/>
        </w:rPr>
        <w:t>（4）侧向垂直度在使用高度、空载状态，臂架相当于塔身0°和90°时分别沿臂架方向测量，标尺贴靠在塔身结构中心的最低处和最高处，用全站仪读出两处的偏位值。</w:t>
      </w:r>
    </w:p>
    <w:p w14:paraId="1AD81A03">
      <w:pPr>
        <w:ind w:firstLine="480"/>
        <w:rPr>
          <w:highlight w:val="none"/>
        </w:rPr>
      </w:pPr>
      <w:r>
        <w:rPr>
          <w:rFonts w:hint="eastAsia"/>
          <w:highlight w:val="none"/>
        </w:rPr>
        <w:t>（5）塔吊接通电源，试运转各机构，检查各机构运转是否正常，同时检查各钢丝绳是否处于正常工作状态，是否与各机构有干扰。</w:t>
      </w:r>
    </w:p>
    <w:p w14:paraId="02CCA186">
      <w:pPr>
        <w:pStyle w:val="7"/>
        <w:bidi w:val="0"/>
        <w:ind w:left="864" w:leftChars="0" w:hanging="864" w:firstLineChars="0"/>
        <w:rPr>
          <w:highlight w:val="none"/>
        </w:rPr>
      </w:pPr>
      <w:r>
        <w:rPr>
          <w:rFonts w:hint="eastAsia"/>
          <w:highlight w:val="none"/>
        </w:rPr>
        <w:t>操作系统的调试</w:t>
      </w:r>
    </w:p>
    <w:p w14:paraId="57E0E130">
      <w:pPr>
        <w:ind w:firstLine="480"/>
        <w:rPr>
          <w:highlight w:val="none"/>
        </w:rPr>
      </w:pPr>
      <w:r>
        <w:rPr>
          <w:rFonts w:ascii="宋体" w:hAnsi="宋体" w:cs="宋体"/>
          <w:highlight w:val="none"/>
        </w:rPr>
        <w:t>①</w:t>
      </w:r>
      <w:r>
        <w:rPr>
          <w:rFonts w:hint="eastAsia"/>
          <w:highlight w:val="none"/>
        </w:rPr>
        <w:t>电源检查：</w:t>
      </w:r>
    </w:p>
    <w:p w14:paraId="3A47517B">
      <w:pPr>
        <w:ind w:firstLine="480"/>
        <w:rPr>
          <w:highlight w:val="none"/>
        </w:rPr>
      </w:pPr>
      <w:r>
        <w:rPr>
          <w:rFonts w:hint="eastAsia"/>
          <w:highlight w:val="none"/>
        </w:rPr>
        <w:t>连通电源，检查三相电源的相序是否正确，电压是否满足要求（380V±5%）。</w:t>
      </w:r>
    </w:p>
    <w:p w14:paraId="3E39B6F3">
      <w:pPr>
        <w:ind w:firstLine="480"/>
        <w:rPr>
          <w:highlight w:val="none"/>
        </w:rPr>
      </w:pPr>
      <w:r>
        <w:rPr>
          <w:rFonts w:hint="eastAsia" w:ascii="宋体" w:hAnsi="宋体" w:cs="宋体"/>
          <w:highlight w:val="none"/>
        </w:rPr>
        <w:t>②</w:t>
      </w:r>
      <w:r>
        <w:rPr>
          <w:rFonts w:hint="eastAsia"/>
          <w:highlight w:val="none"/>
        </w:rPr>
        <w:t>操作系统逻辑关系检查：</w:t>
      </w:r>
    </w:p>
    <w:p w14:paraId="622AE4D8">
      <w:pPr>
        <w:ind w:firstLine="480"/>
        <w:rPr>
          <w:highlight w:val="none"/>
        </w:rPr>
      </w:pPr>
      <w:r>
        <w:rPr>
          <w:rFonts w:hint="eastAsia"/>
          <w:highlight w:val="none"/>
        </w:rPr>
        <w:t>操作起升手柄，观察吊钩起升运转情况，当起升手柄向内拉时，吊钩应向上运动；当起升手柄向外推时，吊钩应向下运动，否则应调整起升电机电源的相序。</w:t>
      </w:r>
    </w:p>
    <w:p w14:paraId="78B09845">
      <w:pPr>
        <w:ind w:firstLine="480"/>
        <w:rPr>
          <w:highlight w:val="none"/>
        </w:rPr>
      </w:pPr>
      <w:r>
        <w:rPr>
          <w:rFonts w:hint="eastAsia"/>
          <w:highlight w:val="none"/>
        </w:rPr>
        <w:t>操作回转手柄，当回转手柄向左推时，起重臂应向左转；当回转手柄向右推时，起重臂应向右转，否则应调整回转电机电源的相序。</w:t>
      </w:r>
    </w:p>
    <w:p w14:paraId="088CF958">
      <w:pPr>
        <w:ind w:firstLine="480"/>
        <w:rPr>
          <w:highlight w:val="none"/>
        </w:rPr>
      </w:pPr>
      <w:r>
        <w:rPr>
          <w:rFonts w:hint="eastAsia"/>
          <w:highlight w:val="none"/>
        </w:rPr>
        <w:t>操作变幅手柄，当变幅手柄向内拉时，变幅小车应该向内行走；当变幅手柄向外推时，变幅小车应该向外行走，否则应调整变幅小车电机电源的相序。</w:t>
      </w:r>
    </w:p>
    <w:p w14:paraId="3E23466F">
      <w:pPr>
        <w:pStyle w:val="7"/>
        <w:bidi w:val="0"/>
        <w:ind w:left="864" w:leftChars="0" w:hanging="864" w:firstLineChars="0"/>
        <w:rPr>
          <w:highlight w:val="none"/>
        </w:rPr>
      </w:pPr>
      <w:r>
        <w:rPr>
          <w:rFonts w:hint="eastAsia"/>
          <w:highlight w:val="none"/>
        </w:rPr>
        <w:t xml:space="preserve"> 安全保护装置调试</w:t>
      </w:r>
    </w:p>
    <w:p w14:paraId="228228E4">
      <w:pPr>
        <w:widowControl/>
        <w:ind w:firstLine="480"/>
        <w:jc w:val="left"/>
        <w:rPr>
          <w:highlight w:val="none"/>
        </w:rPr>
      </w:pPr>
      <w:r>
        <w:rPr>
          <w:rFonts w:hint="eastAsia" w:ascii="宋体" w:hAnsi="宋体" w:cs="宋体"/>
          <w:color w:val="000000"/>
          <w:kern w:val="0"/>
          <w:szCs w:val="24"/>
          <w:highlight w:val="none"/>
          <w:lang w:bidi="ar"/>
        </w:rPr>
        <w:t>塔机安全保护装置主要包括：行程限位器和载荷限制器。</w:t>
      </w:r>
    </w:p>
    <w:p w14:paraId="19F6091B">
      <w:pPr>
        <w:widowControl/>
        <w:ind w:firstLine="480"/>
        <w:jc w:val="left"/>
        <w:rPr>
          <w:highlight w:val="none"/>
        </w:rPr>
      </w:pPr>
      <w:r>
        <w:rPr>
          <w:rFonts w:hint="eastAsia" w:ascii="宋体" w:hAnsi="宋体" w:cs="宋体"/>
          <w:color w:val="000000"/>
          <w:kern w:val="0"/>
          <w:szCs w:val="24"/>
          <w:highlight w:val="none"/>
          <w:lang w:bidi="ar"/>
        </w:rPr>
        <w:t>行程限位器有：起升高度限位器、回转限位器、变幅限位器和大车行走限位器。</w:t>
      </w:r>
    </w:p>
    <w:p w14:paraId="04D2D2E3">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载荷限制器有：起重力矩限制器、起重量限制器，此外安全保护装置还包括风速仪、 小车断绳保护装置、小车防坠落装置、钢丝绳防脱装置。</w:t>
      </w:r>
    </w:p>
    <w:p w14:paraId="5CE78F5A">
      <w:pPr>
        <w:pStyle w:val="10"/>
        <w:bidi w:val="0"/>
        <w:ind w:left="1008" w:leftChars="0" w:hanging="1008" w:firstLineChars="0"/>
        <w:rPr>
          <w:highlight w:val="none"/>
        </w:rPr>
      </w:pPr>
      <w:r>
        <w:rPr>
          <w:rFonts w:hint="eastAsia"/>
          <w:highlight w:val="none"/>
        </w:rPr>
        <w:t>多功能限位器</w:t>
      </w:r>
    </w:p>
    <w:p w14:paraId="22739D07">
      <w:pPr>
        <w:widowControl/>
        <w:ind w:firstLine="480"/>
        <w:jc w:val="left"/>
        <w:rPr>
          <w:highlight w:val="none"/>
        </w:rPr>
      </w:pPr>
      <w:r>
        <w:rPr>
          <w:rFonts w:hint="eastAsia" w:ascii="宋体" w:hAnsi="宋体" w:cs="宋体"/>
          <w:color w:val="000000"/>
          <w:kern w:val="0"/>
          <w:szCs w:val="24"/>
          <w:highlight w:val="none"/>
          <w:lang w:bidi="ar"/>
        </w:rPr>
        <w:t xml:space="preserve">本塔机的起升高度限位器、变幅限位器、回转限位器分别为 </w:t>
      </w:r>
      <w:r>
        <w:rPr>
          <w:color w:val="000000"/>
          <w:kern w:val="0"/>
          <w:szCs w:val="24"/>
          <w:highlight w:val="none"/>
          <w:lang w:bidi="ar"/>
        </w:rPr>
        <w:t>DXZ-4/7</w:t>
      </w:r>
      <w:r>
        <w:rPr>
          <w:rFonts w:hint="eastAsia" w:ascii="宋体" w:hAnsi="宋体" w:cs="宋体"/>
          <w:color w:val="000000"/>
          <w:kern w:val="0"/>
          <w:szCs w:val="24"/>
          <w:highlight w:val="none"/>
          <w:lang w:bidi="ar"/>
        </w:rPr>
        <w:t>（</w:t>
      </w:r>
      <w:r>
        <w:rPr>
          <w:color w:val="000000"/>
          <w:kern w:val="0"/>
          <w:szCs w:val="24"/>
          <w:highlight w:val="none"/>
          <w:lang w:bidi="ar"/>
        </w:rPr>
        <w:t>i=1: 274</w:t>
      </w:r>
      <w:r>
        <w:rPr>
          <w:rFonts w:hint="eastAsia" w:ascii="宋体" w:hAnsi="宋体" w:cs="宋体"/>
          <w:color w:val="000000"/>
          <w:kern w:val="0"/>
          <w:szCs w:val="24"/>
          <w:highlight w:val="none"/>
          <w:lang w:bidi="ar"/>
        </w:rPr>
        <w:t xml:space="preserve">）、 </w:t>
      </w:r>
    </w:p>
    <w:p w14:paraId="4262FB60">
      <w:pPr>
        <w:widowControl/>
        <w:ind w:firstLine="0" w:firstLineChars="0"/>
        <w:jc w:val="left"/>
        <w:rPr>
          <w:highlight w:val="none"/>
        </w:rPr>
      </w:pPr>
      <w:r>
        <w:rPr>
          <w:color w:val="000000"/>
          <w:kern w:val="0"/>
          <w:szCs w:val="24"/>
          <w:highlight w:val="none"/>
          <w:lang w:bidi="ar"/>
        </w:rPr>
        <w:t>DXZ-4/8</w:t>
      </w:r>
      <w:r>
        <w:rPr>
          <w:rFonts w:hint="eastAsia" w:ascii="宋体" w:hAnsi="宋体" w:cs="宋体"/>
          <w:color w:val="000000"/>
          <w:kern w:val="0"/>
          <w:szCs w:val="24"/>
          <w:highlight w:val="none"/>
          <w:lang w:bidi="ar"/>
        </w:rPr>
        <w:t>（</w:t>
      </w:r>
      <w:r>
        <w:rPr>
          <w:color w:val="000000"/>
          <w:kern w:val="0"/>
          <w:szCs w:val="24"/>
          <w:highlight w:val="none"/>
          <w:lang w:bidi="ar"/>
        </w:rPr>
        <w:t>i=1: 78</w:t>
      </w:r>
      <w:r>
        <w:rPr>
          <w:rFonts w:hint="eastAsia" w:ascii="宋体" w:hAnsi="宋体" w:cs="宋体"/>
          <w:color w:val="000000"/>
          <w:kern w:val="0"/>
          <w:szCs w:val="24"/>
          <w:highlight w:val="none"/>
          <w:lang w:bidi="ar"/>
        </w:rPr>
        <w:t>）、</w:t>
      </w:r>
      <w:r>
        <w:rPr>
          <w:color w:val="000000"/>
          <w:kern w:val="0"/>
          <w:szCs w:val="24"/>
          <w:highlight w:val="none"/>
          <w:lang w:bidi="ar"/>
        </w:rPr>
        <w:t>DXZ-4</w:t>
      </w:r>
      <w:r>
        <w:rPr>
          <w:rFonts w:hint="eastAsia" w:ascii="宋体" w:hAnsi="宋体" w:cs="宋体"/>
          <w:color w:val="000000"/>
          <w:kern w:val="0"/>
          <w:szCs w:val="24"/>
          <w:highlight w:val="none"/>
          <w:lang w:bidi="ar"/>
        </w:rPr>
        <w:t>（</w:t>
      </w:r>
      <w:r>
        <w:rPr>
          <w:color w:val="000000"/>
          <w:kern w:val="0"/>
          <w:szCs w:val="24"/>
          <w:highlight w:val="none"/>
          <w:lang w:bidi="ar"/>
        </w:rPr>
        <w:t>i=1: 60</w:t>
      </w:r>
      <w:r>
        <w:rPr>
          <w:rFonts w:hint="eastAsia" w:ascii="宋体" w:hAnsi="宋体" w:cs="宋体"/>
          <w:color w:val="000000"/>
          <w:kern w:val="0"/>
          <w:szCs w:val="24"/>
          <w:highlight w:val="none"/>
          <w:lang w:bidi="ar"/>
        </w:rPr>
        <w:t>）三个多功能行程限位器。如图</w:t>
      </w:r>
      <w:r>
        <w:rPr>
          <w:rFonts w:hint="eastAsia"/>
          <w:highlight w:val="none"/>
        </w:rPr>
        <w:t>4.4.13.2.1-1</w:t>
      </w:r>
      <w:r>
        <w:rPr>
          <w:rFonts w:hint="eastAsia" w:ascii="宋体" w:hAnsi="宋体" w:cs="宋体"/>
          <w:color w:val="000000"/>
          <w:kern w:val="0"/>
          <w:szCs w:val="24"/>
          <w:highlight w:val="none"/>
          <w:lang w:bidi="ar"/>
        </w:rPr>
        <w:t>。</w:t>
      </w:r>
    </w:p>
    <w:p w14:paraId="21E30CA8">
      <w:pPr>
        <w:ind w:firstLine="0" w:firstLineChars="0"/>
        <w:jc w:val="center"/>
        <w:rPr>
          <w:highlight w:val="none"/>
        </w:rPr>
      </w:pPr>
      <w:r>
        <w:rPr>
          <w:rFonts w:hint="eastAsia"/>
          <w:highlight w:val="none"/>
        </w:rPr>
        <w:drawing>
          <wp:inline distT="0" distB="0" distL="114300" distR="114300">
            <wp:extent cx="4473575" cy="1757045"/>
            <wp:effectExtent l="0" t="0" r="3175" b="14605"/>
            <wp:docPr id="102" name="图片 102" descr="1642640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1642640083(1)"/>
                    <pic:cNvPicPr>
                      <a:picLocks noChangeAspect="1"/>
                    </pic:cNvPicPr>
                  </pic:nvPicPr>
                  <pic:blipFill>
                    <a:blip r:embed="rId95"/>
                    <a:stretch>
                      <a:fillRect/>
                    </a:stretch>
                  </pic:blipFill>
                  <pic:spPr>
                    <a:xfrm>
                      <a:off x="0" y="0"/>
                      <a:ext cx="4473575" cy="1757045"/>
                    </a:xfrm>
                    <a:prstGeom prst="rect">
                      <a:avLst/>
                    </a:prstGeom>
                  </pic:spPr>
                </pic:pic>
              </a:graphicData>
            </a:graphic>
          </wp:inline>
        </w:drawing>
      </w:r>
    </w:p>
    <w:p w14:paraId="579AF46A">
      <w:pPr>
        <w:ind w:firstLine="480"/>
        <w:jc w:val="center"/>
        <w:rPr>
          <w:highlight w:val="none"/>
        </w:rPr>
      </w:pPr>
      <w:r>
        <w:rPr>
          <w:rFonts w:hint="eastAsia"/>
          <w:highlight w:val="none"/>
        </w:rPr>
        <w:t>图 4.4.12.2.1-1 多功能行程限位器结构图</w:t>
      </w:r>
    </w:p>
    <w:p w14:paraId="17E788EF">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1）调整程序</w:t>
      </w:r>
    </w:p>
    <w:p w14:paraId="4811DA55">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（1） 拆开上罩壳，检查并拧紧 2 个 M3×55 螺钉； </w:t>
      </w:r>
    </w:p>
    <w:p w14:paraId="3121B427">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（2）松开 M5 螺母； </w:t>
      </w:r>
    </w:p>
    <w:p w14:paraId="3B7D6A71">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（3）根据需要将被控机构开至指定位置（空载状态），这时控制该机构动作时相对应的微动开关瞬时切换。即：调整对应的调整轴（Z）使记忆凸轮（T）压下微动开关（WK）触点； </w:t>
      </w:r>
    </w:p>
    <w:p w14:paraId="7BD912BE">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（4） 拧紧 M5 螺母（螺母一定要拧紧，否则将产生记忆紊乱）； </w:t>
      </w:r>
    </w:p>
    <w:p w14:paraId="47B0F664">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（5） 机构反复空载运行数次，验证记忆位置是否正确（有误时重复上述调整）； </w:t>
      </w:r>
    </w:p>
    <w:p w14:paraId="55DCD080">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（6） 确认位置符合要求，紧固 M5 螺母，装上罩壳； </w:t>
      </w:r>
    </w:p>
    <w:p w14:paraId="38B2778F">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（7） 机构正常工作后，应经常核对记忆控制位置是否变动，以便及时修正。</w:t>
      </w:r>
    </w:p>
    <w:p w14:paraId="745A1884">
      <w:pPr>
        <w:widowControl/>
        <w:ind w:firstLine="480"/>
        <w:jc w:val="left"/>
        <w:rPr>
          <w:rFonts w:ascii="宋体" w:hAnsi="宋体" w:cs="宋体"/>
          <w:highlight w:val="none"/>
        </w:rPr>
      </w:pPr>
      <w:r>
        <w:rPr>
          <w:rFonts w:hint="eastAsia" w:ascii="宋体" w:hAnsi="宋体" w:cs="宋体"/>
          <w:highlight w:val="none"/>
        </w:rPr>
        <w:t xml:space="preserve"> 2）</w:t>
      </w:r>
      <w:r>
        <w:rPr>
          <w:rFonts w:hint="eastAsia" w:ascii="宋体" w:hAnsi="宋体" w:cs="宋体"/>
          <w:color w:val="000000"/>
          <w:kern w:val="0"/>
          <w:szCs w:val="24"/>
          <w:highlight w:val="none"/>
          <w:lang w:bidi="ar"/>
        </w:rPr>
        <w:t>起升高度限位器的调整方法</w:t>
      </w:r>
    </w:p>
    <w:p w14:paraId="4DEF6B21">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（1）调整在空载下进行，用手指分别压下微动开关（1WK、2WK），确认限制提升或下降的微动开关是否正确；</w:t>
      </w:r>
    </w:p>
    <w:p w14:paraId="6003794A">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（2）提升极限限位时，使载重小车与吊钩滑轮的最小距离不小于 3 米时，调动（1Z）轴，使凸轮（1T）动作并压下微动开关（1WK）换接。拧紧 M5 螺母； </w:t>
      </w:r>
    </w:p>
    <w:p w14:paraId="125268C3">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（3） 用户根据需要可通过 2WK 以防止操作失误，使下降时吊钩再接触地面前（确保卷筒上不少于 3 圈钢丝绳），能终止下降运动，其调整方法同 </w:t>
      </w:r>
      <w:r>
        <w:rPr>
          <w:rFonts w:hint="eastAsia"/>
          <w:highlight w:val="none"/>
        </w:rPr>
        <w:t>4.4.13.2.1</w:t>
      </w:r>
      <w:r>
        <w:rPr>
          <w:rFonts w:hint="eastAsia" w:ascii="宋体" w:hAnsi="宋体" w:cs="宋体"/>
          <w:color w:val="000000"/>
          <w:kern w:val="0"/>
          <w:szCs w:val="24"/>
          <w:highlight w:val="none"/>
          <w:lang w:bidi="ar"/>
        </w:rPr>
        <w:t xml:space="preserve"> 条（2Z-2T-2WK）； </w:t>
      </w:r>
    </w:p>
    <w:p w14:paraId="1256AA5F">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（4）更换钢丝绳后必须重新调整高度限位器，特别是提升极限限位器的调整。</w:t>
      </w:r>
    </w:p>
    <w:p w14:paraId="1E2F3744">
      <w:pPr>
        <w:widowControl/>
        <w:ind w:firstLine="720" w:firstLineChars="30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 回转限位器调整方法</w:t>
      </w:r>
    </w:p>
    <w:p w14:paraId="1D4175CE">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（1）在电缆处于自由状态时调整回转限位器； </w:t>
      </w:r>
    </w:p>
    <w:p w14:paraId="38C5F2D2">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（2）调整在空载下进行，用手指逐个压下微动开关（WK）确认控制左右方向的微动开关（WK）是否正确； </w:t>
      </w:r>
    </w:p>
    <w:p w14:paraId="230F2BA2">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（3）向左回转 540°（1.5 圈）按 </w:t>
      </w:r>
      <w:r>
        <w:rPr>
          <w:rFonts w:hint="eastAsia"/>
          <w:highlight w:val="none"/>
        </w:rPr>
        <w:t>4.4.13.2.1</w:t>
      </w:r>
      <w:r>
        <w:rPr>
          <w:rFonts w:hint="eastAsia" w:ascii="宋体" w:hAnsi="宋体" w:cs="宋体"/>
          <w:color w:val="000000"/>
          <w:kern w:val="0"/>
          <w:szCs w:val="24"/>
          <w:highlight w:val="none"/>
          <w:lang w:bidi="ar"/>
        </w:rPr>
        <w:t xml:space="preserve"> 条程序，调动调整轴（4Z），使凸轮（4T）动作至微动开关（4WK）瞬时换接，然后拧紧 M5 螺母； </w:t>
      </w:r>
    </w:p>
    <w:p w14:paraId="336694C4">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（4） 向右回转 1080°（3 圈）按 </w:t>
      </w:r>
      <w:r>
        <w:rPr>
          <w:rFonts w:hint="eastAsia"/>
          <w:highlight w:val="none"/>
        </w:rPr>
        <w:t>4.4.13.2.1</w:t>
      </w:r>
      <w:r>
        <w:rPr>
          <w:rFonts w:hint="eastAsia" w:ascii="宋体" w:hAnsi="宋体" w:cs="宋体"/>
          <w:color w:val="000000"/>
          <w:kern w:val="0"/>
          <w:szCs w:val="24"/>
          <w:highlight w:val="none"/>
          <w:lang w:bidi="ar"/>
        </w:rPr>
        <w:t xml:space="preserve"> 条程序，调动调整轴（1Z），使凸轮（1T）动作至微动开关（1WK）瞬时换接，并拧紧 M5 螺母； </w:t>
      </w:r>
    </w:p>
    <w:p w14:paraId="6A5CAD13">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（5） 验证左右回转动作。 </w:t>
      </w:r>
    </w:p>
    <w:p w14:paraId="0835C595">
      <w:pPr>
        <w:widowControl/>
        <w:ind w:firstLine="720" w:firstLineChars="300"/>
        <w:jc w:val="left"/>
        <w:rPr>
          <w:rFonts w:ascii="宋体" w:hAnsi="宋体" w:cs="宋体"/>
          <w:highlight w:val="none"/>
        </w:rPr>
      </w:pPr>
      <w:r>
        <w:rPr>
          <w:rFonts w:hint="eastAsia" w:ascii="宋体" w:hAnsi="宋体" w:cs="宋体"/>
          <w:color w:val="000000"/>
          <w:kern w:val="0"/>
          <w:szCs w:val="24"/>
          <w:highlight w:val="none"/>
          <w:lang w:bidi="ar"/>
        </w:rPr>
        <w:t>4）幅度限位器的调整方法（调整程序同</w:t>
      </w:r>
      <w:r>
        <w:rPr>
          <w:rFonts w:hint="eastAsia"/>
          <w:highlight w:val="none"/>
        </w:rPr>
        <w:t>4.4.13.2.1</w:t>
      </w:r>
      <w:r>
        <w:rPr>
          <w:rFonts w:hint="eastAsia" w:ascii="宋体" w:hAnsi="宋体" w:cs="宋体"/>
          <w:color w:val="000000"/>
          <w:kern w:val="0"/>
          <w:szCs w:val="24"/>
          <w:highlight w:val="none"/>
          <w:lang w:bidi="ar"/>
        </w:rPr>
        <w:t xml:space="preserve"> 条） </w:t>
      </w:r>
    </w:p>
    <w:p w14:paraId="2F42C54D">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（1） 向外变幅及减速和起重臂臂头极限限位：将载重小车开到距离起重臂臂头缓冲器1.5m 处，调整轴（2Z）使记忆凸轮（2T）转至将微动开关（2WK）动作换接。（调整时应同时使凸轮（3T）与（2T）重叠，以避免在制动前发生减速干扰），并拧紧 M5 螺母，再将载重小车开至起重臂臂尖缓冲器 500mm 处按程序调整轴（1Z）使（1T）转至将微动开关（1WK）动作，拧紧 M5 螺母； </w:t>
      </w:r>
    </w:p>
    <w:p w14:paraId="62C56BC8">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（2） 向内变幅及减速和起重臂臂根限位：调整方法同“（1）”，分别距起重臂臂根缓冲器 1.5m 和 500mm 处进行（3Z-3T-3WK，4Z-4T-4WK）减速和起重臂臂根限位和调整。 </w:t>
      </w:r>
    </w:p>
    <w:p w14:paraId="1AE29664">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 xml:space="preserve">（3） 验证和修正。 </w:t>
      </w:r>
    </w:p>
    <w:p w14:paraId="5B774DB8">
      <w:pPr>
        <w:pStyle w:val="10"/>
        <w:bidi w:val="0"/>
        <w:ind w:left="1008" w:leftChars="0" w:hanging="1008" w:firstLineChars="0"/>
        <w:rPr>
          <w:highlight w:val="none"/>
        </w:rPr>
      </w:pPr>
      <w:r>
        <w:rPr>
          <w:rFonts w:hint="eastAsia"/>
          <w:highlight w:val="none"/>
        </w:rPr>
        <w:t>力矩限制器</w:t>
      </w:r>
    </w:p>
    <w:p w14:paraId="3F9084E7">
      <w:pPr>
        <w:widowControl/>
        <w:ind w:firstLine="0" w:firstLineChars="0"/>
        <w:jc w:val="left"/>
        <w:rPr>
          <w:highlight w:val="none"/>
        </w:rPr>
      </w:pPr>
      <w:r>
        <w:rPr>
          <w:rFonts w:hint="eastAsia"/>
          <w:highlight w:val="none"/>
        </w:rPr>
        <w:drawing>
          <wp:inline distT="0" distB="0" distL="114300" distR="114300">
            <wp:extent cx="5828030" cy="1584325"/>
            <wp:effectExtent l="0" t="0" r="1270" b="15875"/>
            <wp:docPr id="103" name="图片 103" descr="16426498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1642649879(1)"/>
                    <pic:cNvPicPr>
                      <a:picLocks noChangeAspect="1"/>
                    </pic:cNvPicPr>
                  </pic:nvPicPr>
                  <pic:blipFill>
                    <a:blip r:embed="rId96"/>
                    <a:stretch>
                      <a:fillRect/>
                    </a:stretch>
                  </pic:blipFill>
                  <pic:spPr>
                    <a:xfrm>
                      <a:off x="0" y="0"/>
                      <a:ext cx="5828030" cy="1584325"/>
                    </a:xfrm>
                    <a:prstGeom prst="rect">
                      <a:avLst/>
                    </a:prstGeom>
                  </pic:spPr>
                </pic:pic>
              </a:graphicData>
            </a:graphic>
          </wp:inline>
        </w:drawing>
      </w:r>
    </w:p>
    <w:p w14:paraId="1AC966AD">
      <w:pPr>
        <w:widowControl/>
        <w:ind w:firstLine="480"/>
        <w:jc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图 4.4.12.2.2-1 力矩限制器结构示意图</w:t>
      </w:r>
    </w:p>
    <w:p w14:paraId="1D7E2A05">
      <w:pPr>
        <w:widowControl/>
        <w:ind w:firstLine="480"/>
        <w:jc w:val="left"/>
        <w:rPr>
          <w:highlight w:val="none"/>
        </w:rPr>
      </w:pPr>
      <w:r>
        <w:rPr>
          <w:rFonts w:hint="eastAsia"/>
          <w:highlight w:val="none"/>
        </w:rPr>
        <w:t xml:space="preserve">1） </w:t>
      </w:r>
      <w:r>
        <w:rPr>
          <w:rFonts w:hint="eastAsia" w:ascii="宋体" w:hAnsi="宋体" w:cs="宋体"/>
          <w:color w:val="000000"/>
          <w:kern w:val="0"/>
          <w:szCs w:val="24"/>
          <w:highlight w:val="none"/>
          <w:lang w:bidi="ar"/>
        </w:rPr>
        <w:t>力矩限制器的调整</w:t>
      </w:r>
    </w:p>
    <w:p w14:paraId="32A0F2E9">
      <w:pPr>
        <w:widowControl/>
        <w:ind w:firstLine="480"/>
        <w:jc w:val="left"/>
        <w:rPr>
          <w:rFonts w:ascii="宋体" w:hAnsi="宋体" w:cs="宋体"/>
          <w:color w:val="000000"/>
          <w:kern w:val="0"/>
          <w:szCs w:val="24"/>
          <w:highlight w:val="none"/>
          <w:lang w:bidi="ar"/>
        </w:rPr>
      </w:pPr>
      <w:r>
        <w:rPr>
          <w:rFonts w:hint="eastAsia" w:ascii="宋体" w:hAnsi="宋体" w:cs="宋体"/>
          <w:szCs w:val="24"/>
          <w:highlight w:val="none"/>
        </w:rPr>
        <w:t>警告：</w:t>
      </w:r>
      <w:r>
        <w:rPr>
          <w:rFonts w:hint="eastAsia" w:ascii="宋体" w:hAnsi="宋体" w:cs="宋体"/>
          <w:color w:val="000000"/>
          <w:kern w:val="0"/>
          <w:szCs w:val="24"/>
          <w:highlight w:val="none"/>
          <w:lang w:bidi="ar"/>
        </w:rPr>
        <w:t>调整力矩限制器之前，必须首先确认本塔机的额定力矩之后，再查找对应的数据进行调试。</w:t>
      </w:r>
    </w:p>
    <w:p w14:paraId="1484FA01">
      <w:pPr>
        <w:widowControl/>
        <w:ind w:firstLine="480"/>
        <w:jc w:val="left"/>
        <w:rPr>
          <w:highlight w:val="none"/>
        </w:rPr>
      </w:pPr>
      <w:r>
        <w:rPr>
          <w:rFonts w:hint="eastAsia" w:ascii="宋体" w:hAnsi="宋体" w:cs="宋体"/>
          <w:color w:val="000000"/>
          <w:kern w:val="0"/>
          <w:szCs w:val="24"/>
          <w:highlight w:val="none"/>
          <w:lang w:bidi="ar"/>
        </w:rPr>
        <w:t xml:space="preserve">（1）调整定幅变码力矩限制器 </w:t>
      </w:r>
      <w:r>
        <w:rPr>
          <w:color w:val="000000"/>
          <w:kern w:val="0"/>
          <w:szCs w:val="24"/>
          <w:highlight w:val="none"/>
          <w:lang w:bidi="ar"/>
        </w:rPr>
        <w:t xml:space="preserve">CLK1 </w:t>
      </w:r>
    </w:p>
    <w:p w14:paraId="40D45EBD">
      <w:pPr>
        <w:widowControl/>
        <w:ind w:firstLine="480"/>
        <w:jc w:val="left"/>
        <w:rPr>
          <w:highlight w:val="none"/>
        </w:rPr>
      </w:pPr>
      <w:r>
        <w:rPr>
          <w:rFonts w:hint="eastAsia" w:ascii="宋体" w:hAnsi="宋体" w:cs="宋体"/>
          <w:color w:val="000000"/>
          <w:kern w:val="0"/>
          <w:szCs w:val="24"/>
          <w:highlight w:val="none"/>
          <w:lang w:bidi="ar"/>
        </w:rPr>
        <w:t xml:space="preserve">各参数见表 </w:t>
      </w:r>
      <w:r>
        <w:rPr>
          <w:color w:val="000000"/>
          <w:kern w:val="0"/>
          <w:szCs w:val="24"/>
          <w:highlight w:val="none"/>
          <w:lang w:bidi="ar"/>
        </w:rPr>
        <w:t>4</w:t>
      </w:r>
      <w:r>
        <w:rPr>
          <w:rFonts w:hint="eastAsia"/>
          <w:color w:val="000000"/>
          <w:kern w:val="0"/>
          <w:szCs w:val="24"/>
          <w:highlight w:val="none"/>
          <w:lang w:bidi="ar"/>
        </w:rPr>
        <w:t>.5.2－1</w:t>
      </w:r>
      <w:r>
        <w:rPr>
          <w:rFonts w:hint="eastAsia" w:ascii="宋体" w:hAnsi="宋体" w:cs="宋体"/>
          <w:color w:val="000000"/>
          <w:kern w:val="0"/>
          <w:szCs w:val="24"/>
          <w:highlight w:val="none"/>
          <w:lang w:bidi="ar"/>
        </w:rPr>
        <w:t xml:space="preserve">，重复 </w:t>
      </w:r>
      <w:r>
        <w:rPr>
          <w:color w:val="000000"/>
          <w:kern w:val="0"/>
          <w:szCs w:val="24"/>
          <w:highlight w:val="none"/>
          <w:lang w:bidi="ar"/>
        </w:rPr>
        <w:t xml:space="preserve">3 </w:t>
      </w:r>
      <w:r>
        <w:rPr>
          <w:rFonts w:hint="eastAsia" w:ascii="宋体" w:hAnsi="宋体" w:cs="宋体"/>
          <w:color w:val="000000"/>
          <w:kern w:val="0"/>
          <w:szCs w:val="24"/>
          <w:highlight w:val="none"/>
          <w:lang w:bidi="ar"/>
        </w:rPr>
        <w:t>次，均应满足要求。</w:t>
      </w:r>
    </w:p>
    <w:p w14:paraId="46C6BD9D">
      <w:pPr>
        <w:widowControl/>
        <w:ind w:firstLine="480"/>
        <w:jc w:val="left"/>
        <w:rPr>
          <w:highlight w:val="none"/>
        </w:rPr>
      </w:pPr>
      <w:r>
        <w:rPr>
          <w:rFonts w:hint="eastAsia" w:ascii="宋体" w:hAnsi="宋体" w:cs="宋体"/>
          <w:color w:val="000000"/>
          <w:kern w:val="0"/>
          <w:szCs w:val="24"/>
          <w:highlight w:val="none"/>
          <w:lang w:bidi="ar"/>
        </w:rPr>
        <w:t xml:space="preserve">在最大工作幅度 </w:t>
      </w:r>
      <w:r>
        <w:rPr>
          <w:color w:val="000000"/>
          <w:kern w:val="0"/>
          <w:szCs w:val="24"/>
          <w:highlight w:val="none"/>
          <w:lang w:bidi="ar"/>
        </w:rPr>
        <w:t xml:space="preserve">Ro </w:t>
      </w:r>
      <w:r>
        <w:rPr>
          <w:rFonts w:hint="eastAsia" w:ascii="宋体" w:hAnsi="宋体" w:cs="宋体"/>
          <w:color w:val="000000"/>
          <w:kern w:val="0"/>
          <w:szCs w:val="24"/>
          <w:highlight w:val="none"/>
          <w:lang w:bidi="ar"/>
        </w:rPr>
        <w:t xml:space="preserve">处以正常工作速度起升额定起重量 </w:t>
      </w:r>
      <w:r>
        <w:rPr>
          <w:color w:val="000000"/>
          <w:kern w:val="0"/>
          <w:szCs w:val="24"/>
          <w:highlight w:val="none"/>
          <w:lang w:bidi="ar"/>
        </w:rPr>
        <w:t>Qo</w:t>
      </w:r>
      <w:r>
        <w:rPr>
          <w:rFonts w:hint="eastAsia" w:ascii="宋体" w:hAnsi="宋体" w:cs="宋体"/>
          <w:color w:val="000000"/>
          <w:kern w:val="0"/>
          <w:szCs w:val="24"/>
          <w:highlight w:val="none"/>
          <w:lang w:bidi="ar"/>
        </w:rPr>
        <w:t xml:space="preserve">，力矩限制器不应动作，能够正常起升。载荷落地，加至 </w:t>
      </w:r>
      <w:r>
        <w:rPr>
          <w:color w:val="000000"/>
          <w:kern w:val="0"/>
          <w:szCs w:val="24"/>
          <w:highlight w:val="none"/>
          <w:lang w:bidi="ar"/>
        </w:rPr>
        <w:t xml:space="preserve">1.1Qo </w:t>
      </w:r>
      <w:r>
        <w:rPr>
          <w:rFonts w:hint="eastAsia" w:ascii="宋体" w:hAnsi="宋体" w:cs="宋体"/>
          <w:color w:val="000000"/>
          <w:kern w:val="0"/>
          <w:szCs w:val="24"/>
          <w:highlight w:val="none"/>
          <w:lang w:bidi="ar"/>
        </w:rPr>
        <w:t>后以最慢速度起升，力矩限制器应动作，载荷不能起升，并输出报警信号。</w:t>
      </w:r>
    </w:p>
    <w:p w14:paraId="27689C37">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 xml:space="preserve">在 </w:t>
      </w:r>
      <w:r>
        <w:rPr>
          <w:color w:val="000000"/>
          <w:kern w:val="0"/>
          <w:szCs w:val="24"/>
          <w:highlight w:val="none"/>
          <w:lang w:bidi="ar"/>
        </w:rPr>
        <w:t xml:space="preserve">0.7 </w:t>
      </w:r>
      <w:r>
        <w:rPr>
          <w:rFonts w:hint="eastAsia" w:ascii="宋体" w:hAnsi="宋体" w:cs="宋体"/>
          <w:color w:val="000000"/>
          <w:kern w:val="0"/>
          <w:szCs w:val="24"/>
          <w:highlight w:val="none"/>
          <w:lang w:bidi="ar"/>
        </w:rPr>
        <w:t>倍最大额定起重量（</w:t>
      </w:r>
      <w:r>
        <w:rPr>
          <w:color w:val="000000"/>
          <w:kern w:val="0"/>
          <w:szCs w:val="24"/>
          <w:highlight w:val="none"/>
          <w:lang w:bidi="ar"/>
        </w:rPr>
        <w:t>0.7Qm</w:t>
      </w:r>
      <w:r>
        <w:rPr>
          <w:rFonts w:hint="eastAsia" w:ascii="宋体" w:hAnsi="宋体" w:cs="宋体"/>
          <w:color w:val="000000"/>
          <w:kern w:val="0"/>
          <w:szCs w:val="24"/>
          <w:highlight w:val="none"/>
          <w:lang w:bidi="ar"/>
        </w:rPr>
        <w:t>）相应允许的工作幅度（</w:t>
      </w:r>
      <w:r>
        <w:rPr>
          <w:color w:val="000000"/>
          <w:kern w:val="0"/>
          <w:szCs w:val="24"/>
          <w:highlight w:val="none"/>
          <w:lang w:bidi="ar"/>
        </w:rPr>
        <w:t>R</w:t>
      </w:r>
      <w:r>
        <w:rPr>
          <w:color w:val="000000"/>
          <w:kern w:val="0"/>
          <w:sz w:val="16"/>
          <w:szCs w:val="16"/>
          <w:highlight w:val="none"/>
          <w:lang w:bidi="ar"/>
        </w:rPr>
        <w:t>0.7</w:t>
      </w:r>
      <w:r>
        <w:rPr>
          <w:rFonts w:hint="eastAsia" w:ascii="宋体" w:hAnsi="宋体" w:cs="宋体"/>
          <w:color w:val="000000"/>
          <w:kern w:val="0"/>
          <w:szCs w:val="24"/>
          <w:highlight w:val="none"/>
          <w:lang w:bidi="ar"/>
        </w:rPr>
        <w:t xml:space="preserve">）处，以正常工作速度起升 </w:t>
      </w:r>
      <w:r>
        <w:rPr>
          <w:color w:val="000000"/>
          <w:kern w:val="0"/>
          <w:szCs w:val="24"/>
          <w:highlight w:val="none"/>
          <w:lang w:bidi="ar"/>
        </w:rPr>
        <w:t xml:space="preserve">0.7 </w:t>
      </w:r>
      <w:r>
        <w:rPr>
          <w:rFonts w:hint="eastAsia" w:ascii="宋体" w:hAnsi="宋体" w:cs="宋体"/>
          <w:color w:val="000000"/>
          <w:kern w:val="0"/>
          <w:szCs w:val="24"/>
          <w:highlight w:val="none"/>
          <w:lang w:bidi="ar"/>
        </w:rPr>
        <w:t>倍最大额定起重量（</w:t>
      </w:r>
      <w:r>
        <w:rPr>
          <w:color w:val="000000"/>
          <w:kern w:val="0"/>
          <w:szCs w:val="24"/>
          <w:highlight w:val="none"/>
          <w:lang w:bidi="ar"/>
        </w:rPr>
        <w:t>0.7Qm</w:t>
      </w:r>
      <w:r>
        <w:rPr>
          <w:rFonts w:hint="eastAsia" w:ascii="宋体" w:hAnsi="宋体" w:cs="宋体"/>
          <w:color w:val="000000"/>
          <w:kern w:val="0"/>
          <w:szCs w:val="24"/>
          <w:highlight w:val="none"/>
          <w:lang w:bidi="ar"/>
        </w:rPr>
        <w:t xml:space="preserve">），力矩限制器不应动作，能够正常起升。载荷落地，加至 </w:t>
      </w:r>
      <w:r>
        <w:rPr>
          <w:color w:val="000000"/>
          <w:kern w:val="0"/>
          <w:szCs w:val="24"/>
          <w:highlight w:val="none"/>
          <w:lang w:bidi="ar"/>
        </w:rPr>
        <w:t xml:space="preserve">0.77 Qm </w:t>
      </w:r>
      <w:r>
        <w:rPr>
          <w:rFonts w:hint="eastAsia" w:ascii="宋体" w:hAnsi="宋体" w:cs="宋体"/>
          <w:color w:val="000000"/>
          <w:kern w:val="0"/>
          <w:szCs w:val="24"/>
          <w:highlight w:val="none"/>
          <w:lang w:bidi="ar"/>
        </w:rPr>
        <w:t>后以最慢速度起升，力矩限制器应动作，载荷不能起升，并输出报警信号。</w:t>
      </w:r>
    </w:p>
    <w:p w14:paraId="7C2B5022">
      <w:pPr>
        <w:widowControl/>
        <w:ind w:firstLine="0" w:firstLineChars="0"/>
        <w:jc w:val="left"/>
        <w:rPr>
          <w:highlight w:val="none"/>
        </w:rPr>
      </w:pPr>
      <w:r>
        <w:rPr>
          <w:rFonts w:hint="eastAsia"/>
          <w:highlight w:val="none"/>
        </w:rPr>
        <w:t>（2）</w:t>
      </w:r>
      <w:r>
        <w:rPr>
          <w:rFonts w:hint="eastAsia" w:ascii="宋体" w:hAnsi="宋体" w:cs="宋体"/>
          <w:color w:val="000000"/>
          <w:kern w:val="0"/>
          <w:szCs w:val="24"/>
          <w:highlight w:val="none"/>
          <w:lang w:bidi="ar"/>
        </w:rPr>
        <w:t xml:space="preserve">调整定码变幅力矩限制器 </w:t>
      </w:r>
      <w:r>
        <w:rPr>
          <w:color w:val="000000"/>
          <w:kern w:val="0"/>
          <w:szCs w:val="24"/>
          <w:highlight w:val="none"/>
          <w:lang w:bidi="ar"/>
        </w:rPr>
        <w:t xml:space="preserve">CLK2 </w:t>
      </w:r>
      <w:r>
        <w:rPr>
          <w:rFonts w:hint="eastAsia" w:ascii="宋体" w:hAnsi="宋体" w:cs="宋体"/>
          <w:color w:val="000000"/>
          <w:kern w:val="0"/>
          <w:szCs w:val="24"/>
          <w:highlight w:val="none"/>
          <w:lang w:bidi="ar"/>
        </w:rPr>
        <w:t xml:space="preserve">和定码变幅 </w:t>
      </w:r>
      <w:r>
        <w:rPr>
          <w:color w:val="000000"/>
          <w:kern w:val="0"/>
          <w:szCs w:val="24"/>
          <w:highlight w:val="none"/>
          <w:lang w:bidi="ar"/>
        </w:rPr>
        <w:t>80%</w:t>
      </w:r>
      <w:r>
        <w:rPr>
          <w:rFonts w:hint="eastAsia" w:ascii="宋体" w:hAnsi="宋体" w:cs="宋体"/>
          <w:color w:val="000000"/>
          <w:kern w:val="0"/>
          <w:szCs w:val="24"/>
          <w:highlight w:val="none"/>
          <w:lang w:bidi="ar"/>
        </w:rPr>
        <w:t xml:space="preserve">力矩限制器 </w:t>
      </w:r>
      <w:r>
        <w:rPr>
          <w:color w:val="000000"/>
          <w:kern w:val="0"/>
          <w:szCs w:val="24"/>
          <w:highlight w:val="none"/>
          <w:lang w:bidi="ar"/>
        </w:rPr>
        <w:t>CLK3</w:t>
      </w:r>
      <w:r>
        <w:rPr>
          <w:rFonts w:hint="eastAsia" w:ascii="宋体" w:hAnsi="宋体" w:cs="宋体"/>
          <w:color w:val="000000"/>
          <w:kern w:val="0"/>
          <w:szCs w:val="24"/>
          <w:highlight w:val="none"/>
          <w:lang w:bidi="ar"/>
        </w:rPr>
        <w:t>：</w:t>
      </w:r>
    </w:p>
    <w:p w14:paraId="29F1F874">
      <w:pPr>
        <w:widowControl/>
        <w:ind w:firstLine="480"/>
        <w:jc w:val="left"/>
        <w:rPr>
          <w:highlight w:val="none"/>
        </w:rPr>
      </w:pPr>
      <w:r>
        <w:rPr>
          <w:rFonts w:hint="eastAsia" w:ascii="宋体" w:hAnsi="宋体" w:cs="宋体"/>
          <w:color w:val="000000"/>
          <w:kern w:val="0"/>
          <w:szCs w:val="24"/>
          <w:highlight w:val="none"/>
          <w:lang w:bidi="ar"/>
        </w:rPr>
        <w:t xml:space="preserve">各参数见表 </w:t>
      </w:r>
      <w:r>
        <w:rPr>
          <w:color w:val="000000"/>
          <w:kern w:val="0"/>
          <w:szCs w:val="24"/>
          <w:highlight w:val="none"/>
          <w:lang w:bidi="ar"/>
        </w:rPr>
        <w:t>4.</w:t>
      </w:r>
      <w:r>
        <w:rPr>
          <w:rFonts w:hint="eastAsia"/>
          <w:color w:val="000000"/>
          <w:kern w:val="0"/>
          <w:szCs w:val="24"/>
          <w:highlight w:val="none"/>
          <w:lang w:bidi="ar"/>
        </w:rPr>
        <w:t>5.</w:t>
      </w:r>
      <w:r>
        <w:rPr>
          <w:color w:val="000000"/>
          <w:kern w:val="0"/>
          <w:szCs w:val="24"/>
          <w:highlight w:val="none"/>
          <w:lang w:bidi="ar"/>
        </w:rPr>
        <w:t>2</w:t>
      </w:r>
      <w:r>
        <w:rPr>
          <w:rFonts w:hint="eastAsia"/>
          <w:color w:val="000000"/>
          <w:kern w:val="0"/>
          <w:szCs w:val="24"/>
          <w:highlight w:val="none"/>
          <w:lang w:bidi="ar"/>
        </w:rPr>
        <w:t>－</w:t>
      </w:r>
      <w:r>
        <w:rPr>
          <w:color w:val="000000"/>
          <w:kern w:val="0"/>
          <w:szCs w:val="24"/>
          <w:highlight w:val="none"/>
          <w:lang w:bidi="ar"/>
        </w:rPr>
        <w:t>2</w:t>
      </w:r>
      <w:r>
        <w:rPr>
          <w:rFonts w:hint="eastAsia" w:ascii="宋体" w:hAnsi="宋体" w:cs="宋体"/>
          <w:color w:val="000000"/>
          <w:kern w:val="0"/>
          <w:szCs w:val="24"/>
          <w:highlight w:val="none"/>
          <w:lang w:bidi="ar"/>
        </w:rPr>
        <w:t xml:space="preserve">，重复 </w:t>
      </w:r>
      <w:r>
        <w:rPr>
          <w:color w:val="000000"/>
          <w:kern w:val="0"/>
          <w:szCs w:val="24"/>
          <w:highlight w:val="none"/>
          <w:lang w:bidi="ar"/>
        </w:rPr>
        <w:t xml:space="preserve">3 </w:t>
      </w:r>
      <w:r>
        <w:rPr>
          <w:rFonts w:hint="eastAsia" w:ascii="宋体" w:hAnsi="宋体" w:cs="宋体"/>
          <w:color w:val="000000"/>
          <w:kern w:val="0"/>
          <w:szCs w:val="24"/>
          <w:highlight w:val="none"/>
          <w:lang w:bidi="ar"/>
        </w:rPr>
        <w:t>次，均应满足要求。</w:t>
      </w:r>
    </w:p>
    <w:p w14:paraId="77B5B047">
      <w:pPr>
        <w:widowControl/>
        <w:ind w:firstLine="480"/>
        <w:jc w:val="left"/>
        <w:rPr>
          <w:highlight w:val="none"/>
        </w:rPr>
      </w:pPr>
      <w:r>
        <w:rPr>
          <w:rFonts w:hint="eastAsia" w:ascii="宋体" w:hAnsi="宋体" w:cs="宋体"/>
          <w:color w:val="000000"/>
          <w:kern w:val="0"/>
          <w:szCs w:val="24"/>
          <w:highlight w:val="none"/>
          <w:lang w:bidi="ar"/>
        </w:rPr>
        <w:t>空载测定对应最大额定起重量（</w:t>
      </w:r>
      <w:r>
        <w:rPr>
          <w:color w:val="000000"/>
          <w:kern w:val="0"/>
          <w:szCs w:val="24"/>
          <w:highlight w:val="none"/>
          <w:lang w:bidi="ar"/>
        </w:rPr>
        <w:t>Qm</w:t>
      </w:r>
      <w:r>
        <w:rPr>
          <w:rFonts w:hint="eastAsia" w:ascii="宋体" w:hAnsi="宋体" w:cs="宋体"/>
          <w:color w:val="000000"/>
          <w:kern w:val="0"/>
          <w:szCs w:val="24"/>
          <w:highlight w:val="none"/>
          <w:lang w:bidi="ar"/>
        </w:rPr>
        <w:t xml:space="preserve">）的最大工作幅度 </w:t>
      </w:r>
      <w:r>
        <w:rPr>
          <w:color w:val="000000"/>
          <w:kern w:val="0"/>
          <w:szCs w:val="24"/>
          <w:highlight w:val="none"/>
          <w:lang w:bidi="ar"/>
        </w:rPr>
        <w:t>Rm</w:t>
      </w:r>
      <w:r>
        <w:rPr>
          <w:rFonts w:hint="eastAsia" w:ascii="宋体" w:hAnsi="宋体" w:cs="宋体"/>
          <w:color w:val="000000"/>
          <w:kern w:val="0"/>
          <w:szCs w:val="24"/>
          <w:highlight w:val="none"/>
          <w:lang w:bidi="ar"/>
        </w:rPr>
        <w:t>、</w:t>
      </w:r>
      <w:r>
        <w:rPr>
          <w:color w:val="000000"/>
          <w:kern w:val="0"/>
          <w:szCs w:val="24"/>
          <w:highlight w:val="none"/>
          <w:lang w:bidi="ar"/>
        </w:rPr>
        <w:t xml:space="preserve">0.8Rm </w:t>
      </w:r>
      <w:r>
        <w:rPr>
          <w:rFonts w:hint="eastAsia" w:ascii="宋体" w:hAnsi="宋体" w:cs="宋体"/>
          <w:color w:val="000000"/>
          <w:kern w:val="0"/>
          <w:szCs w:val="24"/>
          <w:highlight w:val="none"/>
          <w:lang w:bidi="ar"/>
        </w:rPr>
        <w:t xml:space="preserve">及 </w:t>
      </w:r>
      <w:r>
        <w:rPr>
          <w:color w:val="000000"/>
          <w:kern w:val="0"/>
          <w:szCs w:val="24"/>
          <w:highlight w:val="none"/>
          <w:lang w:bidi="ar"/>
        </w:rPr>
        <w:t xml:space="preserve">1.1Rm </w:t>
      </w:r>
      <w:r>
        <w:rPr>
          <w:rFonts w:hint="eastAsia" w:ascii="宋体" w:hAnsi="宋体" w:cs="宋体"/>
          <w:color w:val="000000"/>
          <w:kern w:val="0"/>
          <w:szCs w:val="24"/>
          <w:highlight w:val="none"/>
          <w:lang w:bidi="ar"/>
        </w:rPr>
        <w:t>值，并在地面标记。在小幅度处起升最大额定起重量（</w:t>
      </w:r>
      <w:r>
        <w:rPr>
          <w:color w:val="000000"/>
          <w:kern w:val="0"/>
          <w:szCs w:val="24"/>
          <w:highlight w:val="none"/>
          <w:lang w:bidi="ar"/>
        </w:rPr>
        <w:t>Qm</w:t>
      </w:r>
      <w:r>
        <w:rPr>
          <w:rFonts w:hint="eastAsia" w:ascii="宋体" w:hAnsi="宋体" w:cs="宋体"/>
          <w:color w:val="000000"/>
          <w:kern w:val="0"/>
          <w:szCs w:val="24"/>
          <w:highlight w:val="none"/>
          <w:lang w:bidi="ar"/>
        </w:rPr>
        <w:t xml:space="preserve">）离地 </w:t>
      </w:r>
      <w:r>
        <w:rPr>
          <w:color w:val="000000"/>
          <w:kern w:val="0"/>
          <w:szCs w:val="24"/>
          <w:highlight w:val="none"/>
          <w:lang w:bidi="ar"/>
        </w:rPr>
        <w:t xml:space="preserve">1m </w:t>
      </w:r>
      <w:r>
        <w:rPr>
          <w:rFonts w:hint="eastAsia" w:ascii="宋体" w:hAnsi="宋体" w:cs="宋体"/>
          <w:color w:val="000000"/>
          <w:kern w:val="0"/>
          <w:szCs w:val="24"/>
          <w:highlight w:val="none"/>
          <w:lang w:bidi="ar"/>
        </w:rPr>
        <w:t xml:space="preserve">左右，慢速变幅至 </w:t>
      </w:r>
      <w:r>
        <w:rPr>
          <w:color w:val="000000"/>
          <w:kern w:val="0"/>
          <w:szCs w:val="24"/>
          <w:highlight w:val="none"/>
          <w:lang w:bidi="ar"/>
        </w:rPr>
        <w:t>Rm</w:t>
      </w:r>
      <w:r>
        <w:rPr>
          <w:rFonts w:hint="eastAsia" w:ascii="宋体" w:hAnsi="宋体" w:cs="宋体"/>
          <w:color w:val="000000"/>
          <w:kern w:val="0"/>
          <w:szCs w:val="24"/>
          <w:highlight w:val="none"/>
          <w:lang w:bidi="ar"/>
        </w:rPr>
        <w:t>～</w:t>
      </w:r>
      <w:r>
        <w:rPr>
          <w:color w:val="000000"/>
          <w:kern w:val="0"/>
          <w:szCs w:val="24"/>
          <w:highlight w:val="none"/>
          <w:lang w:bidi="ar"/>
        </w:rPr>
        <w:t>1.1Rm</w:t>
      </w:r>
      <w:r>
        <w:rPr>
          <w:rFonts w:hint="eastAsia" w:ascii="宋体" w:hAnsi="宋体" w:cs="宋体"/>
          <w:color w:val="000000"/>
          <w:kern w:val="0"/>
          <w:szCs w:val="24"/>
          <w:highlight w:val="none"/>
          <w:lang w:bidi="ar"/>
        </w:rPr>
        <w:t xml:space="preserve">间时，力矩限制器应动作，切断外变幅和起升回路电源，并输出报警信号。退回，重新从小幅度开始，以正常速度向外变幅，在到达 </w:t>
      </w:r>
      <w:r>
        <w:rPr>
          <w:color w:val="000000"/>
          <w:kern w:val="0"/>
          <w:szCs w:val="24"/>
          <w:highlight w:val="none"/>
          <w:lang w:bidi="ar"/>
        </w:rPr>
        <w:t xml:space="preserve">0.8Rm </w:t>
      </w:r>
      <w:r>
        <w:rPr>
          <w:rFonts w:hint="eastAsia" w:ascii="宋体" w:hAnsi="宋体" w:cs="宋体"/>
          <w:color w:val="000000"/>
          <w:kern w:val="0"/>
          <w:szCs w:val="24"/>
          <w:highlight w:val="none"/>
          <w:lang w:bidi="ar"/>
        </w:rPr>
        <w:t>时应能自动转为低速往外变幅，在到达</w:t>
      </w:r>
      <w:r>
        <w:rPr>
          <w:color w:val="000000"/>
          <w:kern w:val="0"/>
          <w:szCs w:val="24"/>
          <w:highlight w:val="none"/>
          <w:lang w:bidi="ar"/>
        </w:rPr>
        <w:t>Rm</w:t>
      </w:r>
      <w:r>
        <w:rPr>
          <w:rFonts w:hint="eastAsia" w:ascii="宋体" w:hAnsi="宋体" w:cs="宋体"/>
          <w:color w:val="000000"/>
          <w:kern w:val="0"/>
          <w:szCs w:val="24"/>
          <w:highlight w:val="none"/>
          <w:lang w:bidi="ar"/>
        </w:rPr>
        <w:t>～</w:t>
      </w:r>
      <w:r>
        <w:rPr>
          <w:color w:val="000000"/>
          <w:kern w:val="0"/>
          <w:szCs w:val="24"/>
          <w:highlight w:val="none"/>
          <w:lang w:bidi="ar"/>
        </w:rPr>
        <w:t xml:space="preserve">1.1Rm </w:t>
      </w:r>
      <w:r>
        <w:rPr>
          <w:rFonts w:hint="eastAsia" w:ascii="宋体" w:hAnsi="宋体" w:cs="宋体"/>
          <w:color w:val="000000"/>
          <w:kern w:val="0"/>
          <w:szCs w:val="24"/>
          <w:highlight w:val="none"/>
          <w:lang w:bidi="ar"/>
        </w:rPr>
        <w:t>间时，力矩限制器应动作，切断外变幅和起升回路电源，并输出报警信号。</w:t>
      </w:r>
    </w:p>
    <w:p w14:paraId="1A701E3C">
      <w:pPr>
        <w:widowControl/>
        <w:ind w:firstLine="480"/>
        <w:jc w:val="left"/>
        <w:rPr>
          <w:highlight w:val="none"/>
        </w:rPr>
      </w:pPr>
      <w:r>
        <w:rPr>
          <w:rFonts w:hint="eastAsia" w:ascii="宋体" w:hAnsi="宋体" w:cs="宋体"/>
          <w:color w:val="000000"/>
          <w:kern w:val="0"/>
          <w:szCs w:val="24"/>
          <w:highlight w:val="none"/>
          <w:lang w:bidi="ar"/>
        </w:rPr>
        <w:t xml:space="preserve">空载测定对应 </w:t>
      </w:r>
      <w:r>
        <w:rPr>
          <w:color w:val="000000"/>
          <w:kern w:val="0"/>
          <w:szCs w:val="24"/>
          <w:highlight w:val="none"/>
          <w:lang w:bidi="ar"/>
        </w:rPr>
        <w:t xml:space="preserve">0.5 </w:t>
      </w:r>
      <w:r>
        <w:rPr>
          <w:rFonts w:hint="eastAsia" w:ascii="宋体" w:hAnsi="宋体" w:cs="宋体"/>
          <w:color w:val="000000"/>
          <w:kern w:val="0"/>
          <w:szCs w:val="24"/>
          <w:highlight w:val="none"/>
          <w:lang w:bidi="ar"/>
        </w:rPr>
        <w:t>倍最大额定起重量（</w:t>
      </w:r>
      <w:r>
        <w:rPr>
          <w:color w:val="000000"/>
          <w:kern w:val="0"/>
          <w:szCs w:val="24"/>
          <w:highlight w:val="none"/>
          <w:lang w:bidi="ar"/>
        </w:rPr>
        <w:t>0.5Qm</w:t>
      </w:r>
      <w:r>
        <w:rPr>
          <w:rFonts w:hint="eastAsia" w:ascii="宋体" w:hAnsi="宋体" w:cs="宋体"/>
          <w:color w:val="000000"/>
          <w:kern w:val="0"/>
          <w:szCs w:val="24"/>
          <w:highlight w:val="none"/>
          <w:lang w:bidi="ar"/>
        </w:rPr>
        <w:t xml:space="preserve">）的最大工作幅度 </w:t>
      </w:r>
      <w:r>
        <w:rPr>
          <w:color w:val="000000"/>
          <w:kern w:val="0"/>
          <w:szCs w:val="24"/>
          <w:highlight w:val="none"/>
          <w:lang w:bidi="ar"/>
        </w:rPr>
        <w:t>R</w:t>
      </w:r>
      <w:r>
        <w:rPr>
          <w:color w:val="000000"/>
          <w:kern w:val="0"/>
          <w:sz w:val="16"/>
          <w:szCs w:val="16"/>
          <w:highlight w:val="none"/>
          <w:lang w:bidi="ar"/>
        </w:rPr>
        <w:t>0.5</w:t>
      </w:r>
      <w:r>
        <w:rPr>
          <w:rFonts w:hint="eastAsia" w:ascii="宋体" w:hAnsi="宋体" w:cs="宋体"/>
          <w:color w:val="000000"/>
          <w:kern w:val="0"/>
          <w:szCs w:val="24"/>
          <w:highlight w:val="none"/>
          <w:lang w:bidi="ar"/>
        </w:rPr>
        <w:t>，</w:t>
      </w:r>
      <w:r>
        <w:rPr>
          <w:color w:val="000000"/>
          <w:kern w:val="0"/>
          <w:szCs w:val="24"/>
          <w:highlight w:val="none"/>
          <w:lang w:bidi="ar"/>
        </w:rPr>
        <w:t>0.8R</w:t>
      </w:r>
      <w:r>
        <w:rPr>
          <w:color w:val="000000"/>
          <w:kern w:val="0"/>
          <w:sz w:val="16"/>
          <w:szCs w:val="16"/>
          <w:highlight w:val="none"/>
          <w:lang w:bidi="ar"/>
        </w:rPr>
        <w:t xml:space="preserve">0.5 </w:t>
      </w:r>
      <w:r>
        <w:rPr>
          <w:rFonts w:hint="eastAsia" w:ascii="宋体" w:hAnsi="宋体" w:cs="宋体"/>
          <w:color w:val="000000"/>
          <w:kern w:val="0"/>
          <w:szCs w:val="24"/>
          <w:highlight w:val="none"/>
          <w:lang w:bidi="ar"/>
        </w:rPr>
        <w:t xml:space="preserve">及 </w:t>
      </w:r>
      <w:r>
        <w:rPr>
          <w:color w:val="000000"/>
          <w:kern w:val="0"/>
          <w:szCs w:val="24"/>
          <w:highlight w:val="none"/>
          <w:lang w:bidi="ar"/>
        </w:rPr>
        <w:t>1.1R</w:t>
      </w:r>
      <w:r>
        <w:rPr>
          <w:color w:val="000000"/>
          <w:kern w:val="0"/>
          <w:sz w:val="16"/>
          <w:szCs w:val="16"/>
          <w:highlight w:val="none"/>
          <w:lang w:bidi="ar"/>
        </w:rPr>
        <w:t>0.5</w:t>
      </w:r>
      <w:r>
        <w:rPr>
          <w:rFonts w:hint="eastAsia" w:ascii="宋体" w:hAnsi="宋体" w:cs="宋体"/>
          <w:color w:val="000000"/>
          <w:kern w:val="0"/>
          <w:szCs w:val="24"/>
          <w:highlight w:val="none"/>
          <w:lang w:bidi="ar"/>
        </w:rPr>
        <w:t xml:space="preserve">值，并在地面标记。在小幅度处起升 </w:t>
      </w:r>
      <w:r>
        <w:rPr>
          <w:color w:val="000000"/>
          <w:kern w:val="0"/>
          <w:szCs w:val="24"/>
          <w:highlight w:val="none"/>
          <w:lang w:bidi="ar"/>
        </w:rPr>
        <w:t xml:space="preserve">0.5 </w:t>
      </w:r>
      <w:r>
        <w:rPr>
          <w:rFonts w:hint="eastAsia" w:ascii="宋体" w:hAnsi="宋体" w:cs="宋体"/>
          <w:color w:val="000000"/>
          <w:kern w:val="0"/>
          <w:szCs w:val="24"/>
          <w:highlight w:val="none"/>
          <w:lang w:bidi="ar"/>
        </w:rPr>
        <w:t>倍最大额定起重量（</w:t>
      </w:r>
      <w:r>
        <w:rPr>
          <w:color w:val="000000"/>
          <w:kern w:val="0"/>
          <w:szCs w:val="24"/>
          <w:highlight w:val="none"/>
          <w:lang w:bidi="ar"/>
        </w:rPr>
        <w:t>0.5Qm</w:t>
      </w:r>
      <w:r>
        <w:rPr>
          <w:rFonts w:hint="eastAsia" w:ascii="宋体" w:hAnsi="宋体" w:cs="宋体"/>
          <w:color w:val="000000"/>
          <w:kern w:val="0"/>
          <w:szCs w:val="24"/>
          <w:highlight w:val="none"/>
          <w:lang w:bidi="ar"/>
        </w:rPr>
        <w:t xml:space="preserve">）离地 </w:t>
      </w:r>
      <w:r>
        <w:rPr>
          <w:color w:val="000000"/>
          <w:kern w:val="0"/>
          <w:szCs w:val="24"/>
          <w:highlight w:val="none"/>
          <w:lang w:bidi="ar"/>
        </w:rPr>
        <w:t xml:space="preserve">1m </w:t>
      </w:r>
      <w:r>
        <w:rPr>
          <w:rFonts w:hint="eastAsia" w:ascii="宋体" w:hAnsi="宋体" w:cs="宋体"/>
          <w:color w:val="000000"/>
          <w:kern w:val="0"/>
          <w:szCs w:val="24"/>
          <w:highlight w:val="none"/>
          <w:lang w:bidi="ar"/>
        </w:rPr>
        <w:t xml:space="preserve">左右，慢速变幅至 </w:t>
      </w:r>
      <w:r>
        <w:rPr>
          <w:color w:val="000000"/>
          <w:kern w:val="0"/>
          <w:szCs w:val="24"/>
          <w:highlight w:val="none"/>
          <w:lang w:bidi="ar"/>
        </w:rPr>
        <w:t>R</w:t>
      </w:r>
      <w:r>
        <w:rPr>
          <w:color w:val="000000"/>
          <w:kern w:val="0"/>
          <w:sz w:val="16"/>
          <w:szCs w:val="16"/>
          <w:highlight w:val="none"/>
          <w:lang w:bidi="ar"/>
        </w:rPr>
        <w:t>0.5</w:t>
      </w:r>
      <w:r>
        <w:rPr>
          <w:rFonts w:hint="eastAsia" w:ascii="宋体" w:hAnsi="宋体" w:cs="宋体"/>
          <w:color w:val="000000"/>
          <w:kern w:val="0"/>
          <w:szCs w:val="24"/>
          <w:highlight w:val="none"/>
          <w:lang w:bidi="ar"/>
        </w:rPr>
        <w:t>～</w:t>
      </w:r>
      <w:r>
        <w:rPr>
          <w:color w:val="000000"/>
          <w:kern w:val="0"/>
          <w:szCs w:val="24"/>
          <w:highlight w:val="none"/>
          <w:lang w:bidi="ar"/>
        </w:rPr>
        <w:t>1.1R</w:t>
      </w:r>
      <w:r>
        <w:rPr>
          <w:color w:val="000000"/>
          <w:kern w:val="0"/>
          <w:sz w:val="16"/>
          <w:szCs w:val="16"/>
          <w:highlight w:val="none"/>
          <w:lang w:bidi="ar"/>
        </w:rPr>
        <w:t xml:space="preserve">0.5 </w:t>
      </w:r>
      <w:r>
        <w:rPr>
          <w:rFonts w:hint="eastAsia" w:ascii="宋体" w:hAnsi="宋体" w:cs="宋体"/>
          <w:color w:val="000000"/>
          <w:kern w:val="0"/>
          <w:szCs w:val="24"/>
          <w:highlight w:val="none"/>
          <w:lang w:bidi="ar"/>
        </w:rPr>
        <w:t xml:space="preserve">间时，力矩限制器应动作，切断外变幅和起升回路电源，并输出报警信号。退回，重新从小幅度开始，以正常速度向外变幅，在到达 </w:t>
      </w:r>
      <w:r>
        <w:rPr>
          <w:color w:val="000000"/>
          <w:kern w:val="0"/>
          <w:szCs w:val="24"/>
          <w:highlight w:val="none"/>
          <w:lang w:bidi="ar"/>
        </w:rPr>
        <w:t>0.8R</w:t>
      </w:r>
      <w:r>
        <w:rPr>
          <w:color w:val="000000"/>
          <w:kern w:val="0"/>
          <w:sz w:val="16"/>
          <w:szCs w:val="16"/>
          <w:highlight w:val="none"/>
          <w:lang w:bidi="ar"/>
        </w:rPr>
        <w:t xml:space="preserve">0.5 </w:t>
      </w:r>
      <w:r>
        <w:rPr>
          <w:rFonts w:hint="eastAsia" w:ascii="宋体" w:hAnsi="宋体" w:cs="宋体"/>
          <w:color w:val="000000"/>
          <w:kern w:val="0"/>
          <w:szCs w:val="24"/>
          <w:highlight w:val="none"/>
          <w:lang w:bidi="ar"/>
        </w:rPr>
        <w:t xml:space="preserve">时应能自动转为低速往外变幅，在到达 </w:t>
      </w:r>
      <w:r>
        <w:rPr>
          <w:color w:val="000000"/>
          <w:kern w:val="0"/>
          <w:szCs w:val="24"/>
          <w:highlight w:val="none"/>
          <w:lang w:bidi="ar"/>
        </w:rPr>
        <w:t>R</w:t>
      </w:r>
      <w:r>
        <w:rPr>
          <w:color w:val="000000"/>
          <w:kern w:val="0"/>
          <w:sz w:val="16"/>
          <w:szCs w:val="16"/>
          <w:highlight w:val="none"/>
          <w:lang w:bidi="ar"/>
        </w:rPr>
        <w:t>0.5</w:t>
      </w:r>
      <w:r>
        <w:rPr>
          <w:rFonts w:hint="eastAsia" w:ascii="宋体" w:hAnsi="宋体" w:cs="宋体"/>
          <w:color w:val="000000"/>
          <w:kern w:val="0"/>
          <w:szCs w:val="24"/>
          <w:highlight w:val="none"/>
          <w:lang w:bidi="ar"/>
        </w:rPr>
        <w:t>～</w:t>
      </w:r>
      <w:r>
        <w:rPr>
          <w:color w:val="000000"/>
          <w:kern w:val="0"/>
          <w:szCs w:val="24"/>
          <w:highlight w:val="none"/>
          <w:lang w:bidi="ar"/>
        </w:rPr>
        <w:t>1.1R</w:t>
      </w:r>
      <w:r>
        <w:rPr>
          <w:color w:val="000000"/>
          <w:kern w:val="0"/>
          <w:sz w:val="16"/>
          <w:szCs w:val="16"/>
          <w:highlight w:val="none"/>
          <w:lang w:bidi="ar"/>
        </w:rPr>
        <w:t xml:space="preserve">0.5 </w:t>
      </w:r>
      <w:r>
        <w:rPr>
          <w:rFonts w:hint="eastAsia" w:ascii="宋体" w:hAnsi="宋体" w:cs="宋体"/>
          <w:color w:val="000000"/>
          <w:kern w:val="0"/>
          <w:szCs w:val="24"/>
          <w:highlight w:val="none"/>
          <w:lang w:bidi="ar"/>
        </w:rPr>
        <w:t>间时，力矩限制器应动作，切断外变幅和起升回路电源，并输出报警信号。</w:t>
      </w:r>
    </w:p>
    <w:p w14:paraId="7FE693CA">
      <w:pPr>
        <w:pStyle w:val="10"/>
        <w:bidi w:val="0"/>
        <w:ind w:left="1008" w:leftChars="0" w:hanging="1008" w:firstLineChars="0"/>
        <w:rPr>
          <w:highlight w:val="none"/>
        </w:rPr>
      </w:pPr>
      <w:r>
        <w:rPr>
          <w:rFonts w:hint="eastAsia"/>
          <w:highlight w:val="none"/>
        </w:rPr>
        <w:t xml:space="preserve"> 起重量限制器</w:t>
      </w:r>
    </w:p>
    <w:p w14:paraId="784035BC">
      <w:pPr>
        <w:pStyle w:val="2"/>
        <w:ind w:firstLine="0" w:firstLineChars="0"/>
        <w:jc w:val="center"/>
        <w:rPr>
          <w:highlight w:val="none"/>
        </w:rPr>
      </w:pPr>
      <w:r>
        <w:rPr>
          <w:highlight w:val="none"/>
        </w:rPr>
        <w:drawing>
          <wp:inline distT="0" distB="0" distL="114300" distR="114300">
            <wp:extent cx="3810000" cy="3410585"/>
            <wp:effectExtent l="0" t="0" r="0" b="18415"/>
            <wp:docPr id="106" name="图片 106" descr="1642650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1642650840(1)"/>
                    <pic:cNvPicPr>
                      <a:picLocks noChangeAspect="1"/>
                    </pic:cNvPicPr>
                  </pic:nvPicPr>
                  <pic:blipFill>
                    <a:blip r:embed="rId97"/>
                    <a:stretch>
                      <a:fillRect/>
                    </a:stretch>
                  </pic:blipFill>
                  <pic:spPr>
                    <a:xfrm>
                      <a:off x="0" y="0"/>
                      <a:ext cx="3810000" cy="3410585"/>
                    </a:xfrm>
                    <a:prstGeom prst="rect">
                      <a:avLst/>
                    </a:prstGeom>
                  </pic:spPr>
                </pic:pic>
              </a:graphicData>
            </a:graphic>
          </wp:inline>
        </w:drawing>
      </w:r>
    </w:p>
    <w:p w14:paraId="52D1E623">
      <w:pPr>
        <w:widowControl/>
        <w:ind w:firstLine="480"/>
        <w:jc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图4.4.12.2.3-1起重量限制器图</w:t>
      </w:r>
    </w:p>
    <w:p w14:paraId="24387241">
      <w:pPr>
        <w:widowControl/>
        <w:ind w:firstLine="480"/>
        <w:jc w:val="left"/>
        <w:rPr>
          <w:highlight w:val="none"/>
        </w:rPr>
      </w:pPr>
      <w:r>
        <w:rPr>
          <w:rFonts w:hint="eastAsia"/>
          <w:highlight w:val="none"/>
        </w:rPr>
        <w:t xml:space="preserve">1） </w:t>
      </w:r>
      <w:r>
        <w:rPr>
          <w:rFonts w:hint="eastAsia" w:ascii="宋体" w:hAnsi="宋体" w:cs="宋体"/>
          <w:color w:val="000000"/>
          <w:kern w:val="0"/>
          <w:szCs w:val="24"/>
          <w:highlight w:val="none"/>
          <w:lang w:bidi="ar"/>
        </w:rPr>
        <w:t>起重量限制器的调整</w:t>
      </w:r>
    </w:p>
    <w:p w14:paraId="1CBD54AD">
      <w:pPr>
        <w:widowControl/>
        <w:ind w:firstLine="480"/>
        <w:jc w:val="left"/>
        <w:rPr>
          <w:rFonts w:ascii="宋体" w:hAnsi="宋体" w:cs="宋体"/>
          <w:szCs w:val="24"/>
          <w:highlight w:val="none"/>
        </w:rPr>
      </w:pPr>
      <w:r>
        <w:rPr>
          <w:rFonts w:hint="eastAsia" w:ascii="宋体" w:hAnsi="宋体" w:cs="宋体"/>
          <w:szCs w:val="24"/>
          <w:highlight w:val="none"/>
        </w:rPr>
        <w:t>警告：</w:t>
      </w:r>
      <w:r>
        <w:rPr>
          <w:rFonts w:hint="eastAsia" w:ascii="宋体" w:hAnsi="宋体" w:cs="宋体"/>
          <w:color w:val="000000"/>
          <w:kern w:val="0"/>
          <w:szCs w:val="24"/>
          <w:highlight w:val="none"/>
          <w:lang w:bidi="ar"/>
        </w:rPr>
        <w:t>调整起重量限制器之前，必须首先确认本塔机的额定吊重量后，再查找对应的数据进行调试</w:t>
      </w:r>
    </w:p>
    <w:p w14:paraId="297CF684">
      <w:pPr>
        <w:widowControl/>
        <w:ind w:firstLine="240" w:firstLineChars="100"/>
        <w:jc w:val="left"/>
        <w:rPr>
          <w:highlight w:val="none"/>
        </w:rPr>
      </w:pPr>
      <w:r>
        <w:rPr>
          <w:rFonts w:hint="eastAsia" w:ascii="Cambria" w:hAnsi="Cambria" w:eastAsia="Cambria" w:cs="Cambria"/>
          <w:color w:val="000000"/>
          <w:kern w:val="0"/>
          <w:szCs w:val="24"/>
          <w:highlight w:val="none"/>
          <w:lang w:bidi="ar"/>
        </w:rPr>
        <w:t>（1）</w:t>
      </w:r>
      <w:r>
        <w:rPr>
          <w:rFonts w:hint="eastAsia" w:ascii="宋体" w:hAnsi="宋体" w:cs="宋体"/>
          <w:color w:val="000000"/>
          <w:kern w:val="0"/>
          <w:szCs w:val="24"/>
          <w:highlight w:val="none"/>
          <w:lang w:bidi="ar"/>
        </w:rPr>
        <w:t xml:space="preserve">调整 </w:t>
      </w:r>
      <w:r>
        <w:rPr>
          <w:color w:val="000000"/>
          <w:kern w:val="0"/>
          <w:szCs w:val="24"/>
          <w:highlight w:val="none"/>
          <w:lang w:bidi="ar"/>
        </w:rPr>
        <w:t>35%</w:t>
      </w:r>
      <w:r>
        <w:rPr>
          <w:rFonts w:hint="eastAsia" w:ascii="宋体" w:hAnsi="宋体" w:cs="宋体"/>
          <w:color w:val="000000"/>
          <w:kern w:val="0"/>
          <w:szCs w:val="24"/>
          <w:highlight w:val="none"/>
          <w:lang w:bidi="ar"/>
        </w:rPr>
        <w:t xml:space="preserve">重量高速限制器 </w:t>
      </w:r>
      <w:r>
        <w:rPr>
          <w:color w:val="000000"/>
          <w:kern w:val="0"/>
          <w:szCs w:val="24"/>
          <w:highlight w:val="none"/>
          <w:lang w:bidi="ar"/>
        </w:rPr>
        <w:t>SWQ</w:t>
      </w:r>
      <w:r>
        <w:rPr>
          <w:rFonts w:hint="eastAsia" w:ascii="宋体" w:hAnsi="宋体" w:cs="宋体"/>
          <w:color w:val="000000"/>
          <w:kern w:val="0"/>
          <w:szCs w:val="24"/>
          <w:highlight w:val="none"/>
          <w:lang w:bidi="ar"/>
        </w:rPr>
        <w:t xml:space="preserve">： </w:t>
      </w:r>
    </w:p>
    <w:p w14:paraId="6869E830">
      <w:pPr>
        <w:widowControl/>
        <w:ind w:firstLine="480"/>
        <w:jc w:val="left"/>
        <w:rPr>
          <w:highlight w:val="none"/>
        </w:rPr>
      </w:pPr>
      <w:r>
        <w:rPr>
          <w:rFonts w:hint="eastAsia" w:ascii="宋体" w:hAnsi="宋体" w:cs="宋体"/>
          <w:color w:val="000000"/>
          <w:kern w:val="0"/>
          <w:szCs w:val="24"/>
          <w:highlight w:val="none"/>
          <w:lang w:bidi="ar"/>
        </w:rPr>
        <w:t xml:space="preserve">先以低速起吊载荷 </w:t>
      </w:r>
      <w:r>
        <w:rPr>
          <w:color w:val="000000"/>
          <w:kern w:val="0"/>
          <w:szCs w:val="24"/>
          <w:highlight w:val="none"/>
          <w:lang w:bidi="ar"/>
        </w:rPr>
        <w:t>V1</w:t>
      </w:r>
      <w:r>
        <w:rPr>
          <w:rFonts w:hint="eastAsia" w:ascii="宋体" w:hAnsi="宋体" w:cs="宋体"/>
          <w:color w:val="000000"/>
          <w:kern w:val="0"/>
          <w:szCs w:val="24"/>
          <w:highlight w:val="none"/>
          <w:lang w:bidi="ar"/>
        </w:rPr>
        <w:t>，然后再以高速起升。调整螺栓</w:t>
      </w:r>
      <w:r>
        <w:rPr>
          <w:color w:val="000000"/>
          <w:kern w:val="0"/>
          <w:szCs w:val="24"/>
          <w:highlight w:val="none"/>
          <w:lang w:bidi="ar"/>
        </w:rPr>
        <w:t>(1)</w:t>
      </w:r>
      <w:r>
        <w:rPr>
          <w:rFonts w:hint="eastAsia" w:ascii="宋体" w:hAnsi="宋体" w:cs="宋体"/>
          <w:color w:val="000000"/>
          <w:kern w:val="0"/>
          <w:szCs w:val="24"/>
          <w:highlight w:val="none"/>
          <w:lang w:bidi="ar"/>
        </w:rPr>
        <w:t>直至其头部接触到微动开关</w:t>
      </w:r>
      <w:r>
        <w:rPr>
          <w:color w:val="000000"/>
          <w:kern w:val="0"/>
          <w:szCs w:val="24"/>
          <w:highlight w:val="none"/>
          <w:lang w:bidi="ar"/>
        </w:rPr>
        <w:t>(2)</w:t>
      </w:r>
      <w:r>
        <w:rPr>
          <w:rFonts w:hint="eastAsia" w:ascii="宋体" w:hAnsi="宋体" w:cs="宋体"/>
          <w:color w:val="000000"/>
          <w:kern w:val="0"/>
          <w:szCs w:val="24"/>
          <w:highlight w:val="none"/>
          <w:lang w:bidi="ar"/>
        </w:rPr>
        <w:t xml:space="preserve">降下载荷，增重 </w:t>
      </w:r>
      <w:r>
        <w:rPr>
          <w:color w:val="000000"/>
          <w:kern w:val="0"/>
          <w:szCs w:val="24"/>
          <w:highlight w:val="none"/>
          <w:lang w:bidi="ar"/>
        </w:rPr>
        <w:t>10%</w:t>
      </w:r>
      <w:r>
        <w:rPr>
          <w:rFonts w:hint="eastAsia" w:ascii="宋体" w:hAnsi="宋体" w:cs="宋体"/>
          <w:color w:val="000000"/>
          <w:kern w:val="0"/>
          <w:szCs w:val="24"/>
          <w:highlight w:val="none"/>
          <w:lang w:bidi="ar"/>
        </w:rPr>
        <w:t xml:space="preserve">，以低速起吊新增重载荷 </w:t>
      </w:r>
      <w:r>
        <w:rPr>
          <w:color w:val="000000"/>
          <w:kern w:val="0"/>
          <w:szCs w:val="24"/>
          <w:highlight w:val="none"/>
          <w:lang w:bidi="ar"/>
        </w:rPr>
        <w:t>W1</w:t>
      </w:r>
      <w:r>
        <w:rPr>
          <w:rFonts w:hint="eastAsia" w:ascii="宋体" w:hAnsi="宋体" w:cs="宋体"/>
          <w:color w:val="000000"/>
          <w:kern w:val="0"/>
          <w:szCs w:val="24"/>
          <w:highlight w:val="none"/>
          <w:lang w:bidi="ar"/>
        </w:rPr>
        <w:t xml:space="preserve">，然后试换速高速起升，此时不应有高速 </w:t>
      </w:r>
      <w:r>
        <w:rPr>
          <w:color w:val="000000"/>
          <w:kern w:val="0"/>
          <w:szCs w:val="24"/>
          <w:highlight w:val="none"/>
          <w:lang w:bidi="ar"/>
        </w:rPr>
        <w:t xml:space="preserve">5 </w:t>
      </w:r>
      <w:r>
        <w:rPr>
          <w:rFonts w:hint="eastAsia" w:ascii="宋体" w:hAnsi="宋体" w:cs="宋体"/>
          <w:color w:val="000000"/>
          <w:kern w:val="0"/>
          <w:szCs w:val="24"/>
          <w:highlight w:val="none"/>
          <w:lang w:bidi="ar"/>
        </w:rPr>
        <w:t>档。如果得到高速，应重新调整。</w:t>
      </w:r>
    </w:p>
    <w:p w14:paraId="28F74920">
      <w:pPr>
        <w:widowControl/>
        <w:ind w:firstLine="480"/>
        <w:jc w:val="left"/>
        <w:rPr>
          <w:highlight w:val="none"/>
        </w:rPr>
      </w:pPr>
      <w:r>
        <w:rPr>
          <w:rFonts w:hint="eastAsia" w:ascii="宋体" w:hAnsi="宋体" w:cs="宋体"/>
          <w:color w:val="000000"/>
          <w:kern w:val="0"/>
          <w:szCs w:val="24"/>
          <w:highlight w:val="none"/>
          <w:lang w:bidi="ar"/>
        </w:rPr>
        <w:t xml:space="preserve">降下载荷，增重 </w:t>
      </w:r>
      <w:r>
        <w:rPr>
          <w:color w:val="000000"/>
          <w:kern w:val="0"/>
          <w:szCs w:val="24"/>
          <w:highlight w:val="none"/>
          <w:lang w:bidi="ar"/>
        </w:rPr>
        <w:t>10%</w:t>
      </w:r>
      <w:r>
        <w:rPr>
          <w:rFonts w:hint="eastAsia" w:ascii="宋体" w:hAnsi="宋体" w:cs="宋体"/>
          <w:color w:val="000000"/>
          <w:kern w:val="0"/>
          <w:szCs w:val="24"/>
          <w:highlight w:val="none"/>
          <w:lang w:bidi="ar"/>
        </w:rPr>
        <w:t xml:space="preserve">，以低速起吊新增重载荷 </w:t>
      </w:r>
      <w:r>
        <w:rPr>
          <w:color w:val="000000"/>
          <w:kern w:val="0"/>
          <w:szCs w:val="24"/>
          <w:highlight w:val="none"/>
          <w:lang w:bidi="ar"/>
        </w:rPr>
        <w:t>W1</w:t>
      </w:r>
      <w:r>
        <w:rPr>
          <w:rFonts w:hint="eastAsia" w:ascii="宋体" w:hAnsi="宋体" w:cs="宋体"/>
          <w:color w:val="000000"/>
          <w:kern w:val="0"/>
          <w:szCs w:val="24"/>
          <w:highlight w:val="none"/>
          <w:lang w:bidi="ar"/>
        </w:rPr>
        <w:t xml:space="preserve">，然后试换速高速起升，此时不应有高速 </w:t>
      </w:r>
      <w:r>
        <w:rPr>
          <w:color w:val="000000"/>
          <w:kern w:val="0"/>
          <w:szCs w:val="24"/>
          <w:highlight w:val="none"/>
          <w:lang w:bidi="ar"/>
        </w:rPr>
        <w:t xml:space="preserve">5 </w:t>
      </w:r>
      <w:r>
        <w:rPr>
          <w:rFonts w:hint="eastAsia" w:ascii="宋体" w:hAnsi="宋体" w:cs="宋体"/>
          <w:color w:val="000000"/>
          <w:kern w:val="0"/>
          <w:szCs w:val="24"/>
          <w:highlight w:val="none"/>
          <w:lang w:bidi="ar"/>
        </w:rPr>
        <w:t>档。如果得到高速，应重新调整。</w:t>
      </w:r>
    </w:p>
    <w:p w14:paraId="070282DB">
      <w:pPr>
        <w:widowControl/>
        <w:ind w:firstLine="480"/>
        <w:jc w:val="left"/>
        <w:rPr>
          <w:highlight w:val="none"/>
        </w:rPr>
      </w:pPr>
      <w:r>
        <w:rPr>
          <w:rFonts w:hint="eastAsia" w:ascii="宋体" w:hAnsi="宋体" w:cs="宋体"/>
          <w:color w:val="000000"/>
          <w:kern w:val="0"/>
          <w:szCs w:val="24"/>
          <w:highlight w:val="none"/>
          <w:lang w:bidi="ar"/>
        </w:rPr>
        <w:t xml:space="preserve">重复 </w:t>
      </w:r>
      <w:r>
        <w:rPr>
          <w:color w:val="000000"/>
          <w:kern w:val="0"/>
          <w:szCs w:val="24"/>
          <w:highlight w:val="none"/>
          <w:lang w:bidi="ar"/>
        </w:rPr>
        <w:t xml:space="preserve">3 </w:t>
      </w:r>
      <w:r>
        <w:rPr>
          <w:rFonts w:hint="eastAsia" w:ascii="宋体" w:hAnsi="宋体" w:cs="宋体"/>
          <w:color w:val="000000"/>
          <w:kern w:val="0"/>
          <w:szCs w:val="24"/>
          <w:highlight w:val="none"/>
          <w:lang w:bidi="ar"/>
        </w:rPr>
        <w:t>次，均应满足以上要求。</w:t>
      </w:r>
    </w:p>
    <w:p w14:paraId="2E106572">
      <w:pPr>
        <w:widowControl/>
        <w:ind w:firstLine="480"/>
        <w:jc w:val="left"/>
        <w:rPr>
          <w:highlight w:val="none"/>
        </w:rPr>
      </w:pPr>
      <w:r>
        <w:rPr>
          <w:rFonts w:hint="eastAsia"/>
          <w:highlight w:val="none"/>
        </w:rPr>
        <w:t>（2）</w:t>
      </w:r>
      <w:r>
        <w:rPr>
          <w:rFonts w:hint="eastAsia" w:ascii="宋体" w:hAnsi="宋体" w:cs="宋体"/>
          <w:color w:val="000000"/>
          <w:kern w:val="0"/>
          <w:szCs w:val="24"/>
          <w:highlight w:val="none"/>
          <w:lang w:bidi="ar"/>
        </w:rPr>
        <w:t xml:space="preserve">调整 </w:t>
      </w:r>
      <w:r>
        <w:rPr>
          <w:color w:val="000000"/>
          <w:kern w:val="0"/>
          <w:szCs w:val="24"/>
          <w:highlight w:val="none"/>
          <w:lang w:bidi="ar"/>
        </w:rPr>
        <w:t>75%</w:t>
      </w:r>
      <w:r>
        <w:rPr>
          <w:rFonts w:hint="eastAsia" w:ascii="宋体" w:hAnsi="宋体" w:cs="宋体"/>
          <w:color w:val="000000"/>
          <w:kern w:val="0"/>
          <w:szCs w:val="24"/>
          <w:highlight w:val="none"/>
          <w:lang w:bidi="ar"/>
        </w:rPr>
        <w:t xml:space="preserve">重量高速限制器 </w:t>
      </w:r>
      <w:r>
        <w:rPr>
          <w:color w:val="000000"/>
          <w:kern w:val="0"/>
          <w:szCs w:val="24"/>
          <w:highlight w:val="none"/>
          <w:lang w:bidi="ar"/>
        </w:rPr>
        <w:t>SWH</w:t>
      </w:r>
      <w:r>
        <w:rPr>
          <w:rFonts w:hint="eastAsia" w:ascii="宋体" w:hAnsi="宋体" w:cs="宋体"/>
          <w:color w:val="000000"/>
          <w:kern w:val="0"/>
          <w:szCs w:val="24"/>
          <w:highlight w:val="none"/>
          <w:lang w:bidi="ar"/>
        </w:rPr>
        <w:t>：</w:t>
      </w:r>
    </w:p>
    <w:p w14:paraId="5E8952AF">
      <w:pPr>
        <w:widowControl/>
        <w:ind w:firstLine="480"/>
        <w:jc w:val="left"/>
        <w:rPr>
          <w:highlight w:val="none"/>
        </w:rPr>
      </w:pPr>
      <w:r>
        <w:rPr>
          <w:rFonts w:hint="eastAsia" w:ascii="宋体" w:hAnsi="宋体" w:cs="宋体"/>
          <w:color w:val="000000"/>
          <w:kern w:val="0"/>
          <w:szCs w:val="24"/>
          <w:highlight w:val="none"/>
          <w:lang w:bidi="ar"/>
        </w:rPr>
        <w:t xml:space="preserve">先以低速起吊载荷 </w:t>
      </w:r>
      <w:r>
        <w:rPr>
          <w:color w:val="000000"/>
          <w:kern w:val="0"/>
          <w:szCs w:val="24"/>
          <w:highlight w:val="none"/>
          <w:lang w:bidi="ar"/>
        </w:rPr>
        <w:t>V2</w:t>
      </w:r>
      <w:r>
        <w:rPr>
          <w:rFonts w:hint="eastAsia" w:ascii="宋体" w:hAnsi="宋体" w:cs="宋体"/>
          <w:color w:val="000000"/>
          <w:kern w:val="0"/>
          <w:szCs w:val="24"/>
          <w:highlight w:val="none"/>
          <w:lang w:bidi="ar"/>
        </w:rPr>
        <w:t>，然后再以高速起升。调整螺栓</w:t>
      </w:r>
      <w:r>
        <w:rPr>
          <w:color w:val="000000"/>
          <w:kern w:val="0"/>
          <w:szCs w:val="24"/>
          <w:highlight w:val="none"/>
          <w:lang w:bidi="ar"/>
        </w:rPr>
        <w:t>(3)</w:t>
      </w:r>
      <w:r>
        <w:rPr>
          <w:rFonts w:hint="eastAsia" w:ascii="宋体" w:hAnsi="宋体" w:cs="宋体"/>
          <w:color w:val="000000"/>
          <w:kern w:val="0"/>
          <w:szCs w:val="24"/>
          <w:highlight w:val="none"/>
          <w:lang w:bidi="ar"/>
        </w:rPr>
        <w:t>直至其头部接触到微动开关</w:t>
      </w:r>
      <w:r>
        <w:rPr>
          <w:color w:val="000000"/>
          <w:kern w:val="0"/>
          <w:szCs w:val="24"/>
          <w:highlight w:val="none"/>
          <w:lang w:bidi="ar"/>
        </w:rPr>
        <w:t>(4)</w:t>
      </w:r>
      <w:r>
        <w:rPr>
          <w:rFonts w:hint="eastAsia" w:ascii="宋体" w:hAnsi="宋体" w:cs="宋体"/>
          <w:color w:val="000000"/>
          <w:kern w:val="0"/>
          <w:szCs w:val="24"/>
          <w:highlight w:val="none"/>
          <w:lang w:bidi="ar"/>
        </w:rPr>
        <w:t xml:space="preserve">。 </w:t>
      </w:r>
    </w:p>
    <w:p w14:paraId="1394A9E4">
      <w:pPr>
        <w:widowControl/>
        <w:ind w:firstLine="480"/>
        <w:jc w:val="left"/>
        <w:rPr>
          <w:highlight w:val="none"/>
        </w:rPr>
      </w:pPr>
      <w:r>
        <w:rPr>
          <w:rFonts w:hint="eastAsia" w:ascii="宋体" w:hAnsi="宋体" w:cs="宋体"/>
          <w:color w:val="000000"/>
          <w:kern w:val="0"/>
          <w:szCs w:val="24"/>
          <w:highlight w:val="none"/>
          <w:lang w:bidi="ar"/>
        </w:rPr>
        <w:t xml:space="preserve">降下载荷，增重 </w:t>
      </w:r>
      <w:r>
        <w:rPr>
          <w:color w:val="000000"/>
          <w:kern w:val="0"/>
          <w:szCs w:val="24"/>
          <w:highlight w:val="none"/>
          <w:lang w:bidi="ar"/>
        </w:rPr>
        <w:t>10%</w:t>
      </w:r>
      <w:r>
        <w:rPr>
          <w:rFonts w:hint="eastAsia" w:ascii="宋体" w:hAnsi="宋体" w:cs="宋体"/>
          <w:color w:val="000000"/>
          <w:kern w:val="0"/>
          <w:szCs w:val="24"/>
          <w:highlight w:val="none"/>
          <w:lang w:bidi="ar"/>
        </w:rPr>
        <w:t xml:space="preserve">，以低速起吊新增重载荷 </w:t>
      </w:r>
      <w:r>
        <w:rPr>
          <w:color w:val="000000"/>
          <w:kern w:val="0"/>
          <w:szCs w:val="24"/>
          <w:highlight w:val="none"/>
          <w:lang w:bidi="ar"/>
        </w:rPr>
        <w:t>W2</w:t>
      </w:r>
      <w:r>
        <w:rPr>
          <w:rFonts w:hint="eastAsia" w:ascii="宋体" w:hAnsi="宋体" w:cs="宋体"/>
          <w:color w:val="000000"/>
          <w:kern w:val="0"/>
          <w:szCs w:val="24"/>
          <w:highlight w:val="none"/>
          <w:lang w:bidi="ar"/>
        </w:rPr>
        <w:t xml:space="preserve">，然后试换速高速起升，此时不应有高速 </w:t>
      </w:r>
      <w:r>
        <w:rPr>
          <w:color w:val="000000"/>
          <w:kern w:val="0"/>
          <w:szCs w:val="24"/>
          <w:highlight w:val="none"/>
          <w:lang w:bidi="ar"/>
        </w:rPr>
        <w:t xml:space="preserve">4 </w:t>
      </w:r>
      <w:r>
        <w:rPr>
          <w:rFonts w:hint="eastAsia" w:ascii="宋体" w:hAnsi="宋体" w:cs="宋体"/>
          <w:color w:val="000000"/>
          <w:kern w:val="0"/>
          <w:szCs w:val="24"/>
          <w:highlight w:val="none"/>
          <w:lang w:bidi="ar"/>
        </w:rPr>
        <w:t xml:space="preserve">档。如果得到高速，应重新调整。 </w:t>
      </w:r>
    </w:p>
    <w:p w14:paraId="6D63E54D">
      <w:pPr>
        <w:widowControl/>
        <w:ind w:firstLine="480"/>
        <w:jc w:val="left"/>
        <w:rPr>
          <w:highlight w:val="none"/>
        </w:rPr>
      </w:pPr>
      <w:r>
        <w:rPr>
          <w:rFonts w:hint="eastAsia" w:ascii="宋体" w:hAnsi="宋体" w:cs="宋体"/>
          <w:color w:val="000000"/>
          <w:kern w:val="0"/>
          <w:szCs w:val="24"/>
          <w:highlight w:val="none"/>
          <w:lang w:bidi="ar"/>
        </w:rPr>
        <w:t xml:space="preserve">重复 </w:t>
      </w:r>
      <w:r>
        <w:rPr>
          <w:color w:val="000000"/>
          <w:kern w:val="0"/>
          <w:szCs w:val="24"/>
          <w:highlight w:val="none"/>
          <w:lang w:bidi="ar"/>
        </w:rPr>
        <w:t xml:space="preserve">3 </w:t>
      </w:r>
      <w:r>
        <w:rPr>
          <w:rFonts w:hint="eastAsia" w:ascii="宋体" w:hAnsi="宋体" w:cs="宋体"/>
          <w:color w:val="000000"/>
          <w:kern w:val="0"/>
          <w:szCs w:val="24"/>
          <w:highlight w:val="none"/>
          <w:lang w:bidi="ar"/>
        </w:rPr>
        <w:t>次，均应满足以上要求。</w:t>
      </w:r>
    </w:p>
    <w:p w14:paraId="1A2F2CB6">
      <w:pPr>
        <w:widowControl/>
        <w:ind w:firstLine="480"/>
        <w:jc w:val="left"/>
        <w:rPr>
          <w:highlight w:val="none"/>
        </w:rPr>
      </w:pPr>
      <w:r>
        <w:rPr>
          <w:rFonts w:hint="eastAsia"/>
          <w:highlight w:val="none"/>
        </w:rPr>
        <w:t>（3）</w:t>
      </w:r>
      <w:r>
        <w:rPr>
          <w:rFonts w:hint="eastAsia" w:ascii="宋体" w:hAnsi="宋体" w:cs="宋体"/>
          <w:color w:val="000000"/>
          <w:kern w:val="0"/>
          <w:szCs w:val="24"/>
          <w:highlight w:val="none"/>
          <w:lang w:bidi="ar"/>
        </w:rPr>
        <w:t xml:space="preserve">调整最大起重量限制器 </w:t>
      </w:r>
      <w:r>
        <w:rPr>
          <w:color w:val="000000"/>
          <w:kern w:val="0"/>
          <w:szCs w:val="24"/>
          <w:highlight w:val="none"/>
          <w:lang w:bidi="ar"/>
        </w:rPr>
        <w:t>SWL</w:t>
      </w:r>
      <w:r>
        <w:rPr>
          <w:rFonts w:hint="eastAsia" w:ascii="宋体" w:hAnsi="宋体" w:cs="宋体"/>
          <w:color w:val="000000"/>
          <w:kern w:val="0"/>
          <w:szCs w:val="24"/>
          <w:highlight w:val="none"/>
          <w:lang w:bidi="ar"/>
        </w:rPr>
        <w:t xml:space="preserve">： </w:t>
      </w:r>
    </w:p>
    <w:p w14:paraId="4BB36431">
      <w:pPr>
        <w:widowControl/>
        <w:ind w:firstLine="480"/>
        <w:jc w:val="left"/>
        <w:rPr>
          <w:highlight w:val="none"/>
        </w:rPr>
      </w:pPr>
      <w:r>
        <w:rPr>
          <w:rFonts w:hint="eastAsia" w:ascii="宋体" w:hAnsi="宋体" w:cs="宋体"/>
          <w:color w:val="000000"/>
          <w:kern w:val="0"/>
          <w:szCs w:val="24"/>
          <w:highlight w:val="none"/>
          <w:lang w:bidi="ar"/>
        </w:rPr>
        <w:t xml:space="preserve">以低速起吊载荷 </w:t>
      </w:r>
      <w:r>
        <w:rPr>
          <w:color w:val="000000"/>
          <w:kern w:val="0"/>
          <w:szCs w:val="24"/>
          <w:highlight w:val="none"/>
          <w:lang w:bidi="ar"/>
        </w:rPr>
        <w:t>X</w:t>
      </w:r>
      <w:r>
        <w:rPr>
          <w:rFonts w:hint="eastAsia" w:ascii="宋体" w:hAnsi="宋体" w:cs="宋体"/>
          <w:color w:val="000000"/>
          <w:kern w:val="0"/>
          <w:szCs w:val="24"/>
          <w:highlight w:val="none"/>
          <w:lang w:bidi="ar"/>
        </w:rPr>
        <w:t>，调整螺栓</w:t>
      </w:r>
      <w:r>
        <w:rPr>
          <w:color w:val="000000"/>
          <w:kern w:val="0"/>
          <w:szCs w:val="24"/>
          <w:highlight w:val="none"/>
          <w:lang w:bidi="ar"/>
        </w:rPr>
        <w:t>(5)</w:t>
      </w:r>
      <w:r>
        <w:rPr>
          <w:rFonts w:hint="eastAsia" w:ascii="宋体" w:hAnsi="宋体" w:cs="宋体"/>
          <w:color w:val="000000"/>
          <w:kern w:val="0"/>
          <w:szCs w:val="24"/>
          <w:highlight w:val="none"/>
          <w:lang w:bidi="ar"/>
        </w:rPr>
        <w:t>直至其头部接触到微动开关</w:t>
      </w:r>
      <w:r>
        <w:rPr>
          <w:color w:val="000000"/>
          <w:kern w:val="0"/>
          <w:szCs w:val="24"/>
          <w:highlight w:val="none"/>
          <w:lang w:bidi="ar"/>
        </w:rPr>
        <w:t>(6)</w:t>
      </w:r>
      <w:r>
        <w:rPr>
          <w:rFonts w:hint="eastAsia" w:ascii="宋体" w:hAnsi="宋体" w:cs="宋体"/>
          <w:color w:val="000000"/>
          <w:kern w:val="0"/>
          <w:szCs w:val="24"/>
          <w:highlight w:val="none"/>
          <w:lang w:bidi="ar"/>
        </w:rPr>
        <w:t xml:space="preserve">为止。 </w:t>
      </w:r>
    </w:p>
    <w:p w14:paraId="165EDB5D">
      <w:pPr>
        <w:widowControl/>
        <w:ind w:firstLine="480"/>
        <w:jc w:val="left"/>
        <w:rPr>
          <w:highlight w:val="none"/>
        </w:rPr>
      </w:pPr>
      <w:r>
        <w:rPr>
          <w:rFonts w:hint="eastAsia" w:ascii="宋体" w:hAnsi="宋体" w:cs="宋体"/>
          <w:color w:val="000000"/>
          <w:kern w:val="0"/>
          <w:szCs w:val="24"/>
          <w:highlight w:val="none"/>
          <w:lang w:bidi="ar"/>
        </w:rPr>
        <w:t xml:space="preserve">降下载荷，增重 </w:t>
      </w:r>
      <w:r>
        <w:rPr>
          <w:color w:val="000000"/>
          <w:kern w:val="0"/>
          <w:szCs w:val="24"/>
          <w:highlight w:val="none"/>
          <w:lang w:bidi="ar"/>
        </w:rPr>
        <w:t>10%</w:t>
      </w:r>
      <w:r>
        <w:rPr>
          <w:rFonts w:hint="eastAsia" w:ascii="宋体" w:hAnsi="宋体" w:cs="宋体"/>
          <w:color w:val="000000"/>
          <w:kern w:val="0"/>
          <w:szCs w:val="24"/>
          <w:highlight w:val="none"/>
          <w:lang w:bidi="ar"/>
        </w:rPr>
        <w:t xml:space="preserve">，试以低速起吊该载荷 </w:t>
      </w:r>
      <w:r>
        <w:rPr>
          <w:color w:val="000000"/>
          <w:kern w:val="0"/>
          <w:szCs w:val="24"/>
          <w:highlight w:val="none"/>
          <w:lang w:bidi="ar"/>
        </w:rPr>
        <w:t>Y</w:t>
      </w:r>
      <w:r>
        <w:rPr>
          <w:rFonts w:hint="eastAsia" w:ascii="宋体" w:hAnsi="宋体" w:cs="宋体"/>
          <w:color w:val="000000"/>
          <w:kern w:val="0"/>
          <w:szCs w:val="24"/>
          <w:highlight w:val="none"/>
          <w:lang w:bidi="ar"/>
        </w:rPr>
        <w:t xml:space="preserve">，如果载荷被吊起，则应重新调整。 </w:t>
      </w:r>
    </w:p>
    <w:p w14:paraId="2AEC2BCC">
      <w:pPr>
        <w:widowControl/>
        <w:ind w:firstLine="0" w:firstLineChars="0"/>
        <w:jc w:val="left"/>
        <w:rPr>
          <w:highlight w:val="none"/>
        </w:rPr>
      </w:pPr>
      <w:r>
        <w:rPr>
          <w:rFonts w:hint="eastAsia" w:ascii="宋体" w:hAnsi="宋体" w:cs="宋体"/>
          <w:color w:val="000000"/>
          <w:kern w:val="0"/>
          <w:szCs w:val="24"/>
          <w:highlight w:val="none"/>
          <w:lang w:bidi="ar"/>
        </w:rPr>
        <w:t xml:space="preserve">重复 </w:t>
      </w:r>
      <w:r>
        <w:rPr>
          <w:color w:val="000000"/>
          <w:kern w:val="0"/>
          <w:szCs w:val="24"/>
          <w:highlight w:val="none"/>
          <w:lang w:bidi="ar"/>
        </w:rPr>
        <w:t xml:space="preserve">3 </w:t>
      </w:r>
      <w:r>
        <w:rPr>
          <w:rFonts w:hint="eastAsia" w:ascii="宋体" w:hAnsi="宋体" w:cs="宋体"/>
          <w:color w:val="000000"/>
          <w:kern w:val="0"/>
          <w:szCs w:val="24"/>
          <w:highlight w:val="none"/>
          <w:lang w:bidi="ar"/>
        </w:rPr>
        <w:t xml:space="preserve">次，均应满足以上要求。 </w:t>
      </w:r>
    </w:p>
    <w:p w14:paraId="17656DDD">
      <w:pPr>
        <w:widowControl/>
        <w:ind w:firstLine="480"/>
        <w:jc w:val="left"/>
        <w:rPr>
          <w:highlight w:val="none"/>
        </w:rPr>
      </w:pPr>
      <w:r>
        <w:rPr>
          <w:rFonts w:hint="eastAsia" w:ascii="宋体" w:hAnsi="宋体" w:cs="宋体"/>
          <w:color w:val="000000"/>
          <w:kern w:val="0"/>
          <w:szCs w:val="24"/>
          <w:highlight w:val="none"/>
          <w:lang w:bidi="ar"/>
        </w:rPr>
        <w:t xml:space="preserve">对于不同的载荷值 </w:t>
      </w:r>
      <w:r>
        <w:rPr>
          <w:color w:val="000000"/>
          <w:kern w:val="0"/>
          <w:szCs w:val="24"/>
          <w:highlight w:val="none"/>
          <w:lang w:bidi="ar"/>
        </w:rPr>
        <w:t>V</w:t>
      </w:r>
      <w:r>
        <w:rPr>
          <w:rFonts w:hint="eastAsia" w:ascii="宋体" w:hAnsi="宋体" w:cs="宋体"/>
          <w:color w:val="000000"/>
          <w:kern w:val="0"/>
          <w:szCs w:val="24"/>
          <w:highlight w:val="none"/>
          <w:lang w:bidi="ar"/>
        </w:rPr>
        <w:t>、</w:t>
      </w:r>
      <w:r>
        <w:rPr>
          <w:color w:val="000000"/>
          <w:kern w:val="0"/>
          <w:szCs w:val="24"/>
          <w:highlight w:val="none"/>
          <w:lang w:bidi="ar"/>
        </w:rPr>
        <w:t>W</w:t>
      </w:r>
      <w:r>
        <w:rPr>
          <w:rFonts w:hint="eastAsia" w:ascii="宋体" w:hAnsi="宋体" w:cs="宋体"/>
          <w:color w:val="000000"/>
          <w:kern w:val="0"/>
          <w:szCs w:val="24"/>
          <w:highlight w:val="none"/>
          <w:lang w:bidi="ar"/>
        </w:rPr>
        <w:t>、</w:t>
      </w:r>
      <w:r>
        <w:rPr>
          <w:color w:val="000000"/>
          <w:kern w:val="0"/>
          <w:szCs w:val="24"/>
          <w:highlight w:val="none"/>
          <w:lang w:bidi="ar"/>
        </w:rPr>
        <w:t>X</w:t>
      </w:r>
      <w:r>
        <w:rPr>
          <w:rFonts w:hint="eastAsia" w:ascii="宋体" w:hAnsi="宋体" w:cs="宋体"/>
          <w:color w:val="000000"/>
          <w:kern w:val="0"/>
          <w:szCs w:val="24"/>
          <w:highlight w:val="none"/>
          <w:lang w:bidi="ar"/>
        </w:rPr>
        <w:t>、</w:t>
      </w:r>
      <w:r>
        <w:rPr>
          <w:color w:val="000000"/>
          <w:kern w:val="0"/>
          <w:szCs w:val="24"/>
          <w:highlight w:val="none"/>
          <w:lang w:bidi="ar"/>
        </w:rPr>
        <w:t>Y</w:t>
      </w:r>
      <w:r>
        <w:rPr>
          <w:rFonts w:hint="eastAsia" w:ascii="宋体" w:hAnsi="宋体" w:cs="宋体"/>
          <w:color w:val="000000"/>
          <w:kern w:val="0"/>
          <w:szCs w:val="24"/>
          <w:highlight w:val="none"/>
          <w:lang w:bidi="ar"/>
        </w:rPr>
        <w:t>，参见表 4.4.13.2.3-2。</w:t>
      </w:r>
    </w:p>
    <w:p w14:paraId="01A53EC0">
      <w:pPr>
        <w:widowControl/>
        <w:ind w:firstLine="480"/>
        <w:jc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表4.4.12.2.3-2 起重量限制器调试参数表</w:t>
      </w:r>
    </w:p>
    <w:p w14:paraId="7139491A">
      <w:pPr>
        <w:widowControl/>
        <w:ind w:firstLine="0" w:firstLineChars="0"/>
        <w:rPr>
          <w:rFonts w:ascii="宋体" w:hAnsi="宋体" w:cs="宋体"/>
          <w:color w:val="000000"/>
          <w:kern w:val="0"/>
          <w:szCs w:val="24"/>
          <w:highlight w:val="none"/>
          <w:lang w:bidi="ar"/>
        </w:rPr>
      </w:pPr>
      <w:r>
        <w:rPr>
          <w:highlight w:val="none"/>
        </w:rPr>
        <w:drawing>
          <wp:inline distT="0" distB="0" distL="114300" distR="114300">
            <wp:extent cx="5273040" cy="1297305"/>
            <wp:effectExtent l="0" t="0" r="3810" b="17145"/>
            <wp:docPr id="7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0"/>
                    <pic:cNvPicPr>
                      <a:picLocks noChangeAspect="1"/>
                    </pic:cNvPicPr>
                  </pic:nvPicPr>
                  <pic:blipFill>
                    <a:blip r:embed="rId98"/>
                    <a:stretch>
                      <a:fillRect/>
                    </a:stretch>
                  </pic:blipFill>
                  <pic:spPr>
                    <a:xfrm>
                      <a:off x="0" y="0"/>
                      <a:ext cx="5273040" cy="1297305"/>
                    </a:xfrm>
                    <a:prstGeom prst="rect">
                      <a:avLst/>
                    </a:prstGeom>
                    <a:noFill/>
                    <a:ln>
                      <a:noFill/>
                    </a:ln>
                  </pic:spPr>
                </pic:pic>
              </a:graphicData>
            </a:graphic>
          </wp:inline>
        </w:drawing>
      </w:r>
    </w:p>
    <w:p w14:paraId="52362D2D">
      <w:pPr>
        <w:pStyle w:val="10"/>
        <w:bidi w:val="0"/>
        <w:ind w:left="1008" w:leftChars="0" w:hanging="1008" w:firstLineChars="0"/>
        <w:rPr>
          <w:highlight w:val="none"/>
        </w:rPr>
      </w:pPr>
      <w:r>
        <w:rPr>
          <w:rFonts w:hint="eastAsia"/>
          <w:highlight w:val="none"/>
        </w:rPr>
        <w:t xml:space="preserve">小车断绳保护装置 </w:t>
      </w:r>
    </w:p>
    <w:p w14:paraId="401EB705">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该塔机小车上安装了安全锤，作为双向小车变幅断绳保护装置，检验安全锤是否能自由摆动。 </w:t>
      </w:r>
    </w:p>
    <w:p w14:paraId="1DE11B49">
      <w:pPr>
        <w:pStyle w:val="10"/>
        <w:bidi w:val="0"/>
        <w:ind w:left="1008" w:leftChars="0" w:hanging="1008" w:firstLineChars="0"/>
        <w:rPr>
          <w:highlight w:val="none"/>
        </w:rPr>
      </w:pPr>
      <w:r>
        <w:rPr>
          <w:rFonts w:hint="eastAsia"/>
          <w:highlight w:val="none"/>
        </w:rPr>
        <w:t xml:space="preserve">小车防坠落装置 </w:t>
      </w:r>
    </w:p>
    <w:p w14:paraId="6C16C290">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该塔机设置小车防坠落装置，即使车轮失效小车也不脱离臂架坠落，目测观察防坠装置是否存在，连接是否有效。 </w:t>
      </w:r>
    </w:p>
    <w:p w14:paraId="78F9DDD4">
      <w:pPr>
        <w:pStyle w:val="10"/>
        <w:bidi w:val="0"/>
        <w:ind w:left="1008" w:leftChars="0" w:hanging="1008" w:firstLineChars="0"/>
        <w:rPr>
          <w:highlight w:val="none"/>
        </w:rPr>
      </w:pPr>
      <w:r>
        <w:rPr>
          <w:rFonts w:hint="eastAsia"/>
          <w:highlight w:val="none"/>
        </w:rPr>
        <w:t xml:space="preserve">钢丝绳防脱装置 </w:t>
      </w:r>
    </w:p>
    <w:p w14:paraId="5B00F226">
      <w:pPr>
        <w:widowControl/>
        <w:ind w:firstLine="480"/>
        <w:jc w:val="left"/>
        <w:rPr>
          <w:b/>
          <w:bCs/>
          <w:color w:val="FF0000"/>
          <w:kern w:val="44"/>
          <w:sz w:val="28"/>
          <w:szCs w:val="44"/>
          <w:highlight w:val="none"/>
        </w:rPr>
      </w:pPr>
      <w:r>
        <w:rPr>
          <w:rFonts w:hint="eastAsia" w:ascii="宋体" w:hAnsi="宋体" w:cs="宋体"/>
          <w:color w:val="000000"/>
          <w:kern w:val="0"/>
          <w:szCs w:val="24"/>
          <w:highlight w:val="none"/>
          <w:lang w:bidi="ar"/>
        </w:rPr>
        <w:t>该塔机的滑轮、起升卷筒均设有钢丝绳防脱装置，该装置表面与滑轮或卷筒侧板外缘间的间隙不超过钢丝绳直径的 20% ,该装置可能与钢丝绳接触的表面没有棱角，目测检验防脱是否有效。</w:t>
      </w:r>
    </w:p>
    <w:p w14:paraId="3D416EF1">
      <w:pPr>
        <w:pStyle w:val="5"/>
        <w:bidi w:val="0"/>
        <w:ind w:left="0" w:leftChars="0" w:firstLine="0" w:firstLineChars="0"/>
        <w:rPr>
          <w:highlight w:val="none"/>
        </w:rPr>
      </w:pPr>
      <w:r>
        <w:rPr>
          <w:rFonts w:hint="eastAsia"/>
          <w:highlight w:val="none"/>
        </w:rPr>
        <w:t>塔吊顶升加节</w:t>
      </w:r>
    </w:p>
    <w:p w14:paraId="2524C360">
      <w:pPr>
        <w:pStyle w:val="7"/>
        <w:bidi w:val="0"/>
        <w:ind w:left="864" w:leftChars="0" w:hanging="864" w:firstLineChars="0"/>
        <w:rPr>
          <w:highlight w:val="none"/>
        </w:rPr>
      </w:pPr>
      <w:r>
        <w:rPr>
          <w:rFonts w:hint="eastAsia"/>
          <w:highlight w:val="none"/>
        </w:rPr>
        <w:t>顶升前准备工作</w:t>
      </w:r>
    </w:p>
    <w:p w14:paraId="51E2E4B9">
      <w:pPr>
        <w:adjustRightInd w:val="0"/>
        <w:snapToGrid w:val="0"/>
        <w:ind w:firstLine="480"/>
        <w:rPr>
          <w:highlight w:val="none"/>
        </w:rPr>
      </w:pPr>
      <w:r>
        <w:rPr>
          <w:rFonts w:hint="eastAsia"/>
          <w:highlight w:val="none"/>
        </w:rPr>
        <w:t>（1）在地面上，将液压泵站注满液压油后，吊至套架下平台适当位置并接通泵站与油缸连接的油管。</w:t>
      </w:r>
    </w:p>
    <w:p w14:paraId="7613BBB8">
      <w:pPr>
        <w:adjustRightInd w:val="0"/>
        <w:snapToGrid w:val="0"/>
        <w:ind w:firstLine="480"/>
        <w:rPr>
          <w:highlight w:val="none"/>
        </w:rPr>
      </w:pPr>
      <w:r>
        <w:rPr>
          <w:rFonts w:hint="eastAsia"/>
          <w:highlight w:val="none"/>
        </w:rPr>
        <w:t>（</w:t>
      </w:r>
      <w:r>
        <w:rPr>
          <w:highlight w:val="none"/>
        </w:rPr>
        <w:t>2</w:t>
      </w:r>
      <w:r>
        <w:rPr>
          <w:rFonts w:hint="eastAsia"/>
          <w:highlight w:val="none"/>
        </w:rPr>
        <w:t>）清理各个塔身节，并在塔身节连接销轴孔内涂抹黄油，将待安装标准节组装好后放置在起重臂下方排成一排</w:t>
      </w:r>
    </w:p>
    <w:p w14:paraId="073AA4C3">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（3）放松电缆长度使其略大于总的顶升高度，并紧固好电缆。</w:t>
      </w:r>
    </w:p>
    <w:p w14:paraId="5667D4DA">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（4）将起重臂旋转至套架前方，平衡臂处于套架的后方。</w:t>
      </w:r>
    </w:p>
    <w:p w14:paraId="730E15E2">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（5）检查、调试并确认顶升机构工作正确、可靠，保证套架能按塔机爬升规定的程序上升、下降、可靠停止；运行过程中应平稳，无爬行、振动现象。</w:t>
      </w:r>
    </w:p>
    <w:p w14:paraId="58E94FB1">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（6）检查套架支承系统，确保各部分运动灵活，承重可靠。</w:t>
      </w:r>
    </w:p>
    <w:p w14:paraId="4F1260FE">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（7）液压顶升机构应保证安全，溢流阀的调整压力不得大于系统额定工作压力的110%</w:t>
      </w:r>
    </w:p>
    <w:p w14:paraId="4B4D7AD7">
      <w:pPr>
        <w:pStyle w:val="7"/>
        <w:bidi w:val="0"/>
        <w:ind w:left="864" w:leftChars="0" w:hanging="864" w:firstLineChars="0"/>
        <w:rPr>
          <w:highlight w:val="none"/>
        </w:rPr>
      </w:pPr>
      <w:r>
        <w:rPr>
          <w:rFonts w:hint="eastAsia"/>
          <w:highlight w:val="none"/>
        </w:rPr>
        <w:t>顶升规则</w:t>
      </w:r>
    </w:p>
    <w:p w14:paraId="30F9BF76">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（1）顶升前塔机旋转部分必须进行配平。</w:t>
      </w:r>
    </w:p>
    <w:p w14:paraId="36A79131">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（2）塔机最高处风速大于 4级 时，不得进行顶升作业。</w:t>
      </w:r>
    </w:p>
    <w:p w14:paraId="7C4F3C86">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（3）严禁在顶升系统正在顶起或已顶起时进行吊重（上升或下降）。</w:t>
      </w:r>
    </w:p>
    <w:p w14:paraId="7BED7C54">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（4）严禁在顶升系统正在顶起或已顶起时进行小车移动。</w:t>
      </w:r>
    </w:p>
    <w:p w14:paraId="7F244A3E">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（5）顶升过程中必须保证起重臂与引入标准节方向一致，并利用回转机构制动器将起重臂制动住，载重小车必须停在顶升配平位置。</w:t>
      </w:r>
    </w:p>
    <w:p w14:paraId="4D13857D">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（6）塔身与</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安装用临时销轴其直径比标准销轴φ60 稍小，以便容易就位。该销轴仅 用于标准节引进过程中，每节标准节引进完进行下一节标准节引进前，必须用标准销轴取代。在标准销轴安装前，绝对禁止进行吊重操作。</w:t>
      </w:r>
    </w:p>
    <w:p w14:paraId="109B9C71">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（7）若要连续加高几节标准节，则每加完一节后，塔机起吊下一节标准节前，塔身各主弦杆和</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必须有 4 根φ60 销轴连接，唯有在这种情况下，允许用 4 根φ60 销轴。</w:t>
      </w:r>
    </w:p>
    <w:p w14:paraId="514B6FA7">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（8）所加标准节上的踏步，必须与已有标准节对正。</w:t>
      </w:r>
    </w:p>
    <w:p w14:paraId="7274E8DA">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（9）在</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与塔身没有用 8 根φ60 销轴连接好之前，严禁回转、变幅和吊装作业。</w:t>
      </w:r>
    </w:p>
    <w:p w14:paraId="42405D9D">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（10）在顶升过程中，若液压顶升系统出现异常， 应立即停止顶升，收回油缸，将</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落在塔身顶部，并用 8 根φ60 销轴将</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与塔身连接牢靠后， 再排除液压系统的故障。</w:t>
      </w:r>
    </w:p>
    <w:p w14:paraId="2C012558">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（11）顶升结束后，所有标准节之间均是用 8 根φ60 的标准销轴连接，最顶部标准节与</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之间是用 8 根φ60 销轴连接。</w:t>
      </w:r>
    </w:p>
    <w:p w14:paraId="2958DF2A">
      <w:pPr>
        <w:pStyle w:val="7"/>
        <w:bidi w:val="0"/>
        <w:ind w:left="864" w:leftChars="0" w:hanging="864" w:firstLineChars="0"/>
        <w:rPr>
          <w:highlight w:val="none"/>
        </w:rPr>
      </w:pPr>
      <w:r>
        <w:rPr>
          <w:rFonts w:hint="eastAsia"/>
          <w:highlight w:val="none"/>
        </w:rPr>
        <w:t>顶升时的配平</w:t>
      </w:r>
    </w:p>
    <w:p w14:paraId="7E103861">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（1）塔机配平前，必须先吊一节标准节放在</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的引进横梁上（标准节的平台、平台栏杆和爬梯要固定好），钢丝绳挂在标准节的对角吊耳上，再将载重小车吊一节标准节运行到配平参考位置见下表，然后拆除</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 xml:space="preserve"> 4 个支腿与标准节连接的 8 个销轴。</w:t>
      </w:r>
    </w:p>
    <w:p w14:paraId="1E7F5CC4">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（2）将液压顶升系统操纵杆推至“顶升”方向，使套架顶升至</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支腿刚刚脱离塔身的主弦杆的位置。</w:t>
      </w:r>
    </w:p>
    <w:p w14:paraId="1A31E3D8">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（3）通过检验</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支腿与塔身主弦杆是否在一条垂直线上，并观察套架 8 个导轮与塔身主弦杆间隙是否基本相同来检查塔机是否平衡。略微调整载重小车的配平位置，直至平衡。记录实际配平位置，以后顶升或降节时使用。 必须使得塔机上部重心落在顶升油缸梁的位置上。</w:t>
      </w:r>
    </w:p>
    <w:p w14:paraId="2FE1F4A1">
      <w:pPr>
        <w:pStyle w:val="40"/>
        <w:ind w:firstLine="0" w:firstLineChars="0"/>
        <w:jc w:val="both"/>
        <w:rPr>
          <w:highlight w:val="none"/>
        </w:rPr>
      </w:pPr>
      <w:r>
        <w:rPr>
          <w:highlight w:val="none"/>
        </w:rPr>
        <w:drawing>
          <wp:inline distT="0" distB="0" distL="114300" distR="114300">
            <wp:extent cx="5271770" cy="1754505"/>
            <wp:effectExtent l="0" t="0" r="5080" b="17145"/>
            <wp:docPr id="8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3"/>
                    <pic:cNvPicPr>
                      <a:picLocks noChangeAspect="1"/>
                    </pic:cNvPicPr>
                  </pic:nvPicPr>
                  <pic:blipFill>
                    <a:blip r:embed="rId99"/>
                    <a:stretch>
                      <a:fillRect/>
                    </a:stretch>
                  </pic:blipFill>
                  <pic:spPr>
                    <a:xfrm>
                      <a:off x="0" y="0"/>
                      <a:ext cx="5271770" cy="1754505"/>
                    </a:xfrm>
                    <a:prstGeom prst="rect">
                      <a:avLst/>
                    </a:prstGeom>
                    <a:noFill/>
                    <a:ln>
                      <a:noFill/>
                    </a:ln>
                  </pic:spPr>
                </pic:pic>
              </a:graphicData>
            </a:graphic>
          </wp:inline>
        </w:drawing>
      </w:r>
      <w:r>
        <w:rPr>
          <w:highlight w:val="none"/>
        </w:rPr>
        <w:drawing>
          <wp:inline distT="0" distB="0" distL="114300" distR="114300">
            <wp:extent cx="5268595" cy="3385185"/>
            <wp:effectExtent l="0" t="0" r="8255" b="5715"/>
            <wp:docPr id="8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2"/>
                    <pic:cNvPicPr>
                      <a:picLocks noChangeAspect="1"/>
                    </pic:cNvPicPr>
                  </pic:nvPicPr>
                  <pic:blipFill>
                    <a:blip r:embed="rId100"/>
                    <a:stretch>
                      <a:fillRect/>
                    </a:stretch>
                  </pic:blipFill>
                  <pic:spPr>
                    <a:xfrm>
                      <a:off x="0" y="0"/>
                      <a:ext cx="5268595" cy="3385185"/>
                    </a:xfrm>
                    <a:prstGeom prst="rect">
                      <a:avLst/>
                    </a:prstGeom>
                    <a:noFill/>
                    <a:ln>
                      <a:noFill/>
                    </a:ln>
                  </pic:spPr>
                </pic:pic>
              </a:graphicData>
            </a:graphic>
          </wp:inline>
        </w:drawing>
      </w:r>
    </w:p>
    <w:p w14:paraId="0E0E08EE">
      <w:pPr>
        <w:pStyle w:val="40"/>
        <w:ind w:firstLine="280"/>
        <w:jc w:val="center"/>
        <w:rPr>
          <w:highlight w:val="none"/>
        </w:rPr>
      </w:pPr>
      <w:r>
        <w:rPr>
          <w:highlight w:val="none"/>
        </w:rPr>
        <w:drawing>
          <wp:inline distT="0" distB="0" distL="114300" distR="114300">
            <wp:extent cx="5271135" cy="1338580"/>
            <wp:effectExtent l="0" t="0" r="5715" b="13970"/>
            <wp:docPr id="8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1"/>
                    <pic:cNvPicPr>
                      <a:picLocks noChangeAspect="1"/>
                    </pic:cNvPicPr>
                  </pic:nvPicPr>
                  <pic:blipFill>
                    <a:blip r:embed="rId101"/>
                    <a:stretch>
                      <a:fillRect/>
                    </a:stretch>
                  </pic:blipFill>
                  <pic:spPr>
                    <a:xfrm>
                      <a:off x="0" y="0"/>
                      <a:ext cx="5271135" cy="1338580"/>
                    </a:xfrm>
                    <a:prstGeom prst="rect">
                      <a:avLst/>
                    </a:prstGeom>
                    <a:noFill/>
                    <a:ln>
                      <a:noFill/>
                    </a:ln>
                  </pic:spPr>
                </pic:pic>
              </a:graphicData>
            </a:graphic>
          </wp:inline>
        </w:drawing>
      </w:r>
    </w:p>
    <w:p w14:paraId="2085C6A4">
      <w:pPr>
        <w:pStyle w:val="7"/>
        <w:bidi w:val="0"/>
        <w:ind w:left="864" w:leftChars="0" w:hanging="864" w:firstLineChars="0"/>
        <w:rPr>
          <w:highlight w:val="none"/>
        </w:rPr>
      </w:pPr>
      <w:r>
        <w:rPr>
          <w:rFonts w:hint="eastAsia"/>
          <w:highlight w:val="none"/>
        </w:rPr>
        <w:t>顶升作业</w:t>
      </w:r>
    </w:p>
    <w:p w14:paraId="36929946">
      <w:pPr>
        <w:widowControl/>
        <w:ind w:firstLine="720" w:firstLineChars="30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顶升作业为</w:t>
      </w:r>
      <w:r>
        <w:rPr>
          <w:rFonts w:hint="eastAsia" w:ascii="宋体" w:hAnsi="宋体" w:cs="宋体"/>
          <w:color w:val="000000"/>
          <w:kern w:val="0"/>
          <w:szCs w:val="24"/>
          <w:highlight w:val="none"/>
          <w:lang w:val="en-US" w:eastAsia="zh-CN" w:bidi="ar"/>
        </w:rPr>
        <w:t>4</w:t>
      </w:r>
      <w:r>
        <w:rPr>
          <w:rFonts w:hint="eastAsia" w:ascii="宋体" w:hAnsi="宋体" w:cs="宋体"/>
          <w:color w:val="000000"/>
          <w:kern w:val="0"/>
          <w:szCs w:val="24"/>
          <w:highlight w:val="none"/>
          <w:lang w:bidi="ar"/>
        </w:rPr>
        <w:t>人配合作业，</w:t>
      </w:r>
      <w:r>
        <w:rPr>
          <w:rFonts w:hint="eastAsia" w:ascii="宋体" w:hAnsi="宋体" w:cs="宋体"/>
          <w:color w:val="000000"/>
          <w:kern w:val="0"/>
          <w:szCs w:val="24"/>
          <w:highlight w:val="none"/>
          <w:lang w:val="en-US" w:eastAsia="zh-CN" w:bidi="ar"/>
        </w:rPr>
        <w:t>1人位于套架中层靠近平衡臂一侧平台</w:t>
      </w:r>
      <w:r>
        <w:rPr>
          <w:rFonts w:hint="eastAsia" w:ascii="宋体" w:hAnsi="宋体" w:cs="宋体"/>
          <w:color w:val="000000"/>
          <w:kern w:val="0"/>
          <w:szCs w:val="24"/>
          <w:highlight w:val="none"/>
          <w:lang w:bidi="ar"/>
        </w:rPr>
        <w:t>负责操作泵站、</w:t>
      </w:r>
      <w:r>
        <w:rPr>
          <w:rFonts w:hint="eastAsia" w:ascii="宋体" w:hAnsi="宋体" w:cs="宋体"/>
          <w:color w:val="000000"/>
          <w:kern w:val="0"/>
          <w:szCs w:val="24"/>
          <w:highlight w:val="none"/>
          <w:lang w:val="en-US" w:eastAsia="zh-CN" w:bidi="ar"/>
        </w:rPr>
        <w:t>2人位于下层平台进行顶升横梁与踏步连接操作，1人位于中层操作平台进行爬爪操作并在套架顶升过程中观察套架平衡。</w:t>
      </w:r>
    </w:p>
    <w:p w14:paraId="55BE08F2">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（1）按在引进梁上吊挂标准节的方法将一节标准节吊挂在引进梁上，并保证标准节上端面与引进小车下端面的距离在 100～250mm 之间。</w:t>
      </w:r>
    </w:p>
    <w:p w14:paraId="2AD88FDF">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 再吊配平标准节，将载重小车开至顶升平衡位置，塔机处于配平状态。</w:t>
      </w:r>
    </w:p>
    <w:p w14:paraId="0847F735">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 使用回转机构上的回转制动器，将塔机上部机构处于制动状态；</w:t>
      </w:r>
    </w:p>
    <w:p w14:paraId="7C0574B0">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（4）卸下塔身顶部与</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连接的顶升用临时销轴。</w:t>
      </w:r>
    </w:p>
    <w:p w14:paraId="79EA4F89">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（5）开动液压顶升系统，使油缸活塞杆伸出，将顶升横梁两端的止动靴挂在距顶升横梁最近的塔身节踏步上（要设专人负责观察顶升横梁两端止动靴都必须落入踏步圆弧槽内）；</w:t>
      </w:r>
    </w:p>
    <w:p w14:paraId="5EF7C249">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（6）打开套架上止动靴操纵杆，使套架止动靴与塔身分开，继续顶升，将套架及以上部分顶起 0.1~0.5m 时停止。</w:t>
      </w:r>
    </w:p>
    <w:p w14:paraId="3F534BE8">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（7）当液压油缸活塞接近下止点位置时，推动套架止动靴操纵杆使上止动靴挂入踏步上的圆弧槽内，使塔机套架以上部分临时固定在顶升踏步上。</w:t>
      </w:r>
    </w:p>
    <w:p w14:paraId="4FA29A9A">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（8）将顶升横梁上的止动靴从塔身节踏步上脱开。</w:t>
      </w:r>
    </w:p>
    <w:p w14:paraId="4A80FB7E">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（9）液压泵站操纵杆搬向“向下”位置，使顶升横梁收回。在收回的过程中，注意不要使顶升梁与塔身上螺栓或鱼尾板卡住，防止造成事故。</w:t>
      </w:r>
    </w:p>
    <w:p w14:paraId="05AB3171">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（10）当顶升横梁止动靴开口与上一级顶升踏步对齐时，搬动顶升横梁止动靴使其挂入顶升踏步上。</w:t>
      </w:r>
    </w:p>
    <w:p w14:paraId="124C1314">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（11）打开顶升套架上止动靴操纵杆，使套架止动靴与塔身分开，液压泵站操纵杆搬向“向上”位置，继续顶升。</w:t>
      </w:r>
    </w:p>
    <w:p w14:paraId="375D3853">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该过程要重复三次方能形成可将一节标准节放进顶升套架内的空间。</w:t>
      </w:r>
    </w:p>
    <w:p w14:paraId="1D80DBDC">
      <w:pPr>
        <w:pStyle w:val="7"/>
        <w:bidi w:val="0"/>
        <w:ind w:left="864" w:leftChars="0" w:hanging="864" w:firstLineChars="0"/>
        <w:rPr>
          <w:highlight w:val="none"/>
        </w:rPr>
      </w:pPr>
      <w:r>
        <w:rPr>
          <w:rFonts w:hint="eastAsia"/>
          <w:highlight w:val="none"/>
        </w:rPr>
        <w:t>引进标准节作业</w:t>
      </w:r>
    </w:p>
    <w:p w14:paraId="17A6EF4D">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 当顶升第</w:t>
      </w:r>
      <w:r>
        <w:rPr>
          <w:rFonts w:hint="eastAsia" w:ascii="宋体" w:hAnsi="宋体" w:cs="宋体"/>
          <w:color w:val="000000"/>
          <w:kern w:val="0"/>
          <w:szCs w:val="24"/>
          <w:highlight w:val="none"/>
          <w:lang w:val="en-US" w:eastAsia="zh-CN" w:bidi="ar"/>
        </w:rPr>
        <w:t>二</w:t>
      </w:r>
      <w:r>
        <w:rPr>
          <w:rFonts w:hint="eastAsia" w:ascii="宋体" w:hAnsi="宋体" w:cs="宋体"/>
          <w:color w:val="000000"/>
          <w:kern w:val="0"/>
          <w:szCs w:val="24"/>
          <w:highlight w:val="none"/>
          <w:lang w:bidi="ar"/>
        </w:rPr>
        <w:t>循环接近完成、顶升套架内空间可以容纳标准节时，将挂在引进梁上的标准节轻轻推向塔身、引入套架内；</w:t>
      </w:r>
    </w:p>
    <w:p w14:paraId="18CB928C">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 液压泵站操纵杆搬向“向下”位置，引进的标准节下端与塔身原标准节上端鱼尾板对齐相联，打入 8 个标准节联接销轴，并用锁销固定。在联接标准节时注意使两标准节上爬梯对正，上下插接在一起。</w:t>
      </w:r>
    </w:p>
    <w:p w14:paraId="1CE1A56A">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 拆下引进小车上 4 根固定标准节的螺栓，将螺栓装在引进小车吊环内。向外推出引进小车至标准节以外位置；</w:t>
      </w:r>
    </w:p>
    <w:p w14:paraId="338BBA1E">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 继续下降顶升套架使</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 xml:space="preserve"> 4 个支腿落在新安装好的标准节上端鱼尾板内。用顶升套架上附带的四个临时固定销轴将</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与标准节联接起来；</w:t>
      </w:r>
    </w:p>
    <w:p w14:paraId="10D1D700">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 重复上述顶升程序，直到塔机顶升作业完成为止。</w:t>
      </w:r>
    </w:p>
    <w:p w14:paraId="23F82B17">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注意： 在 4 个临时销轴没有安装以前， 塔机不能做任何动作 （包括小车、 起升和回转）。否则有可能造成塔机倾翻的事故。</w:t>
      </w:r>
    </w:p>
    <w:p w14:paraId="7B7599E2">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关于顶升用临时销轴的说明：</w:t>
      </w:r>
    </w:p>
    <w:p w14:paraId="5AC50C91">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为方便顶升作业，配有 4 个临时销轴，此销轴直径比标准节销轴小 2mm 。此销轴只做顶升时联接</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与塔身用， 塔机正式作业时不允许用此销轴替代标准节销轴。</w:t>
      </w:r>
    </w:p>
    <w:p w14:paraId="5E65C63B">
      <w:pPr>
        <w:pStyle w:val="7"/>
        <w:bidi w:val="0"/>
        <w:ind w:left="864" w:leftChars="0" w:hanging="864" w:firstLineChars="0"/>
        <w:rPr>
          <w:highlight w:val="none"/>
        </w:rPr>
      </w:pPr>
      <w:r>
        <w:rPr>
          <w:rFonts w:hint="eastAsia"/>
          <w:highlight w:val="none"/>
        </w:rPr>
        <w:t>顶升过程的注意事项</w:t>
      </w:r>
    </w:p>
    <w:p w14:paraId="73E4C727">
      <w:pPr>
        <w:spacing w:after="120"/>
        <w:ind w:firstLine="480"/>
        <w:rPr>
          <w:highlight w:val="none"/>
        </w:rPr>
      </w:pPr>
      <w:r>
        <w:rPr>
          <w:rFonts w:hint="eastAsia"/>
          <w:highlight w:val="none"/>
        </w:rPr>
        <w:t>（1）塔机最高处风速大于 4级 时，不得进行顶升作业；</w:t>
      </w:r>
    </w:p>
    <w:p w14:paraId="6F74B03F">
      <w:pPr>
        <w:spacing w:after="120"/>
        <w:ind w:firstLine="480"/>
        <w:rPr>
          <w:highlight w:val="none"/>
        </w:rPr>
      </w:pPr>
      <w:r>
        <w:rPr>
          <w:rFonts w:hint="eastAsia"/>
          <w:highlight w:val="none"/>
        </w:rPr>
        <w:t>（2）塔机的爬升机构，其爬升作业时应确保套架上支承在塔身上的受力部位与塔身顶升支承部位应可靠定位和结合。并应及时查看顶升支承部位焊缝情况，若有异常情况应排除后才能继续进行爬升作业。</w:t>
      </w:r>
    </w:p>
    <w:p w14:paraId="700551DB">
      <w:pPr>
        <w:spacing w:after="120"/>
        <w:ind w:firstLine="480"/>
        <w:rPr>
          <w:highlight w:val="none"/>
        </w:rPr>
      </w:pPr>
      <w:r>
        <w:rPr>
          <w:rFonts w:hint="eastAsia"/>
          <w:highlight w:val="none"/>
        </w:rPr>
        <w:t>（3）顶升过程中必须保证起重臂与引入标准节方向一致，并利用回转机构制动器将起重臂制动住，载重小车必须停靠在顶升配平位置；</w:t>
      </w:r>
    </w:p>
    <w:p w14:paraId="00CAA1CC">
      <w:pPr>
        <w:spacing w:after="120"/>
        <w:ind w:firstLine="480"/>
        <w:rPr>
          <w:highlight w:val="none"/>
        </w:rPr>
      </w:pPr>
      <w:r>
        <w:rPr>
          <w:rFonts w:hint="eastAsia"/>
          <w:highlight w:val="none"/>
        </w:rPr>
        <w:t>（4）所加标准节上的踏步，必须与已有塔身节对正；</w:t>
      </w:r>
    </w:p>
    <w:p w14:paraId="76F78D0F">
      <w:pPr>
        <w:spacing w:after="120"/>
        <w:ind w:firstLine="480"/>
        <w:rPr>
          <w:highlight w:val="none"/>
        </w:rPr>
      </w:pPr>
      <w:r>
        <w:rPr>
          <w:rFonts w:hint="eastAsia"/>
          <w:highlight w:val="none"/>
        </w:rPr>
        <w:t>（5）在</w:t>
      </w:r>
      <w:r>
        <w:rPr>
          <w:rFonts w:hint="eastAsia"/>
          <w:highlight w:val="none"/>
          <w:lang w:eastAsia="zh-CN"/>
        </w:rPr>
        <w:t>特殊节</w:t>
      </w:r>
      <w:r>
        <w:rPr>
          <w:rFonts w:hint="eastAsia"/>
          <w:highlight w:val="none"/>
        </w:rPr>
        <w:t>与塔身没有用销轴连接好之前，严禁起重臂回转、载重小车变幅和吊装作业；</w:t>
      </w:r>
    </w:p>
    <w:p w14:paraId="5BD509F2">
      <w:pPr>
        <w:spacing w:after="120"/>
        <w:ind w:firstLine="480"/>
        <w:rPr>
          <w:highlight w:val="none"/>
        </w:rPr>
      </w:pPr>
      <w:r>
        <w:rPr>
          <w:rFonts w:hint="eastAsia"/>
          <w:highlight w:val="none"/>
        </w:rPr>
        <w:t>（6）在顶升过程中，若液压顶升系统出现异常，应立即停止顶升，收回油缸，将</w:t>
      </w:r>
      <w:r>
        <w:rPr>
          <w:rFonts w:hint="eastAsia"/>
          <w:highlight w:val="none"/>
          <w:lang w:eastAsia="zh-CN"/>
        </w:rPr>
        <w:t>特殊节</w:t>
      </w:r>
      <w:r>
        <w:rPr>
          <w:rFonts w:hint="eastAsia"/>
          <w:highlight w:val="none"/>
        </w:rPr>
        <w:t>落在塔身顶部，并用 8 个销轴将</w:t>
      </w:r>
      <w:r>
        <w:rPr>
          <w:rFonts w:hint="eastAsia"/>
          <w:highlight w:val="none"/>
          <w:lang w:eastAsia="zh-CN"/>
        </w:rPr>
        <w:t>特殊节</w:t>
      </w:r>
      <w:r>
        <w:rPr>
          <w:rFonts w:hint="eastAsia"/>
          <w:highlight w:val="none"/>
        </w:rPr>
        <w:t>与塔身连接牢靠后，再排除液压系统的故障；</w:t>
      </w:r>
    </w:p>
    <w:p w14:paraId="73FA46A9">
      <w:pPr>
        <w:pStyle w:val="7"/>
        <w:bidi w:val="0"/>
        <w:ind w:left="864" w:leftChars="0" w:hanging="864" w:firstLineChars="0"/>
        <w:rPr>
          <w:highlight w:val="none"/>
        </w:rPr>
      </w:pPr>
      <w:r>
        <w:rPr>
          <w:rFonts w:hint="eastAsia"/>
          <w:highlight w:val="none"/>
        </w:rPr>
        <w:t>顶升作业完成后注意事项</w:t>
      </w:r>
    </w:p>
    <w:p w14:paraId="478A03D2">
      <w:pPr>
        <w:numPr>
          <w:ilvl w:val="0"/>
          <w:numId w:val="26"/>
        </w:numPr>
        <w:spacing w:after="120"/>
        <w:ind w:left="454" w:leftChars="0" w:hanging="454" w:firstLineChars="0"/>
        <w:rPr>
          <w:highlight w:val="none"/>
        </w:rPr>
      </w:pPr>
      <w:r>
        <w:rPr>
          <w:rFonts w:hint="eastAsia"/>
          <w:highlight w:val="none"/>
        </w:rPr>
        <w:t>引进小车不要放在塔身内；</w:t>
      </w:r>
    </w:p>
    <w:p w14:paraId="28E13B00">
      <w:pPr>
        <w:numPr>
          <w:ilvl w:val="0"/>
          <w:numId w:val="26"/>
        </w:numPr>
        <w:spacing w:after="120"/>
        <w:ind w:left="454" w:leftChars="0" w:hanging="454" w:firstLineChars="0"/>
        <w:rPr>
          <w:highlight w:val="none"/>
        </w:rPr>
      </w:pPr>
      <w:r>
        <w:rPr>
          <w:rFonts w:hint="eastAsia"/>
          <w:highlight w:val="none"/>
        </w:rPr>
        <w:t>必要时可以放下引进梁；</w:t>
      </w:r>
    </w:p>
    <w:p w14:paraId="1BC26C27">
      <w:pPr>
        <w:numPr>
          <w:ilvl w:val="0"/>
          <w:numId w:val="26"/>
        </w:numPr>
        <w:spacing w:after="120"/>
        <w:ind w:left="454" w:leftChars="0" w:hanging="454" w:firstLineChars="0"/>
        <w:rPr>
          <w:highlight w:val="none"/>
        </w:rPr>
      </w:pPr>
      <w:r>
        <w:rPr>
          <w:rFonts w:hint="eastAsia"/>
          <w:highlight w:val="none"/>
          <w:lang w:val="en-US" w:eastAsia="zh-CN"/>
        </w:rPr>
        <w:t>特殊节</w:t>
      </w:r>
      <w:r>
        <w:rPr>
          <w:rFonts w:hint="eastAsia"/>
          <w:highlight w:val="none"/>
        </w:rPr>
        <w:t>与塔身必须用 8 个标准节销轴联接好并用锁销固定；</w:t>
      </w:r>
    </w:p>
    <w:p w14:paraId="0B333458">
      <w:pPr>
        <w:numPr>
          <w:ilvl w:val="0"/>
          <w:numId w:val="26"/>
        </w:numPr>
        <w:spacing w:after="120"/>
        <w:ind w:left="454" w:leftChars="0" w:hanging="454" w:firstLineChars="0"/>
        <w:rPr>
          <w:highlight w:val="none"/>
        </w:rPr>
      </w:pPr>
      <w:r>
        <w:rPr>
          <w:rFonts w:hint="eastAsia"/>
          <w:highlight w:val="none"/>
        </w:rPr>
        <w:t>顶升梁必须轻挂在最后一级顶升踏步上，注意要使液压油缸卸荷；</w:t>
      </w:r>
    </w:p>
    <w:p w14:paraId="19CB8489">
      <w:pPr>
        <w:numPr>
          <w:ilvl w:val="0"/>
          <w:numId w:val="26"/>
        </w:numPr>
        <w:spacing w:after="120"/>
        <w:ind w:left="454" w:leftChars="0" w:hanging="454" w:firstLineChars="0"/>
        <w:rPr>
          <w:highlight w:val="none"/>
        </w:rPr>
      </w:pPr>
      <w:r>
        <w:rPr>
          <w:rFonts w:hint="eastAsia"/>
          <w:highlight w:val="none"/>
        </w:rPr>
        <w:t>拆掉液压泵站的电源线，整理好塔机电源随线；</w:t>
      </w:r>
    </w:p>
    <w:p w14:paraId="49D7502B">
      <w:pPr>
        <w:pStyle w:val="5"/>
        <w:bidi w:val="0"/>
        <w:ind w:left="0" w:leftChars="0" w:firstLine="0" w:firstLineChars="0"/>
        <w:rPr>
          <w:highlight w:val="none"/>
        </w:rPr>
      </w:pPr>
      <w:r>
        <w:rPr>
          <w:highlight w:val="none"/>
        </w:rPr>
        <w:t>塔机附着</w:t>
      </w:r>
    </w:p>
    <w:p w14:paraId="3A5A0056">
      <w:pPr>
        <w:pStyle w:val="7"/>
        <w:bidi w:val="0"/>
        <w:ind w:left="0" w:leftChars="0" w:firstLine="0" w:firstLineChars="0"/>
        <w:rPr>
          <w:highlight w:val="none"/>
        </w:rPr>
      </w:pPr>
      <w:r>
        <w:rPr>
          <w:rFonts w:hint="eastAsia"/>
          <w:highlight w:val="none"/>
        </w:rPr>
        <w:t>塔吊附着布置</w:t>
      </w:r>
    </w:p>
    <w:p w14:paraId="02D443F2">
      <w:pPr>
        <w:ind w:firstLine="480"/>
        <w:rPr>
          <w:color w:val="000000"/>
          <w:highlight w:val="none"/>
        </w:rPr>
      </w:pPr>
      <w:r>
        <w:rPr>
          <w:rFonts w:hint="eastAsia"/>
          <w:color w:val="000000"/>
          <w:highlight w:val="none"/>
        </w:rPr>
        <w:t>3#塔机预埋构件数量见表</w:t>
      </w:r>
      <w:r>
        <w:rPr>
          <w:rFonts w:hint="eastAsia"/>
          <w:color w:val="000000"/>
          <w:highlight w:val="none"/>
          <w:lang w:eastAsia="zh-CN"/>
        </w:rPr>
        <w:t>4.4.14</w:t>
      </w:r>
      <w:r>
        <w:rPr>
          <w:rFonts w:hint="eastAsia"/>
          <w:color w:val="000000"/>
          <w:highlight w:val="none"/>
        </w:rPr>
        <w:t>-1。</w:t>
      </w:r>
    </w:p>
    <w:p w14:paraId="5D614CDA">
      <w:pPr>
        <w:pStyle w:val="335"/>
        <w:rPr>
          <w:rFonts w:hint="default"/>
          <w:highlight w:val="none"/>
        </w:rPr>
      </w:pPr>
      <w:r>
        <w:rPr>
          <w:highlight w:val="none"/>
        </w:rPr>
        <w:t xml:space="preserve">表 </w:t>
      </w:r>
      <w:r>
        <w:rPr>
          <w:rFonts w:hint="eastAsia"/>
          <w:highlight w:val="none"/>
          <w:lang w:val="en-US" w:eastAsia="zh-CN"/>
        </w:rPr>
        <w:t>4.4.14</w:t>
      </w:r>
      <w:r>
        <w:rPr>
          <w:highlight w:val="none"/>
        </w:rPr>
        <w:noBreakHyphen/>
      </w:r>
      <w:r>
        <w:rPr>
          <w:highlight w:val="none"/>
        </w:rPr>
        <w:t>1 3#塔机预埋构件清单</w:t>
      </w:r>
    </w:p>
    <w:tbl>
      <w:tblPr>
        <w:tblStyle w:val="45"/>
        <w:tblW w:w="51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708"/>
        <w:gridCol w:w="1669"/>
        <w:gridCol w:w="1031"/>
      </w:tblGrid>
      <w:tr w14:paraId="7949F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0" w:type="dxa"/>
          </w:tcPr>
          <w:p w14:paraId="25469285">
            <w:pPr>
              <w:pStyle w:val="139"/>
              <w:ind w:firstLine="0" w:firstLineChars="0"/>
              <w:rPr>
                <w:rFonts w:ascii="宋体" w:hAnsi="宋体" w:cs="宋体"/>
                <w:sz w:val="22"/>
                <w:highlight w:val="none"/>
              </w:rPr>
            </w:pPr>
            <w:r>
              <w:rPr>
                <w:rFonts w:hint="eastAsia" w:cs="宋体"/>
                <w:sz w:val="22"/>
                <w:highlight w:val="none"/>
              </w:rPr>
              <w:t>序号</w:t>
            </w:r>
          </w:p>
        </w:tc>
        <w:tc>
          <w:tcPr>
            <w:tcW w:w="1708" w:type="dxa"/>
          </w:tcPr>
          <w:p w14:paraId="05D87F7B">
            <w:pPr>
              <w:pStyle w:val="139"/>
              <w:ind w:firstLine="0" w:firstLineChars="0"/>
              <w:rPr>
                <w:rFonts w:ascii="宋体" w:hAnsi="宋体" w:cs="宋体"/>
                <w:sz w:val="22"/>
                <w:highlight w:val="none"/>
              </w:rPr>
            </w:pPr>
            <w:r>
              <w:rPr>
                <w:rFonts w:hint="eastAsia" w:cs="宋体"/>
                <w:sz w:val="22"/>
                <w:highlight w:val="none"/>
              </w:rPr>
              <w:t>安装位置</w:t>
            </w:r>
          </w:p>
        </w:tc>
        <w:tc>
          <w:tcPr>
            <w:tcW w:w="1669" w:type="dxa"/>
          </w:tcPr>
          <w:p w14:paraId="55A27572">
            <w:pPr>
              <w:pStyle w:val="139"/>
              <w:ind w:firstLine="0" w:firstLineChars="0"/>
              <w:rPr>
                <w:rFonts w:ascii="宋体" w:hAnsi="宋体" w:cs="宋体"/>
                <w:sz w:val="22"/>
                <w:highlight w:val="none"/>
              </w:rPr>
            </w:pPr>
            <w:r>
              <w:rPr>
                <w:rFonts w:hint="eastAsia" w:cs="宋体"/>
                <w:sz w:val="22"/>
                <w:highlight w:val="none"/>
              </w:rPr>
              <w:t>预埋构件数量</w:t>
            </w:r>
          </w:p>
        </w:tc>
        <w:tc>
          <w:tcPr>
            <w:tcW w:w="1031" w:type="dxa"/>
          </w:tcPr>
          <w:p w14:paraId="2DBC02F5">
            <w:pPr>
              <w:pStyle w:val="139"/>
              <w:ind w:firstLine="0" w:firstLineChars="0"/>
              <w:rPr>
                <w:rFonts w:cs="宋体"/>
                <w:sz w:val="22"/>
                <w:highlight w:val="none"/>
              </w:rPr>
            </w:pPr>
            <w:r>
              <w:rPr>
                <w:rFonts w:hint="eastAsia" w:cs="宋体"/>
                <w:sz w:val="22"/>
                <w:highlight w:val="none"/>
              </w:rPr>
              <w:t>型号</w:t>
            </w:r>
          </w:p>
        </w:tc>
      </w:tr>
      <w:tr w14:paraId="56572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0" w:type="dxa"/>
          </w:tcPr>
          <w:p w14:paraId="15A6F6F3">
            <w:pPr>
              <w:pStyle w:val="139"/>
              <w:ind w:firstLine="0" w:firstLineChars="0"/>
              <w:rPr>
                <w:rFonts w:cs="宋体"/>
                <w:sz w:val="22"/>
                <w:highlight w:val="none"/>
              </w:rPr>
            </w:pPr>
            <w:r>
              <w:rPr>
                <w:rFonts w:hint="eastAsia" w:cs="宋体"/>
                <w:sz w:val="22"/>
                <w:highlight w:val="none"/>
              </w:rPr>
              <w:t>1</w:t>
            </w:r>
          </w:p>
        </w:tc>
        <w:tc>
          <w:tcPr>
            <w:tcW w:w="1708" w:type="dxa"/>
          </w:tcPr>
          <w:p w14:paraId="46EF3A29">
            <w:pPr>
              <w:pStyle w:val="139"/>
              <w:ind w:firstLine="0" w:firstLineChars="0"/>
              <w:rPr>
                <w:rFonts w:cs="宋体"/>
                <w:sz w:val="22"/>
                <w:highlight w:val="none"/>
              </w:rPr>
            </w:pPr>
            <w:r>
              <w:rPr>
                <w:rFonts w:hint="eastAsia" w:cs="宋体"/>
                <w:sz w:val="22"/>
                <w:highlight w:val="none"/>
              </w:rPr>
              <w:t>西主塔3#塔吊</w:t>
            </w:r>
          </w:p>
        </w:tc>
        <w:tc>
          <w:tcPr>
            <w:tcW w:w="1669" w:type="dxa"/>
          </w:tcPr>
          <w:p w14:paraId="5F8167CF">
            <w:pPr>
              <w:pStyle w:val="139"/>
              <w:ind w:firstLine="0" w:firstLineChars="0"/>
              <w:rPr>
                <w:rFonts w:cs="宋体"/>
                <w:sz w:val="22"/>
                <w:highlight w:val="none"/>
              </w:rPr>
            </w:pPr>
            <w:r>
              <w:rPr>
                <w:rFonts w:hint="eastAsia" w:cs="宋体"/>
                <w:sz w:val="22"/>
                <w:highlight w:val="none"/>
              </w:rPr>
              <w:t>166</w:t>
            </w:r>
          </w:p>
        </w:tc>
        <w:tc>
          <w:tcPr>
            <w:tcW w:w="1031" w:type="dxa"/>
          </w:tcPr>
          <w:p w14:paraId="47F0CFF7">
            <w:pPr>
              <w:pStyle w:val="139"/>
              <w:ind w:firstLine="0" w:firstLineChars="0"/>
              <w:rPr>
                <w:rFonts w:cs="宋体"/>
                <w:sz w:val="22"/>
                <w:highlight w:val="none"/>
              </w:rPr>
            </w:pPr>
            <w:r>
              <w:rPr>
                <w:rFonts w:hint="eastAsia" w:cs="宋体"/>
                <w:sz w:val="22"/>
                <w:highlight w:val="none"/>
              </w:rPr>
              <w:t>M30</w:t>
            </w:r>
          </w:p>
        </w:tc>
      </w:tr>
    </w:tbl>
    <w:p w14:paraId="523BA400">
      <w:pPr>
        <w:ind w:firstLine="0" w:firstLineChars="0"/>
        <w:rPr>
          <w:color w:val="000000"/>
          <w:highlight w:val="none"/>
        </w:rPr>
      </w:pPr>
    </w:p>
    <w:p w14:paraId="7AC57CD0">
      <w:pPr>
        <w:ind w:firstLine="480"/>
        <w:rPr>
          <w:rFonts w:ascii="Times New Roman" w:hAnsi="Times New Roman"/>
          <w:color w:val="000000"/>
          <w:highlight w:val="none"/>
        </w:rPr>
      </w:pPr>
      <w:r>
        <w:rPr>
          <w:rFonts w:hint="eastAsia"/>
          <w:color w:val="000000"/>
          <w:highlight w:val="none"/>
        </w:rPr>
        <w:t>3#塔机设置5道附着，附着平面布置见下图所示。</w:t>
      </w:r>
    </w:p>
    <w:p w14:paraId="17EDAEE8">
      <w:pPr>
        <w:pStyle w:val="17"/>
        <w:ind w:left="0" w:firstLine="0" w:firstLineChars="0"/>
        <w:jc w:val="center"/>
        <w:rPr>
          <w:rFonts w:hint="default" w:ascii="Times New Roman" w:hAnsi="Times New Roman" w:eastAsia="宋体"/>
          <w:color w:val="000000"/>
          <w:highlight w:val="none"/>
        </w:rPr>
      </w:pPr>
      <w:r>
        <w:rPr>
          <w:highlight w:val="none"/>
        </w:rPr>
        <w:drawing>
          <wp:inline distT="0" distB="0" distL="114300" distR="114300">
            <wp:extent cx="4211955" cy="3126740"/>
            <wp:effectExtent l="0" t="0" r="17145" b="1651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102"/>
                    <a:stretch>
                      <a:fillRect/>
                    </a:stretch>
                  </pic:blipFill>
                  <pic:spPr>
                    <a:xfrm>
                      <a:off x="0" y="0"/>
                      <a:ext cx="4211955" cy="3126740"/>
                    </a:xfrm>
                    <a:prstGeom prst="rect">
                      <a:avLst/>
                    </a:prstGeom>
                    <a:noFill/>
                    <a:ln>
                      <a:noFill/>
                    </a:ln>
                  </pic:spPr>
                </pic:pic>
              </a:graphicData>
            </a:graphic>
          </wp:inline>
        </w:drawing>
      </w:r>
      <w:r>
        <w:rPr>
          <w:highlight w:val="none"/>
        </w:rPr>
        <w:drawing>
          <wp:inline distT="0" distB="0" distL="114300" distR="114300">
            <wp:extent cx="4933950" cy="3646170"/>
            <wp:effectExtent l="0" t="0" r="0" b="11430"/>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103"/>
                    <a:stretch>
                      <a:fillRect/>
                    </a:stretch>
                  </pic:blipFill>
                  <pic:spPr>
                    <a:xfrm>
                      <a:off x="0" y="0"/>
                      <a:ext cx="4933950" cy="3646170"/>
                    </a:xfrm>
                    <a:prstGeom prst="rect">
                      <a:avLst/>
                    </a:prstGeom>
                    <a:noFill/>
                    <a:ln>
                      <a:noFill/>
                    </a:ln>
                  </pic:spPr>
                </pic:pic>
              </a:graphicData>
            </a:graphic>
          </wp:inline>
        </w:drawing>
      </w:r>
    </w:p>
    <w:p w14:paraId="7D3DCC75">
      <w:pPr>
        <w:ind w:firstLine="480"/>
        <w:jc w:val="center"/>
        <w:rPr>
          <w:color w:val="000000"/>
          <w:highlight w:val="none"/>
        </w:rPr>
      </w:pPr>
      <w:r>
        <w:rPr>
          <w:rFonts w:hint="eastAsia"/>
          <w:color w:val="000000"/>
          <w:highlight w:val="none"/>
        </w:rPr>
        <w:t xml:space="preserve">图 </w:t>
      </w:r>
      <w:r>
        <w:rPr>
          <w:rFonts w:hint="eastAsia"/>
          <w:color w:val="000000"/>
          <w:highlight w:val="none"/>
          <w:lang w:eastAsia="zh-CN"/>
        </w:rPr>
        <w:t>4.4.14</w:t>
      </w:r>
      <w:r>
        <w:rPr>
          <w:rFonts w:hint="eastAsia"/>
          <w:color w:val="000000"/>
          <w:highlight w:val="none"/>
        </w:rPr>
        <w:noBreakHyphen/>
      </w:r>
      <w:r>
        <w:rPr>
          <w:rFonts w:hint="eastAsia"/>
          <w:color w:val="000000"/>
          <w:highlight w:val="none"/>
        </w:rPr>
        <w:t>1 3#塔机第一，二道附着平面布置图</w:t>
      </w:r>
    </w:p>
    <w:p w14:paraId="6789616C">
      <w:pPr>
        <w:ind w:firstLine="0" w:firstLineChars="0"/>
        <w:jc w:val="center"/>
        <w:rPr>
          <w:b/>
          <w:color w:val="000000"/>
          <w:sz w:val="21"/>
          <w:szCs w:val="20"/>
          <w:highlight w:val="none"/>
        </w:rPr>
      </w:pPr>
      <w:r>
        <w:rPr>
          <w:highlight w:val="none"/>
        </w:rPr>
        <w:drawing>
          <wp:inline distT="0" distB="0" distL="114300" distR="114300">
            <wp:extent cx="5269230" cy="3846195"/>
            <wp:effectExtent l="0" t="0" r="7620" b="190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104"/>
                    <a:stretch>
                      <a:fillRect/>
                    </a:stretch>
                  </pic:blipFill>
                  <pic:spPr>
                    <a:xfrm>
                      <a:off x="0" y="0"/>
                      <a:ext cx="5269230" cy="3846195"/>
                    </a:xfrm>
                    <a:prstGeom prst="rect">
                      <a:avLst/>
                    </a:prstGeom>
                    <a:noFill/>
                    <a:ln>
                      <a:noFill/>
                    </a:ln>
                  </pic:spPr>
                </pic:pic>
              </a:graphicData>
            </a:graphic>
          </wp:inline>
        </w:drawing>
      </w:r>
      <w:r>
        <w:rPr>
          <w:highlight w:val="none"/>
        </w:rPr>
        <w:drawing>
          <wp:inline distT="0" distB="0" distL="114300" distR="114300">
            <wp:extent cx="5266690" cy="3637915"/>
            <wp:effectExtent l="0" t="0" r="10160" b="635"/>
            <wp:docPr id="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
                    <pic:cNvPicPr>
                      <a:picLocks noChangeAspect="1"/>
                    </pic:cNvPicPr>
                  </pic:nvPicPr>
                  <pic:blipFill>
                    <a:blip r:embed="rId105"/>
                    <a:stretch>
                      <a:fillRect/>
                    </a:stretch>
                  </pic:blipFill>
                  <pic:spPr>
                    <a:xfrm>
                      <a:off x="0" y="0"/>
                      <a:ext cx="5266690" cy="3637915"/>
                    </a:xfrm>
                    <a:prstGeom prst="rect">
                      <a:avLst/>
                    </a:prstGeom>
                    <a:noFill/>
                    <a:ln>
                      <a:noFill/>
                    </a:ln>
                  </pic:spPr>
                </pic:pic>
              </a:graphicData>
            </a:graphic>
          </wp:inline>
        </w:drawing>
      </w:r>
    </w:p>
    <w:p w14:paraId="66AEA9E5">
      <w:pPr>
        <w:ind w:firstLine="480"/>
        <w:jc w:val="center"/>
        <w:rPr>
          <w:color w:val="000000"/>
          <w:highlight w:val="none"/>
        </w:rPr>
      </w:pPr>
      <w:r>
        <w:rPr>
          <w:rFonts w:hint="eastAsia"/>
          <w:color w:val="000000"/>
          <w:highlight w:val="none"/>
        </w:rPr>
        <w:t xml:space="preserve">图 </w:t>
      </w:r>
      <w:r>
        <w:rPr>
          <w:rFonts w:hint="eastAsia"/>
          <w:color w:val="000000"/>
          <w:highlight w:val="none"/>
          <w:lang w:eastAsia="zh-CN"/>
        </w:rPr>
        <w:t>4.4.14</w:t>
      </w:r>
      <w:r>
        <w:rPr>
          <w:rFonts w:hint="eastAsia"/>
          <w:color w:val="000000"/>
          <w:highlight w:val="none"/>
        </w:rPr>
        <w:noBreakHyphen/>
      </w:r>
      <w:r>
        <w:rPr>
          <w:rFonts w:hint="eastAsia"/>
          <w:color w:val="000000"/>
          <w:highlight w:val="none"/>
        </w:rPr>
        <w:t>2 3#塔机第三，四道附着平面布置图</w:t>
      </w:r>
    </w:p>
    <w:p w14:paraId="7908281F">
      <w:pPr>
        <w:spacing w:line="240" w:lineRule="auto"/>
        <w:ind w:firstLine="0" w:firstLineChars="0"/>
        <w:jc w:val="center"/>
        <w:rPr>
          <w:b/>
          <w:color w:val="000000"/>
          <w:sz w:val="21"/>
          <w:szCs w:val="20"/>
          <w:highlight w:val="none"/>
        </w:rPr>
      </w:pPr>
    </w:p>
    <w:p w14:paraId="45C75B58">
      <w:pPr>
        <w:spacing w:line="240" w:lineRule="auto"/>
        <w:ind w:firstLine="0" w:firstLineChars="0"/>
        <w:jc w:val="center"/>
        <w:rPr>
          <w:b/>
          <w:color w:val="000000"/>
          <w:sz w:val="21"/>
          <w:szCs w:val="20"/>
          <w:highlight w:val="none"/>
        </w:rPr>
      </w:pPr>
    </w:p>
    <w:p w14:paraId="5445235A">
      <w:pPr>
        <w:spacing w:line="240" w:lineRule="auto"/>
        <w:ind w:firstLine="0" w:firstLineChars="0"/>
        <w:jc w:val="center"/>
        <w:rPr>
          <w:b/>
          <w:color w:val="000000"/>
          <w:sz w:val="21"/>
          <w:szCs w:val="20"/>
          <w:highlight w:val="none"/>
        </w:rPr>
      </w:pPr>
    </w:p>
    <w:p w14:paraId="1457B253">
      <w:pPr>
        <w:ind w:left="0" w:leftChars="0" w:firstLine="0" w:firstLineChars="0"/>
        <w:jc w:val="center"/>
        <w:rPr>
          <w:highlight w:val="none"/>
        </w:rPr>
      </w:pPr>
      <w:r>
        <w:rPr>
          <w:highlight w:val="none"/>
        </w:rPr>
        <w:drawing>
          <wp:inline distT="0" distB="0" distL="114300" distR="114300">
            <wp:extent cx="4803140" cy="3239135"/>
            <wp:effectExtent l="0" t="0" r="16510" b="18415"/>
            <wp:docPr id="8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3"/>
                    <pic:cNvPicPr>
                      <a:picLocks noChangeAspect="1"/>
                    </pic:cNvPicPr>
                  </pic:nvPicPr>
                  <pic:blipFill>
                    <a:blip r:embed="rId106"/>
                    <a:stretch>
                      <a:fillRect/>
                    </a:stretch>
                  </pic:blipFill>
                  <pic:spPr>
                    <a:xfrm>
                      <a:off x="0" y="0"/>
                      <a:ext cx="4803140" cy="3239135"/>
                    </a:xfrm>
                    <a:prstGeom prst="rect">
                      <a:avLst/>
                    </a:prstGeom>
                    <a:noFill/>
                    <a:ln>
                      <a:noFill/>
                    </a:ln>
                  </pic:spPr>
                </pic:pic>
              </a:graphicData>
            </a:graphic>
          </wp:inline>
        </w:drawing>
      </w:r>
    </w:p>
    <w:p w14:paraId="4EA141BB">
      <w:pPr>
        <w:ind w:left="0" w:leftChars="0" w:firstLine="0" w:firstLineChars="0"/>
        <w:jc w:val="center"/>
        <w:rPr>
          <w:color w:val="000000"/>
          <w:highlight w:val="none"/>
        </w:rPr>
      </w:pPr>
      <w:r>
        <w:rPr>
          <w:rFonts w:hint="eastAsia"/>
          <w:color w:val="000000"/>
          <w:highlight w:val="none"/>
        </w:rPr>
        <w:t xml:space="preserve">图 </w:t>
      </w:r>
      <w:r>
        <w:rPr>
          <w:rFonts w:hint="eastAsia"/>
          <w:color w:val="000000"/>
          <w:highlight w:val="none"/>
          <w:lang w:eastAsia="zh-CN"/>
        </w:rPr>
        <w:t>4.4.14</w:t>
      </w:r>
      <w:r>
        <w:rPr>
          <w:rFonts w:hint="eastAsia"/>
          <w:color w:val="000000"/>
          <w:highlight w:val="none"/>
        </w:rPr>
        <w:noBreakHyphen/>
      </w:r>
      <w:r>
        <w:rPr>
          <w:rFonts w:hint="eastAsia"/>
          <w:color w:val="000000"/>
          <w:highlight w:val="none"/>
        </w:rPr>
        <w:t>3 3#塔机第五道附着平面布置图</w:t>
      </w:r>
    </w:p>
    <w:p w14:paraId="4E070BFC">
      <w:pPr>
        <w:ind w:firstLine="480"/>
        <w:jc w:val="center"/>
        <w:rPr>
          <w:rFonts w:hint="eastAsia" w:eastAsia="宋体"/>
          <w:color w:val="000000"/>
          <w:highlight w:val="none"/>
          <w:lang w:eastAsia="zh-CN"/>
        </w:rPr>
      </w:pPr>
      <w:r>
        <w:rPr>
          <w:rFonts w:hint="eastAsia" w:eastAsia="宋体"/>
          <w:highlight w:val="none"/>
          <w:lang w:eastAsia="zh-CN"/>
        </w:rPr>
        <w:drawing>
          <wp:inline distT="0" distB="0" distL="114300" distR="114300">
            <wp:extent cx="4267835" cy="7832090"/>
            <wp:effectExtent l="0" t="0" r="18415" b="16510"/>
            <wp:docPr id="120" name="图片 120" descr="西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西_00"/>
                    <pic:cNvPicPr>
                      <a:picLocks noChangeAspect="1"/>
                    </pic:cNvPicPr>
                  </pic:nvPicPr>
                  <pic:blipFill>
                    <a:blip r:embed="rId45"/>
                    <a:srcRect l="10517" t="4566" r="18263" b="3007"/>
                    <a:stretch>
                      <a:fillRect/>
                    </a:stretch>
                  </pic:blipFill>
                  <pic:spPr>
                    <a:xfrm>
                      <a:off x="0" y="0"/>
                      <a:ext cx="4267835" cy="7832090"/>
                    </a:xfrm>
                    <a:prstGeom prst="rect">
                      <a:avLst/>
                    </a:prstGeom>
                  </pic:spPr>
                </pic:pic>
              </a:graphicData>
            </a:graphic>
          </wp:inline>
        </w:drawing>
      </w:r>
    </w:p>
    <w:p w14:paraId="74F4937A">
      <w:pPr>
        <w:ind w:firstLine="480"/>
        <w:jc w:val="center"/>
        <w:rPr>
          <w:color w:val="000000"/>
          <w:highlight w:val="none"/>
        </w:rPr>
      </w:pPr>
      <w:r>
        <w:rPr>
          <w:rFonts w:hint="eastAsia"/>
          <w:color w:val="000000"/>
          <w:highlight w:val="none"/>
        </w:rPr>
        <w:t xml:space="preserve">图 </w:t>
      </w:r>
      <w:r>
        <w:rPr>
          <w:rFonts w:hint="eastAsia"/>
          <w:color w:val="000000"/>
          <w:highlight w:val="none"/>
          <w:lang w:eastAsia="zh-CN"/>
        </w:rPr>
        <w:t>4.4.14</w:t>
      </w:r>
      <w:r>
        <w:rPr>
          <w:rFonts w:hint="eastAsia"/>
          <w:color w:val="000000"/>
          <w:highlight w:val="none"/>
        </w:rPr>
        <w:noBreakHyphen/>
      </w:r>
      <w:r>
        <w:rPr>
          <w:rFonts w:hint="eastAsia"/>
          <w:color w:val="000000"/>
          <w:highlight w:val="none"/>
        </w:rPr>
        <w:t>4 3#塔机附着立面布置图</w:t>
      </w:r>
    </w:p>
    <w:p w14:paraId="708CCEC7">
      <w:pPr>
        <w:pStyle w:val="40"/>
        <w:ind w:firstLine="280"/>
        <w:jc w:val="center"/>
        <w:rPr>
          <w:highlight w:val="none"/>
        </w:rPr>
      </w:pPr>
    </w:p>
    <w:p w14:paraId="0180AEE7">
      <w:pPr>
        <w:pStyle w:val="7"/>
        <w:bidi w:val="0"/>
        <w:ind w:left="0" w:leftChars="0" w:firstLine="0" w:firstLineChars="0"/>
        <w:rPr>
          <w:highlight w:val="none"/>
        </w:rPr>
      </w:pPr>
      <w:r>
        <w:rPr>
          <w:highlight w:val="none"/>
        </w:rPr>
        <w:t>附着安装</w:t>
      </w:r>
      <w:r>
        <w:rPr>
          <w:rFonts w:hint="eastAsia"/>
          <w:highlight w:val="none"/>
        </w:rPr>
        <w:t>操作平台</w:t>
      </w:r>
    </w:p>
    <w:p w14:paraId="0AC5D1BD">
      <w:pPr>
        <w:keepNext/>
        <w:keepLines/>
        <w:tabs>
          <w:tab w:val="left" w:pos="0"/>
        </w:tabs>
        <w:adjustRightInd w:val="0"/>
        <w:snapToGrid w:val="0"/>
        <w:spacing w:before="240" w:after="64" w:line="317" w:lineRule="auto"/>
        <w:ind w:firstLine="0" w:firstLineChars="0"/>
        <w:rPr>
          <w:color w:val="000000"/>
          <w:highlight w:val="none"/>
        </w:rPr>
      </w:pPr>
      <w:r>
        <w:rPr>
          <w:rFonts w:hint="eastAsia"/>
          <w:color w:val="000000"/>
          <w:highlight w:val="none"/>
        </w:rPr>
        <w:t>1）塔吊端作业平台</w:t>
      </w:r>
    </w:p>
    <w:p w14:paraId="7CD38963">
      <w:pPr>
        <w:ind w:firstLine="480"/>
        <w:rPr>
          <w:color w:val="000000"/>
          <w:highlight w:val="none"/>
        </w:rPr>
      </w:pPr>
      <w:r>
        <w:rPr>
          <w:rFonts w:hint="eastAsia"/>
          <w:color w:val="000000"/>
          <w:highlight w:val="none"/>
        </w:rPr>
        <w:t>塔吊端采用厂家提供的专用作业平台，作业平台通过螺栓固定在附着装置下方1</w:t>
      </w:r>
      <w:r>
        <w:rPr>
          <w:color w:val="000000"/>
          <w:highlight w:val="none"/>
        </w:rPr>
        <w:t>.4m</w:t>
      </w:r>
      <w:r>
        <w:rPr>
          <w:rFonts w:hint="eastAsia"/>
          <w:color w:val="000000"/>
          <w:highlight w:val="none"/>
        </w:rPr>
        <w:t>处的塔身竖杆上，见下图所示。</w:t>
      </w:r>
    </w:p>
    <w:p w14:paraId="397E2E6A">
      <w:pPr>
        <w:ind w:firstLine="480"/>
        <w:rPr>
          <w:color w:val="000000"/>
          <w:highlight w:val="none"/>
        </w:rPr>
      </w:pPr>
      <w:r>
        <w:rPr>
          <w:highlight w:val="none"/>
        </w:rPr>
        <w:drawing>
          <wp:inline distT="0" distB="0" distL="114300" distR="114300">
            <wp:extent cx="4693285" cy="2351405"/>
            <wp:effectExtent l="0" t="0" r="12065" b="10795"/>
            <wp:docPr id="6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2"/>
                    <pic:cNvPicPr>
                      <a:picLocks noChangeAspect="1"/>
                    </pic:cNvPicPr>
                  </pic:nvPicPr>
                  <pic:blipFill>
                    <a:blip r:embed="rId107"/>
                    <a:stretch>
                      <a:fillRect/>
                    </a:stretch>
                  </pic:blipFill>
                  <pic:spPr>
                    <a:xfrm>
                      <a:off x="0" y="0"/>
                      <a:ext cx="4693285" cy="2351405"/>
                    </a:xfrm>
                    <a:prstGeom prst="rect">
                      <a:avLst/>
                    </a:prstGeom>
                    <a:noFill/>
                    <a:ln>
                      <a:noFill/>
                    </a:ln>
                  </pic:spPr>
                </pic:pic>
              </a:graphicData>
            </a:graphic>
          </wp:inline>
        </w:drawing>
      </w:r>
    </w:p>
    <w:p w14:paraId="0B52F502">
      <w:pPr>
        <w:ind w:firstLine="0" w:firstLineChars="0"/>
        <w:jc w:val="center"/>
        <w:rPr>
          <w:b/>
          <w:color w:val="000000"/>
          <w:sz w:val="21"/>
          <w:szCs w:val="20"/>
          <w:highlight w:val="none"/>
        </w:rPr>
      </w:pPr>
      <w:r>
        <w:rPr>
          <w:rFonts w:hint="eastAsia"/>
          <w:b/>
          <w:color w:val="000000"/>
          <w:sz w:val="21"/>
          <w:szCs w:val="20"/>
          <w:highlight w:val="none"/>
        </w:rPr>
        <w:t>图 4.</w:t>
      </w:r>
      <w:r>
        <w:rPr>
          <w:rFonts w:hint="eastAsia"/>
          <w:b/>
          <w:color w:val="000000"/>
          <w:sz w:val="21"/>
          <w:szCs w:val="20"/>
          <w:highlight w:val="none"/>
          <w:lang w:val="en-US" w:eastAsia="zh-CN"/>
        </w:rPr>
        <w:t>4</w:t>
      </w:r>
      <w:r>
        <w:rPr>
          <w:rFonts w:hint="eastAsia"/>
          <w:b/>
          <w:color w:val="000000"/>
          <w:sz w:val="21"/>
          <w:szCs w:val="20"/>
          <w:highlight w:val="none"/>
        </w:rPr>
        <w:t>.</w:t>
      </w:r>
      <w:r>
        <w:rPr>
          <w:rFonts w:hint="eastAsia"/>
          <w:b/>
          <w:color w:val="000000"/>
          <w:sz w:val="21"/>
          <w:szCs w:val="20"/>
          <w:highlight w:val="none"/>
          <w:lang w:val="en-US" w:eastAsia="zh-CN"/>
        </w:rPr>
        <w:t>14</w:t>
      </w:r>
      <w:r>
        <w:rPr>
          <w:rFonts w:hint="eastAsia"/>
          <w:b/>
          <w:color w:val="000000"/>
          <w:sz w:val="21"/>
          <w:szCs w:val="20"/>
          <w:highlight w:val="none"/>
        </w:rPr>
        <w:t>-</w:t>
      </w:r>
      <w:r>
        <w:rPr>
          <w:rFonts w:hint="eastAsia"/>
          <w:b/>
          <w:color w:val="000000"/>
          <w:sz w:val="21"/>
          <w:szCs w:val="20"/>
          <w:highlight w:val="none"/>
          <w:lang w:val="en-US" w:eastAsia="zh-CN"/>
        </w:rPr>
        <w:t xml:space="preserve">5 </w:t>
      </w:r>
      <w:r>
        <w:rPr>
          <w:b/>
          <w:color w:val="000000"/>
          <w:sz w:val="21"/>
          <w:szCs w:val="20"/>
          <w:highlight w:val="none"/>
        </w:rPr>
        <w:t xml:space="preserve"> </w:t>
      </w:r>
      <w:r>
        <w:rPr>
          <w:rFonts w:hint="eastAsia"/>
          <w:b/>
          <w:color w:val="000000"/>
          <w:sz w:val="21"/>
          <w:szCs w:val="20"/>
          <w:highlight w:val="none"/>
        </w:rPr>
        <w:t>附着装置安装作业平台示意图</w:t>
      </w:r>
    </w:p>
    <w:p w14:paraId="513A7B28">
      <w:pPr>
        <w:keepNext/>
        <w:keepLines/>
        <w:tabs>
          <w:tab w:val="left" w:pos="0"/>
        </w:tabs>
        <w:adjustRightInd w:val="0"/>
        <w:snapToGrid w:val="0"/>
        <w:spacing w:before="240" w:after="64" w:line="317" w:lineRule="auto"/>
        <w:ind w:firstLine="0" w:firstLineChars="0"/>
        <w:rPr>
          <w:color w:val="000000"/>
          <w:highlight w:val="none"/>
        </w:rPr>
      </w:pPr>
      <w:r>
        <w:rPr>
          <w:rFonts w:hint="eastAsia"/>
          <w:color w:val="000000"/>
          <w:highlight w:val="none"/>
        </w:rPr>
        <w:t>2）主塔身作业平台</w:t>
      </w:r>
    </w:p>
    <w:p w14:paraId="7232A6C2">
      <w:pPr>
        <w:ind w:firstLine="480"/>
        <w:rPr>
          <w:rFonts w:hint="eastAsia" w:eastAsia="宋体"/>
          <w:color w:val="000000"/>
          <w:highlight w:val="none"/>
          <w:lang w:eastAsia="zh-CN"/>
        </w:rPr>
      </w:pPr>
      <w:r>
        <w:rPr>
          <w:rFonts w:hint="eastAsia"/>
          <w:color w:val="000000"/>
          <w:highlight w:val="none"/>
          <w:lang w:val="en-US" w:eastAsia="zh-CN"/>
        </w:rPr>
        <w:t>主塔下方</w:t>
      </w:r>
      <w:r>
        <w:rPr>
          <w:rFonts w:hint="eastAsia"/>
          <w:color w:val="000000"/>
          <w:highlight w:val="none"/>
        </w:rPr>
        <w:t>设置附着安装操作平台，操作平台与</w:t>
      </w:r>
      <w:r>
        <w:rPr>
          <w:rFonts w:hint="eastAsia"/>
          <w:color w:val="000000"/>
          <w:highlight w:val="none"/>
          <w:lang w:val="en-US" w:eastAsia="zh-CN"/>
        </w:rPr>
        <w:t>主塔操作平台</w:t>
      </w:r>
      <w:r>
        <w:rPr>
          <w:rFonts w:hint="eastAsia"/>
          <w:color w:val="000000"/>
          <w:highlight w:val="none"/>
        </w:rPr>
        <w:t>同步设计</w:t>
      </w:r>
      <w:r>
        <w:rPr>
          <w:rFonts w:hint="eastAsia"/>
          <w:color w:val="000000"/>
          <w:highlight w:val="none"/>
          <w:lang w:eastAsia="zh-CN"/>
        </w:rPr>
        <w:t>。</w:t>
      </w:r>
    </w:p>
    <w:p w14:paraId="45F8B1A2">
      <w:pPr>
        <w:pStyle w:val="7"/>
        <w:bidi w:val="0"/>
        <w:ind w:left="0" w:leftChars="0" w:firstLine="0" w:firstLineChars="0"/>
        <w:rPr>
          <w:highlight w:val="none"/>
        </w:rPr>
      </w:pPr>
      <w:r>
        <w:rPr>
          <w:rFonts w:hint="eastAsia"/>
          <w:highlight w:val="none"/>
        </w:rPr>
        <w:t>附着安装</w:t>
      </w:r>
    </w:p>
    <w:p w14:paraId="6BB3A446">
      <w:pPr>
        <w:ind w:firstLine="480"/>
        <w:rPr>
          <w:color w:val="000000"/>
          <w:highlight w:val="none"/>
        </w:rPr>
      </w:pPr>
      <w:r>
        <w:rPr>
          <w:rFonts w:hint="eastAsia"/>
          <w:color w:val="000000"/>
          <w:highlight w:val="none"/>
        </w:rPr>
        <w:t>塔吊附着安装步骤如下：</w:t>
      </w:r>
    </w:p>
    <w:p w14:paraId="501C69F6">
      <w:pPr>
        <w:ind w:firstLine="480"/>
        <w:rPr>
          <w:color w:val="000000"/>
          <w:highlight w:val="none"/>
        </w:rPr>
      </w:pPr>
      <w:r>
        <w:rPr>
          <w:rFonts w:hint="eastAsia"/>
          <w:color w:val="000000"/>
          <w:highlight w:val="none"/>
        </w:rPr>
        <w:t>1）作业人员通过塔身内爬梯，爬升到附着安装位置对应的标准节处，将安全带在上方横杆上系挂牢固，站在下方合适高度的横杆上，将附着安装操作平台吊装至对应高度后，作业人员采用螺栓将附着安装操作平台固定在塔身上。</w:t>
      </w:r>
    </w:p>
    <w:p w14:paraId="05199022">
      <w:pPr>
        <w:ind w:firstLine="480"/>
        <w:rPr>
          <w:color w:val="000000"/>
          <w:highlight w:val="none"/>
        </w:rPr>
      </w:pPr>
      <w:r>
        <w:rPr>
          <w:rFonts w:hint="eastAsia"/>
          <w:color w:val="000000"/>
          <w:highlight w:val="none"/>
        </w:rPr>
        <w:t>2）作业人员从</w:t>
      </w:r>
      <w:r>
        <w:rPr>
          <w:rFonts w:hint="eastAsia"/>
          <w:color w:val="000000"/>
          <w:highlight w:val="none"/>
          <w:lang w:eastAsia="zh-CN"/>
        </w:rPr>
        <w:t>主塔操作平台</w:t>
      </w:r>
      <w:r>
        <w:rPr>
          <w:rFonts w:hint="eastAsia"/>
          <w:color w:val="000000"/>
          <w:highlight w:val="none"/>
        </w:rPr>
        <w:t>，通过垂直爬梯下到</w:t>
      </w:r>
      <w:r>
        <w:rPr>
          <w:rFonts w:hint="eastAsia"/>
          <w:color w:val="000000"/>
          <w:highlight w:val="none"/>
          <w:lang w:eastAsia="zh-CN"/>
        </w:rPr>
        <w:t>主塔</w:t>
      </w:r>
      <w:r>
        <w:rPr>
          <w:rFonts w:hint="eastAsia"/>
          <w:color w:val="000000"/>
          <w:highlight w:val="none"/>
        </w:rPr>
        <w:t>下方悬挂平台上，将安全带系挂在上方可靠位置。</w:t>
      </w:r>
    </w:p>
    <w:p w14:paraId="228DFD8C">
      <w:pPr>
        <w:ind w:firstLine="480"/>
        <w:rPr>
          <w:color w:val="000000"/>
          <w:highlight w:val="none"/>
        </w:rPr>
      </w:pPr>
      <w:r>
        <w:rPr>
          <w:rFonts w:hint="eastAsia"/>
          <w:color w:val="000000"/>
          <w:highlight w:val="none"/>
        </w:rPr>
        <w:t>3）附着杆件采用两点吊，以附着杆件上4个固定吊耳孔为吊装孔，采用2根</w:t>
      </w:r>
      <w:r>
        <w:rPr>
          <w:rFonts w:hint="eastAsia" w:cs="Times New Roman"/>
          <w:highlight w:val="none"/>
        </w:rPr>
        <w:t>18mm6×19S+FC1870Mpa</w:t>
      </w:r>
      <w:r>
        <w:rPr>
          <w:color w:val="000000"/>
          <w:highlight w:val="none"/>
        </w:rPr>
        <w:t>的钢丝绳配套GB/T 25854-6-</w:t>
      </w:r>
      <w:r>
        <w:rPr>
          <w:rFonts w:hint="eastAsia"/>
          <w:color w:val="000000"/>
          <w:highlight w:val="none"/>
          <w:lang w:val="en-US" w:eastAsia="zh-CN"/>
        </w:rPr>
        <w:t>D</w:t>
      </w:r>
      <w:r>
        <w:rPr>
          <w:color w:val="000000"/>
          <w:highlight w:val="none"/>
        </w:rPr>
        <w:t>W</w:t>
      </w:r>
      <w:r>
        <w:rPr>
          <w:rFonts w:hint="eastAsia"/>
          <w:color w:val="000000"/>
          <w:highlight w:val="none"/>
          <w:lang w:val="en-US" w:eastAsia="zh-CN"/>
        </w:rPr>
        <w:t>10</w:t>
      </w:r>
      <w:r>
        <w:rPr>
          <w:color w:val="000000"/>
          <w:highlight w:val="none"/>
        </w:rPr>
        <w:t>卸扣进行吊装。</w:t>
      </w:r>
    </w:p>
    <w:p w14:paraId="130C9BD5">
      <w:pPr>
        <w:ind w:firstLine="480"/>
        <w:rPr>
          <w:color w:val="000000"/>
          <w:highlight w:val="none"/>
        </w:rPr>
      </w:pPr>
      <w:r>
        <w:rPr>
          <w:rFonts w:hint="eastAsia"/>
          <w:color w:val="000000"/>
          <w:highlight w:val="none"/>
        </w:rPr>
        <w:t>4）作业人员先在地面上将钢丝绳一端与吊环连接，另一端与卸扣连接，卸扣与吊装孔连接，并在附着杆上拴好两根溜绳。启动起升机构，将附着杆件缓</w:t>
      </w:r>
      <w:r>
        <w:rPr>
          <w:rFonts w:hint="eastAsia"/>
          <w:color w:val="000000"/>
          <w:highlight w:val="none"/>
          <w:lang w:val="en-US" w:eastAsia="zh-CN"/>
        </w:rPr>
        <w:t xml:space="preserve">                                                                                    </w:t>
      </w:r>
      <w:r>
        <w:rPr>
          <w:rFonts w:hint="eastAsia"/>
          <w:color w:val="000000"/>
          <w:highlight w:val="none"/>
        </w:rPr>
        <w:t>慢提升，用溜绳控制其摆动。起吊附着杆件至对应高度，溜绳辅助附着杆件就位，两侧的作业人员通过销轴将附着杆件分别与塔吊附着框和主墩预埋件连接固定。</w:t>
      </w:r>
    </w:p>
    <w:p w14:paraId="779D2CF1">
      <w:pPr>
        <w:ind w:firstLine="480"/>
        <w:rPr>
          <w:color w:val="000000"/>
          <w:highlight w:val="none"/>
        </w:rPr>
      </w:pPr>
      <w:r>
        <w:rPr>
          <w:rFonts w:hint="eastAsia"/>
          <w:color w:val="000000"/>
          <w:highlight w:val="none"/>
        </w:rPr>
        <w:t>5）重复以上步骤，安装4根附着杆件。安装完成后，主墩侧平台上的作业人员通过爬梯上到</w:t>
      </w:r>
      <w:r>
        <w:rPr>
          <w:rFonts w:hint="eastAsia"/>
          <w:color w:val="000000"/>
          <w:highlight w:val="none"/>
          <w:lang w:eastAsia="zh-CN"/>
        </w:rPr>
        <w:t>主塔平台</w:t>
      </w:r>
      <w:r>
        <w:rPr>
          <w:rFonts w:hint="eastAsia"/>
          <w:color w:val="000000"/>
          <w:highlight w:val="none"/>
        </w:rPr>
        <w:t>，再通过电梯下至地面；塔吊塔身侧作业人员通过塔身内爬梯下到地面。</w:t>
      </w:r>
    </w:p>
    <w:p w14:paraId="128CE7E9">
      <w:pPr>
        <w:ind w:firstLine="480"/>
        <w:rPr>
          <w:color w:val="000000"/>
          <w:highlight w:val="none"/>
        </w:rPr>
      </w:pPr>
      <w:r>
        <w:rPr>
          <w:color w:val="000000"/>
          <w:highlight w:val="none"/>
        </w:rPr>
        <w:t>塔吊附着安装要求如下：</w:t>
      </w:r>
    </w:p>
    <w:p w14:paraId="44DB657B">
      <w:pPr>
        <w:ind w:firstLine="480"/>
        <w:rPr>
          <w:color w:val="000000"/>
          <w:highlight w:val="none"/>
        </w:rPr>
      </w:pPr>
      <w:r>
        <w:rPr>
          <w:color w:val="000000"/>
          <w:highlight w:val="none"/>
        </w:rPr>
        <w:t>（1）先将附着外框梁套在塔身上，并通过楔块和斜撑将塔身的四根主弦杆顶紧；通过销轴将附着撑杆的一端与附着框架连接，另一端与固定在主墩上的耳座连接。</w:t>
      </w:r>
    </w:p>
    <w:p w14:paraId="60D65CDF">
      <w:pPr>
        <w:ind w:firstLine="480"/>
        <w:rPr>
          <w:color w:val="000000"/>
          <w:highlight w:val="none"/>
        </w:rPr>
      </w:pPr>
      <w:r>
        <w:rPr>
          <w:color w:val="000000"/>
          <w:highlight w:val="none"/>
        </w:rPr>
        <w:t>（2）每道附着架的4组附着撑杆应尽量处于同一水平面上。但在安装附着框架时，若与塔身标准节的某些部位发生干涉，可适当升高或降低附着框架的安装高度。允许附着框架与耳座高度差不大于0.01L（L为下图中撑杆的长度）</w:t>
      </w:r>
    </w:p>
    <w:p w14:paraId="3F8976DE">
      <w:pPr>
        <w:ind w:firstLine="480"/>
        <w:rPr>
          <w:color w:val="000000"/>
          <w:highlight w:val="none"/>
        </w:rPr>
      </w:pPr>
      <w:r>
        <w:rPr>
          <w:color w:val="000000"/>
          <w:highlight w:val="none"/>
        </w:rPr>
        <w:t>（3）附着撑杆上允许搭设供人从建筑物通向塔机的通道，但严禁堆放重物。</w:t>
      </w:r>
    </w:p>
    <w:p w14:paraId="37A636B9">
      <w:pPr>
        <w:ind w:firstLine="480"/>
        <w:rPr>
          <w:color w:val="000000"/>
          <w:highlight w:val="none"/>
        </w:rPr>
      </w:pPr>
      <w:r>
        <w:rPr>
          <w:color w:val="000000"/>
          <w:highlight w:val="none"/>
        </w:rPr>
        <w:t>（4）安装塔机前，应对建筑物附着点（耳座固定处）的承载能力以及影响附着点强度的钢筋混凝土骨架的施工日期等因素预先估计。</w:t>
      </w:r>
    </w:p>
    <w:p w14:paraId="60803A64">
      <w:pPr>
        <w:ind w:firstLine="480"/>
        <w:rPr>
          <w:color w:val="000000"/>
          <w:highlight w:val="none"/>
        </w:rPr>
      </w:pPr>
      <w:r>
        <w:rPr>
          <w:color w:val="000000"/>
          <w:highlight w:val="none"/>
        </w:rPr>
        <w:t>（</w:t>
      </w:r>
      <w:r>
        <w:rPr>
          <w:rFonts w:hint="eastAsia"/>
          <w:color w:val="000000"/>
          <w:highlight w:val="none"/>
        </w:rPr>
        <w:t>5</w:t>
      </w:r>
      <w:r>
        <w:rPr>
          <w:color w:val="000000"/>
          <w:highlight w:val="none"/>
        </w:rPr>
        <w:t>）安装附着装置时，应当用全站仪检查塔身轴心线的垂直度，最上一道附着架以上塔身轴心线的侧向垂直度允差为4/1000，最上一道附着架以下塔身轴心线的垂直度允差为2/1000，可通过调节附着撑杆的长度来控制塔身垂直度。</w:t>
      </w:r>
    </w:p>
    <w:p w14:paraId="383174DF">
      <w:pPr>
        <w:ind w:firstLine="480"/>
        <w:rPr>
          <w:highlight w:val="none"/>
        </w:rPr>
      </w:pPr>
      <w:r>
        <w:rPr>
          <w:color w:val="000000"/>
          <w:highlight w:val="none"/>
        </w:rPr>
        <w:t>（</w:t>
      </w:r>
      <w:r>
        <w:rPr>
          <w:rFonts w:hint="eastAsia"/>
          <w:color w:val="000000"/>
          <w:highlight w:val="none"/>
        </w:rPr>
        <w:t>6</w:t>
      </w:r>
      <w:r>
        <w:rPr>
          <w:color w:val="000000"/>
          <w:highlight w:val="none"/>
        </w:rPr>
        <w:t>）附着撑杆与附着框架，连接耳座，以及附着框架与塔身、内撑杆的连接必须可靠。内撑杆应可靠地将塔身主弦杆顶紧，并与塔身的主弦夹紧，各连接螺栓应紧固好。各调节螺栓调整好后，应将螺母可靠地</w:t>
      </w:r>
      <w:r>
        <w:rPr>
          <w:rFonts w:hint="eastAsia"/>
          <w:color w:val="000000"/>
          <w:highlight w:val="none"/>
        </w:rPr>
        <w:t>拧</w:t>
      </w:r>
      <w:r>
        <w:rPr>
          <w:color w:val="000000"/>
          <w:highlight w:val="none"/>
        </w:rPr>
        <w:t>紧。开口销应按规定张开，运行后应经常检查是否发生松动，并及时进行调整。</w:t>
      </w:r>
    </w:p>
    <w:p w14:paraId="60408A5A">
      <w:pPr>
        <w:pStyle w:val="4"/>
        <w:bidi w:val="0"/>
        <w:ind w:left="0" w:leftChars="0" w:firstLine="0" w:firstLineChars="0"/>
        <w:rPr>
          <w:highlight w:val="none"/>
        </w:rPr>
      </w:pPr>
      <w:bookmarkStart w:id="46" w:name="_Toc27933"/>
      <w:r>
        <w:rPr>
          <w:rFonts w:hint="eastAsia"/>
          <w:highlight w:val="none"/>
        </w:rPr>
        <w:t>安装具体步骤（XGT7026-12S1型塔吊）</w:t>
      </w:r>
      <w:bookmarkEnd w:id="46"/>
    </w:p>
    <w:p w14:paraId="57B4A569">
      <w:pPr>
        <w:pStyle w:val="5"/>
        <w:bidi w:val="0"/>
        <w:ind w:left="0" w:leftChars="0" w:firstLine="0" w:firstLineChars="0"/>
        <w:rPr>
          <w:highlight w:val="none"/>
        </w:rPr>
      </w:pPr>
      <w:r>
        <w:rPr>
          <w:rFonts w:hint="eastAsia"/>
          <w:highlight w:val="none"/>
        </w:rPr>
        <w:t>塔吊基础</w:t>
      </w:r>
    </w:p>
    <w:p w14:paraId="55D2A303">
      <w:pPr>
        <w:pStyle w:val="2"/>
        <w:ind w:firstLine="480"/>
        <w:rPr>
          <w:rFonts w:hint="eastAsia"/>
          <w:highlight w:val="none"/>
        </w:rPr>
      </w:pPr>
      <w:r>
        <w:rPr>
          <w:rFonts w:hint="eastAsia"/>
          <w:highlight w:val="none"/>
        </w:rPr>
        <w:t>4#塔吊</w:t>
      </w:r>
      <w:r>
        <w:rPr>
          <w:rFonts w:hint="eastAsia"/>
          <w:highlight w:val="none"/>
          <w:lang w:val="en-US" w:eastAsia="zh-CN"/>
        </w:rPr>
        <w:t>基础</w:t>
      </w:r>
      <w:r>
        <w:rPr>
          <w:rFonts w:hint="eastAsia"/>
          <w:highlight w:val="none"/>
        </w:rPr>
        <w:t>采用钢</w:t>
      </w:r>
      <w:r>
        <w:rPr>
          <w:rFonts w:hint="eastAsia"/>
          <w:highlight w:val="none"/>
          <w:lang w:val="en-US" w:eastAsia="zh-CN"/>
        </w:rPr>
        <w:t>基础支座</w:t>
      </w:r>
      <w:r>
        <w:rPr>
          <w:rFonts w:hint="eastAsia"/>
          <w:highlight w:val="none"/>
        </w:rPr>
        <w:t>形式，塔吊支腿焊接在</w:t>
      </w:r>
      <w:r>
        <w:rPr>
          <w:rFonts w:hint="eastAsia"/>
          <w:highlight w:val="none"/>
          <w:lang w:val="en-US" w:eastAsia="zh-CN"/>
        </w:rPr>
        <w:t>基础支座</w:t>
      </w:r>
      <w:r>
        <w:rPr>
          <w:rFonts w:hint="eastAsia"/>
          <w:highlight w:val="none"/>
          <w:lang w:eastAsia="zh-CN"/>
        </w:rPr>
        <w:t>，</w:t>
      </w:r>
      <w:r>
        <w:rPr>
          <w:rFonts w:hint="eastAsia"/>
          <w:highlight w:val="none"/>
          <w:lang w:val="en-US" w:eastAsia="zh-CN"/>
        </w:rPr>
        <w:t>塔机固定支腿与基础支座焊接要求见附件10</w:t>
      </w:r>
      <w:r>
        <w:rPr>
          <w:rFonts w:hint="eastAsia"/>
          <w:highlight w:val="none"/>
        </w:rPr>
        <w:t>。</w:t>
      </w:r>
    </w:p>
    <w:p w14:paraId="32E8DC57">
      <w:pPr>
        <w:pStyle w:val="2"/>
        <w:ind w:firstLine="480"/>
        <w:rPr>
          <w:rFonts w:hint="eastAsia"/>
          <w:highlight w:val="none"/>
        </w:rPr>
      </w:pPr>
      <w:r>
        <w:rPr>
          <w:rFonts w:hint="eastAsia" w:eastAsia="宋体"/>
          <w:highlight w:val="none"/>
          <w:lang w:eastAsia="zh-CN"/>
        </w:rPr>
        <w:drawing>
          <wp:inline distT="0" distB="0" distL="114300" distR="114300">
            <wp:extent cx="5264785" cy="3244215"/>
            <wp:effectExtent l="0" t="0" r="12065" b="13335"/>
            <wp:docPr id="115" name="图片 115" descr="174450648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1744506481575"/>
                    <pic:cNvPicPr>
                      <a:picLocks noChangeAspect="1"/>
                    </pic:cNvPicPr>
                  </pic:nvPicPr>
                  <pic:blipFill>
                    <a:blip r:embed="rId51"/>
                    <a:stretch>
                      <a:fillRect/>
                    </a:stretch>
                  </pic:blipFill>
                  <pic:spPr>
                    <a:xfrm>
                      <a:off x="0" y="0"/>
                      <a:ext cx="5264785" cy="3244215"/>
                    </a:xfrm>
                    <a:prstGeom prst="rect">
                      <a:avLst/>
                    </a:prstGeom>
                  </pic:spPr>
                </pic:pic>
              </a:graphicData>
            </a:graphic>
          </wp:inline>
        </w:drawing>
      </w:r>
    </w:p>
    <w:p w14:paraId="4D8F0ADC">
      <w:pPr>
        <w:pStyle w:val="2"/>
        <w:ind w:firstLine="480"/>
        <w:rPr>
          <w:rFonts w:hint="eastAsia"/>
          <w:highlight w:val="none"/>
        </w:rPr>
      </w:pPr>
    </w:p>
    <w:p w14:paraId="7975290D">
      <w:pPr>
        <w:pStyle w:val="2"/>
        <w:ind w:firstLine="480"/>
        <w:rPr>
          <w:rFonts w:hint="eastAsia"/>
          <w:highlight w:val="none"/>
        </w:rPr>
      </w:pPr>
    </w:p>
    <w:p w14:paraId="7A8D6DE4">
      <w:pPr>
        <w:pStyle w:val="2"/>
        <w:ind w:firstLine="0" w:firstLineChars="0"/>
        <w:jc w:val="center"/>
        <w:rPr>
          <w:highlight w:val="none"/>
        </w:rPr>
      </w:pPr>
      <w:r>
        <w:drawing>
          <wp:inline distT="0" distB="0" distL="114300" distR="114300">
            <wp:extent cx="5087620" cy="4354195"/>
            <wp:effectExtent l="0" t="0" r="17780" b="8255"/>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108"/>
                    <a:srcRect r="8928" b="-404"/>
                    <a:stretch>
                      <a:fillRect/>
                    </a:stretch>
                  </pic:blipFill>
                  <pic:spPr>
                    <a:xfrm>
                      <a:off x="0" y="0"/>
                      <a:ext cx="5087620" cy="4354195"/>
                    </a:xfrm>
                    <a:prstGeom prst="rect">
                      <a:avLst/>
                    </a:prstGeom>
                    <a:noFill/>
                    <a:ln>
                      <a:noFill/>
                    </a:ln>
                  </pic:spPr>
                </pic:pic>
              </a:graphicData>
            </a:graphic>
          </wp:inline>
        </w:drawing>
      </w:r>
      <w:r>
        <w:drawing>
          <wp:inline distT="0" distB="0" distL="114300" distR="114300">
            <wp:extent cx="5271770" cy="5386705"/>
            <wp:effectExtent l="0" t="0" r="5080" b="4445"/>
            <wp:docPr id="1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7"/>
                    <pic:cNvPicPr>
                      <a:picLocks noChangeAspect="1"/>
                    </pic:cNvPicPr>
                  </pic:nvPicPr>
                  <pic:blipFill>
                    <a:blip r:embed="rId109"/>
                    <a:stretch>
                      <a:fillRect/>
                    </a:stretch>
                  </pic:blipFill>
                  <pic:spPr>
                    <a:xfrm>
                      <a:off x="0" y="0"/>
                      <a:ext cx="5271770" cy="5386705"/>
                    </a:xfrm>
                    <a:prstGeom prst="rect">
                      <a:avLst/>
                    </a:prstGeom>
                    <a:noFill/>
                    <a:ln>
                      <a:noFill/>
                    </a:ln>
                  </pic:spPr>
                </pic:pic>
              </a:graphicData>
            </a:graphic>
          </wp:inline>
        </w:drawing>
      </w:r>
    </w:p>
    <w:p w14:paraId="46864194">
      <w:pPr>
        <w:pStyle w:val="2"/>
        <w:ind w:firstLine="0" w:firstLineChars="0"/>
        <w:jc w:val="center"/>
        <w:rPr>
          <w:highlight w:val="none"/>
        </w:rPr>
      </w:pPr>
      <w:r>
        <w:rPr>
          <w:rFonts w:hint="eastAsia"/>
          <w:highlight w:val="none"/>
        </w:rPr>
        <w:t>图4.5.1-1</w:t>
      </w:r>
      <w:r>
        <w:rPr>
          <w:rFonts w:hint="eastAsia"/>
          <w:highlight w:val="none"/>
          <w:lang w:val="en-US" w:eastAsia="zh-CN"/>
        </w:rPr>
        <w:t xml:space="preserve">  </w:t>
      </w:r>
      <w:r>
        <w:rPr>
          <w:rFonts w:hint="eastAsia"/>
          <w:highlight w:val="none"/>
        </w:rPr>
        <w:t>4#塔吊基础布置图</w:t>
      </w:r>
    </w:p>
    <w:p w14:paraId="54CC9EB6">
      <w:pPr>
        <w:pStyle w:val="2"/>
        <w:ind w:firstLine="480"/>
        <w:rPr>
          <w:highlight w:val="none"/>
        </w:rPr>
      </w:pPr>
    </w:p>
    <w:p w14:paraId="0B86CBFB">
      <w:pPr>
        <w:pStyle w:val="5"/>
        <w:bidi w:val="0"/>
        <w:ind w:left="0" w:leftChars="0" w:firstLine="0" w:firstLineChars="0"/>
        <w:rPr>
          <w:highlight w:val="none"/>
        </w:rPr>
      </w:pPr>
      <w:r>
        <w:rPr>
          <w:rFonts w:hint="eastAsia"/>
          <w:highlight w:val="none"/>
        </w:rPr>
        <w:t>安装基础节</w:t>
      </w:r>
    </w:p>
    <w:p w14:paraId="77BB1997">
      <w:pPr>
        <w:pStyle w:val="7"/>
        <w:bidi w:val="0"/>
        <w:ind w:left="864" w:leftChars="0" w:hanging="864" w:firstLineChars="0"/>
        <w:rPr>
          <w:highlight w:val="none"/>
        </w:rPr>
      </w:pPr>
      <w:r>
        <w:rPr>
          <w:rFonts w:hint="eastAsia"/>
          <w:highlight w:val="none"/>
        </w:rPr>
        <w:t>安装前的条件</w:t>
      </w:r>
    </w:p>
    <w:p w14:paraId="7E0B91A0">
      <w:pPr>
        <w:pStyle w:val="18"/>
        <w:rPr>
          <w:rFonts w:ascii="宋体" w:hAnsi="宋体" w:cs="宋体"/>
          <w:bCs/>
          <w:color w:val="000000" w:themeColor="text1"/>
          <w:highlight w:val="none"/>
          <w14:textFill>
            <w14:solidFill>
              <w14:schemeClr w14:val="tx1"/>
            </w14:solidFill>
          </w14:textFill>
        </w:rPr>
      </w:pPr>
      <w:r>
        <w:rPr>
          <w:rFonts w:hint="eastAsia"/>
          <w:highlight w:val="none"/>
        </w:rPr>
        <w:t xml:space="preserve">表 </w:t>
      </w:r>
      <w:r>
        <w:rPr>
          <w:highlight w:val="none"/>
        </w:rPr>
        <w:fldChar w:fldCharType="begin"/>
      </w:r>
      <w:r>
        <w:rPr>
          <w:highlight w:val="none"/>
        </w:rPr>
        <w:instrText xml:space="preserve"> </w:instrText>
      </w:r>
      <w:r>
        <w:rPr>
          <w:rFonts w:hint="eastAsia"/>
          <w:highlight w:val="none"/>
        </w:rPr>
        <w:instrText xml:space="preserve">STYLEREF 3 \s</w:instrText>
      </w:r>
      <w:r>
        <w:rPr>
          <w:highlight w:val="none"/>
        </w:rPr>
        <w:instrText xml:space="preserve"> </w:instrText>
      </w:r>
      <w:r>
        <w:rPr>
          <w:highlight w:val="none"/>
        </w:rPr>
        <w:fldChar w:fldCharType="separate"/>
      </w:r>
      <w:r>
        <w:rPr>
          <w:highlight w:val="none"/>
        </w:rPr>
        <w:t>4.</w:t>
      </w:r>
      <w:r>
        <w:rPr>
          <w:rFonts w:hint="eastAsia"/>
          <w:highlight w:val="none"/>
        </w:rPr>
        <w:t>5</w:t>
      </w:r>
      <w:r>
        <w:rPr>
          <w:highlight w:val="none"/>
        </w:rPr>
        <w:t>.</w:t>
      </w:r>
      <w:r>
        <w:rPr>
          <w:rFonts w:hint="eastAsia"/>
          <w:highlight w:val="none"/>
        </w:rPr>
        <w:t>2</w:t>
      </w:r>
      <w:r>
        <w:rPr>
          <w:highlight w:val="none"/>
        </w:rPr>
        <w:fldChar w:fldCharType="end"/>
      </w:r>
      <w:r>
        <w:rPr>
          <w:rFonts w:hint="eastAsia"/>
          <w:highlight w:val="none"/>
        </w:rPr>
        <w:t>.1</w:t>
      </w:r>
      <w:r>
        <w:rPr>
          <w:highlight w:val="none"/>
        </w:rPr>
        <w:noBreakHyphen/>
      </w:r>
      <w:r>
        <w:rPr>
          <w:highlight w:val="none"/>
        </w:rPr>
        <w:fldChar w:fldCharType="begin"/>
      </w:r>
      <w:r>
        <w:rPr>
          <w:highlight w:val="none"/>
        </w:rPr>
        <w:instrText xml:space="preserve"> </w:instrText>
      </w:r>
      <w:r>
        <w:rPr>
          <w:rFonts w:hint="eastAsia"/>
          <w:highlight w:val="none"/>
        </w:rPr>
        <w:instrText xml:space="preserve">SEQ 表 \* ARABIC \s 3</w:instrText>
      </w:r>
      <w:r>
        <w:rPr>
          <w:highlight w:val="none"/>
        </w:rPr>
        <w:instrText xml:space="preserve"> </w:instrText>
      </w:r>
      <w:r>
        <w:rPr>
          <w:highlight w:val="none"/>
        </w:rPr>
        <w:fldChar w:fldCharType="separate"/>
      </w:r>
      <w:r>
        <w:rPr>
          <w:highlight w:val="none"/>
        </w:rPr>
        <w:t>1</w:t>
      </w:r>
      <w:r>
        <w:rPr>
          <w:highlight w:val="none"/>
        </w:rPr>
        <w:fldChar w:fldCharType="end"/>
      </w:r>
      <w:r>
        <w:rPr>
          <w:rFonts w:hint="eastAsia" w:ascii="宋体" w:hAnsi="宋体" w:cs="宋体"/>
          <w:bCs/>
          <w:color w:val="000000" w:themeColor="text1"/>
          <w:highlight w:val="none"/>
          <w14:textFill>
            <w14:solidFill>
              <w14:schemeClr w14:val="tx1"/>
            </w14:solidFill>
          </w14:textFill>
        </w:rPr>
        <w:t>安装前提表</w:t>
      </w:r>
    </w:p>
    <w:tbl>
      <w:tblPr>
        <w:tblStyle w:val="159"/>
        <w:tblW w:w="4999" w:type="pct"/>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2377"/>
        <w:gridCol w:w="6143"/>
      </w:tblGrid>
      <w:tr w14:paraId="7D6ADC4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395"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200BB337">
            <w:pPr>
              <w:pStyle w:val="53"/>
              <w:rPr>
                <w:rFonts w:ascii="Times New Roman" w:hAnsi="Times New Roman" w:eastAsia="宋体" w:cstheme="minorBidi"/>
                <w:b w:val="0"/>
                <w:bCs w:val="0"/>
                <w:i w:val="0"/>
                <w:highlight w:val="none"/>
              </w:rPr>
            </w:pPr>
            <w:r>
              <w:rPr>
                <w:rFonts w:hint="eastAsia" w:ascii="Times New Roman" w:hAnsi="Times New Roman" w:eastAsia="宋体" w:cstheme="minorBidi"/>
                <w:b/>
                <w:bCs w:val="0"/>
                <w:i w:val="0"/>
                <w:highlight w:val="none"/>
              </w:rPr>
              <w:t>序号</w:t>
            </w:r>
          </w:p>
        </w:tc>
        <w:tc>
          <w:tcPr>
            <w:tcW w:w="3604"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48DEA5D0">
            <w:pPr>
              <w:pStyle w:val="53"/>
              <w:rPr>
                <w:rFonts w:ascii="Times New Roman" w:hAnsi="Times New Roman" w:eastAsia="宋体" w:cstheme="minorBidi"/>
                <w:b w:val="0"/>
                <w:bCs w:val="0"/>
                <w:i w:val="0"/>
                <w:highlight w:val="none"/>
              </w:rPr>
            </w:pPr>
            <w:r>
              <w:rPr>
                <w:rFonts w:hint="eastAsia" w:ascii="Times New Roman" w:hAnsi="Times New Roman" w:eastAsia="宋体" w:cstheme="minorBidi"/>
                <w:b/>
                <w:bCs w:val="0"/>
                <w:i w:val="0"/>
                <w:highlight w:val="none"/>
              </w:rPr>
              <w:t>安装前需具备条件</w:t>
            </w:r>
          </w:p>
        </w:tc>
      </w:tr>
      <w:tr w14:paraId="2D14606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1395"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A6BE1A4">
            <w:pPr>
              <w:pStyle w:val="53"/>
              <w:rPr>
                <w:rFonts w:ascii="Times New Roman" w:hAnsi="Times New Roman" w:eastAsia="宋体" w:cstheme="minorBidi"/>
                <w:b w:val="0"/>
                <w:i w:val="0"/>
                <w:highlight w:val="none"/>
              </w:rPr>
            </w:pPr>
            <w:r>
              <w:rPr>
                <w:rFonts w:hint="eastAsia" w:ascii="Times New Roman" w:hAnsi="Times New Roman" w:eastAsia="宋体" w:cstheme="minorBidi"/>
                <w:b w:val="0"/>
                <w:i w:val="0"/>
                <w:highlight w:val="none"/>
              </w:rPr>
              <w:t>1</w:t>
            </w:r>
          </w:p>
        </w:tc>
        <w:tc>
          <w:tcPr>
            <w:tcW w:w="3604"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CB34230">
            <w:pPr>
              <w:pStyle w:val="53"/>
              <w:rPr>
                <w:rFonts w:cstheme="minorBidi"/>
                <w:b w:val="0"/>
                <w:highlight w:val="none"/>
              </w:rPr>
            </w:pPr>
            <w:r>
              <w:rPr>
                <w:rFonts w:hint="eastAsia" w:cstheme="minorBidi"/>
                <w:b w:val="0"/>
                <w:highlight w:val="none"/>
              </w:rPr>
              <w:t>基础验收合格并出具验收表</w:t>
            </w:r>
          </w:p>
        </w:tc>
      </w:tr>
      <w:tr w14:paraId="7D7D8A2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1395"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D8B3472">
            <w:pPr>
              <w:pStyle w:val="53"/>
              <w:rPr>
                <w:rFonts w:ascii="Times New Roman" w:hAnsi="Times New Roman" w:eastAsia="宋体" w:cstheme="minorBidi"/>
                <w:b w:val="0"/>
                <w:i w:val="0"/>
                <w:highlight w:val="none"/>
              </w:rPr>
            </w:pPr>
            <w:r>
              <w:rPr>
                <w:rFonts w:hint="eastAsia" w:ascii="Times New Roman" w:hAnsi="Times New Roman" w:eastAsia="宋体" w:cstheme="minorBidi"/>
                <w:b w:val="0"/>
                <w:i w:val="0"/>
                <w:highlight w:val="none"/>
              </w:rPr>
              <w:t>2</w:t>
            </w:r>
          </w:p>
        </w:tc>
        <w:tc>
          <w:tcPr>
            <w:tcW w:w="3604"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25830613">
            <w:pPr>
              <w:pStyle w:val="53"/>
              <w:rPr>
                <w:rFonts w:cstheme="minorBidi"/>
                <w:b w:val="0"/>
                <w:highlight w:val="none"/>
              </w:rPr>
            </w:pPr>
            <w:r>
              <w:rPr>
                <w:rFonts w:hint="eastAsia" w:cstheme="minorBidi"/>
                <w:b w:val="0"/>
                <w:highlight w:val="none"/>
              </w:rPr>
              <w:t>配置符合要求的塔机专用配电箱</w:t>
            </w:r>
          </w:p>
        </w:tc>
      </w:tr>
      <w:tr w14:paraId="4CCF804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1395"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B331258">
            <w:pPr>
              <w:pStyle w:val="53"/>
              <w:rPr>
                <w:rFonts w:ascii="Times New Roman" w:hAnsi="Times New Roman" w:eastAsia="宋体" w:cstheme="minorBidi"/>
                <w:b w:val="0"/>
                <w:i w:val="0"/>
                <w:highlight w:val="none"/>
              </w:rPr>
            </w:pPr>
            <w:r>
              <w:rPr>
                <w:rFonts w:hint="eastAsia" w:ascii="Times New Roman" w:hAnsi="Times New Roman" w:eastAsia="宋体" w:cstheme="minorBidi"/>
                <w:b w:val="0"/>
                <w:i w:val="0"/>
                <w:highlight w:val="none"/>
              </w:rPr>
              <w:t>3</w:t>
            </w:r>
          </w:p>
        </w:tc>
        <w:tc>
          <w:tcPr>
            <w:tcW w:w="3604"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9DED33F">
            <w:pPr>
              <w:pStyle w:val="53"/>
              <w:rPr>
                <w:rFonts w:cstheme="minorBidi"/>
                <w:b w:val="0"/>
                <w:highlight w:val="none"/>
              </w:rPr>
            </w:pPr>
            <w:r>
              <w:rPr>
                <w:rFonts w:hint="eastAsia" w:cstheme="minorBidi"/>
                <w:b w:val="0"/>
                <w:highlight w:val="none"/>
              </w:rPr>
              <w:t>现场具备吊机及运输车辆的行驶条件</w:t>
            </w:r>
          </w:p>
        </w:tc>
      </w:tr>
      <w:tr w14:paraId="7B9571A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1395"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08D4096B">
            <w:pPr>
              <w:pStyle w:val="53"/>
              <w:rPr>
                <w:rFonts w:ascii="Times New Roman" w:hAnsi="Times New Roman" w:eastAsia="宋体" w:cstheme="minorBidi"/>
                <w:b w:val="0"/>
                <w:i w:val="0"/>
                <w:highlight w:val="none"/>
              </w:rPr>
            </w:pPr>
            <w:r>
              <w:rPr>
                <w:rFonts w:hint="eastAsia" w:ascii="Times New Roman" w:hAnsi="Times New Roman" w:eastAsia="宋体" w:cstheme="minorBidi"/>
                <w:b w:val="0"/>
                <w:i w:val="0"/>
                <w:highlight w:val="none"/>
              </w:rPr>
              <w:t>4</w:t>
            </w:r>
          </w:p>
        </w:tc>
        <w:tc>
          <w:tcPr>
            <w:tcW w:w="3604" w:type="pct"/>
            <w:tcBorders>
              <w:top w:val="single" w:color="000000" w:sz="4" w:space="0"/>
              <w:left w:val="single" w:color="000000" w:sz="4" w:space="0"/>
              <w:bottom w:val="single" w:color="000000" w:sz="12" w:space="0"/>
              <w:right w:val="single" w:color="000000" w:sz="12" w:space="0"/>
            </w:tcBorders>
            <w:shd w:val="clear" w:color="auto" w:fill="FFFFFF"/>
            <w:vAlign w:val="center"/>
          </w:tcPr>
          <w:p w14:paraId="7670A955">
            <w:pPr>
              <w:pStyle w:val="53"/>
              <w:rPr>
                <w:rFonts w:cstheme="minorBidi"/>
                <w:b w:val="0"/>
                <w:highlight w:val="none"/>
              </w:rPr>
            </w:pPr>
            <w:r>
              <w:rPr>
                <w:rFonts w:hint="eastAsia" w:cstheme="minorBidi"/>
                <w:b w:val="0"/>
                <w:highlight w:val="none"/>
              </w:rPr>
              <w:t>现场具备辅助吊机支设的场地及塔机拼装场地</w:t>
            </w:r>
          </w:p>
        </w:tc>
      </w:tr>
    </w:tbl>
    <w:p w14:paraId="2CB6E487">
      <w:pPr>
        <w:pStyle w:val="7"/>
        <w:bidi w:val="0"/>
        <w:ind w:left="864" w:leftChars="0" w:hanging="864" w:firstLineChars="0"/>
        <w:rPr>
          <w:rFonts w:hint="eastAsia"/>
          <w:highlight w:val="none"/>
        </w:rPr>
      </w:pPr>
      <w:r>
        <w:rPr>
          <w:rFonts w:hint="eastAsia"/>
          <w:highlight w:val="none"/>
        </w:rPr>
        <w:t>安装基础节</w:t>
      </w:r>
    </w:p>
    <w:p w14:paraId="0F0DF184">
      <w:pPr>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rFonts w:hint="eastAsia"/>
          <w:highlight w:val="none"/>
        </w:rPr>
        <w:t>基础节吊装采用四点吊，基础节以顶部四个销轴孔作为吊装孔，采用4根20mm6×19S+FC1870Mpa的钢丝绳配套GB/T 25854-6-DW10卸扣进行吊装。</w:t>
      </w:r>
    </w:p>
    <w:p w14:paraId="7E0BD146">
      <w:pPr>
        <w:ind w:firstLine="48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作业人员在地面上先将钢丝绳一端挂在吊机吊钩，另一端与卸扣连接，卸扣与吊装孔连接，并在基础节立杆上栓好2根溜绳。启动吊机，将基础节缓慢提升，用溜绳控制其摆动。起吊基础节至塔吊固定支腿上方，吊机缓慢落钩，直至基础节底部销轴孔与预埋固定支腿轴孔对齐，作业人员插入与预埋固定支腿的连接销轴，完成基础节与固定支腿的连接，并在销轴端部插入开口销固定。基础节吊装示意如下图所示</w:t>
      </w:r>
    </w:p>
    <w:p w14:paraId="3AF3557D">
      <w:pPr>
        <w:pStyle w:val="40"/>
        <w:ind w:firstLine="0" w:firstLineChars="0"/>
        <w:jc w:val="center"/>
        <w:rPr>
          <w:highlight w:val="none"/>
        </w:rPr>
      </w:pPr>
      <w:r>
        <w:rPr>
          <w:highlight w:val="none"/>
        </w:rPr>
        <w:drawing>
          <wp:inline distT="0" distB="0" distL="114300" distR="114300">
            <wp:extent cx="5273040" cy="3521710"/>
            <wp:effectExtent l="0" t="0" r="3810" b="2540"/>
            <wp:docPr id="14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9"/>
                    <pic:cNvPicPr>
                      <a:picLocks noChangeAspect="1"/>
                    </pic:cNvPicPr>
                  </pic:nvPicPr>
                  <pic:blipFill>
                    <a:blip r:embed="rId110"/>
                    <a:stretch>
                      <a:fillRect/>
                    </a:stretch>
                  </pic:blipFill>
                  <pic:spPr>
                    <a:xfrm>
                      <a:off x="0" y="0"/>
                      <a:ext cx="5273040" cy="3521710"/>
                    </a:xfrm>
                    <a:prstGeom prst="rect">
                      <a:avLst/>
                    </a:prstGeom>
                    <a:noFill/>
                    <a:ln>
                      <a:noFill/>
                    </a:ln>
                  </pic:spPr>
                </pic:pic>
              </a:graphicData>
            </a:graphic>
          </wp:inline>
        </w:drawing>
      </w:r>
    </w:p>
    <w:p w14:paraId="48610107">
      <w:pPr>
        <w:ind w:firstLine="480"/>
        <w:jc w:val="center"/>
        <w:rPr>
          <w:highlight w:val="none"/>
        </w:rPr>
      </w:pPr>
      <w:r>
        <w:rPr>
          <w:rFonts w:hint="eastAsia"/>
          <w:highlight w:val="none"/>
        </w:rPr>
        <w:t>图4.5.2.2</w:t>
      </w:r>
      <w:r>
        <w:rPr>
          <w:rFonts w:hint="eastAsia"/>
          <w:highlight w:val="none"/>
        </w:rPr>
        <w:noBreakHyphen/>
      </w:r>
      <w:r>
        <w:rPr>
          <w:rFonts w:hint="eastAsia"/>
          <w:highlight w:val="none"/>
        </w:rPr>
        <w:t>1   4#塔机基础节吊装立面示意图</w:t>
      </w:r>
    </w:p>
    <w:p w14:paraId="198C5386">
      <w:pPr>
        <w:pStyle w:val="40"/>
        <w:ind w:firstLine="480"/>
        <w:jc w:val="center"/>
        <w:rPr>
          <w:color w:val="auto"/>
          <w:kern w:val="2"/>
          <w:sz w:val="24"/>
          <w:szCs w:val="21"/>
          <w:highlight w:val="none"/>
        </w:rPr>
      </w:pPr>
      <w:r>
        <w:rPr>
          <w:highlight w:val="none"/>
        </w:rPr>
        <w:drawing>
          <wp:inline distT="0" distB="0" distL="114300" distR="114300">
            <wp:extent cx="5269865" cy="2360295"/>
            <wp:effectExtent l="0" t="0" r="6985" b="1905"/>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111"/>
                    <a:stretch>
                      <a:fillRect/>
                    </a:stretch>
                  </pic:blipFill>
                  <pic:spPr>
                    <a:xfrm>
                      <a:off x="0" y="0"/>
                      <a:ext cx="5269865" cy="2360295"/>
                    </a:xfrm>
                    <a:prstGeom prst="rect">
                      <a:avLst/>
                    </a:prstGeom>
                    <a:noFill/>
                    <a:ln>
                      <a:noFill/>
                    </a:ln>
                  </pic:spPr>
                </pic:pic>
              </a:graphicData>
            </a:graphic>
          </wp:inline>
        </w:drawing>
      </w:r>
      <w:r>
        <w:rPr>
          <w:rFonts w:hint="eastAsia"/>
          <w:color w:val="auto"/>
          <w:kern w:val="2"/>
          <w:sz w:val="24"/>
          <w:szCs w:val="21"/>
          <w:highlight w:val="none"/>
        </w:rPr>
        <w:t>图4.5.2.2</w:t>
      </w:r>
      <w:r>
        <w:rPr>
          <w:rFonts w:hint="eastAsia"/>
          <w:color w:val="auto"/>
          <w:kern w:val="2"/>
          <w:sz w:val="24"/>
          <w:szCs w:val="21"/>
          <w:highlight w:val="none"/>
        </w:rPr>
        <w:noBreakHyphen/>
      </w:r>
      <w:r>
        <w:rPr>
          <w:rFonts w:hint="eastAsia"/>
          <w:color w:val="auto"/>
          <w:kern w:val="2"/>
          <w:sz w:val="24"/>
          <w:szCs w:val="21"/>
          <w:highlight w:val="none"/>
        </w:rPr>
        <w:t>2    4#塔机基础节吊装平面示意图</w:t>
      </w:r>
    </w:p>
    <w:p w14:paraId="73CF2B38">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作业人员通过基础节爬梯爬至基础节顶部，系挂好安全带，站立在基础节横杆上，吊机放松吊钩，作业人员解除卸扣与基础节的连接，完成基础节（S</w:t>
      </w:r>
      <w:r>
        <w:rPr>
          <w:highlight w:val="none"/>
        </w:rPr>
        <w:t>6</w:t>
      </w:r>
      <w:r>
        <w:rPr>
          <w:rFonts w:hint="eastAsia"/>
          <w:highlight w:val="none"/>
          <w:lang w:val="en-US" w:eastAsia="zh-CN"/>
        </w:rPr>
        <w:t>8</w:t>
      </w:r>
      <w:r>
        <w:rPr>
          <w:highlight w:val="none"/>
        </w:rPr>
        <w:t>JT</w:t>
      </w:r>
      <w:r>
        <w:rPr>
          <w:rFonts w:hint="eastAsia"/>
          <w:highlight w:val="none"/>
        </w:rPr>
        <w:t>）的安装。采用同样步骤完成一节标准节安装。</w:t>
      </w:r>
    </w:p>
    <w:p w14:paraId="13638C2D">
      <w:pPr>
        <w:ind w:firstLine="480"/>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rFonts w:hint="eastAsia"/>
          <w:highlight w:val="none"/>
        </w:rPr>
        <w:t>塔吊基础节、标准节安装时设置警戒区，起吊安排专人负责指挥，专人操作，严禁无关人员进入起重作业范围内。基础节、标准节吊装后采</w:t>
      </w:r>
      <w:r>
        <w:rPr>
          <w:highlight w:val="none"/>
        </w:rPr>
        <w:t>用</w:t>
      </w:r>
      <w:r>
        <w:rPr>
          <w:rFonts w:hint="eastAsia"/>
          <w:highlight w:val="none"/>
        </w:rPr>
        <w:t>垂</w:t>
      </w:r>
      <w:r>
        <w:rPr>
          <w:highlight w:val="none"/>
        </w:rPr>
        <w:t>线法检查其垂直度，主弦杆四个侧面的垂直度误差应不大于 1.5/1000。</w:t>
      </w:r>
    </w:p>
    <w:p w14:paraId="549CFA64">
      <w:pPr>
        <w:pStyle w:val="16"/>
        <w:rPr>
          <w:rFonts w:hint="eastAsia"/>
          <w:highlight w:val="none"/>
          <w:lang w:val="en-US" w:eastAsia="zh-CN"/>
        </w:rPr>
      </w:pPr>
      <w:r>
        <w:rPr>
          <w:rFonts w:hint="eastAsia"/>
          <w:highlight w:val="none"/>
          <w:lang w:val="en-US" w:eastAsia="zh-CN"/>
        </w:rPr>
        <w:t>注意：</w:t>
      </w:r>
    </w:p>
    <w:p w14:paraId="1DA914D8">
      <w:pPr>
        <w:pStyle w:val="16"/>
        <w:numPr>
          <w:ilvl w:val="0"/>
          <w:numId w:val="27"/>
        </w:numPr>
        <w:ind w:left="425" w:leftChars="0" w:hanging="425" w:firstLineChars="0"/>
        <w:rPr>
          <w:rFonts w:hint="eastAsia"/>
          <w:highlight w:val="none"/>
          <w:lang w:val="en-US" w:eastAsia="zh-CN"/>
        </w:rPr>
      </w:pPr>
      <w:r>
        <w:rPr>
          <w:rFonts w:hint="eastAsia"/>
          <w:highlight w:val="none"/>
          <w:lang w:val="en-US" w:eastAsia="zh-CN"/>
        </w:rPr>
        <w:t>测量基础节的各项尺寸，如边长、高度、螺栓孔间距等，应符合设计要求，允许偏差在规定范围内。</w:t>
      </w:r>
    </w:p>
    <w:p w14:paraId="11B856AE">
      <w:pPr>
        <w:pStyle w:val="16"/>
        <w:numPr>
          <w:ilvl w:val="0"/>
          <w:numId w:val="27"/>
        </w:numPr>
        <w:ind w:left="425" w:leftChars="0" w:hanging="425" w:firstLineChars="0"/>
        <w:rPr>
          <w:rFonts w:hint="eastAsia" w:eastAsia="宋体"/>
          <w:highlight w:val="none"/>
          <w:lang w:val="en-US" w:eastAsia="zh-CN"/>
        </w:rPr>
      </w:pPr>
      <w:r>
        <w:rPr>
          <w:rFonts w:hint="eastAsia" w:eastAsia="宋体"/>
          <w:highlight w:val="none"/>
          <w:lang w:val="en-US" w:eastAsia="zh-CN"/>
        </w:rPr>
        <w:t>使用水平仪测量基础节的水平度，其水平度偏差通常不超过规定值。</w:t>
      </w:r>
    </w:p>
    <w:p w14:paraId="53CD6F69">
      <w:pPr>
        <w:pStyle w:val="16"/>
        <w:numPr>
          <w:ilvl w:val="0"/>
          <w:numId w:val="27"/>
        </w:numPr>
        <w:ind w:left="425" w:leftChars="0" w:hanging="425" w:firstLineChars="0"/>
        <w:rPr>
          <w:rFonts w:hint="eastAsia" w:eastAsia="宋体"/>
          <w:highlight w:val="none"/>
          <w:lang w:val="en-US" w:eastAsia="zh-CN"/>
        </w:rPr>
      </w:pPr>
      <w:r>
        <w:rPr>
          <w:rFonts w:hint="eastAsia"/>
          <w:highlight w:val="none"/>
          <w:lang w:val="en-US" w:eastAsia="zh-CN"/>
        </w:rPr>
        <w:t>用</w:t>
      </w:r>
      <w:r>
        <w:rPr>
          <w:rFonts w:hint="eastAsia" w:eastAsia="宋体"/>
          <w:highlight w:val="none"/>
          <w:lang w:val="en-US" w:eastAsia="zh-CN"/>
        </w:rPr>
        <w:t>销轴连接，检查销轴的安装是否到位，开口销是否齐全且开口符合要求。</w:t>
      </w:r>
    </w:p>
    <w:p w14:paraId="686B7E85">
      <w:pPr>
        <w:pStyle w:val="16"/>
        <w:numPr>
          <w:ilvl w:val="0"/>
          <w:numId w:val="27"/>
        </w:numPr>
        <w:ind w:left="425" w:leftChars="0" w:hanging="425" w:firstLineChars="0"/>
        <w:rPr>
          <w:rFonts w:hint="eastAsia"/>
          <w:highlight w:val="none"/>
          <w:lang w:val="en-US" w:eastAsia="zh-CN"/>
        </w:rPr>
      </w:pPr>
      <w:r>
        <w:rPr>
          <w:rFonts w:hint="eastAsia"/>
          <w:highlight w:val="none"/>
          <w:lang w:val="en-US" w:eastAsia="zh-CN"/>
        </w:rPr>
        <w:t>检测接地电阻值，应符合塔式起重机的安全要求，一般不大于规定值。同时检查接地极的安装是否牢固，接地线有无破损、断裂等情况。</w:t>
      </w:r>
    </w:p>
    <w:p w14:paraId="12DC6BF7">
      <w:pPr>
        <w:pStyle w:val="16"/>
        <w:numPr>
          <w:ilvl w:val="0"/>
          <w:numId w:val="27"/>
        </w:numPr>
        <w:ind w:left="425" w:leftChars="0" w:hanging="425" w:firstLineChars="0"/>
        <w:rPr>
          <w:highlight w:val="none"/>
        </w:rPr>
      </w:pPr>
      <w:r>
        <w:rPr>
          <w:rFonts w:hint="eastAsia"/>
          <w:highlight w:val="none"/>
          <w:lang w:val="en-US" w:eastAsia="zh-CN"/>
        </w:rPr>
        <w:t>查看基础节上的电气线路是否布置整齐、固定可靠，有无破损、漏电等隐患。</w:t>
      </w:r>
    </w:p>
    <w:p w14:paraId="24DCCC0D">
      <w:pPr>
        <w:pStyle w:val="5"/>
        <w:bidi w:val="0"/>
        <w:ind w:left="864" w:leftChars="0" w:hanging="864" w:firstLineChars="0"/>
        <w:rPr>
          <w:highlight w:val="none"/>
        </w:rPr>
      </w:pPr>
      <w:r>
        <w:rPr>
          <w:rFonts w:hint="eastAsia"/>
          <w:highlight w:val="none"/>
        </w:rPr>
        <w:t>安装</w:t>
      </w:r>
      <w:r>
        <w:rPr>
          <w:rFonts w:hint="eastAsia"/>
          <w:highlight w:val="none"/>
          <w:lang w:val="en-US" w:eastAsia="zh-CN"/>
        </w:rPr>
        <w:t>一节标准节</w:t>
      </w:r>
    </w:p>
    <w:p w14:paraId="7E5701FE">
      <w:pPr>
        <w:ind w:firstLine="480"/>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）标准节</w:t>
      </w:r>
      <w:r>
        <w:rPr>
          <w:rFonts w:hint="eastAsia"/>
          <w:highlight w:val="none"/>
        </w:rPr>
        <w:t>吊装采用四点吊，</w:t>
      </w:r>
      <w:r>
        <w:rPr>
          <w:rFonts w:hint="eastAsia"/>
          <w:highlight w:val="none"/>
          <w:lang w:eastAsia="zh-CN"/>
        </w:rPr>
        <w:t>标准节</w:t>
      </w:r>
      <w:r>
        <w:rPr>
          <w:rFonts w:hint="eastAsia"/>
          <w:highlight w:val="none"/>
        </w:rPr>
        <w:t>以顶部四个销轴孔作为吊装孔，采用4根20mm6×19S+FC1870Mpa的钢丝绳配套GB/T 25854-6-DW10卸扣进行吊装。</w:t>
      </w:r>
    </w:p>
    <w:p w14:paraId="12934B21">
      <w:pPr>
        <w:ind w:firstLine="48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作业人员在地面上先将钢丝绳一端挂在吊机吊钩，另一端与卸扣连接，卸扣与吊装孔连接，并在</w:t>
      </w:r>
      <w:r>
        <w:rPr>
          <w:rFonts w:hint="eastAsia"/>
          <w:highlight w:val="none"/>
          <w:lang w:eastAsia="zh-CN"/>
        </w:rPr>
        <w:t>标准节</w:t>
      </w:r>
      <w:r>
        <w:rPr>
          <w:rFonts w:hint="eastAsia"/>
          <w:highlight w:val="none"/>
        </w:rPr>
        <w:t>立杆上栓好2根溜绳。启动吊机，将</w:t>
      </w:r>
      <w:r>
        <w:rPr>
          <w:rFonts w:hint="eastAsia"/>
          <w:highlight w:val="none"/>
          <w:lang w:eastAsia="zh-CN"/>
        </w:rPr>
        <w:t>标准节</w:t>
      </w:r>
      <w:r>
        <w:rPr>
          <w:rFonts w:hint="eastAsia"/>
          <w:highlight w:val="none"/>
        </w:rPr>
        <w:t>缓慢提升，用溜绳控制其摆动。起吊</w:t>
      </w:r>
      <w:r>
        <w:rPr>
          <w:rFonts w:hint="eastAsia"/>
          <w:highlight w:val="none"/>
          <w:lang w:eastAsia="zh-CN"/>
        </w:rPr>
        <w:t>标准节</w:t>
      </w:r>
      <w:r>
        <w:rPr>
          <w:rFonts w:hint="eastAsia"/>
          <w:highlight w:val="none"/>
        </w:rPr>
        <w:t>至塔吊</w:t>
      </w:r>
      <w:r>
        <w:rPr>
          <w:rFonts w:hint="eastAsia"/>
          <w:highlight w:val="none"/>
          <w:lang w:val="en-US" w:eastAsia="zh-CN"/>
        </w:rPr>
        <w:t>基础节</w:t>
      </w:r>
      <w:r>
        <w:rPr>
          <w:rFonts w:hint="eastAsia"/>
          <w:highlight w:val="none"/>
        </w:rPr>
        <w:t>上方，吊机缓慢落钩，直至</w:t>
      </w:r>
      <w:r>
        <w:rPr>
          <w:rFonts w:hint="eastAsia"/>
          <w:highlight w:val="none"/>
          <w:lang w:eastAsia="zh-CN"/>
        </w:rPr>
        <w:t>标准节</w:t>
      </w:r>
      <w:r>
        <w:rPr>
          <w:rFonts w:hint="eastAsia"/>
          <w:highlight w:val="none"/>
        </w:rPr>
        <w:t>底部销轴孔与</w:t>
      </w:r>
      <w:r>
        <w:rPr>
          <w:rFonts w:hint="eastAsia"/>
          <w:highlight w:val="none"/>
          <w:lang w:val="en-US" w:eastAsia="zh-CN"/>
        </w:rPr>
        <w:t>基础节</w:t>
      </w:r>
      <w:r>
        <w:rPr>
          <w:rFonts w:hint="eastAsia"/>
          <w:highlight w:val="none"/>
        </w:rPr>
        <w:t>轴孔对齐，作业人员插入与</w:t>
      </w:r>
      <w:r>
        <w:rPr>
          <w:rFonts w:hint="eastAsia"/>
          <w:highlight w:val="none"/>
          <w:lang w:val="en-US" w:eastAsia="zh-CN"/>
        </w:rPr>
        <w:t>基础节</w:t>
      </w:r>
      <w:r>
        <w:rPr>
          <w:rFonts w:hint="eastAsia"/>
          <w:highlight w:val="none"/>
        </w:rPr>
        <w:t>的连接销轴，完成</w:t>
      </w:r>
      <w:r>
        <w:rPr>
          <w:rFonts w:hint="eastAsia"/>
          <w:highlight w:val="none"/>
          <w:lang w:eastAsia="zh-CN"/>
        </w:rPr>
        <w:t>标准节</w:t>
      </w:r>
      <w:r>
        <w:rPr>
          <w:rFonts w:hint="eastAsia"/>
          <w:highlight w:val="none"/>
        </w:rPr>
        <w:t>与</w:t>
      </w:r>
      <w:r>
        <w:rPr>
          <w:rFonts w:hint="eastAsia"/>
          <w:highlight w:val="none"/>
          <w:lang w:val="en-US" w:eastAsia="zh-CN"/>
        </w:rPr>
        <w:t>基础节</w:t>
      </w:r>
      <w:r>
        <w:rPr>
          <w:rFonts w:hint="eastAsia"/>
          <w:highlight w:val="none"/>
        </w:rPr>
        <w:t>的连接，并在销轴端部插入开口销固定。</w:t>
      </w:r>
      <w:r>
        <w:rPr>
          <w:rFonts w:hint="eastAsia"/>
          <w:highlight w:val="none"/>
          <w:lang w:eastAsia="zh-CN"/>
        </w:rPr>
        <w:t>标准节</w:t>
      </w:r>
      <w:r>
        <w:rPr>
          <w:rFonts w:hint="eastAsia"/>
          <w:highlight w:val="none"/>
        </w:rPr>
        <w:t>吊装示意如下图所示</w:t>
      </w:r>
    </w:p>
    <w:p w14:paraId="08648CF0">
      <w:pPr>
        <w:pStyle w:val="40"/>
        <w:ind w:firstLine="0" w:firstLineChars="0"/>
        <w:jc w:val="center"/>
        <w:rPr>
          <w:highlight w:val="none"/>
        </w:rPr>
      </w:pPr>
      <w:r>
        <w:rPr>
          <w:highlight w:val="none"/>
        </w:rPr>
        <w:drawing>
          <wp:inline distT="0" distB="0" distL="114300" distR="114300">
            <wp:extent cx="4699635" cy="3349625"/>
            <wp:effectExtent l="0" t="0" r="0" b="0"/>
            <wp:docPr id="1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7"/>
                    <pic:cNvPicPr>
                      <a:picLocks noChangeAspect="1"/>
                    </pic:cNvPicPr>
                  </pic:nvPicPr>
                  <pic:blipFill>
                    <a:blip r:embed="rId112"/>
                    <a:srcRect r="-886" b="10152"/>
                    <a:stretch>
                      <a:fillRect/>
                    </a:stretch>
                  </pic:blipFill>
                  <pic:spPr>
                    <a:xfrm>
                      <a:off x="0" y="0"/>
                      <a:ext cx="4699635" cy="3349625"/>
                    </a:xfrm>
                    <a:prstGeom prst="rect">
                      <a:avLst/>
                    </a:prstGeom>
                    <a:noFill/>
                    <a:ln>
                      <a:noFill/>
                    </a:ln>
                  </pic:spPr>
                </pic:pic>
              </a:graphicData>
            </a:graphic>
          </wp:inline>
        </w:drawing>
      </w:r>
    </w:p>
    <w:p w14:paraId="3A00E195">
      <w:pPr>
        <w:ind w:firstLine="480"/>
        <w:jc w:val="center"/>
        <w:rPr>
          <w:highlight w:val="none"/>
        </w:rPr>
      </w:pPr>
      <w:r>
        <w:rPr>
          <w:rFonts w:hint="eastAsia"/>
          <w:highlight w:val="none"/>
        </w:rPr>
        <w:t>图4.5.</w:t>
      </w:r>
      <w:r>
        <w:rPr>
          <w:rFonts w:hint="eastAsia"/>
          <w:highlight w:val="none"/>
          <w:lang w:val="en-US" w:eastAsia="zh-CN"/>
        </w:rPr>
        <w:t>3</w:t>
      </w:r>
      <w:r>
        <w:rPr>
          <w:rFonts w:hint="eastAsia"/>
          <w:highlight w:val="none"/>
        </w:rPr>
        <w:noBreakHyphen/>
      </w:r>
      <w:r>
        <w:rPr>
          <w:rFonts w:hint="eastAsia"/>
          <w:highlight w:val="none"/>
        </w:rPr>
        <w:t>1   4#塔机</w:t>
      </w:r>
      <w:r>
        <w:rPr>
          <w:rFonts w:hint="eastAsia"/>
          <w:highlight w:val="none"/>
          <w:lang w:eastAsia="zh-CN"/>
        </w:rPr>
        <w:t>标准节</w:t>
      </w:r>
      <w:r>
        <w:rPr>
          <w:rFonts w:hint="eastAsia"/>
          <w:highlight w:val="none"/>
        </w:rPr>
        <w:t>吊装立面示意图</w:t>
      </w:r>
    </w:p>
    <w:p w14:paraId="0ECAC46D">
      <w:pPr>
        <w:pStyle w:val="40"/>
        <w:ind w:firstLine="480"/>
        <w:jc w:val="center"/>
        <w:rPr>
          <w:color w:val="auto"/>
          <w:kern w:val="2"/>
          <w:sz w:val="24"/>
          <w:szCs w:val="21"/>
          <w:highlight w:val="none"/>
        </w:rPr>
      </w:pPr>
      <w:r>
        <w:rPr>
          <w:highlight w:val="none"/>
        </w:rPr>
        <w:drawing>
          <wp:inline distT="0" distB="0" distL="114300" distR="114300">
            <wp:extent cx="5269865" cy="2360295"/>
            <wp:effectExtent l="0" t="0" r="6985" b="1905"/>
            <wp:docPr id="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7"/>
                    <pic:cNvPicPr>
                      <a:picLocks noChangeAspect="1"/>
                    </pic:cNvPicPr>
                  </pic:nvPicPr>
                  <pic:blipFill>
                    <a:blip r:embed="rId111"/>
                    <a:stretch>
                      <a:fillRect/>
                    </a:stretch>
                  </pic:blipFill>
                  <pic:spPr>
                    <a:xfrm>
                      <a:off x="0" y="0"/>
                      <a:ext cx="5269865" cy="2360295"/>
                    </a:xfrm>
                    <a:prstGeom prst="rect">
                      <a:avLst/>
                    </a:prstGeom>
                    <a:noFill/>
                    <a:ln>
                      <a:noFill/>
                    </a:ln>
                  </pic:spPr>
                </pic:pic>
              </a:graphicData>
            </a:graphic>
          </wp:inline>
        </w:drawing>
      </w:r>
      <w:r>
        <w:rPr>
          <w:rFonts w:hint="eastAsia"/>
          <w:color w:val="auto"/>
          <w:kern w:val="2"/>
          <w:sz w:val="24"/>
          <w:szCs w:val="21"/>
          <w:highlight w:val="none"/>
        </w:rPr>
        <w:t>图4.5.</w:t>
      </w:r>
      <w:r>
        <w:rPr>
          <w:rFonts w:hint="eastAsia"/>
          <w:color w:val="auto"/>
          <w:kern w:val="2"/>
          <w:sz w:val="24"/>
          <w:szCs w:val="21"/>
          <w:highlight w:val="none"/>
          <w:lang w:val="en-US" w:eastAsia="zh-CN"/>
        </w:rPr>
        <w:t>3-2</w:t>
      </w:r>
      <w:r>
        <w:rPr>
          <w:rFonts w:hint="eastAsia"/>
          <w:color w:val="auto"/>
          <w:kern w:val="2"/>
          <w:sz w:val="24"/>
          <w:szCs w:val="21"/>
          <w:highlight w:val="none"/>
        </w:rPr>
        <w:t xml:space="preserve">    4#塔机</w:t>
      </w:r>
      <w:r>
        <w:rPr>
          <w:rFonts w:hint="eastAsia"/>
          <w:color w:val="auto"/>
          <w:kern w:val="2"/>
          <w:sz w:val="24"/>
          <w:szCs w:val="21"/>
          <w:highlight w:val="none"/>
          <w:lang w:eastAsia="zh-CN"/>
        </w:rPr>
        <w:t>标准节</w:t>
      </w:r>
      <w:r>
        <w:rPr>
          <w:rFonts w:hint="eastAsia"/>
          <w:color w:val="auto"/>
          <w:kern w:val="2"/>
          <w:sz w:val="24"/>
          <w:szCs w:val="21"/>
          <w:highlight w:val="none"/>
        </w:rPr>
        <w:t>吊装平面示意图</w:t>
      </w:r>
    </w:p>
    <w:p w14:paraId="45F8B946">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作业人员通过</w:t>
      </w:r>
      <w:r>
        <w:rPr>
          <w:rFonts w:hint="eastAsia"/>
          <w:highlight w:val="none"/>
          <w:lang w:eastAsia="zh-CN"/>
        </w:rPr>
        <w:t>标准节</w:t>
      </w:r>
      <w:r>
        <w:rPr>
          <w:rFonts w:hint="eastAsia"/>
          <w:highlight w:val="none"/>
        </w:rPr>
        <w:t>爬梯爬至</w:t>
      </w:r>
      <w:r>
        <w:rPr>
          <w:rFonts w:hint="eastAsia"/>
          <w:highlight w:val="none"/>
          <w:lang w:eastAsia="zh-CN"/>
        </w:rPr>
        <w:t>标准节</w:t>
      </w:r>
      <w:r>
        <w:rPr>
          <w:rFonts w:hint="eastAsia"/>
          <w:highlight w:val="none"/>
        </w:rPr>
        <w:t>顶部，系挂好安全带，站立在</w:t>
      </w:r>
      <w:r>
        <w:rPr>
          <w:rFonts w:hint="eastAsia"/>
          <w:highlight w:val="none"/>
          <w:lang w:eastAsia="zh-CN"/>
        </w:rPr>
        <w:t>标准节</w:t>
      </w:r>
      <w:r>
        <w:rPr>
          <w:rFonts w:hint="eastAsia"/>
          <w:highlight w:val="none"/>
        </w:rPr>
        <w:t>横杆上，吊机放松吊钩，作业人员解除卸扣与</w:t>
      </w:r>
      <w:r>
        <w:rPr>
          <w:rFonts w:hint="eastAsia"/>
          <w:highlight w:val="none"/>
          <w:lang w:eastAsia="zh-CN"/>
        </w:rPr>
        <w:t>标准节</w:t>
      </w:r>
      <w:r>
        <w:rPr>
          <w:rFonts w:hint="eastAsia"/>
          <w:highlight w:val="none"/>
        </w:rPr>
        <w:t>的连接，完成</w:t>
      </w:r>
      <w:r>
        <w:rPr>
          <w:rFonts w:hint="eastAsia"/>
          <w:highlight w:val="none"/>
          <w:lang w:eastAsia="zh-CN"/>
        </w:rPr>
        <w:t>标准节</w:t>
      </w:r>
      <w:r>
        <w:rPr>
          <w:rFonts w:hint="eastAsia"/>
          <w:highlight w:val="none"/>
        </w:rPr>
        <w:t>（S</w:t>
      </w:r>
      <w:r>
        <w:rPr>
          <w:highlight w:val="none"/>
        </w:rPr>
        <w:t>6</w:t>
      </w:r>
      <w:r>
        <w:rPr>
          <w:rFonts w:hint="eastAsia"/>
          <w:highlight w:val="none"/>
          <w:lang w:val="en-US" w:eastAsia="zh-CN"/>
        </w:rPr>
        <w:t>8</w:t>
      </w:r>
      <w:r>
        <w:rPr>
          <w:highlight w:val="none"/>
        </w:rPr>
        <w:t>JT</w:t>
      </w:r>
      <w:r>
        <w:rPr>
          <w:rFonts w:hint="eastAsia"/>
          <w:highlight w:val="none"/>
        </w:rPr>
        <w:t>）的安装。塔吊</w:t>
      </w:r>
      <w:r>
        <w:rPr>
          <w:rFonts w:hint="eastAsia"/>
          <w:highlight w:val="none"/>
          <w:lang w:eastAsia="zh-CN"/>
        </w:rPr>
        <w:t>标准节</w:t>
      </w:r>
      <w:r>
        <w:rPr>
          <w:rFonts w:hint="eastAsia"/>
          <w:highlight w:val="none"/>
        </w:rPr>
        <w:t>、标准节安装时设置警戒区，起吊安排专人负责指挥，专人操作，严禁无关人员进入起重作业范围内。</w:t>
      </w:r>
    </w:p>
    <w:p w14:paraId="7D5EBC9F">
      <w:pPr>
        <w:ind w:firstLine="480"/>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）标准节</w:t>
      </w:r>
      <w:r>
        <w:rPr>
          <w:rFonts w:hint="eastAsia"/>
          <w:highlight w:val="none"/>
        </w:rPr>
        <w:t>吊装后采</w:t>
      </w:r>
      <w:r>
        <w:rPr>
          <w:highlight w:val="none"/>
        </w:rPr>
        <w:t>用</w:t>
      </w:r>
      <w:r>
        <w:rPr>
          <w:rFonts w:hint="eastAsia"/>
          <w:highlight w:val="none"/>
        </w:rPr>
        <w:t>垂</w:t>
      </w:r>
      <w:r>
        <w:rPr>
          <w:highlight w:val="none"/>
        </w:rPr>
        <w:t>线法检查其垂直度，主弦杆四个侧面的垂直度误差应不大于 1.5/1000。</w:t>
      </w:r>
    </w:p>
    <w:p w14:paraId="71C19E2A">
      <w:pPr>
        <w:pStyle w:val="17"/>
        <w:rPr>
          <w:highlight w:val="none"/>
        </w:rPr>
      </w:pPr>
    </w:p>
    <w:p w14:paraId="117C9804">
      <w:pPr>
        <w:pStyle w:val="5"/>
        <w:bidi w:val="0"/>
        <w:ind w:left="0" w:leftChars="0" w:firstLine="0" w:firstLineChars="0"/>
        <w:rPr>
          <w:highlight w:val="none"/>
        </w:rPr>
      </w:pPr>
      <w:r>
        <w:rPr>
          <w:rFonts w:hint="eastAsia"/>
          <w:highlight w:val="none"/>
        </w:rPr>
        <w:t>安装套架</w:t>
      </w:r>
    </w:p>
    <w:p w14:paraId="5A9C61D9">
      <w:pPr>
        <w:pStyle w:val="7"/>
        <w:bidi w:val="0"/>
        <w:ind w:left="864" w:leftChars="0" w:hanging="864" w:firstLineChars="0"/>
        <w:rPr>
          <w:highlight w:val="none"/>
        </w:rPr>
      </w:pPr>
      <w:r>
        <w:rPr>
          <w:rFonts w:hint="eastAsia"/>
          <w:highlight w:val="none"/>
        </w:rPr>
        <w:t>安装套架平台</w:t>
      </w:r>
    </w:p>
    <w:p w14:paraId="5F291174">
      <w:pPr>
        <w:ind w:firstLine="480"/>
        <w:jc w:val="left"/>
        <w:rPr>
          <w:highlight w:val="none"/>
        </w:rPr>
      </w:pPr>
      <w:r>
        <w:rPr>
          <w:highlight w:val="none"/>
        </w:rPr>
        <w:t xml:space="preserve">爬升架装有2层含有扶手栏杆的平台:下层包括四个平台，即爬升架每面各一个。上层包括三个平台，即爬升架左右面各一个，后面也有一个，依靠爬梯连接上下两层平台。 </w:t>
      </w:r>
      <w:r>
        <w:rPr>
          <w:rFonts w:hint="eastAsia"/>
          <w:highlight w:val="none"/>
        </w:rPr>
        <w:t xml:space="preserve">       </w:t>
      </w:r>
    </w:p>
    <w:p w14:paraId="5999481C">
      <w:pPr>
        <w:ind w:firstLine="0" w:firstLineChars="0"/>
        <w:jc w:val="center"/>
        <w:rPr>
          <w:highlight w:val="none"/>
        </w:rPr>
      </w:pPr>
      <w:r>
        <w:rPr>
          <w:highlight w:val="none"/>
        </w:rPr>
        <w:drawing>
          <wp:inline distT="0" distB="0" distL="114300" distR="114300">
            <wp:extent cx="3114675" cy="3790950"/>
            <wp:effectExtent l="0" t="0" r="9525" b="0"/>
            <wp:docPr id="9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1"/>
                    <pic:cNvPicPr>
                      <a:picLocks noChangeAspect="1"/>
                    </pic:cNvPicPr>
                  </pic:nvPicPr>
                  <pic:blipFill>
                    <a:blip r:embed="rId59"/>
                    <a:stretch>
                      <a:fillRect/>
                    </a:stretch>
                  </pic:blipFill>
                  <pic:spPr>
                    <a:xfrm>
                      <a:off x="0" y="0"/>
                      <a:ext cx="3114675" cy="3790950"/>
                    </a:xfrm>
                    <a:prstGeom prst="rect">
                      <a:avLst/>
                    </a:prstGeom>
                    <a:noFill/>
                    <a:ln>
                      <a:noFill/>
                    </a:ln>
                  </pic:spPr>
                </pic:pic>
              </a:graphicData>
            </a:graphic>
          </wp:inline>
        </w:drawing>
      </w:r>
    </w:p>
    <w:p w14:paraId="6C574A7F">
      <w:pPr>
        <w:ind w:firstLine="480"/>
        <w:jc w:val="center"/>
        <w:rPr>
          <w:highlight w:val="none"/>
        </w:rPr>
      </w:pPr>
      <w:r>
        <w:rPr>
          <w:highlight w:val="none"/>
        </w:rPr>
        <w:t>图4.</w:t>
      </w:r>
      <w:r>
        <w:rPr>
          <w:rFonts w:hint="eastAsia"/>
          <w:highlight w:val="none"/>
        </w:rPr>
        <w:t>5.</w:t>
      </w:r>
      <w:r>
        <w:rPr>
          <w:rFonts w:hint="eastAsia"/>
          <w:highlight w:val="none"/>
          <w:lang w:val="en-US" w:eastAsia="zh-CN"/>
        </w:rPr>
        <w:t>4</w:t>
      </w:r>
      <w:r>
        <w:rPr>
          <w:rFonts w:hint="eastAsia"/>
          <w:highlight w:val="none"/>
        </w:rPr>
        <w:t>.1-1</w:t>
      </w:r>
      <w:r>
        <w:rPr>
          <w:highlight w:val="none"/>
        </w:rPr>
        <w:t>套架平台示意图</w:t>
      </w:r>
    </w:p>
    <w:p w14:paraId="1FBFC1D2">
      <w:pPr>
        <w:pStyle w:val="7"/>
        <w:bidi w:val="0"/>
        <w:ind w:left="864" w:leftChars="0" w:hanging="864" w:firstLineChars="0"/>
        <w:rPr>
          <w:highlight w:val="none"/>
        </w:rPr>
      </w:pPr>
      <w:r>
        <w:rPr>
          <w:rFonts w:hint="eastAsia"/>
          <w:highlight w:val="none"/>
        </w:rPr>
        <w:t>安装顶升横梁，油缸及液压站</w:t>
      </w:r>
    </w:p>
    <w:p w14:paraId="50F83CD0">
      <w:pPr>
        <w:ind w:firstLine="480"/>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highlight w:val="none"/>
        </w:rPr>
        <w:t>顶升横梁组装:撑脚横梁(1)与脚止动靴(2)连接，插入销轴(3)，选用轴端挡板(5)用螺栓(4)、垫圈(6)紧固。</w:t>
      </w:r>
    </w:p>
    <w:p w14:paraId="69978B34">
      <w:pPr>
        <w:ind w:firstLine="0" w:firstLineChars="0"/>
        <w:jc w:val="center"/>
        <w:rPr>
          <w:highlight w:val="none"/>
        </w:rPr>
      </w:pPr>
      <w:r>
        <w:rPr>
          <w:highlight w:val="none"/>
        </w:rPr>
        <w:drawing>
          <wp:inline distT="0" distB="0" distL="114300" distR="114300">
            <wp:extent cx="3324225" cy="2219325"/>
            <wp:effectExtent l="0" t="0" r="9525" b="9525"/>
            <wp:docPr id="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
                    <pic:cNvPicPr>
                      <a:picLocks noChangeAspect="1"/>
                    </pic:cNvPicPr>
                  </pic:nvPicPr>
                  <pic:blipFill>
                    <a:blip r:embed="rId60"/>
                    <a:stretch>
                      <a:fillRect/>
                    </a:stretch>
                  </pic:blipFill>
                  <pic:spPr>
                    <a:xfrm>
                      <a:off x="0" y="0"/>
                      <a:ext cx="3324225" cy="2219325"/>
                    </a:xfrm>
                    <a:prstGeom prst="rect">
                      <a:avLst/>
                    </a:prstGeom>
                    <a:noFill/>
                    <a:ln>
                      <a:noFill/>
                    </a:ln>
                  </pic:spPr>
                </pic:pic>
              </a:graphicData>
            </a:graphic>
          </wp:inline>
        </w:drawing>
      </w:r>
    </w:p>
    <w:p w14:paraId="204AC5BB">
      <w:pPr>
        <w:ind w:firstLine="480"/>
        <w:jc w:val="left"/>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highlight w:val="none"/>
        </w:rPr>
        <w:t>将吊索绕在顶升横梁(1)上方销孔之间，使用双倍长的吊索以便能更好地引导横梁靠在塔身节的踏步上，将横梁精准定位，使其两侧挂靴挂在踏步上。</w:t>
      </w:r>
    </w:p>
    <w:p w14:paraId="0B434CAC">
      <w:pPr>
        <w:ind w:firstLine="0" w:firstLineChars="0"/>
        <w:jc w:val="center"/>
        <w:rPr>
          <w:highlight w:val="none"/>
        </w:rPr>
      </w:pPr>
      <w:r>
        <w:rPr>
          <w:highlight w:val="none"/>
        </w:rPr>
        <w:drawing>
          <wp:inline distT="0" distB="0" distL="114300" distR="114300">
            <wp:extent cx="3619500" cy="2724150"/>
            <wp:effectExtent l="0" t="0" r="0" b="0"/>
            <wp:docPr id="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3"/>
                    <pic:cNvPicPr>
                      <a:picLocks noChangeAspect="1"/>
                    </pic:cNvPicPr>
                  </pic:nvPicPr>
                  <pic:blipFill>
                    <a:blip r:embed="rId61"/>
                    <a:stretch>
                      <a:fillRect/>
                    </a:stretch>
                  </pic:blipFill>
                  <pic:spPr>
                    <a:xfrm>
                      <a:off x="0" y="0"/>
                      <a:ext cx="3619500" cy="2724150"/>
                    </a:xfrm>
                    <a:prstGeom prst="rect">
                      <a:avLst/>
                    </a:prstGeom>
                    <a:noFill/>
                    <a:ln>
                      <a:noFill/>
                    </a:ln>
                  </pic:spPr>
                </pic:pic>
              </a:graphicData>
            </a:graphic>
          </wp:inline>
        </w:drawing>
      </w:r>
    </w:p>
    <w:p w14:paraId="108952C7">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highlight w:val="none"/>
        </w:rPr>
        <w:t>将吊索绕至油缸(1)。将油缸上方固定在爬升架耳板上，并用销轴(2)和开口销(3)固定。伸出油缸，然后将活塞杆固定在顶升横梁耳板上，并用销轴(4)和开口销(5)固定，如下图所示</w:t>
      </w:r>
      <w:r>
        <w:rPr>
          <w:rFonts w:hint="eastAsia"/>
          <w:highlight w:val="none"/>
        </w:rPr>
        <w:t>：</w:t>
      </w:r>
    </w:p>
    <w:p w14:paraId="5C524CC6">
      <w:pPr>
        <w:ind w:firstLine="480"/>
        <w:rPr>
          <w:highlight w:val="none"/>
        </w:rPr>
      </w:pPr>
      <w:r>
        <w:rPr>
          <w:highlight w:val="none"/>
        </w:rPr>
        <w:drawing>
          <wp:inline distT="0" distB="0" distL="114300" distR="114300">
            <wp:extent cx="4886325" cy="3762375"/>
            <wp:effectExtent l="0" t="0" r="9525" b="9525"/>
            <wp:docPr id="9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4"/>
                    <pic:cNvPicPr>
                      <a:picLocks noChangeAspect="1"/>
                    </pic:cNvPicPr>
                  </pic:nvPicPr>
                  <pic:blipFill>
                    <a:blip r:embed="rId62"/>
                    <a:stretch>
                      <a:fillRect/>
                    </a:stretch>
                  </pic:blipFill>
                  <pic:spPr>
                    <a:xfrm>
                      <a:off x="0" y="0"/>
                      <a:ext cx="4886325" cy="3762375"/>
                    </a:xfrm>
                    <a:prstGeom prst="rect">
                      <a:avLst/>
                    </a:prstGeom>
                    <a:noFill/>
                    <a:ln>
                      <a:noFill/>
                    </a:ln>
                  </pic:spPr>
                </pic:pic>
              </a:graphicData>
            </a:graphic>
          </wp:inline>
        </w:drawing>
      </w:r>
    </w:p>
    <w:p w14:paraId="08254C9C">
      <w:pPr>
        <w:pStyle w:val="7"/>
        <w:bidi w:val="0"/>
        <w:ind w:left="864" w:leftChars="0" w:hanging="864" w:firstLineChars="0"/>
        <w:rPr>
          <w:highlight w:val="none"/>
        </w:rPr>
      </w:pPr>
      <w:r>
        <w:rPr>
          <w:rFonts w:hint="eastAsia"/>
          <w:highlight w:val="none"/>
        </w:rPr>
        <w:t>套架吊装</w:t>
      </w:r>
    </w:p>
    <w:p w14:paraId="33F1E955">
      <w:pPr>
        <w:ind w:firstLine="480"/>
        <w:rPr>
          <w:highlight w:val="none"/>
        </w:rPr>
      </w:pPr>
      <w:r>
        <w:rPr>
          <w:rFonts w:hint="eastAsia" w:ascii="宋体" w:hAnsi="宋体" w:cs="宋体"/>
          <w:highlight w:val="none"/>
          <w:lang w:eastAsia="zh-CN"/>
        </w:rPr>
        <w:t>（</w:t>
      </w:r>
      <w:r>
        <w:rPr>
          <w:rFonts w:hint="eastAsia" w:ascii="宋体" w:hAnsi="宋体" w:cs="宋体"/>
          <w:highlight w:val="none"/>
          <w:lang w:val="en-US" w:eastAsia="zh-CN"/>
        </w:rPr>
        <w:t>1</w:t>
      </w:r>
      <w:r>
        <w:rPr>
          <w:rFonts w:hint="eastAsia" w:ascii="宋体" w:hAnsi="宋体" w:cs="宋体"/>
          <w:highlight w:val="none"/>
          <w:lang w:eastAsia="zh-CN"/>
        </w:rPr>
        <w:t>）</w:t>
      </w:r>
      <w:r>
        <w:rPr>
          <w:rFonts w:hint="eastAsia" w:ascii="宋体" w:hAnsi="宋体" w:cs="宋体"/>
          <w:highlight w:val="none"/>
        </w:rPr>
        <w:t>采用吊机配合人工在地面上将套架架体、平台、顶升横梁、油缸及液压站等拼装成整体，</w:t>
      </w:r>
      <w:r>
        <w:rPr>
          <w:rFonts w:hint="eastAsia"/>
          <w:highlight w:val="none"/>
        </w:rPr>
        <w:t>套架吊装采用四点吊，以套架顶部四个销轴孔作为吊装孔，采用4根20mm6×19S+FC1870Mpa的钢丝绳配套</w:t>
      </w:r>
      <w:r>
        <w:rPr>
          <w:highlight w:val="none"/>
        </w:rPr>
        <w:t>GB/T 25854-6-DW</w:t>
      </w:r>
      <w:r>
        <w:rPr>
          <w:rFonts w:hint="eastAsia"/>
          <w:highlight w:val="none"/>
        </w:rPr>
        <w:t>10卸扣进行吊装。</w:t>
      </w:r>
    </w:p>
    <w:p w14:paraId="336975F0">
      <w:pPr>
        <w:ind w:firstLine="48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作业人员在地面上先将钢丝绳一端挂在吊机吊钩，另一端与卸扣连接，卸扣与吊装孔连接，并在套架立杆上栓好2根溜绳。启动吊机，将套架缓慢提升，用溜绳控制其摆动。起吊套架至</w:t>
      </w:r>
      <w:r>
        <w:rPr>
          <w:rFonts w:hint="eastAsia"/>
          <w:highlight w:val="none"/>
          <w:lang w:val="en-US" w:eastAsia="zh-CN"/>
        </w:rPr>
        <w:t>标准</w:t>
      </w:r>
      <w:r>
        <w:rPr>
          <w:rFonts w:hint="eastAsia"/>
          <w:highlight w:val="none"/>
        </w:rPr>
        <w:t>节上方，吊机缓慢落钩，将套架套入</w:t>
      </w:r>
      <w:r>
        <w:rPr>
          <w:rFonts w:hint="eastAsia"/>
          <w:highlight w:val="none"/>
          <w:lang w:val="en-US" w:eastAsia="zh-CN"/>
        </w:rPr>
        <w:t>标准</w:t>
      </w:r>
      <w:r>
        <w:rPr>
          <w:rFonts w:hint="eastAsia"/>
          <w:highlight w:val="none"/>
        </w:rPr>
        <w:t>节，作业人员通过爬梯爬至</w:t>
      </w:r>
      <w:r>
        <w:rPr>
          <w:rFonts w:hint="eastAsia"/>
          <w:highlight w:val="none"/>
          <w:lang w:val="en-US" w:eastAsia="zh-CN"/>
        </w:rPr>
        <w:t>标准</w:t>
      </w:r>
      <w:r>
        <w:rPr>
          <w:rFonts w:hint="eastAsia"/>
          <w:highlight w:val="none"/>
        </w:rPr>
        <w:t>节对应的套架爬爪处，将安全带系挂在</w:t>
      </w:r>
      <w:r>
        <w:rPr>
          <w:rFonts w:hint="eastAsia"/>
          <w:highlight w:val="none"/>
          <w:lang w:val="en-US" w:eastAsia="zh-CN"/>
        </w:rPr>
        <w:t>标准</w:t>
      </w:r>
      <w:r>
        <w:rPr>
          <w:rFonts w:hint="eastAsia"/>
          <w:highlight w:val="none"/>
        </w:rPr>
        <w:t>节横杆上，将爬爪放在</w:t>
      </w:r>
      <w:r>
        <w:rPr>
          <w:rFonts w:hint="eastAsia"/>
          <w:highlight w:val="none"/>
          <w:lang w:val="en-US" w:eastAsia="zh-CN"/>
        </w:rPr>
        <w:t>标准</w:t>
      </w:r>
      <w:r>
        <w:rPr>
          <w:rFonts w:hint="eastAsia"/>
          <w:highlight w:val="none"/>
        </w:rPr>
        <w:t>节踏步上，并通过安全销固定。套架吊装示意如下图所示。</w:t>
      </w:r>
    </w:p>
    <w:p w14:paraId="161643FE">
      <w:pPr>
        <w:pStyle w:val="17"/>
        <w:ind w:left="0" w:firstLine="0" w:firstLineChars="0"/>
        <w:jc w:val="center"/>
        <w:rPr>
          <w:rFonts w:hint="default"/>
          <w:highlight w:val="none"/>
        </w:rPr>
      </w:pPr>
      <w:r>
        <w:rPr>
          <w:highlight w:val="none"/>
        </w:rPr>
        <w:drawing>
          <wp:inline distT="0" distB="0" distL="114300" distR="114300">
            <wp:extent cx="5073015" cy="3549015"/>
            <wp:effectExtent l="0" t="0" r="13335" b="13335"/>
            <wp:docPr id="15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72"/>
                    <pic:cNvPicPr>
                      <a:picLocks noChangeAspect="1"/>
                    </pic:cNvPicPr>
                  </pic:nvPicPr>
                  <pic:blipFill>
                    <a:blip r:embed="rId113"/>
                    <a:stretch>
                      <a:fillRect/>
                    </a:stretch>
                  </pic:blipFill>
                  <pic:spPr>
                    <a:xfrm>
                      <a:off x="0" y="0"/>
                      <a:ext cx="5073015" cy="3549015"/>
                    </a:xfrm>
                    <a:prstGeom prst="rect">
                      <a:avLst/>
                    </a:prstGeom>
                    <a:noFill/>
                    <a:ln>
                      <a:noFill/>
                    </a:ln>
                  </pic:spPr>
                </pic:pic>
              </a:graphicData>
            </a:graphic>
          </wp:inline>
        </w:drawing>
      </w:r>
    </w:p>
    <w:p w14:paraId="1813246F">
      <w:pPr>
        <w:ind w:firstLine="480"/>
        <w:jc w:val="center"/>
        <w:rPr>
          <w:highlight w:val="none"/>
        </w:rPr>
      </w:pPr>
      <w:r>
        <w:rPr>
          <w:rFonts w:hint="eastAsia"/>
          <w:highlight w:val="none"/>
        </w:rPr>
        <w:t>图 4.5.</w:t>
      </w:r>
      <w:r>
        <w:rPr>
          <w:rFonts w:hint="eastAsia"/>
          <w:highlight w:val="none"/>
          <w:lang w:val="en-US" w:eastAsia="zh-CN"/>
        </w:rPr>
        <w:t>4</w:t>
      </w:r>
      <w:r>
        <w:rPr>
          <w:rFonts w:hint="eastAsia"/>
          <w:highlight w:val="none"/>
        </w:rPr>
        <w:t>.3</w:t>
      </w:r>
      <w:r>
        <w:rPr>
          <w:rFonts w:hint="eastAsia"/>
          <w:highlight w:val="none"/>
        </w:rPr>
        <w:noBreakHyphen/>
      </w:r>
      <w:r>
        <w:rPr>
          <w:rFonts w:hint="eastAsia"/>
          <w:highlight w:val="none"/>
        </w:rPr>
        <w:t>1    4#套架吊装立面示意图</w:t>
      </w:r>
    </w:p>
    <w:p w14:paraId="0D7C5515">
      <w:pPr>
        <w:ind w:left="0" w:leftChars="0" w:firstLine="0" w:firstLineChars="0"/>
        <w:jc w:val="center"/>
        <w:rPr>
          <w:highlight w:val="none"/>
        </w:rPr>
      </w:pPr>
      <w:r>
        <w:rPr>
          <w:highlight w:val="none"/>
        </w:rPr>
        <w:drawing>
          <wp:inline distT="0" distB="0" distL="114300" distR="114300">
            <wp:extent cx="4892675" cy="2191385"/>
            <wp:effectExtent l="0" t="0" r="3175" b="18415"/>
            <wp:docPr id="9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8"/>
                    <pic:cNvPicPr>
                      <a:picLocks noChangeAspect="1"/>
                    </pic:cNvPicPr>
                  </pic:nvPicPr>
                  <pic:blipFill>
                    <a:blip r:embed="rId111"/>
                    <a:stretch>
                      <a:fillRect/>
                    </a:stretch>
                  </pic:blipFill>
                  <pic:spPr>
                    <a:xfrm>
                      <a:off x="0" y="0"/>
                      <a:ext cx="4892675" cy="2191385"/>
                    </a:xfrm>
                    <a:prstGeom prst="rect">
                      <a:avLst/>
                    </a:prstGeom>
                    <a:noFill/>
                    <a:ln>
                      <a:noFill/>
                    </a:ln>
                  </pic:spPr>
                </pic:pic>
              </a:graphicData>
            </a:graphic>
          </wp:inline>
        </w:drawing>
      </w:r>
    </w:p>
    <w:p w14:paraId="136EF653">
      <w:pPr>
        <w:ind w:left="0" w:leftChars="0" w:firstLine="0" w:firstLineChars="0"/>
        <w:jc w:val="center"/>
        <w:rPr>
          <w:highlight w:val="none"/>
        </w:rPr>
      </w:pPr>
      <w:r>
        <w:rPr>
          <w:rFonts w:hint="eastAsia"/>
          <w:highlight w:val="none"/>
        </w:rPr>
        <w:t>图 4.5.</w:t>
      </w:r>
      <w:r>
        <w:rPr>
          <w:rFonts w:hint="eastAsia"/>
          <w:highlight w:val="none"/>
          <w:lang w:val="en-US" w:eastAsia="zh-CN"/>
        </w:rPr>
        <w:t>4</w:t>
      </w:r>
      <w:r>
        <w:rPr>
          <w:rFonts w:hint="eastAsia"/>
          <w:highlight w:val="none"/>
        </w:rPr>
        <w:t>.3</w:t>
      </w:r>
      <w:r>
        <w:rPr>
          <w:rFonts w:hint="eastAsia"/>
          <w:highlight w:val="none"/>
        </w:rPr>
        <w:noBreakHyphen/>
      </w:r>
      <w:r>
        <w:rPr>
          <w:rFonts w:hint="eastAsia"/>
          <w:highlight w:val="none"/>
          <w:lang w:val="en-US" w:eastAsia="zh-CN"/>
        </w:rPr>
        <w:t>2</w:t>
      </w:r>
      <w:r>
        <w:rPr>
          <w:rFonts w:hint="eastAsia"/>
          <w:highlight w:val="none"/>
        </w:rPr>
        <w:t xml:space="preserve">   4#套架吊装平面示意图</w:t>
      </w:r>
    </w:p>
    <w:p w14:paraId="09F43A7E">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作业人员通过爬梯爬至套架顶部，将安全带系挂在套架顶部的横杆上，站立在套架顶部的平台上，吊机放松吊钩，作业人员解除卸扣与套架的连接。</w:t>
      </w:r>
    </w:p>
    <w:p w14:paraId="565DFAA9">
      <w:pPr>
        <w:ind w:firstLine="480"/>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rFonts w:hint="eastAsia"/>
          <w:highlight w:val="none"/>
        </w:rPr>
        <w:t>塔吊套架安装时设置警戒区，起吊安排专人负责指挥，专人操作，严禁无关人员进入起重作业范围内。</w:t>
      </w:r>
    </w:p>
    <w:p w14:paraId="1B202F9B">
      <w:pPr>
        <w:pStyle w:val="5"/>
        <w:bidi w:val="0"/>
        <w:ind w:left="0" w:leftChars="0" w:firstLine="0" w:firstLineChars="0"/>
        <w:rPr>
          <w:highlight w:val="none"/>
        </w:rPr>
      </w:pPr>
      <w:r>
        <w:rPr>
          <w:rFonts w:hint="eastAsia"/>
          <w:highlight w:val="none"/>
        </w:rPr>
        <w:t>安装特殊节</w:t>
      </w:r>
    </w:p>
    <w:p w14:paraId="0996C4AB">
      <w:pPr>
        <w:ind w:firstLine="480"/>
        <w:rPr>
          <w:highlight w:val="none"/>
        </w:rPr>
      </w:pPr>
      <w:r>
        <w:rPr>
          <w:rFonts w:hint="eastAsia" w:ascii="宋体" w:hAnsi="宋体" w:cs="宋体"/>
          <w:highlight w:val="none"/>
          <w:lang w:eastAsia="zh-CN"/>
        </w:rPr>
        <w:t>（</w:t>
      </w:r>
      <w:r>
        <w:rPr>
          <w:rFonts w:hint="eastAsia" w:ascii="宋体" w:hAnsi="宋体" w:cs="宋体"/>
          <w:highlight w:val="none"/>
          <w:lang w:val="en-US" w:eastAsia="zh-CN"/>
        </w:rPr>
        <w:t>1</w:t>
      </w:r>
      <w:r>
        <w:rPr>
          <w:rFonts w:hint="eastAsia" w:ascii="宋体" w:hAnsi="宋体" w:cs="宋体"/>
          <w:highlight w:val="none"/>
          <w:lang w:eastAsia="zh-CN"/>
        </w:rPr>
        <w:t>）</w:t>
      </w:r>
      <w:r>
        <w:rPr>
          <w:rFonts w:hint="eastAsia" w:ascii="宋体" w:hAnsi="宋体" w:cs="宋体"/>
          <w:highlight w:val="none"/>
        </w:rPr>
        <w:t>采用吊机配合人工在地面上将特殊节结构、特殊节平台、引进</w:t>
      </w:r>
      <w:r>
        <w:rPr>
          <w:rFonts w:hint="eastAsia" w:ascii="宋体" w:hAnsi="宋体" w:cs="宋体"/>
          <w:highlight w:val="none"/>
          <w:lang w:val="en-US" w:eastAsia="zh-CN"/>
        </w:rPr>
        <w:t>横梁</w:t>
      </w:r>
      <w:r>
        <w:rPr>
          <w:rFonts w:hint="eastAsia" w:ascii="宋体" w:hAnsi="宋体" w:cs="宋体"/>
          <w:highlight w:val="none"/>
        </w:rPr>
        <w:t>等拼装成特殊节总成，</w:t>
      </w:r>
      <w:r>
        <w:rPr>
          <w:rFonts w:hint="eastAsia"/>
          <w:highlight w:val="none"/>
        </w:rPr>
        <w:t>特殊节吊装采用四点吊，以特殊节顶部四个销轴孔作为吊装孔，采用4根20mm6×19S+FC1870Mpa的钢丝绳配套GB/T 25854-6-DW10卸扣进行吊装。</w:t>
      </w:r>
    </w:p>
    <w:p w14:paraId="34B3E85A">
      <w:pPr>
        <w:ind w:firstLine="48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作业人员在地面上先将钢丝绳一端挂在吊机吊钩，另一端与卸扣连接，卸扣与吊装孔连接，并在特殊节上栓好2根溜绳。启动吊机，将特殊节缓慢提升，用溜绳控制其摆动。起吊特殊节至标准节上方，吊机缓慢落钩，直至特殊节销轴孔与标准节销轴孔对齐，将安全带系挂在套架顶部的横杆上，站立在标准节顶部的平台上，插入标准节与特殊节的连接销轴，完成特殊节与标准节的连接。</w:t>
      </w:r>
    </w:p>
    <w:p w14:paraId="7414856D">
      <w:pPr>
        <w:ind w:firstLine="480"/>
        <w:rPr>
          <w:rFonts w:cs="宋体"/>
          <w:szCs w:val="24"/>
          <w:highlight w:val="none"/>
        </w:rPr>
      </w:pPr>
      <w:r>
        <w:rPr>
          <w:rFonts w:hint="eastAsia" w:cs="宋体"/>
          <w:szCs w:val="24"/>
          <w:highlight w:val="none"/>
          <w:lang w:eastAsia="zh-CN"/>
        </w:rPr>
        <w:t>（</w:t>
      </w:r>
      <w:r>
        <w:rPr>
          <w:rFonts w:hint="eastAsia" w:cs="宋体"/>
          <w:szCs w:val="24"/>
          <w:highlight w:val="none"/>
          <w:lang w:val="en-US" w:eastAsia="zh-CN"/>
        </w:rPr>
        <w:t>3</w:t>
      </w:r>
      <w:r>
        <w:rPr>
          <w:rFonts w:hint="eastAsia" w:cs="宋体"/>
          <w:szCs w:val="24"/>
          <w:highlight w:val="none"/>
          <w:lang w:eastAsia="zh-CN"/>
        </w:rPr>
        <w:t>）</w:t>
      </w:r>
      <w:r>
        <w:rPr>
          <w:rFonts w:hint="eastAsia" w:cs="宋体"/>
          <w:szCs w:val="24"/>
          <w:highlight w:val="none"/>
        </w:rPr>
        <w:t>操作顶升系统，将油缸伸长，使顶升横梁销轴落入到最上面一个塔身节的踏步圆弧槽内，再将套架顶升至与</w:t>
      </w:r>
      <w:r>
        <w:rPr>
          <w:rFonts w:hint="eastAsia"/>
          <w:highlight w:val="none"/>
        </w:rPr>
        <w:t>特殊节</w:t>
      </w:r>
      <w:r>
        <w:rPr>
          <w:rFonts w:hint="eastAsia" w:cs="宋体"/>
          <w:szCs w:val="24"/>
          <w:highlight w:val="none"/>
        </w:rPr>
        <w:t>连接耳板接触，用 4 根φ80(φ80×215/260)销轴将套架与下支座连接牢固。</w:t>
      </w:r>
      <w:r>
        <w:rPr>
          <w:rFonts w:hint="eastAsia"/>
          <w:highlight w:val="none"/>
        </w:rPr>
        <w:t>特殊节</w:t>
      </w:r>
      <w:r>
        <w:rPr>
          <w:rFonts w:hint="eastAsia" w:cs="宋体"/>
          <w:szCs w:val="24"/>
          <w:highlight w:val="none"/>
        </w:rPr>
        <w:t>的安装示意图如下</w:t>
      </w:r>
    </w:p>
    <w:p w14:paraId="64B0A6F1">
      <w:pPr>
        <w:ind w:left="0" w:leftChars="0" w:firstLine="0" w:firstLineChars="0"/>
        <w:jc w:val="center"/>
        <w:rPr>
          <w:rFonts w:cs="宋体"/>
          <w:szCs w:val="24"/>
          <w:highlight w:val="none"/>
        </w:rPr>
      </w:pPr>
      <w:r>
        <w:rPr>
          <w:highlight w:val="none"/>
        </w:rPr>
        <w:drawing>
          <wp:inline distT="0" distB="0" distL="114300" distR="114300">
            <wp:extent cx="4490720" cy="2912110"/>
            <wp:effectExtent l="0" t="0" r="5080" b="2540"/>
            <wp:docPr id="15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73"/>
                    <pic:cNvPicPr>
                      <a:picLocks noChangeAspect="1"/>
                    </pic:cNvPicPr>
                  </pic:nvPicPr>
                  <pic:blipFill>
                    <a:blip r:embed="rId114"/>
                    <a:stretch>
                      <a:fillRect/>
                    </a:stretch>
                  </pic:blipFill>
                  <pic:spPr>
                    <a:xfrm>
                      <a:off x="0" y="0"/>
                      <a:ext cx="4490720" cy="2912110"/>
                    </a:xfrm>
                    <a:prstGeom prst="rect">
                      <a:avLst/>
                    </a:prstGeom>
                    <a:noFill/>
                    <a:ln>
                      <a:noFill/>
                    </a:ln>
                  </pic:spPr>
                </pic:pic>
              </a:graphicData>
            </a:graphic>
          </wp:inline>
        </w:drawing>
      </w:r>
    </w:p>
    <w:p w14:paraId="6DCA0B63">
      <w:pPr>
        <w:adjustRightInd w:val="0"/>
        <w:snapToGrid w:val="0"/>
        <w:ind w:firstLine="0" w:firstLineChars="0"/>
        <w:jc w:val="center"/>
        <w:rPr>
          <w:highlight w:val="none"/>
        </w:rPr>
      </w:pPr>
      <w:r>
        <w:rPr>
          <w:rFonts w:hint="eastAsia"/>
          <w:highlight w:val="none"/>
        </w:rPr>
        <w:t>图 4.5.</w:t>
      </w:r>
      <w:r>
        <w:rPr>
          <w:rFonts w:hint="eastAsia"/>
          <w:highlight w:val="none"/>
          <w:lang w:val="en-US" w:eastAsia="zh-CN"/>
        </w:rPr>
        <w:t>5</w:t>
      </w:r>
      <w:r>
        <w:rPr>
          <w:rFonts w:hint="eastAsia"/>
          <w:highlight w:val="none"/>
        </w:rPr>
        <w:noBreakHyphen/>
      </w:r>
      <w:r>
        <w:rPr>
          <w:rFonts w:hint="eastAsia"/>
          <w:highlight w:val="none"/>
        </w:rPr>
        <w:t>1 1#塔吊特殊节吊装立面示意图</w:t>
      </w:r>
    </w:p>
    <w:p w14:paraId="532221E7">
      <w:pPr>
        <w:adjustRightInd w:val="0"/>
        <w:snapToGrid w:val="0"/>
        <w:ind w:firstLine="0" w:firstLineChars="0"/>
        <w:jc w:val="center"/>
        <w:rPr>
          <w:highlight w:val="none"/>
        </w:rPr>
      </w:pPr>
      <w:r>
        <w:rPr>
          <w:highlight w:val="none"/>
        </w:rPr>
        <w:drawing>
          <wp:inline distT="0" distB="0" distL="114300" distR="114300">
            <wp:extent cx="5175250" cy="2317750"/>
            <wp:effectExtent l="0" t="0" r="6350" b="6350"/>
            <wp:docPr id="1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
                    <pic:cNvPicPr>
                      <a:picLocks noChangeAspect="1"/>
                    </pic:cNvPicPr>
                  </pic:nvPicPr>
                  <pic:blipFill>
                    <a:blip r:embed="rId111"/>
                    <a:stretch>
                      <a:fillRect/>
                    </a:stretch>
                  </pic:blipFill>
                  <pic:spPr>
                    <a:xfrm>
                      <a:off x="0" y="0"/>
                      <a:ext cx="5175250" cy="2317750"/>
                    </a:xfrm>
                    <a:prstGeom prst="rect">
                      <a:avLst/>
                    </a:prstGeom>
                    <a:noFill/>
                    <a:ln>
                      <a:noFill/>
                    </a:ln>
                  </pic:spPr>
                </pic:pic>
              </a:graphicData>
            </a:graphic>
          </wp:inline>
        </w:drawing>
      </w:r>
      <w:r>
        <w:rPr>
          <w:rFonts w:hint="eastAsia"/>
          <w:highlight w:val="none"/>
        </w:rPr>
        <w:t>图 4.5.</w:t>
      </w:r>
      <w:r>
        <w:rPr>
          <w:rFonts w:hint="eastAsia"/>
          <w:highlight w:val="none"/>
          <w:lang w:val="en-US" w:eastAsia="zh-CN"/>
        </w:rPr>
        <w:t>5</w:t>
      </w:r>
      <w:r>
        <w:rPr>
          <w:rFonts w:hint="eastAsia"/>
          <w:highlight w:val="none"/>
        </w:rPr>
        <w:noBreakHyphen/>
      </w:r>
      <w:r>
        <w:rPr>
          <w:rFonts w:hint="eastAsia"/>
          <w:highlight w:val="none"/>
          <w:lang w:val="en-US" w:eastAsia="zh-CN"/>
        </w:rPr>
        <w:t>2</w:t>
      </w:r>
      <w:r>
        <w:rPr>
          <w:rFonts w:hint="eastAsia"/>
          <w:highlight w:val="none"/>
        </w:rPr>
        <w:t xml:space="preserve"> 1#塔吊特殊节吊装平面示意图</w:t>
      </w:r>
    </w:p>
    <w:p w14:paraId="3C5C2D5D">
      <w:pPr>
        <w:pStyle w:val="5"/>
        <w:bidi w:val="0"/>
        <w:ind w:left="0" w:leftChars="0" w:firstLine="0" w:firstLineChars="0"/>
        <w:rPr>
          <w:highlight w:val="none"/>
        </w:rPr>
      </w:pPr>
      <w:r>
        <w:rPr>
          <w:rFonts w:hint="eastAsia"/>
          <w:highlight w:val="none"/>
        </w:rPr>
        <w:t>安装回转总成</w:t>
      </w:r>
    </w:p>
    <w:p w14:paraId="2C138485">
      <w:pPr>
        <w:ind w:firstLine="480"/>
        <w:rPr>
          <w:highlight w:val="none"/>
        </w:rPr>
      </w:pPr>
      <w:r>
        <w:rPr>
          <w:rFonts w:hint="eastAsia" w:ascii="宋体" w:hAnsi="宋体" w:cs="宋体"/>
          <w:highlight w:val="none"/>
          <w:lang w:eastAsia="zh-CN"/>
        </w:rPr>
        <w:t>（</w:t>
      </w:r>
      <w:r>
        <w:rPr>
          <w:rFonts w:hint="eastAsia" w:ascii="宋体" w:hAnsi="宋体" w:cs="宋体"/>
          <w:highlight w:val="none"/>
          <w:lang w:val="en-US" w:eastAsia="zh-CN"/>
        </w:rPr>
        <w:t>1</w:t>
      </w:r>
      <w:r>
        <w:rPr>
          <w:rFonts w:hint="eastAsia" w:ascii="宋体" w:hAnsi="宋体" w:cs="宋体"/>
          <w:highlight w:val="none"/>
          <w:lang w:eastAsia="zh-CN"/>
        </w:rPr>
        <w:t>）</w:t>
      </w:r>
      <w:r>
        <w:rPr>
          <w:rFonts w:hint="eastAsia" w:ascii="宋体" w:hAnsi="宋体" w:cs="宋体"/>
          <w:highlight w:val="none"/>
        </w:rPr>
        <w:t>采用吊机配合人工在地面上将回转支座、回转限位器、司机室和维修平台等拼装成回转总成，</w:t>
      </w:r>
      <w:r>
        <w:rPr>
          <w:rFonts w:hint="eastAsia"/>
          <w:highlight w:val="none"/>
        </w:rPr>
        <w:t>回转总成吊装采用四点吊，以回转总成顶部四个销轴孔作为吊装孔，采用4根20mm6×19S+FC1870Mpa的钢丝绳配套</w:t>
      </w:r>
      <w:r>
        <w:rPr>
          <w:highlight w:val="none"/>
        </w:rPr>
        <w:t>GB/T 25854-6-DW</w:t>
      </w:r>
      <w:r>
        <w:rPr>
          <w:rFonts w:hint="eastAsia"/>
          <w:highlight w:val="none"/>
        </w:rPr>
        <w:t>10卸扣进行吊装。</w:t>
      </w:r>
    </w:p>
    <w:p w14:paraId="1DBA4D37">
      <w:pPr>
        <w:ind w:firstLine="480"/>
        <w:rPr>
          <w:rFonts w:cs="宋体"/>
          <w:szCs w:val="24"/>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作业人员在地面上先将钢丝绳一端挂在吊机吊钩，另一端与卸扣连接，卸扣与吊装孔连接，并在回转总成上栓好2根溜绳。启动吊机，将回转总成缓慢提升，用溜绳控制其摆动。起吊回转总成至特殊节上方，吊机缓慢落钩，直至回转总成下支座销轴孔与特殊节销轴孔对齐，将安全带系挂在特殊节顶部的横杆上，站立在特殊节顶部的平台上，插入特殊节与回转总成下支座的连接销轴，完成回转总成与特殊节的连接。</w:t>
      </w:r>
      <w:r>
        <w:rPr>
          <w:rFonts w:hint="eastAsia" w:cs="宋体"/>
          <w:szCs w:val="24"/>
          <w:highlight w:val="none"/>
        </w:rPr>
        <w:t>回转总成的安装示意图如下</w:t>
      </w:r>
    </w:p>
    <w:p w14:paraId="1C939E31">
      <w:pPr>
        <w:pStyle w:val="17"/>
        <w:ind w:left="0" w:firstLine="0" w:firstLineChars="0"/>
        <w:jc w:val="center"/>
        <w:rPr>
          <w:rFonts w:hint="default"/>
          <w:highlight w:val="none"/>
        </w:rPr>
      </w:pPr>
      <w:r>
        <w:rPr>
          <w:highlight w:val="none"/>
        </w:rPr>
        <w:drawing>
          <wp:inline distT="0" distB="0" distL="114300" distR="114300">
            <wp:extent cx="4738370" cy="3232150"/>
            <wp:effectExtent l="0" t="0" r="5080" b="6350"/>
            <wp:docPr id="15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74"/>
                    <pic:cNvPicPr>
                      <a:picLocks noChangeAspect="1"/>
                    </pic:cNvPicPr>
                  </pic:nvPicPr>
                  <pic:blipFill>
                    <a:blip r:embed="rId115"/>
                    <a:stretch>
                      <a:fillRect/>
                    </a:stretch>
                  </pic:blipFill>
                  <pic:spPr>
                    <a:xfrm>
                      <a:off x="0" y="0"/>
                      <a:ext cx="4738370" cy="3232150"/>
                    </a:xfrm>
                    <a:prstGeom prst="rect">
                      <a:avLst/>
                    </a:prstGeom>
                    <a:noFill/>
                    <a:ln>
                      <a:noFill/>
                    </a:ln>
                  </pic:spPr>
                </pic:pic>
              </a:graphicData>
            </a:graphic>
          </wp:inline>
        </w:drawing>
      </w:r>
    </w:p>
    <w:p w14:paraId="63360516">
      <w:pPr>
        <w:pStyle w:val="17"/>
        <w:ind w:firstLine="240"/>
        <w:jc w:val="center"/>
        <w:rPr>
          <w:rFonts w:hint="default"/>
          <w:highlight w:val="none"/>
        </w:rPr>
      </w:pPr>
      <w:r>
        <w:rPr>
          <w:rFonts w:ascii="Times New Roman" w:hAnsi="Times New Roman" w:eastAsia="宋体"/>
          <w:highlight w:val="none"/>
        </w:rPr>
        <w:t>图 4.5.</w:t>
      </w:r>
      <w:r>
        <w:rPr>
          <w:rFonts w:hint="eastAsia" w:ascii="Times New Roman" w:hAnsi="Times New Roman" w:eastAsia="宋体"/>
          <w:highlight w:val="none"/>
          <w:lang w:val="en-US" w:eastAsia="zh-CN"/>
        </w:rPr>
        <w:t>6</w:t>
      </w:r>
      <w:r>
        <w:rPr>
          <w:rFonts w:ascii="Times New Roman" w:hAnsi="Times New Roman" w:eastAsia="宋体"/>
          <w:highlight w:val="none"/>
        </w:rPr>
        <w:noBreakHyphen/>
      </w:r>
      <w:r>
        <w:rPr>
          <w:rFonts w:ascii="Times New Roman" w:hAnsi="Times New Roman" w:eastAsia="宋体"/>
          <w:highlight w:val="none"/>
        </w:rPr>
        <w:t>1   4#</w:t>
      </w:r>
      <w:r>
        <w:rPr>
          <w:rFonts w:eastAsia="宋体"/>
          <w:highlight w:val="none"/>
        </w:rPr>
        <w:t>塔吊</w:t>
      </w:r>
      <w:r>
        <w:rPr>
          <w:rFonts w:ascii="Times New Roman" w:hAnsi="Times New Roman" w:eastAsia="宋体"/>
          <w:highlight w:val="none"/>
        </w:rPr>
        <w:t>回转总成吊装立面示意图</w:t>
      </w:r>
    </w:p>
    <w:p w14:paraId="4A780BDA">
      <w:pPr>
        <w:pStyle w:val="17"/>
        <w:ind w:firstLine="240"/>
        <w:jc w:val="center"/>
        <w:rPr>
          <w:rFonts w:hint="default" w:ascii="Times New Roman" w:hAnsi="Times New Roman" w:eastAsia="宋体"/>
          <w:highlight w:val="none"/>
        </w:rPr>
      </w:pPr>
      <w:r>
        <w:rPr>
          <w:highlight w:val="none"/>
        </w:rPr>
        <w:drawing>
          <wp:inline distT="0" distB="0" distL="114300" distR="114300">
            <wp:extent cx="4889500" cy="2190115"/>
            <wp:effectExtent l="0" t="0" r="6350" b="635"/>
            <wp:docPr id="1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
                    <pic:cNvPicPr>
                      <a:picLocks noChangeAspect="1"/>
                    </pic:cNvPicPr>
                  </pic:nvPicPr>
                  <pic:blipFill>
                    <a:blip r:embed="rId111"/>
                    <a:stretch>
                      <a:fillRect/>
                    </a:stretch>
                  </pic:blipFill>
                  <pic:spPr>
                    <a:xfrm>
                      <a:off x="0" y="0"/>
                      <a:ext cx="4889500" cy="2190115"/>
                    </a:xfrm>
                    <a:prstGeom prst="rect">
                      <a:avLst/>
                    </a:prstGeom>
                    <a:noFill/>
                    <a:ln>
                      <a:noFill/>
                    </a:ln>
                  </pic:spPr>
                </pic:pic>
              </a:graphicData>
            </a:graphic>
          </wp:inline>
        </w:drawing>
      </w:r>
      <w:r>
        <w:rPr>
          <w:rFonts w:ascii="Times New Roman" w:hAnsi="Times New Roman" w:eastAsia="宋体"/>
          <w:highlight w:val="none"/>
        </w:rPr>
        <w:t>图 4.5.</w:t>
      </w:r>
      <w:r>
        <w:rPr>
          <w:rFonts w:hint="eastAsia" w:ascii="Times New Roman" w:hAnsi="Times New Roman" w:eastAsia="宋体"/>
          <w:highlight w:val="none"/>
          <w:lang w:val="en-US" w:eastAsia="zh-CN"/>
        </w:rPr>
        <w:t>6</w:t>
      </w:r>
      <w:r>
        <w:rPr>
          <w:rFonts w:ascii="Times New Roman" w:hAnsi="Times New Roman" w:eastAsia="宋体"/>
          <w:highlight w:val="none"/>
        </w:rPr>
        <w:noBreakHyphen/>
      </w:r>
      <w:r>
        <w:rPr>
          <w:rFonts w:ascii="Times New Roman" w:hAnsi="Times New Roman" w:eastAsia="宋体"/>
          <w:highlight w:val="none"/>
        </w:rPr>
        <w:t>2  4#</w:t>
      </w:r>
      <w:r>
        <w:rPr>
          <w:rFonts w:eastAsia="宋体"/>
          <w:highlight w:val="none"/>
        </w:rPr>
        <w:t>塔吊</w:t>
      </w:r>
      <w:r>
        <w:rPr>
          <w:rFonts w:ascii="Times New Roman" w:hAnsi="Times New Roman" w:eastAsia="宋体"/>
          <w:highlight w:val="none"/>
        </w:rPr>
        <w:t>回转总成吊装平面示意图</w:t>
      </w:r>
    </w:p>
    <w:p w14:paraId="30F352AE">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作业人员通过爬梯爬至回转总成顶部，将安全带系挂在回转总成顶部的横杆上，站立在回转总成顶部，吊机放松吊钩，作业人员解除卸扣与回转总成的连接。</w:t>
      </w:r>
    </w:p>
    <w:p w14:paraId="104B30D5">
      <w:pPr>
        <w:ind w:firstLine="480"/>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rFonts w:hint="eastAsia"/>
          <w:highlight w:val="none"/>
        </w:rPr>
        <w:t>塔吊回转总成安装时设置警戒区，起吊安排专人负责指挥，专人操作，严禁无关人员进入起重作业范围内。</w:t>
      </w:r>
    </w:p>
    <w:p w14:paraId="429B4374">
      <w:pPr>
        <w:pStyle w:val="5"/>
        <w:bidi w:val="0"/>
        <w:ind w:left="0" w:leftChars="0" w:firstLine="0" w:firstLineChars="0"/>
        <w:rPr>
          <w:highlight w:val="none"/>
        </w:rPr>
      </w:pPr>
      <w:r>
        <w:rPr>
          <w:rFonts w:hint="eastAsia"/>
          <w:highlight w:val="none"/>
        </w:rPr>
        <w:t>安装臂根节</w:t>
      </w:r>
    </w:p>
    <w:p w14:paraId="73F6A36E">
      <w:pPr>
        <w:ind w:firstLine="480"/>
        <w:rPr>
          <w:rFonts w:hint="eastAsia"/>
          <w:highlight w:val="none"/>
        </w:rPr>
      </w:pPr>
      <w:r>
        <w:rPr>
          <w:rFonts w:hint="eastAsia"/>
          <w:highlight w:val="none"/>
          <w:lang w:val="en-US" w:eastAsia="zh-CN"/>
        </w:rPr>
        <w:t>（1）在地面将小车安装在臂根节靠塔身引进侧根部，打入防脱销轴以固定。</w:t>
      </w:r>
    </w:p>
    <w:p w14:paraId="2074C6E8">
      <w:pPr>
        <w:ind w:firstLine="48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采用吊机配合人工在地面上将臂根节拼装完成，臂根节吊装采用四点吊，以臂根节顶部四个销轴孔作为吊装孔，采用4根20mm6×19S+FC1870Mpa的钢丝绳配套</w:t>
      </w:r>
      <w:r>
        <w:rPr>
          <w:highlight w:val="none"/>
        </w:rPr>
        <w:t>GB/T 25854-6-DW</w:t>
      </w:r>
      <w:r>
        <w:rPr>
          <w:rFonts w:hint="eastAsia"/>
          <w:highlight w:val="none"/>
        </w:rPr>
        <w:t>10卸扣进行吊装。</w:t>
      </w:r>
    </w:p>
    <w:p w14:paraId="645396D3">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作业人员在地面上先将钢丝绳一端挂在吊机吊钩，另一端与卸扣连接，卸扣与吊装孔连接，并在臂根节上栓好2根溜绳。启动吊机，将臂根节缓慢提升，用溜绳控制其摆动。起吊臂根节至回转总成上方，吊机缓慢落钩，直至回转总成上支座销轴孔与臂根节销轴孔对齐，将安全带系挂在臂根节顶部的横杆上，插入臂根节与回转总成上支座的连接销轴，完成回转总成与臂根节的连接。臂根节的安装示意图如下：</w:t>
      </w:r>
    </w:p>
    <w:p w14:paraId="1FD002D3">
      <w:pPr>
        <w:ind w:firstLine="0" w:firstLineChars="0"/>
        <w:jc w:val="center"/>
        <w:rPr>
          <w:highlight w:val="none"/>
        </w:rPr>
      </w:pPr>
      <w:r>
        <w:rPr>
          <w:highlight w:val="none"/>
        </w:rPr>
        <w:drawing>
          <wp:inline distT="0" distB="0" distL="114300" distR="114300">
            <wp:extent cx="5266690" cy="3505200"/>
            <wp:effectExtent l="0" t="0" r="10160" b="0"/>
            <wp:docPr id="15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76"/>
                    <pic:cNvPicPr>
                      <a:picLocks noChangeAspect="1"/>
                    </pic:cNvPicPr>
                  </pic:nvPicPr>
                  <pic:blipFill>
                    <a:blip r:embed="rId116"/>
                    <a:stretch>
                      <a:fillRect/>
                    </a:stretch>
                  </pic:blipFill>
                  <pic:spPr>
                    <a:xfrm>
                      <a:off x="0" y="0"/>
                      <a:ext cx="5266690" cy="3505200"/>
                    </a:xfrm>
                    <a:prstGeom prst="rect">
                      <a:avLst/>
                    </a:prstGeom>
                    <a:noFill/>
                    <a:ln>
                      <a:noFill/>
                    </a:ln>
                  </pic:spPr>
                </pic:pic>
              </a:graphicData>
            </a:graphic>
          </wp:inline>
        </w:drawing>
      </w:r>
    </w:p>
    <w:p w14:paraId="69D78AA0">
      <w:pPr>
        <w:ind w:firstLine="0" w:firstLineChars="0"/>
        <w:jc w:val="center"/>
        <w:rPr>
          <w:highlight w:val="none"/>
        </w:rPr>
      </w:pPr>
      <w:r>
        <w:rPr>
          <w:rFonts w:hint="eastAsia"/>
          <w:highlight w:val="none"/>
        </w:rPr>
        <w:t>图 4.5.</w:t>
      </w:r>
      <w:r>
        <w:rPr>
          <w:rFonts w:hint="eastAsia"/>
          <w:highlight w:val="none"/>
          <w:lang w:val="en-US" w:eastAsia="zh-CN"/>
        </w:rPr>
        <w:t>7</w:t>
      </w:r>
      <w:r>
        <w:rPr>
          <w:rFonts w:hint="eastAsia"/>
          <w:highlight w:val="none"/>
        </w:rPr>
        <w:noBreakHyphen/>
      </w:r>
      <w:r>
        <w:rPr>
          <w:rFonts w:hint="eastAsia"/>
          <w:highlight w:val="none"/>
        </w:rPr>
        <w:t>1  4#塔吊臂根节吊装立面示意图</w:t>
      </w:r>
    </w:p>
    <w:p w14:paraId="7A4B25C4">
      <w:pPr>
        <w:ind w:firstLine="0" w:firstLineChars="0"/>
        <w:jc w:val="center"/>
        <w:rPr>
          <w:highlight w:val="none"/>
        </w:rPr>
      </w:pPr>
      <w:r>
        <w:rPr>
          <w:highlight w:val="none"/>
        </w:rPr>
        <w:drawing>
          <wp:inline distT="0" distB="0" distL="114300" distR="114300">
            <wp:extent cx="5268595" cy="2580005"/>
            <wp:effectExtent l="0" t="0" r="8255" b="10795"/>
            <wp:docPr id="10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1"/>
                    <pic:cNvPicPr>
                      <a:picLocks noChangeAspect="1"/>
                    </pic:cNvPicPr>
                  </pic:nvPicPr>
                  <pic:blipFill>
                    <a:blip r:embed="rId117"/>
                    <a:stretch>
                      <a:fillRect/>
                    </a:stretch>
                  </pic:blipFill>
                  <pic:spPr>
                    <a:xfrm>
                      <a:off x="0" y="0"/>
                      <a:ext cx="5268595" cy="2580005"/>
                    </a:xfrm>
                    <a:prstGeom prst="rect">
                      <a:avLst/>
                    </a:prstGeom>
                    <a:noFill/>
                    <a:ln>
                      <a:noFill/>
                    </a:ln>
                  </pic:spPr>
                </pic:pic>
              </a:graphicData>
            </a:graphic>
          </wp:inline>
        </w:drawing>
      </w:r>
      <w:r>
        <w:rPr>
          <w:rFonts w:hint="eastAsia"/>
          <w:highlight w:val="none"/>
        </w:rPr>
        <w:t>图 4.5.</w:t>
      </w:r>
      <w:r>
        <w:rPr>
          <w:rFonts w:hint="eastAsia"/>
          <w:highlight w:val="none"/>
          <w:lang w:val="en-US" w:eastAsia="zh-CN"/>
        </w:rPr>
        <w:t>7</w:t>
      </w:r>
      <w:r>
        <w:rPr>
          <w:rFonts w:hint="eastAsia"/>
          <w:highlight w:val="none"/>
        </w:rPr>
        <w:noBreakHyphen/>
      </w:r>
      <w:r>
        <w:rPr>
          <w:rFonts w:hint="eastAsia"/>
          <w:highlight w:val="none"/>
        </w:rPr>
        <w:t>2  4#塔吊臂根节吊装平面示意图</w:t>
      </w:r>
    </w:p>
    <w:p w14:paraId="353BF8A2">
      <w:pPr>
        <w:pStyle w:val="5"/>
        <w:bidi w:val="0"/>
        <w:ind w:left="0" w:leftChars="0" w:firstLine="0" w:firstLineChars="0"/>
        <w:rPr>
          <w:highlight w:val="none"/>
        </w:rPr>
      </w:pPr>
      <w:r>
        <w:rPr>
          <w:rFonts w:hint="eastAsia"/>
          <w:highlight w:val="none"/>
        </w:rPr>
        <w:t>安装平衡臂</w:t>
      </w:r>
    </w:p>
    <w:p w14:paraId="14647539">
      <w:pPr>
        <w:ind w:firstLine="480"/>
        <w:rPr>
          <w:rFonts w:ascii="宋体" w:hAnsi="宋体" w:cs="宋体"/>
          <w:highlight w:val="none"/>
        </w:rPr>
      </w:pPr>
      <w:r>
        <w:rPr>
          <w:rFonts w:hint="eastAsia" w:ascii="宋体" w:hAnsi="宋体" w:cs="宋体"/>
          <w:highlight w:val="none"/>
        </w:rPr>
        <w:t>（1）采用吊机配合人工在地面上</w:t>
      </w:r>
      <w:r>
        <w:rPr>
          <w:rFonts w:hint="eastAsia"/>
          <w:highlight w:val="none"/>
        </w:rPr>
        <w:t>将平衡臂分别组装好（含走台及栏杆）起重臂臂根节吊装采用四点吊，以平衡臂臂节上弦杆吊耳作为吊装孔，采用4根20mm6×19S+FC1870Mpa的钢丝绳配套</w:t>
      </w:r>
      <w:r>
        <w:rPr>
          <w:highlight w:val="none"/>
        </w:rPr>
        <w:t>GB/T 25854-6-DW</w:t>
      </w:r>
      <w:r>
        <w:rPr>
          <w:rFonts w:hint="eastAsia"/>
          <w:highlight w:val="none"/>
        </w:rPr>
        <w:t>10卸扣进行吊装。</w:t>
      </w:r>
    </w:p>
    <w:p w14:paraId="45F3393D">
      <w:pPr>
        <w:ind w:firstLine="480"/>
        <w:rPr>
          <w:highlight w:val="none"/>
        </w:rPr>
      </w:pPr>
      <w:r>
        <w:rPr>
          <w:rFonts w:hint="eastAsia"/>
          <w:highlight w:val="none"/>
        </w:rPr>
        <w:t>（2）作业人员在地面上先将钢丝绳一端挂在吊机吊钩，另一端与卸扣连接，卸扣与吊装孔连接，并在平衡臂臂节1上栓好2根溜绳。启动吊机，将平衡臂缓慢提升，用溜绳控制其摆动。起吊平衡臂至臂根节上后方，将组装好的平衡臂(1)吊起，对接臂根节连接耳板(2)，插入销轴(3)、销(4)及R 形销(5)，缓慢放下。将平衡臂放置一定程度，把安装在臂根节上的短拉杆(6)和平衡臂上的长拉杆(7)对接好后，插入销轴(8)及开口销(9)缓慢放下，直到拉绷紧，平衡水平。安装示意图如下：</w:t>
      </w:r>
    </w:p>
    <w:p w14:paraId="2C2AFB02">
      <w:pPr>
        <w:ind w:firstLine="0" w:firstLineChars="0"/>
        <w:jc w:val="center"/>
        <w:rPr>
          <w:highlight w:val="none"/>
        </w:rPr>
      </w:pPr>
      <w:r>
        <w:rPr>
          <w:highlight w:val="none"/>
        </w:rPr>
        <w:drawing>
          <wp:inline distT="0" distB="0" distL="114300" distR="114300">
            <wp:extent cx="4404360" cy="2691130"/>
            <wp:effectExtent l="0" t="0" r="15240" b="13970"/>
            <wp:docPr id="10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0"/>
                    <pic:cNvPicPr>
                      <a:picLocks noChangeAspect="1"/>
                    </pic:cNvPicPr>
                  </pic:nvPicPr>
                  <pic:blipFill>
                    <a:blip r:embed="rId68"/>
                    <a:stretch>
                      <a:fillRect/>
                    </a:stretch>
                  </pic:blipFill>
                  <pic:spPr>
                    <a:xfrm>
                      <a:off x="0" y="0"/>
                      <a:ext cx="4404360" cy="2691130"/>
                    </a:xfrm>
                    <a:prstGeom prst="rect">
                      <a:avLst/>
                    </a:prstGeom>
                    <a:noFill/>
                    <a:ln>
                      <a:noFill/>
                    </a:ln>
                  </pic:spPr>
                </pic:pic>
              </a:graphicData>
            </a:graphic>
          </wp:inline>
        </w:drawing>
      </w:r>
    </w:p>
    <w:p w14:paraId="3C8BB1F6">
      <w:pPr>
        <w:pStyle w:val="40"/>
        <w:ind w:firstLine="0" w:firstLineChars="0"/>
        <w:jc w:val="center"/>
        <w:rPr>
          <w:color w:val="auto"/>
          <w:kern w:val="2"/>
          <w:sz w:val="24"/>
          <w:szCs w:val="21"/>
          <w:highlight w:val="none"/>
        </w:rPr>
      </w:pPr>
      <w:r>
        <w:rPr>
          <w:highlight w:val="none"/>
        </w:rPr>
        <w:drawing>
          <wp:inline distT="0" distB="0" distL="114300" distR="114300">
            <wp:extent cx="5268595" cy="3512820"/>
            <wp:effectExtent l="0" t="0" r="8255" b="11430"/>
            <wp:docPr id="15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77"/>
                    <pic:cNvPicPr>
                      <a:picLocks noChangeAspect="1"/>
                    </pic:cNvPicPr>
                  </pic:nvPicPr>
                  <pic:blipFill>
                    <a:blip r:embed="rId118"/>
                    <a:stretch>
                      <a:fillRect/>
                    </a:stretch>
                  </pic:blipFill>
                  <pic:spPr>
                    <a:xfrm>
                      <a:off x="0" y="0"/>
                      <a:ext cx="5268595" cy="3512820"/>
                    </a:xfrm>
                    <a:prstGeom prst="rect">
                      <a:avLst/>
                    </a:prstGeom>
                    <a:noFill/>
                    <a:ln>
                      <a:noFill/>
                    </a:ln>
                  </pic:spPr>
                </pic:pic>
              </a:graphicData>
            </a:graphic>
          </wp:inline>
        </w:drawing>
      </w:r>
    </w:p>
    <w:p w14:paraId="701680C0">
      <w:pPr>
        <w:spacing w:before="154"/>
        <w:ind w:left="121" w:firstLine="240" w:firstLineChars="100"/>
        <w:jc w:val="center"/>
        <w:rPr>
          <w:highlight w:val="none"/>
        </w:rPr>
      </w:pPr>
      <w:r>
        <w:rPr>
          <w:rFonts w:hint="eastAsia"/>
          <w:highlight w:val="none"/>
        </w:rPr>
        <w:t>图 4.5.</w:t>
      </w:r>
      <w:r>
        <w:rPr>
          <w:rFonts w:hint="eastAsia"/>
          <w:highlight w:val="none"/>
          <w:lang w:val="en-US" w:eastAsia="zh-CN"/>
        </w:rPr>
        <w:t>8</w:t>
      </w:r>
      <w:r>
        <w:rPr>
          <w:rFonts w:hint="eastAsia"/>
          <w:highlight w:val="none"/>
        </w:rPr>
        <w:noBreakHyphen/>
      </w:r>
      <w:r>
        <w:rPr>
          <w:rFonts w:hint="eastAsia"/>
          <w:highlight w:val="none"/>
        </w:rPr>
        <w:t>1   4#塔吊平衡臂吊装立面示意图</w:t>
      </w:r>
    </w:p>
    <w:p w14:paraId="358C517B">
      <w:pPr>
        <w:pStyle w:val="16"/>
        <w:ind w:left="0" w:leftChars="0" w:firstLine="0" w:firstLineChars="0"/>
        <w:jc w:val="center"/>
        <w:rPr>
          <w:szCs w:val="21"/>
          <w:highlight w:val="none"/>
        </w:rPr>
      </w:pPr>
      <w:r>
        <w:rPr>
          <w:highlight w:val="none"/>
        </w:rPr>
        <w:drawing>
          <wp:inline distT="0" distB="0" distL="114300" distR="114300">
            <wp:extent cx="5263515" cy="2481580"/>
            <wp:effectExtent l="0" t="0" r="13335" b="13970"/>
            <wp:docPr id="1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2"/>
                    <pic:cNvPicPr>
                      <a:picLocks noChangeAspect="1"/>
                    </pic:cNvPicPr>
                  </pic:nvPicPr>
                  <pic:blipFill>
                    <a:blip r:embed="rId119"/>
                    <a:stretch>
                      <a:fillRect/>
                    </a:stretch>
                  </pic:blipFill>
                  <pic:spPr>
                    <a:xfrm>
                      <a:off x="0" y="0"/>
                      <a:ext cx="5263515" cy="2481580"/>
                    </a:xfrm>
                    <a:prstGeom prst="rect">
                      <a:avLst/>
                    </a:prstGeom>
                    <a:noFill/>
                    <a:ln>
                      <a:noFill/>
                    </a:ln>
                  </pic:spPr>
                </pic:pic>
              </a:graphicData>
            </a:graphic>
          </wp:inline>
        </w:drawing>
      </w:r>
      <w:r>
        <w:rPr>
          <w:rFonts w:hint="eastAsia" w:ascii="Times New Roman" w:hAnsi="Times New Roman"/>
          <w:szCs w:val="21"/>
          <w:highlight w:val="none"/>
        </w:rPr>
        <w:t>图 4.</w:t>
      </w:r>
      <w:r>
        <w:rPr>
          <w:rFonts w:hint="eastAsia"/>
          <w:szCs w:val="21"/>
          <w:highlight w:val="none"/>
        </w:rPr>
        <w:t>5</w:t>
      </w:r>
      <w:r>
        <w:rPr>
          <w:rFonts w:hint="eastAsia" w:ascii="Times New Roman" w:hAnsi="Times New Roman"/>
          <w:szCs w:val="21"/>
          <w:highlight w:val="none"/>
        </w:rPr>
        <w:t>.</w:t>
      </w:r>
      <w:r>
        <w:rPr>
          <w:rFonts w:hint="eastAsia" w:ascii="Times New Roman" w:hAnsi="Times New Roman"/>
          <w:szCs w:val="21"/>
          <w:highlight w:val="none"/>
          <w:lang w:val="en-US" w:eastAsia="zh-CN"/>
        </w:rPr>
        <w:t>8</w:t>
      </w:r>
      <w:r>
        <w:rPr>
          <w:rFonts w:hint="eastAsia" w:ascii="Times New Roman" w:hAnsi="Times New Roman"/>
          <w:szCs w:val="21"/>
          <w:highlight w:val="none"/>
        </w:rPr>
        <w:noBreakHyphen/>
      </w:r>
      <w:r>
        <w:rPr>
          <w:rFonts w:hint="eastAsia" w:ascii="Times New Roman" w:hAnsi="Times New Roman"/>
          <w:szCs w:val="21"/>
          <w:highlight w:val="none"/>
        </w:rPr>
        <w:t xml:space="preserve">2   </w:t>
      </w:r>
      <w:r>
        <w:rPr>
          <w:rFonts w:hint="eastAsia"/>
          <w:szCs w:val="21"/>
          <w:highlight w:val="none"/>
        </w:rPr>
        <w:t>4#塔吊平衡臂吊装平面示意图</w:t>
      </w:r>
    </w:p>
    <w:p w14:paraId="47E3E847">
      <w:pPr>
        <w:ind w:firstLine="480"/>
        <w:rPr>
          <w:highlight w:val="none"/>
        </w:rPr>
      </w:pPr>
      <w:r>
        <w:rPr>
          <w:rFonts w:hint="eastAsia" w:ascii="宋体" w:hAnsi="宋体" w:cs="宋体"/>
          <w:highlight w:val="none"/>
        </w:rPr>
        <w:t>（3）</w:t>
      </w:r>
      <w:r>
        <w:rPr>
          <w:rFonts w:hint="eastAsia"/>
          <w:highlight w:val="none"/>
        </w:rPr>
        <w:t>作业人员通过爬梯爬至臂根节，将安全带交替系挂在平衡臂臂节护栏，沿走道走行至平衡臂臂节吊点位置，吊机放松吊钩，作业人员解除钢丝绳与平衡臂臂节吊点的连接。</w:t>
      </w:r>
    </w:p>
    <w:p w14:paraId="2FEB8E3B">
      <w:pPr>
        <w:ind w:firstLine="480"/>
        <w:rPr>
          <w:highlight w:val="none"/>
        </w:rPr>
      </w:pPr>
      <w:r>
        <w:rPr>
          <w:rFonts w:hint="eastAsia" w:ascii="宋体" w:hAnsi="宋体" w:cs="宋体"/>
          <w:highlight w:val="none"/>
        </w:rPr>
        <w:t>（4）</w:t>
      </w:r>
      <w:r>
        <w:rPr>
          <w:rFonts w:hint="eastAsia"/>
          <w:highlight w:val="none"/>
        </w:rPr>
        <w:t>平衡臂臂节安装时设置警戒区，起吊安排专人负责指挥，专人操作，严禁无关人员进入起重作业范围内。</w:t>
      </w:r>
    </w:p>
    <w:p w14:paraId="0E9B3390">
      <w:pPr>
        <w:pStyle w:val="5"/>
        <w:bidi w:val="0"/>
        <w:ind w:left="0" w:leftChars="0" w:firstLine="0" w:firstLineChars="0"/>
        <w:rPr>
          <w:highlight w:val="none"/>
        </w:rPr>
      </w:pPr>
      <w:r>
        <w:rPr>
          <w:rFonts w:hint="eastAsia"/>
          <w:highlight w:val="none"/>
        </w:rPr>
        <w:t>安装2块</w:t>
      </w:r>
      <w:r>
        <w:rPr>
          <w:rFonts w:hint="eastAsia"/>
          <w:highlight w:val="none"/>
          <w:lang w:val="en-US" w:eastAsia="zh-CN"/>
        </w:rPr>
        <w:t>2.8t</w:t>
      </w:r>
      <w:r>
        <w:rPr>
          <w:rFonts w:hint="eastAsia"/>
          <w:highlight w:val="none"/>
        </w:rPr>
        <w:t>平衡重</w:t>
      </w:r>
    </w:p>
    <w:p w14:paraId="66645900">
      <w:pPr>
        <w:ind w:firstLine="480"/>
        <w:rPr>
          <w:highlight w:val="none"/>
        </w:rPr>
      </w:pPr>
      <w:r>
        <w:rPr>
          <w:rFonts w:hint="eastAsia"/>
          <w:highlight w:val="none"/>
          <w:lang w:val="en-US" w:eastAsia="zh-CN"/>
        </w:rPr>
        <w:t>（1）依次安装两块2.8t平衡重，</w:t>
      </w:r>
      <w:r>
        <w:rPr>
          <w:rFonts w:hint="eastAsia"/>
          <w:highlight w:val="none"/>
        </w:rPr>
        <w:t>平衡重吊装采用两点吊，采用2根18mm6×19S+FC1870Mpa的钢丝绳配套GB/T 25854-6-DW10卸扣与平衡重吊耳进行连接吊装。</w:t>
      </w:r>
    </w:p>
    <w:p w14:paraId="60F337C7">
      <w:pPr>
        <w:widowControl/>
        <w:ind w:firstLine="480"/>
        <w:jc w:val="left"/>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作业人员在地面上先将钢丝绳一端挂在吊机吊钩，另一端与卸扣连接，卸扣与吊耳通过销轴连接，并在平衡重栓好2根溜绳。启动吊机，</w:t>
      </w:r>
      <w:r>
        <w:rPr>
          <w:rFonts w:hint="eastAsia" w:ascii="宋体" w:hAnsi="宋体" w:cs="宋体"/>
          <w:color w:val="000000"/>
          <w:kern w:val="0"/>
          <w:szCs w:val="24"/>
          <w:highlight w:val="none"/>
          <w:lang w:bidi="ar"/>
        </w:rPr>
        <w:t>将一块</w:t>
      </w:r>
      <w:r>
        <w:rPr>
          <w:rFonts w:hint="eastAsia" w:ascii="宋体" w:hAnsi="宋体" w:cs="宋体"/>
          <w:color w:val="000000"/>
          <w:kern w:val="0"/>
          <w:szCs w:val="24"/>
          <w:highlight w:val="none"/>
          <w:lang w:val="en-US" w:eastAsia="zh-CN" w:bidi="ar"/>
        </w:rPr>
        <w:t>2.8</w:t>
      </w:r>
      <w:r>
        <w:rPr>
          <w:rFonts w:hint="eastAsia" w:ascii="宋体" w:hAnsi="宋体" w:cs="宋体"/>
          <w:color w:val="000000"/>
          <w:kern w:val="0"/>
          <w:szCs w:val="24"/>
          <w:highlight w:val="none"/>
          <w:lang w:bidi="ar"/>
        </w:rPr>
        <w:t>t配重块</w:t>
      </w:r>
      <w:r>
        <w:rPr>
          <w:rFonts w:hint="eastAsia"/>
          <w:highlight w:val="none"/>
        </w:rPr>
        <w:t>缓慢提升，用溜绳控制其摆动</w:t>
      </w:r>
      <w:r>
        <w:rPr>
          <w:rFonts w:hint="eastAsia"/>
          <w:highlight w:val="none"/>
          <w:lang w:eastAsia="zh-CN"/>
        </w:rPr>
        <w:t>，</w:t>
      </w:r>
      <w:r>
        <w:rPr>
          <w:rFonts w:hint="eastAsia"/>
          <w:highlight w:val="none"/>
          <w:lang w:val="en-US" w:eastAsia="zh-CN"/>
        </w:rPr>
        <w:t>依次吊装两块2.8t平衡重</w:t>
      </w:r>
      <w:r>
        <w:rPr>
          <w:rFonts w:hint="eastAsia"/>
          <w:highlight w:val="none"/>
        </w:rPr>
        <w:t>。</w:t>
      </w:r>
      <w:r>
        <w:rPr>
          <w:rFonts w:hint="eastAsia" w:ascii="宋体" w:hAnsi="宋体" w:cs="宋体"/>
          <w:color w:val="000000"/>
          <w:kern w:val="0"/>
          <w:szCs w:val="24"/>
          <w:highlight w:val="none"/>
          <w:lang w:bidi="ar"/>
        </w:rPr>
        <w:t>从平衡臂端部开口处平稳起吊，装入平衡臂，位置靠近起升机构旁边，用配重销紧固在平衡臂上，即完成平衡臂安装。</w:t>
      </w:r>
      <w:r>
        <w:rPr>
          <w:rFonts w:hint="eastAsia"/>
          <w:highlight w:val="none"/>
        </w:rPr>
        <w:t>平衡重安装后，作业人员解除卸扣与平衡重吊耳的连接。平衡重吊装示意如下图所示。</w:t>
      </w:r>
    </w:p>
    <w:p w14:paraId="335B4D6D">
      <w:pPr>
        <w:pStyle w:val="16"/>
        <w:ind w:firstLine="0" w:firstLineChars="0"/>
        <w:jc w:val="center"/>
        <w:rPr>
          <w:highlight w:val="none"/>
        </w:rPr>
      </w:pPr>
      <w:r>
        <w:rPr>
          <w:highlight w:val="none"/>
        </w:rPr>
        <w:drawing>
          <wp:inline distT="0" distB="0" distL="114300" distR="114300">
            <wp:extent cx="5267325" cy="3549015"/>
            <wp:effectExtent l="0" t="0" r="9525" b="13335"/>
            <wp:docPr id="16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80"/>
                    <pic:cNvPicPr>
                      <a:picLocks noChangeAspect="1"/>
                    </pic:cNvPicPr>
                  </pic:nvPicPr>
                  <pic:blipFill>
                    <a:blip r:embed="rId120"/>
                    <a:stretch>
                      <a:fillRect/>
                    </a:stretch>
                  </pic:blipFill>
                  <pic:spPr>
                    <a:xfrm>
                      <a:off x="0" y="0"/>
                      <a:ext cx="5267325" cy="3549015"/>
                    </a:xfrm>
                    <a:prstGeom prst="rect">
                      <a:avLst/>
                    </a:prstGeom>
                    <a:noFill/>
                    <a:ln>
                      <a:noFill/>
                    </a:ln>
                  </pic:spPr>
                </pic:pic>
              </a:graphicData>
            </a:graphic>
          </wp:inline>
        </w:drawing>
      </w:r>
    </w:p>
    <w:p w14:paraId="63393C79">
      <w:pPr>
        <w:widowControl/>
        <w:ind w:firstLine="480"/>
        <w:jc w:val="center"/>
        <w:rPr>
          <w:highlight w:val="none"/>
        </w:rPr>
      </w:pPr>
      <w:r>
        <w:rPr>
          <w:rFonts w:hint="eastAsia"/>
          <w:highlight w:val="none"/>
        </w:rPr>
        <w:t>图 4.5.</w:t>
      </w:r>
      <w:r>
        <w:rPr>
          <w:rFonts w:hint="eastAsia"/>
          <w:highlight w:val="none"/>
          <w:lang w:val="en-US" w:eastAsia="zh-CN"/>
        </w:rPr>
        <w:t>9</w:t>
      </w:r>
      <w:r>
        <w:rPr>
          <w:rFonts w:hint="eastAsia"/>
          <w:highlight w:val="none"/>
        </w:rPr>
        <w:t>-1    4#塔吊平衡重吊装立面示意图</w:t>
      </w:r>
    </w:p>
    <w:p w14:paraId="52B1BA03">
      <w:pPr>
        <w:widowControl/>
        <w:ind w:firstLine="480"/>
        <w:jc w:val="center"/>
        <w:rPr>
          <w:highlight w:val="none"/>
        </w:rPr>
      </w:pPr>
      <w:r>
        <w:rPr>
          <w:highlight w:val="none"/>
        </w:rPr>
        <w:drawing>
          <wp:inline distT="0" distB="0" distL="114300" distR="114300">
            <wp:extent cx="5263515" cy="2481580"/>
            <wp:effectExtent l="0" t="0" r="13335" b="13970"/>
            <wp:docPr id="1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3"/>
                    <pic:cNvPicPr>
                      <a:picLocks noChangeAspect="1"/>
                    </pic:cNvPicPr>
                  </pic:nvPicPr>
                  <pic:blipFill>
                    <a:blip r:embed="rId119"/>
                    <a:stretch>
                      <a:fillRect/>
                    </a:stretch>
                  </pic:blipFill>
                  <pic:spPr>
                    <a:xfrm>
                      <a:off x="0" y="0"/>
                      <a:ext cx="5263515" cy="2481580"/>
                    </a:xfrm>
                    <a:prstGeom prst="rect">
                      <a:avLst/>
                    </a:prstGeom>
                    <a:noFill/>
                    <a:ln>
                      <a:noFill/>
                    </a:ln>
                  </pic:spPr>
                </pic:pic>
              </a:graphicData>
            </a:graphic>
          </wp:inline>
        </w:drawing>
      </w:r>
      <w:r>
        <w:rPr>
          <w:rFonts w:hint="eastAsia"/>
          <w:highlight w:val="none"/>
        </w:rPr>
        <w:t>图 4.5.</w:t>
      </w:r>
      <w:r>
        <w:rPr>
          <w:rFonts w:hint="eastAsia"/>
          <w:highlight w:val="none"/>
          <w:lang w:val="en-US" w:eastAsia="zh-CN"/>
        </w:rPr>
        <w:t>9</w:t>
      </w:r>
      <w:r>
        <w:rPr>
          <w:rFonts w:hint="eastAsia"/>
          <w:highlight w:val="none"/>
        </w:rPr>
        <w:t>-2    4#塔吊平衡重吊装平面示意图</w:t>
      </w:r>
    </w:p>
    <w:p w14:paraId="6AD817CA">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塔吊平衡重安装时设置警戒区，起吊安排专人负责指挥，专人操作，严禁无关人员进入起重作业范围内。</w:t>
      </w:r>
    </w:p>
    <w:p w14:paraId="7E595273">
      <w:pPr>
        <w:pStyle w:val="5"/>
        <w:bidi w:val="0"/>
        <w:ind w:left="0" w:leftChars="0" w:firstLine="0" w:firstLineChars="0"/>
        <w:rPr>
          <w:highlight w:val="none"/>
        </w:rPr>
      </w:pPr>
      <w:r>
        <w:rPr>
          <w:rFonts w:hint="eastAsia"/>
          <w:highlight w:val="none"/>
        </w:rPr>
        <w:t>安装剩余起重臂</w:t>
      </w:r>
    </w:p>
    <w:p w14:paraId="3646F1EC">
      <w:pPr>
        <w:rPr>
          <w:highlight w:val="none"/>
        </w:rPr>
      </w:pPr>
      <w:r>
        <w:rPr>
          <w:rFonts w:hint="eastAsia"/>
          <w:highlight w:val="none"/>
          <w:lang w:val="en-US" w:eastAsia="zh-CN"/>
        </w:rPr>
        <w:t>（1）依次安装臂节二T1232、臂节三T1233、臂节四T1235和臂头T12T2</w:t>
      </w:r>
    </w:p>
    <w:p w14:paraId="5F1FF621">
      <w:pPr>
        <w:ind w:firstLine="480"/>
        <w:rPr>
          <w:rFonts w:ascii="宋体" w:hAnsi="宋体" w:cs="宋体"/>
          <w:bCs/>
          <w:szCs w:val="24"/>
          <w:highlight w:val="none"/>
          <w:lang w:val="en-GB"/>
        </w:rPr>
      </w:pPr>
      <w:r>
        <w:rPr>
          <w:rFonts w:hint="eastAsia" w:ascii="宋体" w:hAnsi="宋体" w:cs="宋体"/>
          <w:bCs/>
          <w:szCs w:val="24"/>
          <w:highlight w:val="none"/>
        </w:rPr>
        <w:t>（</w:t>
      </w:r>
      <w:r>
        <w:rPr>
          <w:rFonts w:hint="eastAsia" w:ascii="宋体" w:hAnsi="宋体" w:cs="宋体"/>
          <w:bCs/>
          <w:szCs w:val="24"/>
          <w:highlight w:val="none"/>
          <w:lang w:val="en-US" w:eastAsia="zh-CN"/>
        </w:rPr>
        <w:t>2</w:t>
      </w:r>
      <w:r>
        <w:rPr>
          <w:rFonts w:hint="eastAsia" w:ascii="宋体" w:hAnsi="宋体" w:cs="宋体"/>
          <w:bCs/>
          <w:szCs w:val="24"/>
          <w:highlight w:val="none"/>
        </w:rPr>
        <w:t>）起重臂的安装采用分节吊装的方式。用</w:t>
      </w:r>
      <w:r>
        <w:rPr>
          <w:rFonts w:hint="eastAsia" w:ascii="宋体" w:hAnsi="宋体" w:cs="宋体"/>
          <w:bCs/>
          <w:szCs w:val="24"/>
          <w:highlight w:val="none"/>
          <w:lang w:val="en-US" w:eastAsia="zh-CN"/>
        </w:rPr>
        <w:t>2</w:t>
      </w:r>
      <w:r>
        <w:rPr>
          <w:rFonts w:hint="eastAsia" w:ascii="宋体" w:hAnsi="宋体" w:cs="宋体"/>
          <w:bCs/>
          <w:szCs w:val="24"/>
          <w:highlight w:val="none"/>
        </w:rPr>
        <w:t>根</w:t>
      </w:r>
      <w:r>
        <w:rPr>
          <w:rFonts w:hint="eastAsia"/>
          <w:highlight w:val="none"/>
        </w:rPr>
        <w:t>1</w:t>
      </w:r>
      <w:r>
        <w:rPr>
          <w:rFonts w:hint="eastAsia"/>
          <w:highlight w:val="none"/>
          <w:lang w:val="en-US" w:eastAsia="zh-CN"/>
        </w:rPr>
        <w:t>8</w:t>
      </w:r>
      <w:r>
        <w:rPr>
          <w:rFonts w:hint="eastAsia"/>
          <w:highlight w:val="none"/>
        </w:rPr>
        <w:t>mm  6×19S+FC 1870Mpa配套GB/T 25854-6-DW10</w:t>
      </w:r>
      <w:r>
        <w:rPr>
          <w:rFonts w:hint="eastAsia"/>
          <w:highlight w:val="none"/>
          <w:lang w:eastAsia="zh-CN"/>
        </w:rPr>
        <w:t>的</w:t>
      </w:r>
      <w:r>
        <w:rPr>
          <w:rFonts w:hint="eastAsia"/>
          <w:highlight w:val="none"/>
          <w:lang w:val="en-US" w:eastAsia="zh-CN"/>
        </w:rPr>
        <w:t>卸扣</w:t>
      </w:r>
      <w:r>
        <w:rPr>
          <w:rFonts w:hint="eastAsia" w:ascii="宋体" w:hAnsi="宋体" w:cs="宋体"/>
          <w:bCs/>
          <w:szCs w:val="24"/>
          <w:highlight w:val="none"/>
        </w:rPr>
        <w:t>按顺序吊装起重臂臂节，试吊起重臂，使根部稍倾斜，倾斜角度不合适，应适当调整，并再次试吊，直至起重臂角度最佳为止，在起重臂上弦做好标志，以便拆卸时吊点选择。起吊前，将麻绳固定于便于牵引的一端，缓慢起吊起重臂至空中，可通过电力或手动摇动回转机构回转到安装起重臂的最佳角度，将起重臂上弦杆销轴与前一节臂上弦杆的销孔连接，穿好立销及开口销。缓慢落钩至起重臂下弦与平衡臂下弦连接口对正后，缓慢落下起重臂，安装下弦连接专用高强螺栓，完成一节起重臂的安装。</w:t>
      </w:r>
    </w:p>
    <w:p w14:paraId="1B1A4234">
      <w:pPr>
        <w:spacing w:after="156" w:afterLines="50" w:line="300" w:lineRule="auto"/>
        <w:ind w:firstLine="480"/>
        <w:jc w:val="left"/>
        <w:rPr>
          <w:rFonts w:ascii="宋体" w:hAnsi="宋体" w:cs="宋体"/>
          <w:bCs/>
          <w:szCs w:val="24"/>
          <w:highlight w:val="none"/>
        </w:rPr>
      </w:pPr>
      <w:r>
        <w:rPr>
          <w:rFonts w:hint="eastAsia" w:ascii="宋体" w:hAnsi="宋体" w:cs="宋体"/>
          <w:bCs/>
          <w:szCs w:val="24"/>
          <w:highlight w:val="none"/>
        </w:rPr>
        <w:t>（</w:t>
      </w:r>
      <w:r>
        <w:rPr>
          <w:rFonts w:hint="eastAsia" w:ascii="宋体" w:hAnsi="宋体" w:cs="宋体"/>
          <w:bCs/>
          <w:szCs w:val="24"/>
          <w:highlight w:val="none"/>
          <w:lang w:val="en-US" w:eastAsia="zh-CN"/>
        </w:rPr>
        <w:t>3</w:t>
      </w:r>
      <w:r>
        <w:rPr>
          <w:rFonts w:hint="eastAsia" w:ascii="宋体" w:hAnsi="宋体" w:cs="宋体"/>
          <w:bCs/>
          <w:szCs w:val="24"/>
          <w:highlight w:val="none"/>
        </w:rPr>
        <w:t>）各个起重臂节的在空中拼装方式都相同。如下图所示。</w:t>
      </w:r>
    </w:p>
    <w:p w14:paraId="6AFB0936">
      <w:pPr>
        <w:pStyle w:val="40"/>
        <w:ind w:firstLine="0" w:firstLineChars="0"/>
        <w:jc w:val="both"/>
        <w:rPr>
          <w:highlight w:val="none"/>
        </w:rPr>
      </w:pPr>
      <w:r>
        <w:rPr>
          <w:highlight w:val="none"/>
        </w:rPr>
        <w:drawing>
          <wp:inline distT="0" distB="0" distL="114300" distR="114300">
            <wp:extent cx="5273040" cy="3930015"/>
            <wp:effectExtent l="0" t="0" r="3810" b="13335"/>
            <wp:docPr id="16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81"/>
                    <pic:cNvPicPr>
                      <a:picLocks noChangeAspect="1"/>
                    </pic:cNvPicPr>
                  </pic:nvPicPr>
                  <pic:blipFill>
                    <a:blip r:embed="rId121"/>
                    <a:stretch>
                      <a:fillRect/>
                    </a:stretch>
                  </pic:blipFill>
                  <pic:spPr>
                    <a:xfrm>
                      <a:off x="0" y="0"/>
                      <a:ext cx="5273040" cy="3930015"/>
                    </a:xfrm>
                    <a:prstGeom prst="rect">
                      <a:avLst/>
                    </a:prstGeom>
                    <a:noFill/>
                    <a:ln>
                      <a:noFill/>
                    </a:ln>
                  </pic:spPr>
                </pic:pic>
              </a:graphicData>
            </a:graphic>
          </wp:inline>
        </w:drawing>
      </w:r>
    </w:p>
    <w:p w14:paraId="1B356839">
      <w:pPr>
        <w:widowControl/>
        <w:ind w:firstLine="480"/>
        <w:jc w:val="center"/>
        <w:rPr>
          <w:highlight w:val="none"/>
        </w:rPr>
      </w:pPr>
      <w:r>
        <w:rPr>
          <w:rFonts w:hint="eastAsia"/>
          <w:highlight w:val="none"/>
        </w:rPr>
        <w:t>图4.5.</w:t>
      </w:r>
      <w:r>
        <w:rPr>
          <w:rFonts w:hint="eastAsia"/>
          <w:highlight w:val="none"/>
          <w:lang w:val="en-US" w:eastAsia="zh-CN"/>
        </w:rPr>
        <w:t>10</w:t>
      </w:r>
      <w:r>
        <w:rPr>
          <w:rFonts w:hint="eastAsia"/>
          <w:highlight w:val="none"/>
        </w:rPr>
        <w:t>-1 起重臂组合图</w:t>
      </w:r>
    </w:p>
    <w:p w14:paraId="5ED205D4">
      <w:pPr>
        <w:pStyle w:val="40"/>
        <w:ind w:firstLine="0" w:firstLineChars="0"/>
        <w:jc w:val="center"/>
        <w:rPr>
          <w:highlight w:val="none"/>
        </w:rPr>
      </w:pPr>
      <w:r>
        <w:rPr>
          <w:highlight w:val="none"/>
        </w:rPr>
        <w:drawing>
          <wp:inline distT="0" distB="0" distL="114300" distR="114300">
            <wp:extent cx="5269230" cy="3564890"/>
            <wp:effectExtent l="0" t="0" r="7620" b="16510"/>
            <wp:docPr id="16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82"/>
                    <pic:cNvPicPr>
                      <a:picLocks noChangeAspect="1"/>
                    </pic:cNvPicPr>
                  </pic:nvPicPr>
                  <pic:blipFill>
                    <a:blip r:embed="rId122"/>
                    <a:stretch>
                      <a:fillRect/>
                    </a:stretch>
                  </pic:blipFill>
                  <pic:spPr>
                    <a:xfrm>
                      <a:off x="0" y="0"/>
                      <a:ext cx="5269230" cy="3564890"/>
                    </a:xfrm>
                    <a:prstGeom prst="rect">
                      <a:avLst/>
                    </a:prstGeom>
                    <a:noFill/>
                    <a:ln>
                      <a:noFill/>
                    </a:ln>
                  </pic:spPr>
                </pic:pic>
              </a:graphicData>
            </a:graphic>
          </wp:inline>
        </w:drawing>
      </w:r>
    </w:p>
    <w:p w14:paraId="657BCB89">
      <w:pPr>
        <w:widowControl/>
        <w:ind w:firstLine="480"/>
        <w:jc w:val="center"/>
        <w:rPr>
          <w:highlight w:val="none"/>
        </w:rPr>
      </w:pPr>
      <w:r>
        <w:rPr>
          <w:rFonts w:hint="eastAsia"/>
          <w:highlight w:val="none"/>
        </w:rPr>
        <w:t>图 4.5.</w:t>
      </w:r>
      <w:r>
        <w:rPr>
          <w:rFonts w:hint="eastAsia"/>
          <w:highlight w:val="none"/>
          <w:lang w:val="en-US" w:eastAsia="zh-CN"/>
        </w:rPr>
        <w:t>10</w:t>
      </w:r>
      <w:r>
        <w:rPr>
          <w:rFonts w:hint="eastAsia"/>
          <w:highlight w:val="none"/>
        </w:rPr>
        <w:noBreakHyphen/>
      </w:r>
      <w:r>
        <w:rPr>
          <w:rFonts w:hint="eastAsia"/>
          <w:highlight w:val="none"/>
        </w:rPr>
        <w:t>2   4#塔吊起重臂臂节二吊装立面示意图</w:t>
      </w:r>
    </w:p>
    <w:p w14:paraId="28FE6976">
      <w:pPr>
        <w:widowControl/>
        <w:ind w:firstLine="480"/>
        <w:jc w:val="center"/>
        <w:rPr>
          <w:highlight w:val="none"/>
        </w:rPr>
      </w:pPr>
      <w:r>
        <w:rPr>
          <w:highlight w:val="none"/>
        </w:rPr>
        <w:drawing>
          <wp:inline distT="0" distB="0" distL="114300" distR="114300">
            <wp:extent cx="5269230" cy="2189480"/>
            <wp:effectExtent l="0" t="0" r="7620" b="1270"/>
            <wp:docPr id="1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4"/>
                    <pic:cNvPicPr>
                      <a:picLocks noChangeAspect="1"/>
                    </pic:cNvPicPr>
                  </pic:nvPicPr>
                  <pic:blipFill>
                    <a:blip r:embed="rId123"/>
                    <a:stretch>
                      <a:fillRect/>
                    </a:stretch>
                  </pic:blipFill>
                  <pic:spPr>
                    <a:xfrm>
                      <a:off x="0" y="0"/>
                      <a:ext cx="5269230" cy="2189480"/>
                    </a:xfrm>
                    <a:prstGeom prst="rect">
                      <a:avLst/>
                    </a:prstGeom>
                    <a:noFill/>
                    <a:ln>
                      <a:noFill/>
                    </a:ln>
                  </pic:spPr>
                </pic:pic>
              </a:graphicData>
            </a:graphic>
          </wp:inline>
        </w:drawing>
      </w:r>
      <w:r>
        <w:rPr>
          <w:rFonts w:hint="eastAsia"/>
          <w:highlight w:val="none"/>
        </w:rPr>
        <w:t>图 4.5.</w:t>
      </w:r>
      <w:r>
        <w:rPr>
          <w:rFonts w:hint="eastAsia"/>
          <w:highlight w:val="none"/>
          <w:lang w:val="en-US" w:eastAsia="zh-CN"/>
        </w:rPr>
        <w:t>10</w:t>
      </w:r>
      <w:r>
        <w:rPr>
          <w:rFonts w:hint="eastAsia"/>
          <w:highlight w:val="none"/>
        </w:rPr>
        <w:noBreakHyphen/>
      </w:r>
      <w:r>
        <w:rPr>
          <w:rFonts w:hint="eastAsia"/>
          <w:highlight w:val="none"/>
        </w:rPr>
        <w:t>3   4#塔吊起重臂臂节二吊装平面示意图</w:t>
      </w:r>
    </w:p>
    <w:p w14:paraId="1381C733">
      <w:pPr>
        <w:spacing w:after="156" w:afterLines="50" w:line="300" w:lineRule="auto"/>
        <w:ind w:firstLine="0" w:firstLineChars="0"/>
        <w:jc w:val="center"/>
        <w:rPr>
          <w:highlight w:val="none"/>
        </w:rPr>
      </w:pPr>
    </w:p>
    <w:p w14:paraId="19ECF039">
      <w:pPr>
        <w:spacing w:after="156" w:afterLines="50" w:line="300" w:lineRule="auto"/>
        <w:ind w:firstLine="0" w:firstLineChars="0"/>
        <w:jc w:val="center"/>
        <w:rPr>
          <w:highlight w:val="none"/>
        </w:rPr>
      </w:pPr>
    </w:p>
    <w:p w14:paraId="10F2053F">
      <w:pPr>
        <w:spacing w:after="156" w:afterLines="50" w:line="300" w:lineRule="auto"/>
        <w:ind w:firstLine="0" w:firstLineChars="0"/>
        <w:jc w:val="center"/>
        <w:rPr>
          <w:highlight w:val="none"/>
        </w:rPr>
      </w:pPr>
      <w:r>
        <w:rPr>
          <w:highlight w:val="none"/>
        </w:rPr>
        <w:drawing>
          <wp:inline distT="0" distB="0" distL="114300" distR="114300">
            <wp:extent cx="5273040" cy="3403600"/>
            <wp:effectExtent l="0" t="0" r="3810" b="6350"/>
            <wp:docPr id="16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84"/>
                    <pic:cNvPicPr>
                      <a:picLocks noChangeAspect="1"/>
                    </pic:cNvPicPr>
                  </pic:nvPicPr>
                  <pic:blipFill>
                    <a:blip r:embed="rId124"/>
                    <a:stretch>
                      <a:fillRect/>
                    </a:stretch>
                  </pic:blipFill>
                  <pic:spPr>
                    <a:xfrm>
                      <a:off x="0" y="0"/>
                      <a:ext cx="5273040" cy="3403600"/>
                    </a:xfrm>
                    <a:prstGeom prst="rect">
                      <a:avLst/>
                    </a:prstGeom>
                    <a:noFill/>
                    <a:ln>
                      <a:noFill/>
                    </a:ln>
                  </pic:spPr>
                </pic:pic>
              </a:graphicData>
            </a:graphic>
          </wp:inline>
        </w:drawing>
      </w:r>
      <w:r>
        <w:rPr>
          <w:highlight w:val="none"/>
        </w:rPr>
        <w:drawing>
          <wp:inline distT="0" distB="0" distL="114300" distR="114300">
            <wp:extent cx="5273040" cy="3494405"/>
            <wp:effectExtent l="0" t="0" r="3810" b="10795"/>
            <wp:docPr id="16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85"/>
                    <pic:cNvPicPr>
                      <a:picLocks noChangeAspect="1"/>
                    </pic:cNvPicPr>
                  </pic:nvPicPr>
                  <pic:blipFill>
                    <a:blip r:embed="rId125"/>
                    <a:stretch>
                      <a:fillRect/>
                    </a:stretch>
                  </pic:blipFill>
                  <pic:spPr>
                    <a:xfrm>
                      <a:off x="0" y="0"/>
                      <a:ext cx="5273040" cy="3494405"/>
                    </a:xfrm>
                    <a:prstGeom prst="rect">
                      <a:avLst/>
                    </a:prstGeom>
                    <a:noFill/>
                    <a:ln>
                      <a:noFill/>
                    </a:ln>
                  </pic:spPr>
                </pic:pic>
              </a:graphicData>
            </a:graphic>
          </wp:inline>
        </w:drawing>
      </w:r>
    </w:p>
    <w:p w14:paraId="65C2AC43">
      <w:pPr>
        <w:pStyle w:val="40"/>
        <w:ind w:firstLine="480"/>
        <w:jc w:val="center"/>
        <w:rPr>
          <w:color w:val="auto"/>
          <w:kern w:val="2"/>
          <w:sz w:val="24"/>
          <w:szCs w:val="21"/>
          <w:highlight w:val="none"/>
        </w:rPr>
      </w:pPr>
      <w:r>
        <w:rPr>
          <w:rFonts w:hint="eastAsia"/>
          <w:color w:val="auto"/>
          <w:kern w:val="2"/>
          <w:sz w:val="24"/>
          <w:szCs w:val="21"/>
          <w:highlight w:val="none"/>
        </w:rPr>
        <w:t>图 4.5.</w:t>
      </w:r>
      <w:r>
        <w:rPr>
          <w:rFonts w:hint="eastAsia"/>
          <w:color w:val="auto"/>
          <w:kern w:val="2"/>
          <w:sz w:val="24"/>
          <w:szCs w:val="21"/>
          <w:highlight w:val="none"/>
          <w:lang w:val="en-US" w:eastAsia="zh-CN"/>
        </w:rPr>
        <w:t>10</w:t>
      </w:r>
      <w:r>
        <w:rPr>
          <w:rFonts w:hint="eastAsia"/>
          <w:color w:val="auto"/>
          <w:kern w:val="2"/>
          <w:sz w:val="24"/>
          <w:szCs w:val="21"/>
          <w:highlight w:val="none"/>
        </w:rPr>
        <w:noBreakHyphen/>
      </w:r>
      <w:r>
        <w:rPr>
          <w:rFonts w:hint="eastAsia"/>
          <w:color w:val="auto"/>
          <w:kern w:val="2"/>
          <w:sz w:val="24"/>
          <w:szCs w:val="21"/>
          <w:highlight w:val="none"/>
        </w:rPr>
        <w:t>4    4#塔吊剩余起重臂吊装立面示意图</w:t>
      </w:r>
    </w:p>
    <w:p w14:paraId="50A0FC55">
      <w:pPr>
        <w:pStyle w:val="40"/>
        <w:ind w:left="0" w:leftChars="0" w:firstLine="0" w:firstLineChars="0"/>
        <w:jc w:val="center"/>
        <w:rPr>
          <w:color w:val="auto"/>
          <w:kern w:val="2"/>
          <w:sz w:val="24"/>
          <w:szCs w:val="21"/>
          <w:highlight w:val="none"/>
        </w:rPr>
      </w:pPr>
      <w:r>
        <w:rPr>
          <w:highlight w:val="none"/>
        </w:rPr>
        <w:drawing>
          <wp:inline distT="0" distB="0" distL="114300" distR="114300">
            <wp:extent cx="5262880" cy="2365375"/>
            <wp:effectExtent l="0" t="0" r="13970" b="15875"/>
            <wp:docPr id="1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5"/>
                    <pic:cNvPicPr>
                      <a:picLocks noChangeAspect="1"/>
                    </pic:cNvPicPr>
                  </pic:nvPicPr>
                  <pic:blipFill>
                    <a:blip r:embed="rId126"/>
                    <a:stretch>
                      <a:fillRect/>
                    </a:stretch>
                  </pic:blipFill>
                  <pic:spPr>
                    <a:xfrm>
                      <a:off x="0" y="0"/>
                      <a:ext cx="5262880" cy="2365375"/>
                    </a:xfrm>
                    <a:prstGeom prst="rect">
                      <a:avLst/>
                    </a:prstGeom>
                    <a:noFill/>
                    <a:ln>
                      <a:noFill/>
                    </a:ln>
                  </pic:spPr>
                </pic:pic>
              </a:graphicData>
            </a:graphic>
          </wp:inline>
        </w:drawing>
      </w:r>
      <w:r>
        <w:rPr>
          <w:highlight w:val="none"/>
        </w:rPr>
        <w:drawing>
          <wp:inline distT="0" distB="0" distL="114300" distR="114300">
            <wp:extent cx="5266690" cy="2701290"/>
            <wp:effectExtent l="0" t="0" r="10160" b="3810"/>
            <wp:docPr id="1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6"/>
                    <pic:cNvPicPr>
                      <a:picLocks noChangeAspect="1"/>
                    </pic:cNvPicPr>
                  </pic:nvPicPr>
                  <pic:blipFill>
                    <a:blip r:embed="rId127"/>
                    <a:stretch>
                      <a:fillRect/>
                    </a:stretch>
                  </pic:blipFill>
                  <pic:spPr>
                    <a:xfrm>
                      <a:off x="0" y="0"/>
                      <a:ext cx="5266690" cy="2701290"/>
                    </a:xfrm>
                    <a:prstGeom prst="rect">
                      <a:avLst/>
                    </a:prstGeom>
                    <a:noFill/>
                    <a:ln>
                      <a:noFill/>
                    </a:ln>
                  </pic:spPr>
                </pic:pic>
              </a:graphicData>
            </a:graphic>
          </wp:inline>
        </w:drawing>
      </w:r>
    </w:p>
    <w:p w14:paraId="02B15530">
      <w:pPr>
        <w:pStyle w:val="40"/>
        <w:ind w:firstLine="480"/>
        <w:jc w:val="center"/>
        <w:rPr>
          <w:color w:val="auto"/>
          <w:kern w:val="2"/>
          <w:sz w:val="24"/>
          <w:szCs w:val="21"/>
          <w:highlight w:val="none"/>
        </w:rPr>
      </w:pPr>
      <w:r>
        <w:rPr>
          <w:rFonts w:hint="eastAsia"/>
          <w:color w:val="auto"/>
          <w:kern w:val="2"/>
          <w:sz w:val="24"/>
          <w:szCs w:val="21"/>
          <w:highlight w:val="none"/>
        </w:rPr>
        <w:t>图 4.5.</w:t>
      </w:r>
      <w:r>
        <w:rPr>
          <w:rFonts w:hint="eastAsia"/>
          <w:color w:val="auto"/>
          <w:kern w:val="2"/>
          <w:sz w:val="24"/>
          <w:szCs w:val="21"/>
          <w:highlight w:val="none"/>
          <w:lang w:val="en-US" w:eastAsia="zh-CN"/>
        </w:rPr>
        <w:t>10</w:t>
      </w:r>
      <w:r>
        <w:rPr>
          <w:rFonts w:hint="eastAsia"/>
          <w:color w:val="auto"/>
          <w:kern w:val="2"/>
          <w:sz w:val="24"/>
          <w:szCs w:val="21"/>
          <w:highlight w:val="none"/>
        </w:rPr>
        <w:noBreakHyphen/>
      </w:r>
      <w:r>
        <w:rPr>
          <w:rFonts w:hint="eastAsia"/>
          <w:color w:val="auto"/>
          <w:kern w:val="2"/>
          <w:sz w:val="24"/>
          <w:szCs w:val="21"/>
          <w:highlight w:val="none"/>
        </w:rPr>
        <w:t>5  4#塔吊其余起重臂吊装平面示意图</w:t>
      </w:r>
    </w:p>
    <w:p w14:paraId="42D114DD">
      <w:pPr>
        <w:ind w:firstLine="480"/>
        <w:rPr>
          <w:rFonts w:ascii="宋体" w:hAnsi="宋体" w:cs="宋体"/>
          <w:b/>
          <w:bCs/>
          <w:szCs w:val="24"/>
          <w:highlight w:val="none"/>
        </w:rPr>
      </w:pPr>
      <w:r>
        <w:rPr>
          <w:rFonts w:hint="eastAsia"/>
          <w:highlight w:val="none"/>
        </w:rPr>
        <w:t>（</w:t>
      </w:r>
      <w:r>
        <w:rPr>
          <w:rFonts w:hint="eastAsia"/>
          <w:highlight w:val="none"/>
          <w:lang w:val="en-US" w:eastAsia="zh-CN"/>
        </w:rPr>
        <w:t>4</w:t>
      </w:r>
      <w:r>
        <w:rPr>
          <w:rFonts w:hint="eastAsia"/>
          <w:highlight w:val="none"/>
        </w:rPr>
        <w:t>）塔吊起重臂总成安装时设置警戒区，起吊安排专人负责指挥，专人操作，严禁无关人员进入起重作业范围内。</w:t>
      </w:r>
    </w:p>
    <w:p w14:paraId="4E75B5A3">
      <w:pPr>
        <w:pStyle w:val="5"/>
        <w:bidi w:val="0"/>
        <w:ind w:left="0" w:leftChars="0" w:firstLine="0" w:firstLineChars="0"/>
        <w:rPr>
          <w:highlight w:val="none"/>
        </w:rPr>
      </w:pPr>
      <w:r>
        <w:rPr>
          <w:rFonts w:hint="eastAsia"/>
          <w:highlight w:val="none"/>
        </w:rPr>
        <w:t>安装剩余平衡重</w:t>
      </w:r>
    </w:p>
    <w:p w14:paraId="7B694566">
      <w:pPr>
        <w:ind w:firstLine="480"/>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rFonts w:hint="eastAsia"/>
          <w:highlight w:val="none"/>
        </w:rPr>
        <w:t>剩余平衡重吊装方法同</w:t>
      </w:r>
      <w:r>
        <w:rPr>
          <w:rFonts w:hint="eastAsia"/>
          <w:b/>
          <w:bCs/>
          <w:highlight w:val="none"/>
        </w:rPr>
        <w:t>安装第1块平衡重</w:t>
      </w:r>
      <w:r>
        <w:rPr>
          <w:rFonts w:hint="eastAsia"/>
          <w:highlight w:val="none"/>
        </w:rPr>
        <w:t>。吊装完成后检查并确认相邻平衡重块的整个表面是否贴紧。</w:t>
      </w:r>
    </w:p>
    <w:p w14:paraId="7EFDACDB">
      <w:pPr>
        <w:pStyle w:val="16"/>
        <w:ind w:firstLine="480"/>
        <w:jc w:val="center"/>
        <w:rPr>
          <w:highlight w:val="none"/>
        </w:rPr>
      </w:pPr>
      <w:r>
        <w:rPr>
          <w:rFonts w:hint="eastAsia" w:ascii="Times New Roman" w:hAnsi="Times New Roman"/>
          <w:szCs w:val="21"/>
          <w:highlight w:val="none"/>
        </w:rPr>
        <w:t>表4.5.1</w:t>
      </w:r>
      <w:r>
        <w:rPr>
          <w:rFonts w:hint="eastAsia" w:ascii="Times New Roman" w:hAnsi="Times New Roman"/>
          <w:szCs w:val="21"/>
          <w:highlight w:val="none"/>
          <w:lang w:val="en-US" w:eastAsia="zh-CN"/>
        </w:rPr>
        <w:t>1</w:t>
      </w:r>
      <w:r>
        <w:rPr>
          <w:rFonts w:hint="eastAsia" w:ascii="Times New Roman" w:hAnsi="Times New Roman"/>
          <w:szCs w:val="21"/>
          <w:highlight w:val="none"/>
        </w:rPr>
        <w:t>-1 平衡重组合表</w:t>
      </w:r>
    </w:p>
    <w:p w14:paraId="133D47F4">
      <w:pPr>
        <w:pStyle w:val="17"/>
        <w:ind w:left="0" w:firstLine="0" w:firstLineChars="0"/>
        <w:rPr>
          <w:rFonts w:hint="default"/>
          <w:highlight w:val="none"/>
        </w:rPr>
      </w:pPr>
      <w:r>
        <w:rPr>
          <w:highlight w:val="none"/>
        </w:rPr>
        <w:drawing>
          <wp:inline distT="0" distB="0" distL="114300" distR="114300">
            <wp:extent cx="5268595" cy="880745"/>
            <wp:effectExtent l="0" t="0" r="8255" b="14605"/>
            <wp:docPr id="16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88"/>
                    <pic:cNvPicPr>
                      <a:picLocks noChangeAspect="1"/>
                    </pic:cNvPicPr>
                  </pic:nvPicPr>
                  <pic:blipFill>
                    <a:blip r:embed="rId128"/>
                    <a:stretch>
                      <a:fillRect/>
                    </a:stretch>
                  </pic:blipFill>
                  <pic:spPr>
                    <a:xfrm>
                      <a:off x="0" y="0"/>
                      <a:ext cx="5268595" cy="880745"/>
                    </a:xfrm>
                    <a:prstGeom prst="rect">
                      <a:avLst/>
                    </a:prstGeom>
                    <a:noFill/>
                    <a:ln>
                      <a:noFill/>
                    </a:ln>
                  </pic:spPr>
                </pic:pic>
              </a:graphicData>
            </a:graphic>
          </wp:inline>
        </w:drawing>
      </w:r>
    </w:p>
    <w:p w14:paraId="06F45E80">
      <w:pPr>
        <w:widowControl/>
        <w:adjustRightInd w:val="0"/>
        <w:snapToGrid w:val="0"/>
        <w:ind w:firstLine="48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按从起升机构侧向</w:t>
      </w:r>
      <w:r>
        <w:rPr>
          <w:rFonts w:hint="eastAsia"/>
          <w:highlight w:val="none"/>
          <w:lang w:val="en-US" w:eastAsia="zh-CN"/>
        </w:rPr>
        <w:t>远离</w:t>
      </w:r>
      <w:r>
        <w:rPr>
          <w:rFonts w:hint="eastAsia"/>
          <w:highlight w:val="none"/>
        </w:rPr>
        <w:t>塔身侧依次吊装平衡重。</w:t>
      </w:r>
    </w:p>
    <w:p w14:paraId="3AD4B513">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作业人员在地面上先将钢丝绳一端挂在吊机吊钩上，另一端与卸扣连接，启动吊机，将卸扣缓慢提升至平衡重上方时，缓慢放松吊钩，作业人员通过平衡臂走道走行至平衡臂尾部，将安全带系挂在平衡臂横杆上，将配重吊起放置于平衡臂的配重槽上时，穿入平衡重销孔轴，然后平稳地将平衡重落于配重槽内。解除吊装钢丝绳。</w:t>
      </w:r>
    </w:p>
    <w:p w14:paraId="62020D4C">
      <w:pPr>
        <w:ind w:firstLine="480"/>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rFonts w:hint="eastAsia"/>
          <w:highlight w:val="none"/>
        </w:rPr>
        <w:t>塔吊平衡重安装时设置警戒区，起吊安排专人负责指挥，专人操作，严禁无关人员进入起重作业范围内。</w:t>
      </w:r>
    </w:p>
    <w:p w14:paraId="562EF810">
      <w:pPr>
        <w:pStyle w:val="16"/>
        <w:ind w:firstLine="0" w:firstLineChars="0"/>
        <w:jc w:val="center"/>
        <w:rPr>
          <w:highlight w:val="none"/>
        </w:rPr>
      </w:pPr>
      <w:r>
        <w:rPr>
          <w:highlight w:val="none"/>
        </w:rPr>
        <w:drawing>
          <wp:inline distT="0" distB="0" distL="114300" distR="114300">
            <wp:extent cx="5266055" cy="3076575"/>
            <wp:effectExtent l="0" t="0" r="10795" b="9525"/>
            <wp:docPr id="16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89"/>
                    <pic:cNvPicPr>
                      <a:picLocks noChangeAspect="1"/>
                    </pic:cNvPicPr>
                  </pic:nvPicPr>
                  <pic:blipFill>
                    <a:blip r:embed="rId129"/>
                    <a:stretch>
                      <a:fillRect/>
                    </a:stretch>
                  </pic:blipFill>
                  <pic:spPr>
                    <a:xfrm>
                      <a:off x="0" y="0"/>
                      <a:ext cx="5266055" cy="3076575"/>
                    </a:xfrm>
                    <a:prstGeom prst="rect">
                      <a:avLst/>
                    </a:prstGeom>
                    <a:noFill/>
                    <a:ln>
                      <a:noFill/>
                    </a:ln>
                  </pic:spPr>
                </pic:pic>
              </a:graphicData>
            </a:graphic>
          </wp:inline>
        </w:drawing>
      </w:r>
    </w:p>
    <w:p w14:paraId="69CD7716">
      <w:pPr>
        <w:widowControl/>
        <w:ind w:firstLine="480"/>
        <w:jc w:val="center"/>
        <w:rPr>
          <w:highlight w:val="none"/>
        </w:rPr>
      </w:pPr>
      <w:r>
        <w:rPr>
          <w:rFonts w:hint="eastAsia"/>
          <w:highlight w:val="none"/>
        </w:rPr>
        <w:t>图 4.5.1</w:t>
      </w:r>
      <w:r>
        <w:rPr>
          <w:rFonts w:hint="eastAsia"/>
          <w:highlight w:val="none"/>
          <w:lang w:val="en-US" w:eastAsia="zh-CN"/>
        </w:rPr>
        <w:t>1</w:t>
      </w:r>
      <w:r>
        <w:rPr>
          <w:rFonts w:hint="eastAsia"/>
          <w:highlight w:val="none"/>
        </w:rPr>
        <w:noBreakHyphen/>
      </w:r>
      <w:r>
        <w:rPr>
          <w:rFonts w:hint="eastAsia"/>
          <w:highlight w:val="none"/>
        </w:rPr>
        <w:t>2  4#塔吊剩余平衡重吊装立面示意图</w:t>
      </w:r>
    </w:p>
    <w:p w14:paraId="5A03DC1B">
      <w:pPr>
        <w:widowControl/>
        <w:ind w:firstLine="480"/>
        <w:jc w:val="center"/>
        <w:rPr>
          <w:highlight w:val="none"/>
        </w:rPr>
      </w:pPr>
      <w:r>
        <w:rPr>
          <w:highlight w:val="none"/>
        </w:rPr>
        <w:drawing>
          <wp:inline distT="0" distB="0" distL="114300" distR="114300">
            <wp:extent cx="5269230" cy="2086610"/>
            <wp:effectExtent l="0" t="0" r="7620" b="8890"/>
            <wp:docPr id="1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7"/>
                    <pic:cNvPicPr>
                      <a:picLocks noChangeAspect="1"/>
                    </pic:cNvPicPr>
                  </pic:nvPicPr>
                  <pic:blipFill>
                    <a:blip r:embed="rId130"/>
                    <a:stretch>
                      <a:fillRect/>
                    </a:stretch>
                  </pic:blipFill>
                  <pic:spPr>
                    <a:xfrm>
                      <a:off x="0" y="0"/>
                      <a:ext cx="5269230" cy="2086610"/>
                    </a:xfrm>
                    <a:prstGeom prst="rect">
                      <a:avLst/>
                    </a:prstGeom>
                    <a:noFill/>
                    <a:ln>
                      <a:noFill/>
                    </a:ln>
                  </pic:spPr>
                </pic:pic>
              </a:graphicData>
            </a:graphic>
          </wp:inline>
        </w:drawing>
      </w:r>
      <w:r>
        <w:rPr>
          <w:rFonts w:hint="eastAsia"/>
          <w:highlight w:val="none"/>
        </w:rPr>
        <w:t xml:space="preserve"> 图 4.5.1</w:t>
      </w:r>
      <w:r>
        <w:rPr>
          <w:rFonts w:hint="eastAsia"/>
          <w:highlight w:val="none"/>
          <w:lang w:val="en-US" w:eastAsia="zh-CN"/>
        </w:rPr>
        <w:t>1</w:t>
      </w:r>
      <w:r>
        <w:rPr>
          <w:rFonts w:hint="eastAsia"/>
          <w:highlight w:val="none"/>
        </w:rPr>
        <w:noBreakHyphen/>
      </w:r>
      <w:r>
        <w:rPr>
          <w:rFonts w:hint="eastAsia"/>
          <w:highlight w:val="none"/>
        </w:rPr>
        <w:t>3    4#塔吊剩余平衡重吊装立面示意图</w:t>
      </w:r>
    </w:p>
    <w:p w14:paraId="32C2A533">
      <w:pPr>
        <w:pStyle w:val="5"/>
        <w:bidi w:val="0"/>
        <w:ind w:left="0" w:leftChars="0" w:firstLine="0" w:firstLineChars="0"/>
        <w:rPr>
          <w:highlight w:val="none"/>
        </w:rPr>
      </w:pPr>
      <w:r>
        <w:rPr>
          <w:rFonts w:hint="eastAsia"/>
          <w:highlight w:val="none"/>
        </w:rPr>
        <w:t>穿绕钢丝绳</w:t>
      </w:r>
    </w:p>
    <w:p w14:paraId="3A1A5608">
      <w:pPr>
        <w:pStyle w:val="7"/>
        <w:bidi w:val="0"/>
        <w:ind w:left="864" w:leftChars="0" w:hanging="864" w:firstLineChars="0"/>
        <w:rPr>
          <w:highlight w:val="none"/>
        </w:rPr>
      </w:pPr>
      <w:r>
        <w:rPr>
          <w:rFonts w:hint="eastAsia"/>
          <w:highlight w:val="none"/>
        </w:rPr>
        <w:t>穿绕变幅钢丝绳</w:t>
      </w:r>
    </w:p>
    <w:p w14:paraId="48778513">
      <w:pPr>
        <w:ind w:firstLine="480"/>
        <w:rPr>
          <w:highlight w:val="none"/>
        </w:rPr>
      </w:pPr>
      <w:r>
        <w:rPr>
          <w:rFonts w:hint="eastAsia"/>
          <w:highlight w:val="none"/>
        </w:rPr>
        <w:t>根据实际使用的起重臂长度确定所需的变幅钢丝绳长度。穿绕变幅钢丝绳之前检查变幅小车是否锁定。</w:t>
      </w:r>
    </w:p>
    <w:p w14:paraId="7EB507EA">
      <w:pPr>
        <w:ind w:firstLine="480"/>
        <w:rPr>
          <w:rFonts w:hint="eastAsia"/>
          <w:highlight w:val="none"/>
        </w:rPr>
      </w:pPr>
      <w:r>
        <w:rPr>
          <w:rFonts w:hint="eastAsia"/>
          <w:highlight w:val="none"/>
        </w:rPr>
        <w:t>操作步骤:</w:t>
      </w:r>
    </w:p>
    <w:p w14:paraId="5DE17663">
      <w:pPr>
        <w:ind w:firstLine="480"/>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rFonts w:hint="eastAsia"/>
          <w:highlight w:val="none"/>
        </w:rPr>
        <w:t>钢丝绳从变幅卷筒(1)出发，穿过起重臂根部滑轮(2)，使用销轴(3)和开口销(4)将楔形接头(5)固定在小车上。</w:t>
      </w:r>
    </w:p>
    <w:p w14:paraId="2D3BAD1C">
      <w:pPr>
        <w:ind w:firstLine="0" w:firstLineChars="0"/>
        <w:rPr>
          <w:highlight w:val="none"/>
        </w:rPr>
      </w:pPr>
      <w:r>
        <w:rPr>
          <w:highlight w:val="none"/>
        </w:rPr>
        <w:drawing>
          <wp:inline distT="0" distB="0" distL="114300" distR="114300">
            <wp:extent cx="5271135" cy="3091815"/>
            <wp:effectExtent l="0" t="0" r="5715" b="13335"/>
            <wp:docPr id="12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1"/>
                    <pic:cNvPicPr>
                      <a:picLocks noChangeAspect="1"/>
                    </pic:cNvPicPr>
                  </pic:nvPicPr>
                  <pic:blipFill>
                    <a:blip r:embed="rId86"/>
                    <a:stretch>
                      <a:fillRect/>
                    </a:stretch>
                  </pic:blipFill>
                  <pic:spPr>
                    <a:xfrm>
                      <a:off x="0" y="0"/>
                      <a:ext cx="5271135" cy="3091815"/>
                    </a:xfrm>
                    <a:prstGeom prst="rect">
                      <a:avLst/>
                    </a:prstGeom>
                    <a:noFill/>
                    <a:ln>
                      <a:noFill/>
                    </a:ln>
                  </pic:spPr>
                </pic:pic>
              </a:graphicData>
            </a:graphic>
          </wp:inline>
        </w:drawing>
      </w:r>
    </w:p>
    <w:p w14:paraId="5A8B5EB5">
      <w:pPr>
        <w:ind w:firstLine="48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张紧变幅钢丝绳，并缓慢将其卷绕在变幅机构。</w:t>
      </w:r>
    </w:p>
    <w:p w14:paraId="7D4149D2">
      <w:pPr>
        <w:ind w:firstLine="0" w:firstLineChars="0"/>
        <w:jc w:val="center"/>
        <w:rPr>
          <w:highlight w:val="none"/>
        </w:rPr>
      </w:pPr>
      <w:r>
        <w:rPr>
          <w:highlight w:val="none"/>
        </w:rPr>
        <w:drawing>
          <wp:inline distT="0" distB="0" distL="114300" distR="114300">
            <wp:extent cx="2590800" cy="1447800"/>
            <wp:effectExtent l="0" t="0" r="0" b="0"/>
            <wp:docPr id="13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2"/>
                    <pic:cNvPicPr>
                      <a:picLocks noChangeAspect="1"/>
                    </pic:cNvPicPr>
                  </pic:nvPicPr>
                  <pic:blipFill>
                    <a:blip r:embed="rId87"/>
                    <a:stretch>
                      <a:fillRect/>
                    </a:stretch>
                  </pic:blipFill>
                  <pic:spPr>
                    <a:xfrm>
                      <a:off x="0" y="0"/>
                      <a:ext cx="2590800" cy="1447800"/>
                    </a:xfrm>
                    <a:prstGeom prst="rect">
                      <a:avLst/>
                    </a:prstGeom>
                    <a:noFill/>
                    <a:ln>
                      <a:noFill/>
                    </a:ln>
                  </pic:spPr>
                </pic:pic>
              </a:graphicData>
            </a:graphic>
          </wp:inline>
        </w:drawing>
      </w:r>
    </w:p>
    <w:p w14:paraId="141EB993">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从卷轴上退下钢丝绳。</w:t>
      </w:r>
    </w:p>
    <w:p w14:paraId="4B1B6BE1">
      <w:pPr>
        <w:ind w:firstLine="0" w:firstLineChars="0"/>
        <w:jc w:val="center"/>
        <w:rPr>
          <w:highlight w:val="none"/>
        </w:rPr>
      </w:pPr>
      <w:r>
        <w:rPr>
          <w:highlight w:val="none"/>
        </w:rPr>
        <w:drawing>
          <wp:inline distT="0" distB="0" distL="114300" distR="114300">
            <wp:extent cx="3105150" cy="1457325"/>
            <wp:effectExtent l="0" t="0" r="0" b="9525"/>
            <wp:docPr id="13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53"/>
                    <pic:cNvPicPr>
                      <a:picLocks noChangeAspect="1"/>
                    </pic:cNvPicPr>
                  </pic:nvPicPr>
                  <pic:blipFill>
                    <a:blip r:embed="rId88"/>
                    <a:stretch>
                      <a:fillRect/>
                    </a:stretch>
                  </pic:blipFill>
                  <pic:spPr>
                    <a:xfrm>
                      <a:off x="0" y="0"/>
                      <a:ext cx="3105150" cy="1457325"/>
                    </a:xfrm>
                    <a:prstGeom prst="rect">
                      <a:avLst/>
                    </a:prstGeom>
                    <a:noFill/>
                    <a:ln>
                      <a:noFill/>
                    </a:ln>
                  </pic:spPr>
                </pic:pic>
              </a:graphicData>
            </a:graphic>
          </wp:inline>
        </w:drawing>
      </w:r>
    </w:p>
    <w:p w14:paraId="65D1B932">
      <w:pPr>
        <w:ind w:firstLine="480"/>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rFonts w:hint="eastAsia"/>
          <w:highlight w:val="none"/>
        </w:rPr>
        <w:t>钢丝绳一端穿过起重臂端部滑轮。从卷筒下方缠绕钢丝绳，确保至少3留在卷筒。</w:t>
      </w:r>
    </w:p>
    <w:p w14:paraId="19E0B10A">
      <w:pPr>
        <w:ind w:firstLine="0" w:firstLineChars="0"/>
        <w:jc w:val="center"/>
        <w:rPr>
          <w:highlight w:val="none"/>
        </w:rPr>
      </w:pPr>
      <w:r>
        <w:rPr>
          <w:highlight w:val="none"/>
        </w:rPr>
        <w:drawing>
          <wp:inline distT="0" distB="0" distL="114300" distR="114300">
            <wp:extent cx="3762375" cy="1504950"/>
            <wp:effectExtent l="0" t="0" r="9525" b="0"/>
            <wp:docPr id="13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54"/>
                    <pic:cNvPicPr>
                      <a:picLocks noChangeAspect="1"/>
                    </pic:cNvPicPr>
                  </pic:nvPicPr>
                  <pic:blipFill>
                    <a:blip r:embed="rId89"/>
                    <a:stretch>
                      <a:fillRect/>
                    </a:stretch>
                  </pic:blipFill>
                  <pic:spPr>
                    <a:xfrm>
                      <a:off x="0" y="0"/>
                      <a:ext cx="3762375" cy="1504950"/>
                    </a:xfrm>
                    <a:prstGeom prst="rect">
                      <a:avLst/>
                    </a:prstGeom>
                    <a:noFill/>
                    <a:ln>
                      <a:noFill/>
                    </a:ln>
                  </pic:spPr>
                </pic:pic>
              </a:graphicData>
            </a:graphic>
          </wp:inline>
        </w:drawing>
      </w:r>
    </w:p>
    <w:p w14:paraId="068617DF">
      <w:pPr>
        <w:ind w:firstLine="480"/>
        <w:rPr>
          <w:highlight w:val="none"/>
        </w:rPr>
      </w:pPr>
      <w:r>
        <w:rPr>
          <w:rFonts w:hint="eastAsia"/>
          <w:highlight w:val="none"/>
          <w:lang w:eastAsia="zh-CN"/>
        </w:rPr>
        <w:t>（</w:t>
      </w:r>
      <w:r>
        <w:rPr>
          <w:rFonts w:hint="eastAsia"/>
          <w:highlight w:val="none"/>
          <w:lang w:val="en-US" w:eastAsia="zh-CN"/>
        </w:rPr>
        <w:t>5</w:t>
      </w:r>
      <w:r>
        <w:rPr>
          <w:rFonts w:hint="eastAsia"/>
          <w:highlight w:val="none"/>
          <w:lang w:eastAsia="zh-CN"/>
        </w:rPr>
        <w:t>）</w:t>
      </w:r>
      <w:r>
        <w:rPr>
          <w:rFonts w:hint="eastAsia"/>
          <w:highlight w:val="none"/>
        </w:rPr>
        <w:t>用螺栓(3)和压板(4)将钢丝绳固定至变幅卷筒侧面。</w:t>
      </w:r>
    </w:p>
    <w:p w14:paraId="446A2F30">
      <w:pPr>
        <w:ind w:firstLine="0" w:firstLineChars="0"/>
        <w:jc w:val="center"/>
        <w:rPr>
          <w:highlight w:val="none"/>
        </w:rPr>
      </w:pPr>
      <w:r>
        <w:rPr>
          <w:highlight w:val="none"/>
        </w:rPr>
        <w:drawing>
          <wp:inline distT="0" distB="0" distL="114300" distR="114300">
            <wp:extent cx="3057525" cy="1800225"/>
            <wp:effectExtent l="0" t="0" r="9525" b="9525"/>
            <wp:docPr id="13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5"/>
                    <pic:cNvPicPr>
                      <a:picLocks noChangeAspect="1"/>
                    </pic:cNvPicPr>
                  </pic:nvPicPr>
                  <pic:blipFill>
                    <a:blip r:embed="rId90"/>
                    <a:stretch>
                      <a:fillRect/>
                    </a:stretch>
                  </pic:blipFill>
                  <pic:spPr>
                    <a:xfrm>
                      <a:off x="0" y="0"/>
                      <a:ext cx="3057525" cy="1800225"/>
                    </a:xfrm>
                    <a:prstGeom prst="rect">
                      <a:avLst/>
                    </a:prstGeom>
                    <a:noFill/>
                    <a:ln>
                      <a:noFill/>
                    </a:ln>
                  </pic:spPr>
                </pic:pic>
              </a:graphicData>
            </a:graphic>
          </wp:inline>
        </w:drawing>
      </w:r>
    </w:p>
    <w:p w14:paraId="4574BD22">
      <w:pPr>
        <w:ind w:firstLine="480"/>
        <w:jc w:val="left"/>
        <w:rPr>
          <w:rFonts w:hint="eastAsia"/>
          <w:highlight w:val="none"/>
        </w:rPr>
      </w:pPr>
      <w:r>
        <w:rPr>
          <w:rFonts w:hint="eastAsia"/>
          <w:highlight w:val="none"/>
          <w:lang w:eastAsia="zh-CN"/>
        </w:rPr>
        <w:t>（</w:t>
      </w:r>
      <w:r>
        <w:rPr>
          <w:rFonts w:hint="eastAsia"/>
          <w:highlight w:val="none"/>
          <w:lang w:val="en-US" w:eastAsia="zh-CN"/>
        </w:rPr>
        <w:t>6</w:t>
      </w:r>
      <w:r>
        <w:rPr>
          <w:rFonts w:hint="eastAsia"/>
          <w:highlight w:val="none"/>
          <w:lang w:eastAsia="zh-CN"/>
        </w:rPr>
        <w:t>）</w:t>
      </w:r>
      <w:r>
        <w:rPr>
          <w:rFonts w:hint="eastAsia"/>
          <w:highlight w:val="none"/>
        </w:rPr>
        <w:t>钢丝绳一端(1)穿过防断绳装置(3)的导环(2)。从下向上缠绕钢丝绳至张紧卷筒(4),并且确保3圈留在卷筒。钢丝绳穿过张紧卷筒的孔(5)，并用楔块(7)和楔套(6)固定钢丝绳。用手柄(8)张紧钢丝绳。</w:t>
      </w:r>
    </w:p>
    <w:p w14:paraId="7F3E05F8">
      <w:pPr>
        <w:ind w:left="0" w:leftChars="0" w:firstLine="0" w:firstLineChars="0"/>
        <w:jc w:val="center"/>
        <w:rPr>
          <w:highlight w:val="none"/>
        </w:rPr>
      </w:pPr>
      <w:r>
        <w:rPr>
          <w:highlight w:val="none"/>
        </w:rPr>
        <w:drawing>
          <wp:inline distT="0" distB="0" distL="114300" distR="114300">
            <wp:extent cx="3762375" cy="3571875"/>
            <wp:effectExtent l="0" t="0" r="9525" b="9525"/>
            <wp:docPr id="13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6"/>
                    <pic:cNvPicPr>
                      <a:picLocks noChangeAspect="1"/>
                    </pic:cNvPicPr>
                  </pic:nvPicPr>
                  <pic:blipFill>
                    <a:blip r:embed="rId91"/>
                    <a:stretch>
                      <a:fillRect/>
                    </a:stretch>
                  </pic:blipFill>
                  <pic:spPr>
                    <a:xfrm>
                      <a:off x="0" y="0"/>
                      <a:ext cx="3762375" cy="3571875"/>
                    </a:xfrm>
                    <a:prstGeom prst="rect">
                      <a:avLst/>
                    </a:prstGeom>
                    <a:noFill/>
                    <a:ln>
                      <a:noFill/>
                    </a:ln>
                  </pic:spPr>
                </pic:pic>
              </a:graphicData>
            </a:graphic>
          </wp:inline>
        </w:drawing>
      </w:r>
    </w:p>
    <w:p w14:paraId="360C4C9D">
      <w:pPr>
        <w:pStyle w:val="7"/>
        <w:bidi w:val="0"/>
        <w:ind w:left="864" w:leftChars="0" w:hanging="864" w:firstLineChars="0"/>
        <w:rPr>
          <w:highlight w:val="none"/>
        </w:rPr>
      </w:pPr>
      <w:r>
        <w:rPr>
          <w:rFonts w:hint="eastAsia"/>
          <w:highlight w:val="none"/>
        </w:rPr>
        <w:t>穿绕起升钢丝绳</w:t>
      </w:r>
    </w:p>
    <w:p w14:paraId="43EF5DE3">
      <w:pPr>
        <w:ind w:firstLine="480"/>
        <w:rPr>
          <w:highlight w:val="none"/>
        </w:rPr>
      </w:pPr>
      <w:r>
        <w:rPr>
          <w:rFonts w:hint="eastAsia"/>
          <w:highlight w:val="none"/>
          <w:lang w:eastAsia="zh-CN"/>
        </w:rPr>
        <w:t>（</w:t>
      </w:r>
      <w:r>
        <w:rPr>
          <w:rFonts w:hint="eastAsia"/>
          <w:highlight w:val="none"/>
          <w:lang w:val="en-US" w:eastAsia="zh-CN"/>
        </w:rPr>
        <w:t>1</w:t>
      </w:r>
      <w:r>
        <w:rPr>
          <w:rFonts w:hint="eastAsia"/>
          <w:highlight w:val="none"/>
          <w:lang w:eastAsia="zh-CN"/>
        </w:rPr>
        <w:t>）</w:t>
      </w:r>
      <w:r>
        <w:rPr>
          <w:rFonts w:hint="eastAsia"/>
          <w:highlight w:val="none"/>
        </w:rPr>
        <w:t>钢丝绳从起升机构(1)卷筒上端出绳，穿过平衡臂臂根节上托绳轮(2)，再穿过臂根节上起重量限制器滑轮(3)，再穿过起重臂臂根部滑轮(4)，然后钢丝绳伸出连接小车。</w:t>
      </w:r>
    </w:p>
    <w:p w14:paraId="408064AA">
      <w:pPr>
        <w:ind w:firstLine="0" w:firstLineChars="0"/>
        <w:jc w:val="center"/>
        <w:rPr>
          <w:highlight w:val="none"/>
        </w:rPr>
      </w:pPr>
      <w:r>
        <w:rPr>
          <w:highlight w:val="none"/>
        </w:rPr>
        <w:drawing>
          <wp:inline distT="0" distB="0" distL="114300" distR="114300">
            <wp:extent cx="5274310" cy="2923540"/>
            <wp:effectExtent l="0" t="0" r="2540" b="10160"/>
            <wp:docPr id="13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57"/>
                    <pic:cNvPicPr>
                      <a:picLocks noChangeAspect="1"/>
                    </pic:cNvPicPr>
                  </pic:nvPicPr>
                  <pic:blipFill>
                    <a:blip r:embed="rId92"/>
                    <a:stretch>
                      <a:fillRect/>
                    </a:stretch>
                  </pic:blipFill>
                  <pic:spPr>
                    <a:xfrm>
                      <a:off x="0" y="0"/>
                      <a:ext cx="5274310" cy="2923540"/>
                    </a:xfrm>
                    <a:prstGeom prst="rect">
                      <a:avLst/>
                    </a:prstGeom>
                    <a:noFill/>
                    <a:ln>
                      <a:noFill/>
                    </a:ln>
                  </pic:spPr>
                </pic:pic>
              </a:graphicData>
            </a:graphic>
          </wp:inline>
        </w:drawing>
      </w:r>
    </w:p>
    <w:p w14:paraId="683D6B15">
      <w:pPr>
        <w:ind w:firstLine="480"/>
        <w:rPr>
          <w:highlight w:val="none"/>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rPr>
        <w:t>穿绕变幅小车上起升钢丝绳。由于本小车和吊钩为自动变倍率方式，变倍率时通过吊钩上上下滑轮组自动断开方式实现，因此起升钢丝绳的绕绳方式不变。</w:t>
      </w:r>
    </w:p>
    <w:p w14:paraId="033F791C">
      <w:pPr>
        <w:ind w:firstLine="0" w:firstLineChars="0"/>
        <w:jc w:val="center"/>
        <w:rPr>
          <w:highlight w:val="none"/>
        </w:rPr>
      </w:pPr>
      <w:r>
        <w:rPr>
          <w:highlight w:val="none"/>
        </w:rPr>
        <w:drawing>
          <wp:inline distT="0" distB="0" distL="114300" distR="114300">
            <wp:extent cx="5271770" cy="2418715"/>
            <wp:effectExtent l="0" t="0" r="5080" b="635"/>
            <wp:docPr id="13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58"/>
                    <pic:cNvPicPr>
                      <a:picLocks noChangeAspect="1"/>
                    </pic:cNvPicPr>
                  </pic:nvPicPr>
                  <pic:blipFill>
                    <a:blip r:embed="rId93"/>
                    <a:stretch>
                      <a:fillRect/>
                    </a:stretch>
                  </pic:blipFill>
                  <pic:spPr>
                    <a:xfrm>
                      <a:off x="0" y="0"/>
                      <a:ext cx="5271770" cy="2418715"/>
                    </a:xfrm>
                    <a:prstGeom prst="rect">
                      <a:avLst/>
                    </a:prstGeom>
                    <a:noFill/>
                    <a:ln>
                      <a:noFill/>
                    </a:ln>
                  </pic:spPr>
                </pic:pic>
              </a:graphicData>
            </a:graphic>
          </wp:inline>
        </w:drawing>
      </w:r>
    </w:p>
    <w:p w14:paraId="718F8EAF">
      <w:pPr>
        <w:ind w:firstLine="48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起升钢丝绳从小车绕出之后进入起重臂臂头防扭装置。用块(3)锁住钢丝绳(1)至楔套(2)，并在钢丝绳末端装上一个绳夹(4)。用销轴(6)和开口销(7)安装楔套(2)至钢丝绳防扭器(5)。安装完毕后检查防扭器是否旋转自如。</w:t>
      </w:r>
    </w:p>
    <w:p w14:paraId="45222418">
      <w:pPr>
        <w:ind w:firstLine="0" w:firstLineChars="0"/>
        <w:jc w:val="center"/>
        <w:rPr>
          <w:highlight w:val="none"/>
        </w:rPr>
      </w:pPr>
      <w:r>
        <w:rPr>
          <w:highlight w:val="none"/>
        </w:rPr>
        <w:drawing>
          <wp:inline distT="0" distB="0" distL="114300" distR="114300">
            <wp:extent cx="5269865" cy="1981200"/>
            <wp:effectExtent l="0" t="0" r="6985" b="0"/>
            <wp:docPr id="13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59"/>
                    <pic:cNvPicPr>
                      <a:picLocks noChangeAspect="1"/>
                    </pic:cNvPicPr>
                  </pic:nvPicPr>
                  <pic:blipFill>
                    <a:blip r:embed="rId94"/>
                    <a:stretch>
                      <a:fillRect/>
                    </a:stretch>
                  </pic:blipFill>
                  <pic:spPr>
                    <a:xfrm>
                      <a:off x="0" y="0"/>
                      <a:ext cx="5269865" cy="1981200"/>
                    </a:xfrm>
                    <a:prstGeom prst="rect">
                      <a:avLst/>
                    </a:prstGeom>
                    <a:noFill/>
                    <a:ln>
                      <a:noFill/>
                    </a:ln>
                  </pic:spPr>
                </pic:pic>
              </a:graphicData>
            </a:graphic>
          </wp:inline>
        </w:drawing>
      </w:r>
    </w:p>
    <w:p w14:paraId="189587D1">
      <w:pPr>
        <w:pStyle w:val="5"/>
        <w:bidi w:val="0"/>
        <w:ind w:left="0" w:leftChars="0" w:firstLine="0" w:firstLineChars="0"/>
        <w:rPr>
          <w:highlight w:val="none"/>
        </w:rPr>
      </w:pPr>
      <w:r>
        <w:rPr>
          <w:rFonts w:hint="eastAsia"/>
          <w:highlight w:val="none"/>
        </w:rPr>
        <w:t>电气系统安装及试运转</w:t>
      </w:r>
    </w:p>
    <w:p w14:paraId="00E7828F">
      <w:pPr>
        <w:ind w:firstLine="480"/>
        <w:rPr>
          <w:highlight w:val="none"/>
        </w:rPr>
      </w:pPr>
      <w:r>
        <w:rPr>
          <w:rFonts w:hint="eastAsia"/>
          <w:highlight w:val="none"/>
        </w:rPr>
        <w:t>（1）起重臂安装完成后，按照说明书的要求，进行</w:t>
      </w:r>
      <w:r>
        <w:rPr>
          <w:highlight w:val="none"/>
        </w:rPr>
        <w:t>驾配箱、主控柜</w:t>
      </w:r>
      <w:r>
        <w:rPr>
          <w:rFonts w:hint="eastAsia"/>
          <w:highlight w:val="none"/>
        </w:rPr>
        <w:t>、</w:t>
      </w:r>
      <w:r>
        <w:rPr>
          <w:highlight w:val="none"/>
        </w:rPr>
        <w:t>重量限制器、力矩限制器、起升限位器、回转限位器、变幅限位器、行走限位器</w:t>
      </w:r>
      <w:r>
        <w:rPr>
          <w:rFonts w:hint="eastAsia"/>
          <w:highlight w:val="none"/>
        </w:rPr>
        <w:t>等的安装。</w:t>
      </w:r>
    </w:p>
    <w:p w14:paraId="6EA1D1AD">
      <w:pPr>
        <w:ind w:firstLine="480"/>
        <w:rPr>
          <w:highlight w:val="none"/>
        </w:rPr>
      </w:pPr>
      <w:r>
        <w:rPr>
          <w:rFonts w:hint="eastAsia"/>
          <w:highlight w:val="none"/>
        </w:rPr>
        <w:t>（2）在塔头顶部安装风速仪，平衡臂尾部以及起重臂前端部各安装一个警示灯。</w:t>
      </w:r>
    </w:p>
    <w:p w14:paraId="19A567D0">
      <w:pPr>
        <w:ind w:firstLine="480"/>
        <w:rPr>
          <w:highlight w:val="none"/>
        </w:rPr>
      </w:pPr>
      <w:r>
        <w:rPr>
          <w:rFonts w:hint="eastAsia"/>
          <w:highlight w:val="none"/>
        </w:rPr>
        <w:t>（3）在风速不大于3m/s且空载状态下，检查塔身轴线的垂直度，允许偏差为 4/1000。</w:t>
      </w:r>
    </w:p>
    <w:p w14:paraId="0C17FF3E">
      <w:pPr>
        <w:ind w:firstLine="480"/>
        <w:rPr>
          <w:highlight w:val="none"/>
        </w:rPr>
      </w:pPr>
      <w:r>
        <w:rPr>
          <w:rFonts w:hint="eastAsia"/>
          <w:highlight w:val="none"/>
        </w:rPr>
        <w:t>（4）侧向垂直度在使用高度、空载状态，臂架相当于塔身0°和90°时分别沿臂架方向测量，标尺贴靠在塔身结构中心的最低处和最高处，用全站仪读出两处的偏位值。</w:t>
      </w:r>
    </w:p>
    <w:p w14:paraId="70B6C8D2">
      <w:pPr>
        <w:ind w:firstLine="480"/>
        <w:rPr>
          <w:highlight w:val="none"/>
        </w:rPr>
      </w:pPr>
      <w:r>
        <w:rPr>
          <w:rFonts w:hint="eastAsia"/>
          <w:highlight w:val="none"/>
        </w:rPr>
        <w:t>（5）塔吊接通电源，试运转各机构，检查各机构运转是否正常，同时检查各钢丝绳是否处于正常工作状态，是否与各机构有干扰。</w:t>
      </w:r>
    </w:p>
    <w:p w14:paraId="32C8457C">
      <w:pPr>
        <w:pStyle w:val="7"/>
        <w:bidi w:val="0"/>
        <w:ind w:left="864" w:leftChars="0" w:hanging="864" w:firstLineChars="0"/>
        <w:rPr>
          <w:highlight w:val="none"/>
        </w:rPr>
      </w:pPr>
      <w:r>
        <w:rPr>
          <w:rFonts w:hint="eastAsia"/>
          <w:highlight w:val="none"/>
        </w:rPr>
        <w:t>操作系统的调试</w:t>
      </w:r>
    </w:p>
    <w:p w14:paraId="7EED3992">
      <w:pPr>
        <w:ind w:firstLine="480"/>
        <w:rPr>
          <w:highlight w:val="none"/>
        </w:rPr>
      </w:pPr>
      <w:r>
        <w:rPr>
          <w:rFonts w:ascii="宋体" w:hAnsi="宋体" w:cs="宋体"/>
          <w:highlight w:val="none"/>
        </w:rPr>
        <w:t>①</w:t>
      </w:r>
      <w:r>
        <w:rPr>
          <w:rFonts w:hint="eastAsia"/>
          <w:highlight w:val="none"/>
        </w:rPr>
        <w:t>电源检查：</w:t>
      </w:r>
    </w:p>
    <w:p w14:paraId="006F7860">
      <w:pPr>
        <w:ind w:firstLine="480"/>
        <w:rPr>
          <w:highlight w:val="none"/>
        </w:rPr>
      </w:pPr>
      <w:r>
        <w:rPr>
          <w:rFonts w:hint="eastAsia"/>
          <w:highlight w:val="none"/>
        </w:rPr>
        <w:t>连通电源，检查三相电源的相序是否正确，电压是否满足要求（380V±5%）。</w:t>
      </w:r>
    </w:p>
    <w:p w14:paraId="473546BF">
      <w:pPr>
        <w:ind w:firstLine="480"/>
        <w:rPr>
          <w:highlight w:val="none"/>
        </w:rPr>
      </w:pPr>
      <w:r>
        <w:rPr>
          <w:rFonts w:hint="eastAsia" w:ascii="宋体" w:hAnsi="宋体" w:cs="宋体"/>
          <w:highlight w:val="none"/>
        </w:rPr>
        <w:t>②</w:t>
      </w:r>
      <w:r>
        <w:rPr>
          <w:rFonts w:hint="eastAsia"/>
          <w:highlight w:val="none"/>
        </w:rPr>
        <w:t>操作系统逻辑关系检查：</w:t>
      </w:r>
    </w:p>
    <w:p w14:paraId="2B942789">
      <w:pPr>
        <w:ind w:firstLine="480"/>
        <w:rPr>
          <w:highlight w:val="none"/>
        </w:rPr>
      </w:pPr>
      <w:r>
        <w:rPr>
          <w:rFonts w:hint="eastAsia"/>
          <w:highlight w:val="none"/>
        </w:rPr>
        <w:t>操作起升手柄，观察吊钩起升运转情况，当起升手柄向内拉时，吊钩应向上运动；当起升手柄向外推时，吊钩应向下运动，否则应调整起升电机电源的相序。</w:t>
      </w:r>
    </w:p>
    <w:p w14:paraId="6B52622B">
      <w:pPr>
        <w:ind w:firstLine="480"/>
        <w:rPr>
          <w:highlight w:val="none"/>
        </w:rPr>
      </w:pPr>
      <w:r>
        <w:rPr>
          <w:rFonts w:hint="eastAsia"/>
          <w:highlight w:val="none"/>
        </w:rPr>
        <w:t>操作回转手柄，当回转手柄向左推时，起重臂应向左转；当回转手柄向右推时，起重臂应向右转，否则应调整回转电机电源的相序。</w:t>
      </w:r>
    </w:p>
    <w:p w14:paraId="7B0E1276">
      <w:pPr>
        <w:ind w:firstLine="480"/>
        <w:rPr>
          <w:highlight w:val="none"/>
        </w:rPr>
      </w:pPr>
      <w:r>
        <w:rPr>
          <w:rFonts w:hint="eastAsia"/>
          <w:highlight w:val="none"/>
        </w:rPr>
        <w:t>操作变幅手柄，当变幅手柄向内拉时，变幅小车应该向内行走；当变幅手柄向外推时，变幅小车应该向外行走，否则应调整变幅小车电机电源的相序。</w:t>
      </w:r>
    </w:p>
    <w:p w14:paraId="4AD83946">
      <w:pPr>
        <w:pStyle w:val="7"/>
        <w:bidi w:val="0"/>
        <w:ind w:left="864" w:leftChars="0" w:hanging="864" w:firstLineChars="0"/>
        <w:rPr>
          <w:highlight w:val="none"/>
        </w:rPr>
      </w:pPr>
      <w:r>
        <w:rPr>
          <w:rFonts w:hint="eastAsia"/>
          <w:highlight w:val="none"/>
        </w:rPr>
        <w:t xml:space="preserve"> 安全保护装置调试</w:t>
      </w:r>
    </w:p>
    <w:p w14:paraId="2B016884">
      <w:pPr>
        <w:widowControl/>
        <w:ind w:firstLine="480"/>
        <w:jc w:val="left"/>
        <w:rPr>
          <w:highlight w:val="none"/>
        </w:rPr>
      </w:pPr>
      <w:r>
        <w:rPr>
          <w:rFonts w:hint="eastAsia" w:ascii="宋体" w:hAnsi="宋体" w:cs="宋体"/>
          <w:color w:val="000000"/>
          <w:kern w:val="0"/>
          <w:szCs w:val="24"/>
          <w:highlight w:val="none"/>
          <w:lang w:bidi="ar"/>
        </w:rPr>
        <w:t>塔机安全保护装置主要包括：行程限位器和载荷限制器。</w:t>
      </w:r>
    </w:p>
    <w:p w14:paraId="2A52DC3F">
      <w:pPr>
        <w:widowControl/>
        <w:ind w:firstLine="480"/>
        <w:jc w:val="left"/>
        <w:rPr>
          <w:highlight w:val="none"/>
        </w:rPr>
      </w:pPr>
      <w:r>
        <w:rPr>
          <w:rFonts w:hint="eastAsia" w:ascii="宋体" w:hAnsi="宋体" w:cs="宋体"/>
          <w:color w:val="000000"/>
          <w:kern w:val="0"/>
          <w:szCs w:val="24"/>
          <w:highlight w:val="none"/>
          <w:lang w:bidi="ar"/>
        </w:rPr>
        <w:t>行程限位器有：起升高度限位器、回转限位器、变幅限位器和大车行走限位器。</w:t>
      </w:r>
    </w:p>
    <w:p w14:paraId="7CB46C8C">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载荷限制器有：起重力矩限制器、起重量限制器，此外安全保护装置还包括风速仪、 小车断绳保护装置、小车防坠落装置、钢丝绳防脱装置。</w:t>
      </w:r>
    </w:p>
    <w:p w14:paraId="6D80446B">
      <w:pPr>
        <w:pStyle w:val="10"/>
        <w:bidi w:val="0"/>
        <w:ind w:left="1008" w:leftChars="0" w:hanging="1008" w:firstLineChars="0"/>
        <w:rPr>
          <w:highlight w:val="none"/>
        </w:rPr>
      </w:pPr>
      <w:r>
        <w:rPr>
          <w:rFonts w:hint="eastAsia"/>
          <w:highlight w:val="none"/>
        </w:rPr>
        <w:t>多功能限位器</w:t>
      </w:r>
    </w:p>
    <w:p w14:paraId="219D3D00">
      <w:pPr>
        <w:widowControl/>
        <w:ind w:firstLine="480"/>
        <w:jc w:val="left"/>
        <w:rPr>
          <w:highlight w:val="none"/>
        </w:rPr>
      </w:pPr>
      <w:r>
        <w:rPr>
          <w:rFonts w:hint="eastAsia" w:ascii="宋体" w:hAnsi="宋体" w:cs="宋体"/>
          <w:color w:val="000000"/>
          <w:kern w:val="0"/>
          <w:szCs w:val="24"/>
          <w:highlight w:val="none"/>
          <w:lang w:bidi="ar"/>
        </w:rPr>
        <w:t xml:space="preserve">本塔机的起升高度限位器、变幅限位器、回转限位器分别为 </w:t>
      </w:r>
      <w:r>
        <w:rPr>
          <w:color w:val="000000"/>
          <w:kern w:val="0"/>
          <w:szCs w:val="24"/>
          <w:highlight w:val="none"/>
          <w:lang w:bidi="ar"/>
        </w:rPr>
        <w:t>DXZ-4/7</w:t>
      </w:r>
      <w:r>
        <w:rPr>
          <w:rFonts w:hint="eastAsia" w:ascii="宋体" w:hAnsi="宋体" w:cs="宋体"/>
          <w:color w:val="000000"/>
          <w:kern w:val="0"/>
          <w:szCs w:val="24"/>
          <w:highlight w:val="none"/>
          <w:lang w:bidi="ar"/>
        </w:rPr>
        <w:t>（</w:t>
      </w:r>
      <w:r>
        <w:rPr>
          <w:color w:val="000000"/>
          <w:kern w:val="0"/>
          <w:szCs w:val="24"/>
          <w:highlight w:val="none"/>
          <w:lang w:bidi="ar"/>
        </w:rPr>
        <w:t>i=1: 274</w:t>
      </w:r>
      <w:r>
        <w:rPr>
          <w:rFonts w:hint="eastAsia" w:ascii="宋体" w:hAnsi="宋体" w:cs="宋体"/>
          <w:color w:val="000000"/>
          <w:kern w:val="0"/>
          <w:szCs w:val="24"/>
          <w:highlight w:val="none"/>
          <w:lang w:bidi="ar"/>
        </w:rPr>
        <w:t xml:space="preserve">）、 </w:t>
      </w:r>
    </w:p>
    <w:p w14:paraId="14DCAA60">
      <w:pPr>
        <w:widowControl/>
        <w:ind w:firstLine="0" w:firstLineChars="0"/>
        <w:jc w:val="left"/>
        <w:rPr>
          <w:highlight w:val="none"/>
        </w:rPr>
      </w:pPr>
      <w:r>
        <w:rPr>
          <w:color w:val="000000"/>
          <w:kern w:val="0"/>
          <w:szCs w:val="24"/>
          <w:highlight w:val="none"/>
          <w:lang w:bidi="ar"/>
        </w:rPr>
        <w:t>DXZ-4/8</w:t>
      </w:r>
      <w:r>
        <w:rPr>
          <w:rFonts w:hint="eastAsia" w:ascii="宋体" w:hAnsi="宋体" w:cs="宋体"/>
          <w:color w:val="000000"/>
          <w:kern w:val="0"/>
          <w:szCs w:val="24"/>
          <w:highlight w:val="none"/>
          <w:lang w:bidi="ar"/>
        </w:rPr>
        <w:t>（</w:t>
      </w:r>
      <w:r>
        <w:rPr>
          <w:color w:val="000000"/>
          <w:kern w:val="0"/>
          <w:szCs w:val="24"/>
          <w:highlight w:val="none"/>
          <w:lang w:bidi="ar"/>
        </w:rPr>
        <w:t>i=1: 78</w:t>
      </w:r>
      <w:r>
        <w:rPr>
          <w:rFonts w:hint="eastAsia" w:ascii="宋体" w:hAnsi="宋体" w:cs="宋体"/>
          <w:color w:val="000000"/>
          <w:kern w:val="0"/>
          <w:szCs w:val="24"/>
          <w:highlight w:val="none"/>
          <w:lang w:bidi="ar"/>
        </w:rPr>
        <w:t>）、</w:t>
      </w:r>
      <w:r>
        <w:rPr>
          <w:color w:val="000000"/>
          <w:kern w:val="0"/>
          <w:szCs w:val="24"/>
          <w:highlight w:val="none"/>
          <w:lang w:bidi="ar"/>
        </w:rPr>
        <w:t>DXZ-4</w:t>
      </w:r>
      <w:r>
        <w:rPr>
          <w:rFonts w:hint="eastAsia" w:ascii="宋体" w:hAnsi="宋体" w:cs="宋体"/>
          <w:color w:val="000000"/>
          <w:kern w:val="0"/>
          <w:szCs w:val="24"/>
          <w:highlight w:val="none"/>
          <w:lang w:bidi="ar"/>
        </w:rPr>
        <w:t>（</w:t>
      </w:r>
      <w:r>
        <w:rPr>
          <w:color w:val="000000"/>
          <w:kern w:val="0"/>
          <w:szCs w:val="24"/>
          <w:highlight w:val="none"/>
          <w:lang w:bidi="ar"/>
        </w:rPr>
        <w:t>i=1: 60</w:t>
      </w:r>
      <w:r>
        <w:rPr>
          <w:rFonts w:hint="eastAsia" w:ascii="宋体" w:hAnsi="宋体" w:cs="宋体"/>
          <w:color w:val="000000"/>
          <w:kern w:val="0"/>
          <w:szCs w:val="24"/>
          <w:highlight w:val="none"/>
          <w:lang w:bidi="ar"/>
        </w:rPr>
        <w:t>）三个多功能行程限位器。如图</w:t>
      </w:r>
      <w:r>
        <w:rPr>
          <w:rFonts w:hint="eastAsia"/>
          <w:highlight w:val="none"/>
        </w:rPr>
        <w:t>4.4.13.2.1-1</w:t>
      </w:r>
      <w:r>
        <w:rPr>
          <w:rFonts w:hint="eastAsia" w:ascii="宋体" w:hAnsi="宋体" w:cs="宋体"/>
          <w:color w:val="000000"/>
          <w:kern w:val="0"/>
          <w:szCs w:val="24"/>
          <w:highlight w:val="none"/>
          <w:lang w:bidi="ar"/>
        </w:rPr>
        <w:t>。</w:t>
      </w:r>
    </w:p>
    <w:p w14:paraId="20415D10">
      <w:pPr>
        <w:ind w:firstLine="0" w:firstLineChars="0"/>
        <w:jc w:val="center"/>
        <w:rPr>
          <w:highlight w:val="none"/>
        </w:rPr>
      </w:pPr>
      <w:r>
        <w:rPr>
          <w:rFonts w:hint="eastAsia"/>
          <w:highlight w:val="none"/>
        </w:rPr>
        <w:drawing>
          <wp:inline distT="0" distB="0" distL="114300" distR="114300">
            <wp:extent cx="4473575" cy="1757045"/>
            <wp:effectExtent l="0" t="0" r="3175" b="14605"/>
            <wp:docPr id="138" name="图片 138" descr="1642640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1642640083(1)"/>
                    <pic:cNvPicPr>
                      <a:picLocks noChangeAspect="1"/>
                    </pic:cNvPicPr>
                  </pic:nvPicPr>
                  <pic:blipFill>
                    <a:blip r:embed="rId95"/>
                    <a:stretch>
                      <a:fillRect/>
                    </a:stretch>
                  </pic:blipFill>
                  <pic:spPr>
                    <a:xfrm>
                      <a:off x="0" y="0"/>
                      <a:ext cx="4473575" cy="1757045"/>
                    </a:xfrm>
                    <a:prstGeom prst="rect">
                      <a:avLst/>
                    </a:prstGeom>
                  </pic:spPr>
                </pic:pic>
              </a:graphicData>
            </a:graphic>
          </wp:inline>
        </w:drawing>
      </w:r>
    </w:p>
    <w:p w14:paraId="05A71F90">
      <w:pPr>
        <w:ind w:firstLine="480"/>
        <w:jc w:val="center"/>
        <w:rPr>
          <w:highlight w:val="none"/>
        </w:rPr>
      </w:pPr>
      <w:r>
        <w:rPr>
          <w:rFonts w:hint="eastAsia"/>
          <w:highlight w:val="none"/>
        </w:rPr>
        <w:t>图 4.5.1</w:t>
      </w:r>
      <w:r>
        <w:rPr>
          <w:rFonts w:hint="eastAsia"/>
          <w:highlight w:val="none"/>
          <w:lang w:val="en-US" w:eastAsia="zh-CN"/>
        </w:rPr>
        <w:t>3</w:t>
      </w:r>
      <w:r>
        <w:rPr>
          <w:rFonts w:hint="eastAsia"/>
          <w:highlight w:val="none"/>
        </w:rPr>
        <w:t>.2.1-1 多功能行程限位器结构图</w:t>
      </w:r>
    </w:p>
    <w:p w14:paraId="06A761D6">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1）调整程序</w:t>
      </w:r>
    </w:p>
    <w:p w14:paraId="067C0CB2">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（1） 拆开上罩壳，检查并拧紧 2 个 M3×55 螺钉； </w:t>
      </w:r>
    </w:p>
    <w:p w14:paraId="32AF455E">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（2）松开 M5 螺母； </w:t>
      </w:r>
    </w:p>
    <w:p w14:paraId="27F1A08F">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（3）根据需要将被控机构开至指定位置（空载状态），这时控制该机构动作时相对应的微动开关瞬时切换。即：调整对应的调整轴（Z）使记忆凸轮（T）压下微动开关（WK）触点； </w:t>
      </w:r>
    </w:p>
    <w:p w14:paraId="1678EC55">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（4） 拧紧 M5 螺母（螺母一定要拧紧，否则将产生记忆紊乱）； </w:t>
      </w:r>
    </w:p>
    <w:p w14:paraId="199E9F65">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（5） 机构反复空载运行数次，验证记忆位置是否正确（有误时重复上述调整）； </w:t>
      </w:r>
    </w:p>
    <w:p w14:paraId="30724934">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（6） 确认位置符合要求，紧固 M5 螺母，装上罩壳； </w:t>
      </w:r>
    </w:p>
    <w:p w14:paraId="7797AF55">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（7） 机构正常工作后，应经常核对记忆控制位置是否变动，以便及时修正。</w:t>
      </w:r>
    </w:p>
    <w:p w14:paraId="2F99120E">
      <w:pPr>
        <w:widowControl/>
        <w:ind w:firstLine="480"/>
        <w:jc w:val="left"/>
        <w:rPr>
          <w:rFonts w:ascii="宋体" w:hAnsi="宋体" w:cs="宋体"/>
          <w:highlight w:val="none"/>
        </w:rPr>
      </w:pPr>
      <w:r>
        <w:rPr>
          <w:rFonts w:hint="eastAsia" w:ascii="宋体" w:hAnsi="宋体" w:cs="宋体"/>
          <w:highlight w:val="none"/>
        </w:rPr>
        <w:t xml:space="preserve"> 2）</w:t>
      </w:r>
      <w:r>
        <w:rPr>
          <w:rFonts w:hint="eastAsia" w:ascii="宋体" w:hAnsi="宋体" w:cs="宋体"/>
          <w:color w:val="000000"/>
          <w:kern w:val="0"/>
          <w:szCs w:val="24"/>
          <w:highlight w:val="none"/>
          <w:lang w:bidi="ar"/>
        </w:rPr>
        <w:t>起升高度限位器的调整方法</w:t>
      </w:r>
    </w:p>
    <w:p w14:paraId="2BF12C66">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（1）调整在空载下进行，用手指分别压下微动开关（1WK、2WK），确认限制提升或下降的微动开关是否正确；</w:t>
      </w:r>
    </w:p>
    <w:p w14:paraId="7B8E9334">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（2）提升极限限位时，使载重小车与吊钩滑轮的最小距离不小于 3 米时，调动（1Z）轴，使凸轮（1T）动作并压下微动开关（1WK）换接。拧紧 M5 螺母； </w:t>
      </w:r>
    </w:p>
    <w:p w14:paraId="62121016">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（3） 用户根据需要可通过 2WK 以防止操作失误，使下降时吊钩再接触地面前（确保卷筒上不少于 3 圈钢丝绳），能终止下降运动，其调整方法同 </w:t>
      </w:r>
      <w:r>
        <w:rPr>
          <w:rFonts w:hint="eastAsia"/>
          <w:highlight w:val="none"/>
        </w:rPr>
        <w:t>4.5.12.2.1</w:t>
      </w:r>
      <w:r>
        <w:rPr>
          <w:rFonts w:hint="eastAsia" w:ascii="宋体" w:hAnsi="宋体" w:cs="宋体"/>
          <w:color w:val="000000"/>
          <w:kern w:val="0"/>
          <w:szCs w:val="24"/>
          <w:highlight w:val="none"/>
          <w:lang w:bidi="ar"/>
        </w:rPr>
        <w:t xml:space="preserve"> 条（2Z-2T-2WK）； </w:t>
      </w:r>
    </w:p>
    <w:p w14:paraId="6575FD27">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（4）更换钢丝绳后必须重新调整高度限位器，特别是提升极限限位器的调整。</w:t>
      </w:r>
    </w:p>
    <w:p w14:paraId="6E6E711D">
      <w:pPr>
        <w:widowControl/>
        <w:ind w:firstLine="720" w:firstLineChars="30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 回转限位器调整方法</w:t>
      </w:r>
    </w:p>
    <w:p w14:paraId="23F24F5B">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（1）在电缆处于自由状态时调整回转限位器； </w:t>
      </w:r>
    </w:p>
    <w:p w14:paraId="24043164">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（2）调整在空载下进行，用手指逐个压下微动开关（WK）确认控制左右方向的微动开关（WK）是否正确； </w:t>
      </w:r>
    </w:p>
    <w:p w14:paraId="0E9D6214">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（3）向左回转 540°（1.5 圈）按 </w:t>
      </w:r>
      <w:r>
        <w:rPr>
          <w:rFonts w:hint="eastAsia"/>
          <w:highlight w:val="none"/>
        </w:rPr>
        <w:t>4.4.13.2.1</w:t>
      </w:r>
      <w:r>
        <w:rPr>
          <w:rFonts w:hint="eastAsia" w:ascii="宋体" w:hAnsi="宋体" w:cs="宋体"/>
          <w:color w:val="000000"/>
          <w:kern w:val="0"/>
          <w:szCs w:val="24"/>
          <w:highlight w:val="none"/>
          <w:lang w:bidi="ar"/>
        </w:rPr>
        <w:t xml:space="preserve"> 条程序，调动调整轴（4Z），使凸轮（4T）动作至微动开关（4WK）瞬时换接，然后拧紧 M5 螺母； </w:t>
      </w:r>
    </w:p>
    <w:p w14:paraId="7448C247">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（4） 向右回转 1080°（3 圈）按 </w:t>
      </w:r>
      <w:r>
        <w:rPr>
          <w:rFonts w:hint="eastAsia"/>
          <w:highlight w:val="none"/>
        </w:rPr>
        <w:t>4.4.13.2.1</w:t>
      </w:r>
      <w:r>
        <w:rPr>
          <w:rFonts w:hint="eastAsia" w:ascii="宋体" w:hAnsi="宋体" w:cs="宋体"/>
          <w:color w:val="000000"/>
          <w:kern w:val="0"/>
          <w:szCs w:val="24"/>
          <w:highlight w:val="none"/>
          <w:lang w:bidi="ar"/>
        </w:rPr>
        <w:t xml:space="preserve"> 条程序，调动调整轴（1Z），使凸轮（1T）动作至微动开关（1WK）瞬时换接，并拧紧 M5 螺母； </w:t>
      </w:r>
    </w:p>
    <w:p w14:paraId="48226964">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（5） 验证左右回转动作。 </w:t>
      </w:r>
    </w:p>
    <w:p w14:paraId="1EB461C4">
      <w:pPr>
        <w:widowControl/>
        <w:ind w:firstLine="720" w:firstLineChars="300"/>
        <w:jc w:val="left"/>
        <w:rPr>
          <w:rFonts w:ascii="宋体" w:hAnsi="宋体" w:cs="宋体"/>
          <w:highlight w:val="none"/>
        </w:rPr>
      </w:pPr>
      <w:r>
        <w:rPr>
          <w:rFonts w:hint="eastAsia" w:ascii="宋体" w:hAnsi="宋体" w:cs="宋体"/>
          <w:color w:val="000000"/>
          <w:kern w:val="0"/>
          <w:szCs w:val="24"/>
          <w:highlight w:val="none"/>
          <w:lang w:bidi="ar"/>
        </w:rPr>
        <w:t>4）幅度限位器的调整方法（调整程序同</w:t>
      </w:r>
      <w:r>
        <w:rPr>
          <w:rFonts w:hint="eastAsia"/>
          <w:highlight w:val="none"/>
        </w:rPr>
        <w:t>4.4.13.2.1</w:t>
      </w:r>
      <w:r>
        <w:rPr>
          <w:rFonts w:hint="eastAsia" w:ascii="宋体" w:hAnsi="宋体" w:cs="宋体"/>
          <w:color w:val="000000"/>
          <w:kern w:val="0"/>
          <w:szCs w:val="24"/>
          <w:highlight w:val="none"/>
          <w:lang w:bidi="ar"/>
        </w:rPr>
        <w:t xml:space="preserve"> 条） </w:t>
      </w:r>
    </w:p>
    <w:p w14:paraId="752884CD">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（1） 向外变幅及减速和起重臂臂头极限限位：将载重小车开到距离起重臂臂头缓冲器1.5m 处，调整轴（2Z）使记忆凸轮（2T）转至将微动开关（2WK）动作换接。（调整时应同时使凸轮（3T）与（2T）重叠，以避免在制动前发生减速干扰），并拧紧 M5 螺母，再将载重小车开至起重臂臂尖缓冲器 500mm 处按程序调整轴（1Z）使（1T）转至将微动开关（1WK）动作，拧紧 M5 螺母； </w:t>
      </w:r>
    </w:p>
    <w:p w14:paraId="392D3848">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（2） 向内变幅及减速和起重臂臂根限位：调整方法同“（1）”，分别距起重臂臂根缓冲器 1.5m 和 500mm 处进行（3Z-3T-3WK，4Z-4T-4WK）减速和起重臂臂根限位和调整。 </w:t>
      </w:r>
    </w:p>
    <w:p w14:paraId="4C1303C2">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 xml:space="preserve">（3） 验证和修正。 </w:t>
      </w:r>
    </w:p>
    <w:p w14:paraId="458D6677">
      <w:pPr>
        <w:pStyle w:val="10"/>
        <w:bidi w:val="0"/>
        <w:ind w:left="1008" w:leftChars="0" w:hanging="1008" w:firstLineChars="0"/>
        <w:rPr>
          <w:highlight w:val="none"/>
        </w:rPr>
      </w:pPr>
      <w:r>
        <w:rPr>
          <w:rFonts w:hint="eastAsia"/>
          <w:highlight w:val="none"/>
        </w:rPr>
        <w:t>力矩限制器</w:t>
      </w:r>
    </w:p>
    <w:p w14:paraId="3474EA0E">
      <w:pPr>
        <w:widowControl/>
        <w:ind w:firstLine="0" w:firstLineChars="0"/>
        <w:jc w:val="left"/>
        <w:rPr>
          <w:highlight w:val="none"/>
        </w:rPr>
      </w:pPr>
      <w:r>
        <w:rPr>
          <w:rFonts w:hint="eastAsia"/>
          <w:highlight w:val="none"/>
        </w:rPr>
        <w:drawing>
          <wp:inline distT="0" distB="0" distL="114300" distR="114300">
            <wp:extent cx="5828030" cy="1584325"/>
            <wp:effectExtent l="0" t="0" r="1270" b="15875"/>
            <wp:docPr id="139" name="图片 139" descr="16426498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1642649879(1)"/>
                    <pic:cNvPicPr>
                      <a:picLocks noChangeAspect="1"/>
                    </pic:cNvPicPr>
                  </pic:nvPicPr>
                  <pic:blipFill>
                    <a:blip r:embed="rId96"/>
                    <a:stretch>
                      <a:fillRect/>
                    </a:stretch>
                  </pic:blipFill>
                  <pic:spPr>
                    <a:xfrm>
                      <a:off x="0" y="0"/>
                      <a:ext cx="5828030" cy="1584325"/>
                    </a:xfrm>
                    <a:prstGeom prst="rect">
                      <a:avLst/>
                    </a:prstGeom>
                  </pic:spPr>
                </pic:pic>
              </a:graphicData>
            </a:graphic>
          </wp:inline>
        </w:drawing>
      </w:r>
    </w:p>
    <w:p w14:paraId="79190F14">
      <w:pPr>
        <w:widowControl/>
        <w:ind w:firstLine="480"/>
        <w:jc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图 4.5.1</w:t>
      </w:r>
      <w:r>
        <w:rPr>
          <w:rFonts w:hint="eastAsia" w:ascii="宋体" w:hAnsi="宋体" w:cs="宋体"/>
          <w:color w:val="000000"/>
          <w:kern w:val="0"/>
          <w:szCs w:val="24"/>
          <w:highlight w:val="none"/>
          <w:lang w:val="en-US" w:eastAsia="zh-CN" w:bidi="ar"/>
        </w:rPr>
        <w:t>3</w:t>
      </w:r>
      <w:r>
        <w:rPr>
          <w:rFonts w:hint="eastAsia" w:ascii="宋体" w:hAnsi="宋体" w:cs="宋体"/>
          <w:color w:val="000000"/>
          <w:kern w:val="0"/>
          <w:szCs w:val="24"/>
          <w:highlight w:val="none"/>
          <w:lang w:bidi="ar"/>
        </w:rPr>
        <w:t>.2.2-1 力矩限制器结构示意图</w:t>
      </w:r>
    </w:p>
    <w:p w14:paraId="1DBB8673">
      <w:pPr>
        <w:widowControl/>
        <w:ind w:firstLine="480"/>
        <w:jc w:val="left"/>
        <w:rPr>
          <w:highlight w:val="none"/>
        </w:rPr>
      </w:pPr>
      <w:r>
        <w:rPr>
          <w:rFonts w:hint="eastAsia"/>
          <w:highlight w:val="none"/>
        </w:rPr>
        <w:t xml:space="preserve">1） </w:t>
      </w:r>
      <w:r>
        <w:rPr>
          <w:rFonts w:hint="eastAsia" w:ascii="宋体" w:hAnsi="宋体" w:cs="宋体"/>
          <w:color w:val="000000"/>
          <w:kern w:val="0"/>
          <w:szCs w:val="24"/>
          <w:highlight w:val="none"/>
          <w:lang w:bidi="ar"/>
        </w:rPr>
        <w:t>力矩限制器的调整</w:t>
      </w:r>
    </w:p>
    <w:p w14:paraId="2112BF87">
      <w:pPr>
        <w:widowControl/>
        <w:ind w:firstLine="480"/>
        <w:jc w:val="left"/>
        <w:rPr>
          <w:rFonts w:ascii="宋体" w:hAnsi="宋体" w:cs="宋体"/>
          <w:color w:val="000000"/>
          <w:kern w:val="0"/>
          <w:szCs w:val="24"/>
          <w:highlight w:val="none"/>
          <w:lang w:bidi="ar"/>
        </w:rPr>
      </w:pPr>
      <w:r>
        <w:rPr>
          <w:rFonts w:hint="eastAsia" w:ascii="宋体" w:hAnsi="宋体" w:cs="宋体"/>
          <w:szCs w:val="24"/>
          <w:highlight w:val="none"/>
        </w:rPr>
        <w:t>警告：</w:t>
      </w:r>
      <w:r>
        <w:rPr>
          <w:rFonts w:hint="eastAsia" w:ascii="宋体" w:hAnsi="宋体" w:cs="宋体"/>
          <w:color w:val="000000"/>
          <w:kern w:val="0"/>
          <w:szCs w:val="24"/>
          <w:highlight w:val="none"/>
          <w:lang w:bidi="ar"/>
        </w:rPr>
        <w:t>调整力矩限制器之前，必须首先确认本塔机的额定力矩之后，再查找对应的数据进行调试。</w:t>
      </w:r>
    </w:p>
    <w:p w14:paraId="59620BCD">
      <w:pPr>
        <w:widowControl/>
        <w:ind w:firstLine="480"/>
        <w:jc w:val="left"/>
        <w:rPr>
          <w:highlight w:val="none"/>
        </w:rPr>
      </w:pPr>
      <w:r>
        <w:rPr>
          <w:rFonts w:hint="eastAsia" w:ascii="宋体" w:hAnsi="宋体" w:cs="宋体"/>
          <w:color w:val="000000"/>
          <w:kern w:val="0"/>
          <w:szCs w:val="24"/>
          <w:highlight w:val="none"/>
          <w:lang w:bidi="ar"/>
        </w:rPr>
        <w:t xml:space="preserve">（1）调整定幅变码力矩限制器 </w:t>
      </w:r>
      <w:r>
        <w:rPr>
          <w:color w:val="000000"/>
          <w:kern w:val="0"/>
          <w:szCs w:val="24"/>
          <w:highlight w:val="none"/>
          <w:lang w:bidi="ar"/>
        </w:rPr>
        <w:t xml:space="preserve">CLK1 </w:t>
      </w:r>
    </w:p>
    <w:p w14:paraId="46AE861B">
      <w:pPr>
        <w:widowControl/>
        <w:ind w:firstLine="480"/>
        <w:jc w:val="left"/>
        <w:rPr>
          <w:highlight w:val="none"/>
        </w:rPr>
      </w:pPr>
      <w:r>
        <w:rPr>
          <w:rFonts w:hint="eastAsia" w:ascii="宋体" w:hAnsi="宋体" w:cs="宋体"/>
          <w:color w:val="000000"/>
          <w:kern w:val="0"/>
          <w:szCs w:val="24"/>
          <w:highlight w:val="none"/>
          <w:lang w:bidi="ar"/>
        </w:rPr>
        <w:t xml:space="preserve">各参数见表 </w:t>
      </w:r>
      <w:r>
        <w:rPr>
          <w:color w:val="000000"/>
          <w:kern w:val="0"/>
          <w:szCs w:val="24"/>
          <w:highlight w:val="none"/>
          <w:lang w:bidi="ar"/>
        </w:rPr>
        <w:t>4</w:t>
      </w:r>
      <w:r>
        <w:rPr>
          <w:rFonts w:hint="eastAsia"/>
          <w:color w:val="000000"/>
          <w:kern w:val="0"/>
          <w:szCs w:val="24"/>
          <w:highlight w:val="none"/>
          <w:lang w:bidi="ar"/>
        </w:rPr>
        <w:t>.5.2－1</w:t>
      </w:r>
      <w:r>
        <w:rPr>
          <w:rFonts w:hint="eastAsia" w:ascii="宋体" w:hAnsi="宋体" w:cs="宋体"/>
          <w:color w:val="000000"/>
          <w:kern w:val="0"/>
          <w:szCs w:val="24"/>
          <w:highlight w:val="none"/>
          <w:lang w:bidi="ar"/>
        </w:rPr>
        <w:t xml:space="preserve">，重复 </w:t>
      </w:r>
      <w:r>
        <w:rPr>
          <w:color w:val="000000"/>
          <w:kern w:val="0"/>
          <w:szCs w:val="24"/>
          <w:highlight w:val="none"/>
          <w:lang w:bidi="ar"/>
        </w:rPr>
        <w:t xml:space="preserve">3 </w:t>
      </w:r>
      <w:r>
        <w:rPr>
          <w:rFonts w:hint="eastAsia" w:ascii="宋体" w:hAnsi="宋体" w:cs="宋体"/>
          <w:color w:val="000000"/>
          <w:kern w:val="0"/>
          <w:szCs w:val="24"/>
          <w:highlight w:val="none"/>
          <w:lang w:bidi="ar"/>
        </w:rPr>
        <w:t>次，均应满足要求。</w:t>
      </w:r>
    </w:p>
    <w:p w14:paraId="649C811E">
      <w:pPr>
        <w:widowControl/>
        <w:ind w:firstLine="480"/>
        <w:jc w:val="left"/>
        <w:rPr>
          <w:highlight w:val="none"/>
        </w:rPr>
      </w:pPr>
      <w:r>
        <w:rPr>
          <w:rFonts w:hint="eastAsia" w:ascii="宋体" w:hAnsi="宋体" w:cs="宋体"/>
          <w:color w:val="000000"/>
          <w:kern w:val="0"/>
          <w:szCs w:val="24"/>
          <w:highlight w:val="none"/>
          <w:lang w:bidi="ar"/>
        </w:rPr>
        <w:t xml:space="preserve">在最大工作幅度 </w:t>
      </w:r>
      <w:r>
        <w:rPr>
          <w:color w:val="000000"/>
          <w:kern w:val="0"/>
          <w:szCs w:val="24"/>
          <w:highlight w:val="none"/>
          <w:lang w:bidi="ar"/>
        </w:rPr>
        <w:t xml:space="preserve">Ro </w:t>
      </w:r>
      <w:r>
        <w:rPr>
          <w:rFonts w:hint="eastAsia" w:ascii="宋体" w:hAnsi="宋体" w:cs="宋体"/>
          <w:color w:val="000000"/>
          <w:kern w:val="0"/>
          <w:szCs w:val="24"/>
          <w:highlight w:val="none"/>
          <w:lang w:bidi="ar"/>
        </w:rPr>
        <w:t xml:space="preserve">处以正常工作速度起升额定起重量 </w:t>
      </w:r>
      <w:r>
        <w:rPr>
          <w:color w:val="000000"/>
          <w:kern w:val="0"/>
          <w:szCs w:val="24"/>
          <w:highlight w:val="none"/>
          <w:lang w:bidi="ar"/>
        </w:rPr>
        <w:t>Qo</w:t>
      </w:r>
      <w:r>
        <w:rPr>
          <w:rFonts w:hint="eastAsia" w:ascii="宋体" w:hAnsi="宋体" w:cs="宋体"/>
          <w:color w:val="000000"/>
          <w:kern w:val="0"/>
          <w:szCs w:val="24"/>
          <w:highlight w:val="none"/>
          <w:lang w:bidi="ar"/>
        </w:rPr>
        <w:t xml:space="preserve">，力矩限制器不应动作，能够正常起升。载荷落地，加至 </w:t>
      </w:r>
      <w:r>
        <w:rPr>
          <w:color w:val="000000"/>
          <w:kern w:val="0"/>
          <w:szCs w:val="24"/>
          <w:highlight w:val="none"/>
          <w:lang w:bidi="ar"/>
        </w:rPr>
        <w:t xml:space="preserve">1.1Qo </w:t>
      </w:r>
      <w:r>
        <w:rPr>
          <w:rFonts w:hint="eastAsia" w:ascii="宋体" w:hAnsi="宋体" w:cs="宋体"/>
          <w:color w:val="000000"/>
          <w:kern w:val="0"/>
          <w:szCs w:val="24"/>
          <w:highlight w:val="none"/>
          <w:lang w:bidi="ar"/>
        </w:rPr>
        <w:t>后以最慢速度起升，力矩限制器应动作，载荷不能起升，并输出报警信号。</w:t>
      </w:r>
    </w:p>
    <w:p w14:paraId="65CACF92">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 xml:space="preserve">在 </w:t>
      </w:r>
      <w:r>
        <w:rPr>
          <w:color w:val="000000"/>
          <w:kern w:val="0"/>
          <w:szCs w:val="24"/>
          <w:highlight w:val="none"/>
          <w:lang w:bidi="ar"/>
        </w:rPr>
        <w:t xml:space="preserve">0.7 </w:t>
      </w:r>
      <w:r>
        <w:rPr>
          <w:rFonts w:hint="eastAsia" w:ascii="宋体" w:hAnsi="宋体" w:cs="宋体"/>
          <w:color w:val="000000"/>
          <w:kern w:val="0"/>
          <w:szCs w:val="24"/>
          <w:highlight w:val="none"/>
          <w:lang w:bidi="ar"/>
        </w:rPr>
        <w:t>倍最大额定起重量（</w:t>
      </w:r>
      <w:r>
        <w:rPr>
          <w:color w:val="000000"/>
          <w:kern w:val="0"/>
          <w:szCs w:val="24"/>
          <w:highlight w:val="none"/>
          <w:lang w:bidi="ar"/>
        </w:rPr>
        <w:t>0.7Qm</w:t>
      </w:r>
      <w:r>
        <w:rPr>
          <w:rFonts w:hint="eastAsia" w:ascii="宋体" w:hAnsi="宋体" w:cs="宋体"/>
          <w:color w:val="000000"/>
          <w:kern w:val="0"/>
          <w:szCs w:val="24"/>
          <w:highlight w:val="none"/>
          <w:lang w:bidi="ar"/>
        </w:rPr>
        <w:t>）相应允许的工作幅度（</w:t>
      </w:r>
      <w:r>
        <w:rPr>
          <w:color w:val="000000"/>
          <w:kern w:val="0"/>
          <w:szCs w:val="24"/>
          <w:highlight w:val="none"/>
          <w:lang w:bidi="ar"/>
        </w:rPr>
        <w:t>R</w:t>
      </w:r>
      <w:r>
        <w:rPr>
          <w:color w:val="000000"/>
          <w:kern w:val="0"/>
          <w:sz w:val="16"/>
          <w:szCs w:val="16"/>
          <w:highlight w:val="none"/>
          <w:lang w:bidi="ar"/>
        </w:rPr>
        <w:t>0.7</w:t>
      </w:r>
      <w:r>
        <w:rPr>
          <w:rFonts w:hint="eastAsia" w:ascii="宋体" w:hAnsi="宋体" w:cs="宋体"/>
          <w:color w:val="000000"/>
          <w:kern w:val="0"/>
          <w:szCs w:val="24"/>
          <w:highlight w:val="none"/>
          <w:lang w:bidi="ar"/>
        </w:rPr>
        <w:t xml:space="preserve">）处，以正常工作速度起升 </w:t>
      </w:r>
      <w:r>
        <w:rPr>
          <w:color w:val="000000"/>
          <w:kern w:val="0"/>
          <w:szCs w:val="24"/>
          <w:highlight w:val="none"/>
          <w:lang w:bidi="ar"/>
        </w:rPr>
        <w:t xml:space="preserve">0.7 </w:t>
      </w:r>
      <w:r>
        <w:rPr>
          <w:rFonts w:hint="eastAsia" w:ascii="宋体" w:hAnsi="宋体" w:cs="宋体"/>
          <w:color w:val="000000"/>
          <w:kern w:val="0"/>
          <w:szCs w:val="24"/>
          <w:highlight w:val="none"/>
          <w:lang w:bidi="ar"/>
        </w:rPr>
        <w:t>倍最大额定起重量（</w:t>
      </w:r>
      <w:r>
        <w:rPr>
          <w:color w:val="000000"/>
          <w:kern w:val="0"/>
          <w:szCs w:val="24"/>
          <w:highlight w:val="none"/>
          <w:lang w:bidi="ar"/>
        </w:rPr>
        <w:t>0.7Qm</w:t>
      </w:r>
      <w:r>
        <w:rPr>
          <w:rFonts w:hint="eastAsia" w:ascii="宋体" w:hAnsi="宋体" w:cs="宋体"/>
          <w:color w:val="000000"/>
          <w:kern w:val="0"/>
          <w:szCs w:val="24"/>
          <w:highlight w:val="none"/>
          <w:lang w:bidi="ar"/>
        </w:rPr>
        <w:t xml:space="preserve">），力矩限制器不应动作，能够正常起升。载荷落地，加至 </w:t>
      </w:r>
      <w:r>
        <w:rPr>
          <w:color w:val="000000"/>
          <w:kern w:val="0"/>
          <w:szCs w:val="24"/>
          <w:highlight w:val="none"/>
          <w:lang w:bidi="ar"/>
        </w:rPr>
        <w:t xml:space="preserve">0.77 Qm </w:t>
      </w:r>
      <w:r>
        <w:rPr>
          <w:rFonts w:hint="eastAsia" w:ascii="宋体" w:hAnsi="宋体" w:cs="宋体"/>
          <w:color w:val="000000"/>
          <w:kern w:val="0"/>
          <w:szCs w:val="24"/>
          <w:highlight w:val="none"/>
          <w:lang w:bidi="ar"/>
        </w:rPr>
        <w:t>后以最慢速度起升，力矩限制器应动作，载荷不能起升，并输出报警信号。</w:t>
      </w:r>
    </w:p>
    <w:p w14:paraId="77A6B7EB">
      <w:pPr>
        <w:widowControl/>
        <w:ind w:firstLine="0" w:firstLineChars="0"/>
        <w:jc w:val="left"/>
        <w:rPr>
          <w:highlight w:val="none"/>
        </w:rPr>
      </w:pPr>
      <w:r>
        <w:rPr>
          <w:rFonts w:hint="eastAsia"/>
          <w:highlight w:val="none"/>
        </w:rPr>
        <w:t>（2）</w:t>
      </w:r>
      <w:r>
        <w:rPr>
          <w:rFonts w:hint="eastAsia" w:ascii="宋体" w:hAnsi="宋体" w:cs="宋体"/>
          <w:color w:val="000000"/>
          <w:kern w:val="0"/>
          <w:szCs w:val="24"/>
          <w:highlight w:val="none"/>
          <w:lang w:bidi="ar"/>
        </w:rPr>
        <w:t xml:space="preserve">调整定码变幅力矩限制器 </w:t>
      </w:r>
      <w:r>
        <w:rPr>
          <w:color w:val="000000"/>
          <w:kern w:val="0"/>
          <w:szCs w:val="24"/>
          <w:highlight w:val="none"/>
          <w:lang w:bidi="ar"/>
        </w:rPr>
        <w:t xml:space="preserve">CLK2 </w:t>
      </w:r>
      <w:r>
        <w:rPr>
          <w:rFonts w:hint="eastAsia" w:ascii="宋体" w:hAnsi="宋体" w:cs="宋体"/>
          <w:color w:val="000000"/>
          <w:kern w:val="0"/>
          <w:szCs w:val="24"/>
          <w:highlight w:val="none"/>
          <w:lang w:bidi="ar"/>
        </w:rPr>
        <w:t xml:space="preserve">和定码变幅 </w:t>
      </w:r>
      <w:r>
        <w:rPr>
          <w:color w:val="000000"/>
          <w:kern w:val="0"/>
          <w:szCs w:val="24"/>
          <w:highlight w:val="none"/>
          <w:lang w:bidi="ar"/>
        </w:rPr>
        <w:t>80%</w:t>
      </w:r>
      <w:r>
        <w:rPr>
          <w:rFonts w:hint="eastAsia" w:ascii="宋体" w:hAnsi="宋体" w:cs="宋体"/>
          <w:color w:val="000000"/>
          <w:kern w:val="0"/>
          <w:szCs w:val="24"/>
          <w:highlight w:val="none"/>
          <w:lang w:bidi="ar"/>
        </w:rPr>
        <w:t xml:space="preserve">力矩限制器 </w:t>
      </w:r>
      <w:r>
        <w:rPr>
          <w:color w:val="000000"/>
          <w:kern w:val="0"/>
          <w:szCs w:val="24"/>
          <w:highlight w:val="none"/>
          <w:lang w:bidi="ar"/>
        </w:rPr>
        <w:t>CLK3</w:t>
      </w:r>
      <w:r>
        <w:rPr>
          <w:rFonts w:hint="eastAsia" w:ascii="宋体" w:hAnsi="宋体" w:cs="宋体"/>
          <w:color w:val="000000"/>
          <w:kern w:val="0"/>
          <w:szCs w:val="24"/>
          <w:highlight w:val="none"/>
          <w:lang w:bidi="ar"/>
        </w:rPr>
        <w:t>：</w:t>
      </w:r>
    </w:p>
    <w:p w14:paraId="61D7A68B">
      <w:pPr>
        <w:widowControl/>
        <w:ind w:firstLine="480"/>
        <w:jc w:val="left"/>
        <w:rPr>
          <w:highlight w:val="none"/>
        </w:rPr>
      </w:pPr>
      <w:r>
        <w:rPr>
          <w:rFonts w:hint="eastAsia" w:ascii="宋体" w:hAnsi="宋体" w:cs="宋体"/>
          <w:color w:val="000000"/>
          <w:kern w:val="0"/>
          <w:szCs w:val="24"/>
          <w:highlight w:val="none"/>
          <w:lang w:bidi="ar"/>
        </w:rPr>
        <w:t xml:space="preserve">各参数见表 </w:t>
      </w:r>
      <w:r>
        <w:rPr>
          <w:color w:val="000000"/>
          <w:kern w:val="0"/>
          <w:szCs w:val="24"/>
          <w:highlight w:val="none"/>
          <w:lang w:bidi="ar"/>
        </w:rPr>
        <w:t>4.</w:t>
      </w:r>
      <w:r>
        <w:rPr>
          <w:rFonts w:hint="eastAsia"/>
          <w:color w:val="000000"/>
          <w:kern w:val="0"/>
          <w:szCs w:val="24"/>
          <w:highlight w:val="none"/>
          <w:lang w:bidi="ar"/>
        </w:rPr>
        <w:t>5.</w:t>
      </w:r>
      <w:r>
        <w:rPr>
          <w:color w:val="000000"/>
          <w:kern w:val="0"/>
          <w:szCs w:val="24"/>
          <w:highlight w:val="none"/>
          <w:lang w:bidi="ar"/>
        </w:rPr>
        <w:t>2</w:t>
      </w:r>
      <w:r>
        <w:rPr>
          <w:rFonts w:hint="eastAsia"/>
          <w:color w:val="000000"/>
          <w:kern w:val="0"/>
          <w:szCs w:val="24"/>
          <w:highlight w:val="none"/>
          <w:lang w:bidi="ar"/>
        </w:rPr>
        <w:t>－</w:t>
      </w:r>
      <w:r>
        <w:rPr>
          <w:color w:val="000000"/>
          <w:kern w:val="0"/>
          <w:szCs w:val="24"/>
          <w:highlight w:val="none"/>
          <w:lang w:bidi="ar"/>
        </w:rPr>
        <w:t>2</w:t>
      </w:r>
      <w:r>
        <w:rPr>
          <w:rFonts w:hint="eastAsia" w:ascii="宋体" w:hAnsi="宋体" w:cs="宋体"/>
          <w:color w:val="000000"/>
          <w:kern w:val="0"/>
          <w:szCs w:val="24"/>
          <w:highlight w:val="none"/>
          <w:lang w:bidi="ar"/>
        </w:rPr>
        <w:t xml:space="preserve">，重复 </w:t>
      </w:r>
      <w:r>
        <w:rPr>
          <w:color w:val="000000"/>
          <w:kern w:val="0"/>
          <w:szCs w:val="24"/>
          <w:highlight w:val="none"/>
          <w:lang w:bidi="ar"/>
        </w:rPr>
        <w:t xml:space="preserve">3 </w:t>
      </w:r>
      <w:r>
        <w:rPr>
          <w:rFonts w:hint="eastAsia" w:ascii="宋体" w:hAnsi="宋体" w:cs="宋体"/>
          <w:color w:val="000000"/>
          <w:kern w:val="0"/>
          <w:szCs w:val="24"/>
          <w:highlight w:val="none"/>
          <w:lang w:bidi="ar"/>
        </w:rPr>
        <w:t>次，均应满足要求。</w:t>
      </w:r>
    </w:p>
    <w:p w14:paraId="79CD87BC">
      <w:pPr>
        <w:widowControl/>
        <w:ind w:firstLine="480"/>
        <w:jc w:val="left"/>
        <w:rPr>
          <w:highlight w:val="none"/>
        </w:rPr>
      </w:pPr>
      <w:r>
        <w:rPr>
          <w:rFonts w:hint="eastAsia" w:ascii="宋体" w:hAnsi="宋体" w:cs="宋体"/>
          <w:color w:val="000000"/>
          <w:kern w:val="0"/>
          <w:szCs w:val="24"/>
          <w:highlight w:val="none"/>
          <w:lang w:bidi="ar"/>
        </w:rPr>
        <w:t>空载测定对应最大额定起重量（</w:t>
      </w:r>
      <w:r>
        <w:rPr>
          <w:color w:val="000000"/>
          <w:kern w:val="0"/>
          <w:szCs w:val="24"/>
          <w:highlight w:val="none"/>
          <w:lang w:bidi="ar"/>
        </w:rPr>
        <w:t>Qm</w:t>
      </w:r>
      <w:r>
        <w:rPr>
          <w:rFonts w:hint="eastAsia" w:ascii="宋体" w:hAnsi="宋体" w:cs="宋体"/>
          <w:color w:val="000000"/>
          <w:kern w:val="0"/>
          <w:szCs w:val="24"/>
          <w:highlight w:val="none"/>
          <w:lang w:bidi="ar"/>
        </w:rPr>
        <w:t xml:space="preserve">）的最大工作幅度 </w:t>
      </w:r>
      <w:r>
        <w:rPr>
          <w:color w:val="000000"/>
          <w:kern w:val="0"/>
          <w:szCs w:val="24"/>
          <w:highlight w:val="none"/>
          <w:lang w:bidi="ar"/>
        </w:rPr>
        <w:t>Rm</w:t>
      </w:r>
      <w:r>
        <w:rPr>
          <w:rFonts w:hint="eastAsia" w:ascii="宋体" w:hAnsi="宋体" w:cs="宋体"/>
          <w:color w:val="000000"/>
          <w:kern w:val="0"/>
          <w:szCs w:val="24"/>
          <w:highlight w:val="none"/>
          <w:lang w:bidi="ar"/>
        </w:rPr>
        <w:t>、</w:t>
      </w:r>
      <w:r>
        <w:rPr>
          <w:color w:val="000000"/>
          <w:kern w:val="0"/>
          <w:szCs w:val="24"/>
          <w:highlight w:val="none"/>
          <w:lang w:bidi="ar"/>
        </w:rPr>
        <w:t xml:space="preserve">0.8Rm </w:t>
      </w:r>
      <w:r>
        <w:rPr>
          <w:rFonts w:hint="eastAsia" w:ascii="宋体" w:hAnsi="宋体" w:cs="宋体"/>
          <w:color w:val="000000"/>
          <w:kern w:val="0"/>
          <w:szCs w:val="24"/>
          <w:highlight w:val="none"/>
          <w:lang w:bidi="ar"/>
        </w:rPr>
        <w:t xml:space="preserve">及 </w:t>
      </w:r>
      <w:r>
        <w:rPr>
          <w:color w:val="000000"/>
          <w:kern w:val="0"/>
          <w:szCs w:val="24"/>
          <w:highlight w:val="none"/>
          <w:lang w:bidi="ar"/>
        </w:rPr>
        <w:t xml:space="preserve">1.1Rm </w:t>
      </w:r>
      <w:r>
        <w:rPr>
          <w:rFonts w:hint="eastAsia" w:ascii="宋体" w:hAnsi="宋体" w:cs="宋体"/>
          <w:color w:val="000000"/>
          <w:kern w:val="0"/>
          <w:szCs w:val="24"/>
          <w:highlight w:val="none"/>
          <w:lang w:bidi="ar"/>
        </w:rPr>
        <w:t>值，并在地面标记。在小幅度处起升最大额定起重量（</w:t>
      </w:r>
      <w:r>
        <w:rPr>
          <w:color w:val="000000"/>
          <w:kern w:val="0"/>
          <w:szCs w:val="24"/>
          <w:highlight w:val="none"/>
          <w:lang w:bidi="ar"/>
        </w:rPr>
        <w:t>Qm</w:t>
      </w:r>
      <w:r>
        <w:rPr>
          <w:rFonts w:hint="eastAsia" w:ascii="宋体" w:hAnsi="宋体" w:cs="宋体"/>
          <w:color w:val="000000"/>
          <w:kern w:val="0"/>
          <w:szCs w:val="24"/>
          <w:highlight w:val="none"/>
          <w:lang w:bidi="ar"/>
        </w:rPr>
        <w:t xml:space="preserve">）离地 </w:t>
      </w:r>
      <w:r>
        <w:rPr>
          <w:color w:val="000000"/>
          <w:kern w:val="0"/>
          <w:szCs w:val="24"/>
          <w:highlight w:val="none"/>
          <w:lang w:bidi="ar"/>
        </w:rPr>
        <w:t xml:space="preserve">1m </w:t>
      </w:r>
      <w:r>
        <w:rPr>
          <w:rFonts w:hint="eastAsia" w:ascii="宋体" w:hAnsi="宋体" w:cs="宋体"/>
          <w:color w:val="000000"/>
          <w:kern w:val="0"/>
          <w:szCs w:val="24"/>
          <w:highlight w:val="none"/>
          <w:lang w:bidi="ar"/>
        </w:rPr>
        <w:t xml:space="preserve">左右，慢速变幅至 </w:t>
      </w:r>
      <w:r>
        <w:rPr>
          <w:color w:val="000000"/>
          <w:kern w:val="0"/>
          <w:szCs w:val="24"/>
          <w:highlight w:val="none"/>
          <w:lang w:bidi="ar"/>
        </w:rPr>
        <w:t>Rm</w:t>
      </w:r>
      <w:r>
        <w:rPr>
          <w:rFonts w:hint="eastAsia" w:ascii="宋体" w:hAnsi="宋体" w:cs="宋体"/>
          <w:color w:val="000000"/>
          <w:kern w:val="0"/>
          <w:szCs w:val="24"/>
          <w:highlight w:val="none"/>
          <w:lang w:bidi="ar"/>
        </w:rPr>
        <w:t>～</w:t>
      </w:r>
      <w:r>
        <w:rPr>
          <w:color w:val="000000"/>
          <w:kern w:val="0"/>
          <w:szCs w:val="24"/>
          <w:highlight w:val="none"/>
          <w:lang w:bidi="ar"/>
        </w:rPr>
        <w:t>1.1Rm</w:t>
      </w:r>
      <w:r>
        <w:rPr>
          <w:rFonts w:hint="eastAsia" w:ascii="宋体" w:hAnsi="宋体" w:cs="宋体"/>
          <w:color w:val="000000"/>
          <w:kern w:val="0"/>
          <w:szCs w:val="24"/>
          <w:highlight w:val="none"/>
          <w:lang w:bidi="ar"/>
        </w:rPr>
        <w:t xml:space="preserve">间时，力矩限制器应动作，切断外变幅和起升回路电源，并输出报警信号。退回，重新从小幅度开始，以正常速度向外变幅，在到达 </w:t>
      </w:r>
      <w:r>
        <w:rPr>
          <w:color w:val="000000"/>
          <w:kern w:val="0"/>
          <w:szCs w:val="24"/>
          <w:highlight w:val="none"/>
          <w:lang w:bidi="ar"/>
        </w:rPr>
        <w:t xml:space="preserve">0.8Rm </w:t>
      </w:r>
      <w:r>
        <w:rPr>
          <w:rFonts w:hint="eastAsia" w:ascii="宋体" w:hAnsi="宋体" w:cs="宋体"/>
          <w:color w:val="000000"/>
          <w:kern w:val="0"/>
          <w:szCs w:val="24"/>
          <w:highlight w:val="none"/>
          <w:lang w:bidi="ar"/>
        </w:rPr>
        <w:t>时应能自动转为低速往外变幅，在到达</w:t>
      </w:r>
      <w:r>
        <w:rPr>
          <w:color w:val="000000"/>
          <w:kern w:val="0"/>
          <w:szCs w:val="24"/>
          <w:highlight w:val="none"/>
          <w:lang w:bidi="ar"/>
        </w:rPr>
        <w:t>Rm</w:t>
      </w:r>
      <w:r>
        <w:rPr>
          <w:rFonts w:hint="eastAsia" w:ascii="宋体" w:hAnsi="宋体" w:cs="宋体"/>
          <w:color w:val="000000"/>
          <w:kern w:val="0"/>
          <w:szCs w:val="24"/>
          <w:highlight w:val="none"/>
          <w:lang w:bidi="ar"/>
        </w:rPr>
        <w:t>～</w:t>
      </w:r>
      <w:r>
        <w:rPr>
          <w:color w:val="000000"/>
          <w:kern w:val="0"/>
          <w:szCs w:val="24"/>
          <w:highlight w:val="none"/>
          <w:lang w:bidi="ar"/>
        </w:rPr>
        <w:t xml:space="preserve">1.1Rm </w:t>
      </w:r>
      <w:r>
        <w:rPr>
          <w:rFonts w:hint="eastAsia" w:ascii="宋体" w:hAnsi="宋体" w:cs="宋体"/>
          <w:color w:val="000000"/>
          <w:kern w:val="0"/>
          <w:szCs w:val="24"/>
          <w:highlight w:val="none"/>
          <w:lang w:bidi="ar"/>
        </w:rPr>
        <w:t>间时，力矩限制器应动作，切断外变幅和起升回路电源，并输出报警信号。</w:t>
      </w:r>
    </w:p>
    <w:p w14:paraId="4134499A">
      <w:pPr>
        <w:widowControl/>
        <w:ind w:firstLine="480"/>
        <w:jc w:val="left"/>
        <w:rPr>
          <w:highlight w:val="none"/>
        </w:rPr>
      </w:pPr>
      <w:r>
        <w:rPr>
          <w:rFonts w:hint="eastAsia" w:ascii="宋体" w:hAnsi="宋体" w:cs="宋体"/>
          <w:color w:val="000000"/>
          <w:kern w:val="0"/>
          <w:szCs w:val="24"/>
          <w:highlight w:val="none"/>
          <w:lang w:bidi="ar"/>
        </w:rPr>
        <w:t xml:space="preserve">空载测定对应 </w:t>
      </w:r>
      <w:r>
        <w:rPr>
          <w:color w:val="000000"/>
          <w:kern w:val="0"/>
          <w:szCs w:val="24"/>
          <w:highlight w:val="none"/>
          <w:lang w:bidi="ar"/>
        </w:rPr>
        <w:t xml:space="preserve">0.5 </w:t>
      </w:r>
      <w:r>
        <w:rPr>
          <w:rFonts w:hint="eastAsia" w:ascii="宋体" w:hAnsi="宋体" w:cs="宋体"/>
          <w:color w:val="000000"/>
          <w:kern w:val="0"/>
          <w:szCs w:val="24"/>
          <w:highlight w:val="none"/>
          <w:lang w:bidi="ar"/>
        </w:rPr>
        <w:t>倍最大额定起重量（</w:t>
      </w:r>
      <w:r>
        <w:rPr>
          <w:color w:val="000000"/>
          <w:kern w:val="0"/>
          <w:szCs w:val="24"/>
          <w:highlight w:val="none"/>
          <w:lang w:bidi="ar"/>
        </w:rPr>
        <w:t>0.5Qm</w:t>
      </w:r>
      <w:r>
        <w:rPr>
          <w:rFonts w:hint="eastAsia" w:ascii="宋体" w:hAnsi="宋体" w:cs="宋体"/>
          <w:color w:val="000000"/>
          <w:kern w:val="0"/>
          <w:szCs w:val="24"/>
          <w:highlight w:val="none"/>
          <w:lang w:bidi="ar"/>
        </w:rPr>
        <w:t xml:space="preserve">）的最大工作幅度 </w:t>
      </w:r>
      <w:r>
        <w:rPr>
          <w:color w:val="000000"/>
          <w:kern w:val="0"/>
          <w:szCs w:val="24"/>
          <w:highlight w:val="none"/>
          <w:lang w:bidi="ar"/>
        </w:rPr>
        <w:t>R</w:t>
      </w:r>
      <w:r>
        <w:rPr>
          <w:color w:val="000000"/>
          <w:kern w:val="0"/>
          <w:sz w:val="16"/>
          <w:szCs w:val="16"/>
          <w:highlight w:val="none"/>
          <w:lang w:bidi="ar"/>
        </w:rPr>
        <w:t>0.5</w:t>
      </w:r>
      <w:r>
        <w:rPr>
          <w:rFonts w:hint="eastAsia" w:ascii="宋体" w:hAnsi="宋体" w:cs="宋体"/>
          <w:color w:val="000000"/>
          <w:kern w:val="0"/>
          <w:szCs w:val="24"/>
          <w:highlight w:val="none"/>
          <w:lang w:bidi="ar"/>
        </w:rPr>
        <w:t>，</w:t>
      </w:r>
      <w:r>
        <w:rPr>
          <w:color w:val="000000"/>
          <w:kern w:val="0"/>
          <w:szCs w:val="24"/>
          <w:highlight w:val="none"/>
          <w:lang w:bidi="ar"/>
        </w:rPr>
        <w:t>0.8R</w:t>
      </w:r>
      <w:r>
        <w:rPr>
          <w:color w:val="000000"/>
          <w:kern w:val="0"/>
          <w:sz w:val="16"/>
          <w:szCs w:val="16"/>
          <w:highlight w:val="none"/>
          <w:lang w:bidi="ar"/>
        </w:rPr>
        <w:t xml:space="preserve">0.5 </w:t>
      </w:r>
      <w:r>
        <w:rPr>
          <w:rFonts w:hint="eastAsia" w:ascii="宋体" w:hAnsi="宋体" w:cs="宋体"/>
          <w:color w:val="000000"/>
          <w:kern w:val="0"/>
          <w:szCs w:val="24"/>
          <w:highlight w:val="none"/>
          <w:lang w:bidi="ar"/>
        </w:rPr>
        <w:t xml:space="preserve">及 </w:t>
      </w:r>
      <w:r>
        <w:rPr>
          <w:color w:val="000000"/>
          <w:kern w:val="0"/>
          <w:szCs w:val="24"/>
          <w:highlight w:val="none"/>
          <w:lang w:bidi="ar"/>
        </w:rPr>
        <w:t>1.1R</w:t>
      </w:r>
      <w:r>
        <w:rPr>
          <w:color w:val="000000"/>
          <w:kern w:val="0"/>
          <w:sz w:val="16"/>
          <w:szCs w:val="16"/>
          <w:highlight w:val="none"/>
          <w:lang w:bidi="ar"/>
        </w:rPr>
        <w:t>0.5</w:t>
      </w:r>
      <w:r>
        <w:rPr>
          <w:rFonts w:hint="eastAsia" w:ascii="宋体" w:hAnsi="宋体" w:cs="宋体"/>
          <w:color w:val="000000"/>
          <w:kern w:val="0"/>
          <w:szCs w:val="24"/>
          <w:highlight w:val="none"/>
          <w:lang w:bidi="ar"/>
        </w:rPr>
        <w:t xml:space="preserve">值，并在地面标记。在小幅度处起升 </w:t>
      </w:r>
      <w:r>
        <w:rPr>
          <w:color w:val="000000"/>
          <w:kern w:val="0"/>
          <w:szCs w:val="24"/>
          <w:highlight w:val="none"/>
          <w:lang w:bidi="ar"/>
        </w:rPr>
        <w:t xml:space="preserve">0.5 </w:t>
      </w:r>
      <w:r>
        <w:rPr>
          <w:rFonts w:hint="eastAsia" w:ascii="宋体" w:hAnsi="宋体" w:cs="宋体"/>
          <w:color w:val="000000"/>
          <w:kern w:val="0"/>
          <w:szCs w:val="24"/>
          <w:highlight w:val="none"/>
          <w:lang w:bidi="ar"/>
        </w:rPr>
        <w:t>倍最大额定起重量（</w:t>
      </w:r>
      <w:r>
        <w:rPr>
          <w:color w:val="000000"/>
          <w:kern w:val="0"/>
          <w:szCs w:val="24"/>
          <w:highlight w:val="none"/>
          <w:lang w:bidi="ar"/>
        </w:rPr>
        <w:t>0.5Qm</w:t>
      </w:r>
      <w:r>
        <w:rPr>
          <w:rFonts w:hint="eastAsia" w:ascii="宋体" w:hAnsi="宋体" w:cs="宋体"/>
          <w:color w:val="000000"/>
          <w:kern w:val="0"/>
          <w:szCs w:val="24"/>
          <w:highlight w:val="none"/>
          <w:lang w:bidi="ar"/>
        </w:rPr>
        <w:t xml:space="preserve">）离地 </w:t>
      </w:r>
      <w:r>
        <w:rPr>
          <w:color w:val="000000"/>
          <w:kern w:val="0"/>
          <w:szCs w:val="24"/>
          <w:highlight w:val="none"/>
          <w:lang w:bidi="ar"/>
        </w:rPr>
        <w:t xml:space="preserve">1m </w:t>
      </w:r>
      <w:r>
        <w:rPr>
          <w:rFonts w:hint="eastAsia" w:ascii="宋体" w:hAnsi="宋体" w:cs="宋体"/>
          <w:color w:val="000000"/>
          <w:kern w:val="0"/>
          <w:szCs w:val="24"/>
          <w:highlight w:val="none"/>
          <w:lang w:bidi="ar"/>
        </w:rPr>
        <w:t xml:space="preserve">左右，慢速变幅至 </w:t>
      </w:r>
      <w:r>
        <w:rPr>
          <w:color w:val="000000"/>
          <w:kern w:val="0"/>
          <w:szCs w:val="24"/>
          <w:highlight w:val="none"/>
          <w:lang w:bidi="ar"/>
        </w:rPr>
        <w:t>R</w:t>
      </w:r>
      <w:r>
        <w:rPr>
          <w:color w:val="000000"/>
          <w:kern w:val="0"/>
          <w:sz w:val="16"/>
          <w:szCs w:val="16"/>
          <w:highlight w:val="none"/>
          <w:lang w:bidi="ar"/>
        </w:rPr>
        <w:t>0.5</w:t>
      </w:r>
      <w:r>
        <w:rPr>
          <w:rFonts w:hint="eastAsia" w:ascii="宋体" w:hAnsi="宋体" w:cs="宋体"/>
          <w:color w:val="000000"/>
          <w:kern w:val="0"/>
          <w:szCs w:val="24"/>
          <w:highlight w:val="none"/>
          <w:lang w:bidi="ar"/>
        </w:rPr>
        <w:t>～</w:t>
      </w:r>
      <w:r>
        <w:rPr>
          <w:color w:val="000000"/>
          <w:kern w:val="0"/>
          <w:szCs w:val="24"/>
          <w:highlight w:val="none"/>
          <w:lang w:bidi="ar"/>
        </w:rPr>
        <w:t>1.1R</w:t>
      </w:r>
      <w:r>
        <w:rPr>
          <w:color w:val="000000"/>
          <w:kern w:val="0"/>
          <w:sz w:val="16"/>
          <w:szCs w:val="16"/>
          <w:highlight w:val="none"/>
          <w:lang w:bidi="ar"/>
        </w:rPr>
        <w:t xml:space="preserve">0.5 </w:t>
      </w:r>
      <w:r>
        <w:rPr>
          <w:rFonts w:hint="eastAsia" w:ascii="宋体" w:hAnsi="宋体" w:cs="宋体"/>
          <w:color w:val="000000"/>
          <w:kern w:val="0"/>
          <w:szCs w:val="24"/>
          <w:highlight w:val="none"/>
          <w:lang w:bidi="ar"/>
        </w:rPr>
        <w:t xml:space="preserve">间时，力矩限制器应动作，切断外变幅和起升回路电源，并输出报警信号。退回，重新从小幅度开始，以正常速度向外变幅，在到达 </w:t>
      </w:r>
      <w:r>
        <w:rPr>
          <w:color w:val="000000"/>
          <w:kern w:val="0"/>
          <w:szCs w:val="24"/>
          <w:highlight w:val="none"/>
          <w:lang w:bidi="ar"/>
        </w:rPr>
        <w:t>0.8R</w:t>
      </w:r>
      <w:r>
        <w:rPr>
          <w:color w:val="000000"/>
          <w:kern w:val="0"/>
          <w:sz w:val="16"/>
          <w:szCs w:val="16"/>
          <w:highlight w:val="none"/>
          <w:lang w:bidi="ar"/>
        </w:rPr>
        <w:t xml:space="preserve">0.5 </w:t>
      </w:r>
      <w:r>
        <w:rPr>
          <w:rFonts w:hint="eastAsia" w:ascii="宋体" w:hAnsi="宋体" w:cs="宋体"/>
          <w:color w:val="000000"/>
          <w:kern w:val="0"/>
          <w:szCs w:val="24"/>
          <w:highlight w:val="none"/>
          <w:lang w:bidi="ar"/>
        </w:rPr>
        <w:t xml:space="preserve">时应能自动转为低速往外变幅，在到达 </w:t>
      </w:r>
      <w:r>
        <w:rPr>
          <w:color w:val="000000"/>
          <w:kern w:val="0"/>
          <w:szCs w:val="24"/>
          <w:highlight w:val="none"/>
          <w:lang w:bidi="ar"/>
        </w:rPr>
        <w:t>R</w:t>
      </w:r>
      <w:r>
        <w:rPr>
          <w:color w:val="000000"/>
          <w:kern w:val="0"/>
          <w:sz w:val="16"/>
          <w:szCs w:val="16"/>
          <w:highlight w:val="none"/>
          <w:lang w:bidi="ar"/>
        </w:rPr>
        <w:t>0.5</w:t>
      </w:r>
      <w:r>
        <w:rPr>
          <w:rFonts w:hint="eastAsia" w:ascii="宋体" w:hAnsi="宋体" w:cs="宋体"/>
          <w:color w:val="000000"/>
          <w:kern w:val="0"/>
          <w:szCs w:val="24"/>
          <w:highlight w:val="none"/>
          <w:lang w:bidi="ar"/>
        </w:rPr>
        <w:t>～</w:t>
      </w:r>
      <w:r>
        <w:rPr>
          <w:color w:val="000000"/>
          <w:kern w:val="0"/>
          <w:szCs w:val="24"/>
          <w:highlight w:val="none"/>
          <w:lang w:bidi="ar"/>
        </w:rPr>
        <w:t>1.1R</w:t>
      </w:r>
      <w:r>
        <w:rPr>
          <w:color w:val="000000"/>
          <w:kern w:val="0"/>
          <w:sz w:val="16"/>
          <w:szCs w:val="16"/>
          <w:highlight w:val="none"/>
          <w:lang w:bidi="ar"/>
        </w:rPr>
        <w:t xml:space="preserve">0.5 </w:t>
      </w:r>
      <w:r>
        <w:rPr>
          <w:rFonts w:hint="eastAsia" w:ascii="宋体" w:hAnsi="宋体" w:cs="宋体"/>
          <w:color w:val="000000"/>
          <w:kern w:val="0"/>
          <w:szCs w:val="24"/>
          <w:highlight w:val="none"/>
          <w:lang w:bidi="ar"/>
        </w:rPr>
        <w:t>间时，力矩限制器应动作，切断外变幅和起升回路电源，并输出报警信号。</w:t>
      </w:r>
    </w:p>
    <w:p w14:paraId="1BB0B9A6">
      <w:pPr>
        <w:pStyle w:val="10"/>
        <w:bidi w:val="0"/>
        <w:ind w:left="1008" w:leftChars="0" w:hanging="1008" w:firstLineChars="0"/>
        <w:rPr>
          <w:highlight w:val="none"/>
        </w:rPr>
      </w:pPr>
      <w:r>
        <w:rPr>
          <w:rFonts w:hint="eastAsia"/>
          <w:highlight w:val="none"/>
        </w:rPr>
        <w:t>起重量限制器</w:t>
      </w:r>
    </w:p>
    <w:p w14:paraId="4FCBDF2F">
      <w:pPr>
        <w:pStyle w:val="2"/>
        <w:ind w:firstLine="0" w:firstLineChars="0"/>
        <w:jc w:val="center"/>
        <w:rPr>
          <w:highlight w:val="none"/>
        </w:rPr>
      </w:pPr>
      <w:r>
        <w:rPr>
          <w:highlight w:val="none"/>
        </w:rPr>
        <w:drawing>
          <wp:inline distT="0" distB="0" distL="114300" distR="114300">
            <wp:extent cx="3810000" cy="3410585"/>
            <wp:effectExtent l="0" t="0" r="0" b="18415"/>
            <wp:docPr id="140" name="图片 140" descr="1642650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1642650840(1)"/>
                    <pic:cNvPicPr>
                      <a:picLocks noChangeAspect="1"/>
                    </pic:cNvPicPr>
                  </pic:nvPicPr>
                  <pic:blipFill>
                    <a:blip r:embed="rId97"/>
                    <a:stretch>
                      <a:fillRect/>
                    </a:stretch>
                  </pic:blipFill>
                  <pic:spPr>
                    <a:xfrm>
                      <a:off x="0" y="0"/>
                      <a:ext cx="3810000" cy="3410585"/>
                    </a:xfrm>
                    <a:prstGeom prst="rect">
                      <a:avLst/>
                    </a:prstGeom>
                  </pic:spPr>
                </pic:pic>
              </a:graphicData>
            </a:graphic>
          </wp:inline>
        </w:drawing>
      </w:r>
    </w:p>
    <w:p w14:paraId="2C91F43A">
      <w:pPr>
        <w:widowControl/>
        <w:ind w:firstLine="480"/>
        <w:jc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图4.5.1</w:t>
      </w:r>
      <w:r>
        <w:rPr>
          <w:rFonts w:hint="eastAsia" w:ascii="宋体" w:hAnsi="宋体" w:cs="宋体"/>
          <w:color w:val="000000"/>
          <w:kern w:val="0"/>
          <w:szCs w:val="24"/>
          <w:highlight w:val="none"/>
          <w:lang w:val="en-US" w:eastAsia="zh-CN" w:bidi="ar"/>
        </w:rPr>
        <w:t>3</w:t>
      </w:r>
      <w:r>
        <w:rPr>
          <w:rFonts w:hint="eastAsia" w:ascii="宋体" w:hAnsi="宋体" w:cs="宋体"/>
          <w:color w:val="000000"/>
          <w:kern w:val="0"/>
          <w:szCs w:val="24"/>
          <w:highlight w:val="none"/>
          <w:lang w:bidi="ar"/>
        </w:rPr>
        <w:t>.2.3-1起重量限制器图</w:t>
      </w:r>
    </w:p>
    <w:p w14:paraId="640B8A0F">
      <w:pPr>
        <w:widowControl/>
        <w:ind w:firstLine="480"/>
        <w:jc w:val="left"/>
        <w:rPr>
          <w:highlight w:val="none"/>
        </w:rPr>
      </w:pPr>
      <w:r>
        <w:rPr>
          <w:rFonts w:hint="eastAsia"/>
          <w:highlight w:val="none"/>
        </w:rPr>
        <w:t xml:space="preserve">1） </w:t>
      </w:r>
      <w:r>
        <w:rPr>
          <w:rFonts w:hint="eastAsia" w:ascii="宋体" w:hAnsi="宋体" w:cs="宋体"/>
          <w:color w:val="000000"/>
          <w:kern w:val="0"/>
          <w:szCs w:val="24"/>
          <w:highlight w:val="none"/>
          <w:lang w:bidi="ar"/>
        </w:rPr>
        <w:t>起重量限制器的调整</w:t>
      </w:r>
    </w:p>
    <w:p w14:paraId="45357DC7">
      <w:pPr>
        <w:widowControl/>
        <w:ind w:firstLine="480"/>
        <w:jc w:val="left"/>
        <w:rPr>
          <w:rFonts w:ascii="宋体" w:hAnsi="宋体" w:cs="宋体"/>
          <w:szCs w:val="24"/>
          <w:highlight w:val="none"/>
        </w:rPr>
      </w:pPr>
      <w:r>
        <w:rPr>
          <w:rFonts w:hint="eastAsia" w:ascii="宋体" w:hAnsi="宋体" w:cs="宋体"/>
          <w:szCs w:val="24"/>
          <w:highlight w:val="none"/>
        </w:rPr>
        <w:t>警告：</w:t>
      </w:r>
      <w:r>
        <w:rPr>
          <w:rFonts w:hint="eastAsia" w:ascii="宋体" w:hAnsi="宋体" w:cs="宋体"/>
          <w:color w:val="000000"/>
          <w:kern w:val="0"/>
          <w:szCs w:val="24"/>
          <w:highlight w:val="none"/>
          <w:lang w:bidi="ar"/>
        </w:rPr>
        <w:t>调整起重量限制器之前，必须首先确认本塔机的额定吊重量后，再查找对应的数据进行调试</w:t>
      </w:r>
    </w:p>
    <w:p w14:paraId="4AFB1776">
      <w:pPr>
        <w:widowControl/>
        <w:ind w:firstLine="240" w:firstLineChars="100"/>
        <w:jc w:val="left"/>
        <w:rPr>
          <w:highlight w:val="none"/>
        </w:rPr>
      </w:pPr>
      <w:r>
        <w:rPr>
          <w:rFonts w:hint="eastAsia" w:ascii="Cambria" w:hAnsi="Cambria" w:eastAsia="Cambria" w:cs="Cambria"/>
          <w:color w:val="000000"/>
          <w:kern w:val="0"/>
          <w:szCs w:val="24"/>
          <w:highlight w:val="none"/>
          <w:lang w:bidi="ar"/>
        </w:rPr>
        <w:t>（1）</w:t>
      </w:r>
      <w:r>
        <w:rPr>
          <w:rFonts w:hint="eastAsia" w:ascii="宋体" w:hAnsi="宋体" w:cs="宋体"/>
          <w:color w:val="000000"/>
          <w:kern w:val="0"/>
          <w:szCs w:val="24"/>
          <w:highlight w:val="none"/>
          <w:lang w:bidi="ar"/>
        </w:rPr>
        <w:t xml:space="preserve">调整 </w:t>
      </w:r>
      <w:r>
        <w:rPr>
          <w:color w:val="000000"/>
          <w:kern w:val="0"/>
          <w:szCs w:val="24"/>
          <w:highlight w:val="none"/>
          <w:lang w:bidi="ar"/>
        </w:rPr>
        <w:t>35%</w:t>
      </w:r>
      <w:r>
        <w:rPr>
          <w:rFonts w:hint="eastAsia" w:ascii="宋体" w:hAnsi="宋体" w:cs="宋体"/>
          <w:color w:val="000000"/>
          <w:kern w:val="0"/>
          <w:szCs w:val="24"/>
          <w:highlight w:val="none"/>
          <w:lang w:bidi="ar"/>
        </w:rPr>
        <w:t xml:space="preserve">重量高速限制器 </w:t>
      </w:r>
      <w:r>
        <w:rPr>
          <w:color w:val="000000"/>
          <w:kern w:val="0"/>
          <w:szCs w:val="24"/>
          <w:highlight w:val="none"/>
          <w:lang w:bidi="ar"/>
        </w:rPr>
        <w:t>SWQ</w:t>
      </w:r>
      <w:r>
        <w:rPr>
          <w:rFonts w:hint="eastAsia" w:ascii="宋体" w:hAnsi="宋体" w:cs="宋体"/>
          <w:color w:val="000000"/>
          <w:kern w:val="0"/>
          <w:szCs w:val="24"/>
          <w:highlight w:val="none"/>
          <w:lang w:bidi="ar"/>
        </w:rPr>
        <w:t xml:space="preserve">： </w:t>
      </w:r>
    </w:p>
    <w:p w14:paraId="61EAAA3F">
      <w:pPr>
        <w:widowControl/>
        <w:ind w:firstLine="480"/>
        <w:jc w:val="left"/>
        <w:rPr>
          <w:highlight w:val="none"/>
        </w:rPr>
      </w:pPr>
      <w:r>
        <w:rPr>
          <w:rFonts w:hint="eastAsia" w:ascii="宋体" w:hAnsi="宋体" w:cs="宋体"/>
          <w:color w:val="000000"/>
          <w:kern w:val="0"/>
          <w:szCs w:val="24"/>
          <w:highlight w:val="none"/>
          <w:lang w:bidi="ar"/>
        </w:rPr>
        <w:t xml:space="preserve">先以低速起吊载荷 </w:t>
      </w:r>
      <w:r>
        <w:rPr>
          <w:color w:val="000000"/>
          <w:kern w:val="0"/>
          <w:szCs w:val="24"/>
          <w:highlight w:val="none"/>
          <w:lang w:bidi="ar"/>
        </w:rPr>
        <w:t>V1</w:t>
      </w:r>
      <w:r>
        <w:rPr>
          <w:rFonts w:hint="eastAsia" w:ascii="宋体" w:hAnsi="宋体" w:cs="宋体"/>
          <w:color w:val="000000"/>
          <w:kern w:val="0"/>
          <w:szCs w:val="24"/>
          <w:highlight w:val="none"/>
          <w:lang w:bidi="ar"/>
        </w:rPr>
        <w:t>，然后再以高速起升。调整螺栓</w:t>
      </w:r>
      <w:r>
        <w:rPr>
          <w:color w:val="000000"/>
          <w:kern w:val="0"/>
          <w:szCs w:val="24"/>
          <w:highlight w:val="none"/>
          <w:lang w:bidi="ar"/>
        </w:rPr>
        <w:t>(1)</w:t>
      </w:r>
      <w:r>
        <w:rPr>
          <w:rFonts w:hint="eastAsia" w:ascii="宋体" w:hAnsi="宋体" w:cs="宋体"/>
          <w:color w:val="000000"/>
          <w:kern w:val="0"/>
          <w:szCs w:val="24"/>
          <w:highlight w:val="none"/>
          <w:lang w:bidi="ar"/>
        </w:rPr>
        <w:t>直至其头部接触到微动开关</w:t>
      </w:r>
      <w:r>
        <w:rPr>
          <w:color w:val="000000"/>
          <w:kern w:val="0"/>
          <w:szCs w:val="24"/>
          <w:highlight w:val="none"/>
          <w:lang w:bidi="ar"/>
        </w:rPr>
        <w:t>(2)</w:t>
      </w:r>
      <w:r>
        <w:rPr>
          <w:rFonts w:hint="eastAsia" w:ascii="宋体" w:hAnsi="宋体" w:cs="宋体"/>
          <w:color w:val="000000"/>
          <w:kern w:val="0"/>
          <w:szCs w:val="24"/>
          <w:highlight w:val="none"/>
          <w:lang w:bidi="ar"/>
        </w:rPr>
        <w:t xml:space="preserve">降下载荷，增重 </w:t>
      </w:r>
      <w:r>
        <w:rPr>
          <w:color w:val="000000"/>
          <w:kern w:val="0"/>
          <w:szCs w:val="24"/>
          <w:highlight w:val="none"/>
          <w:lang w:bidi="ar"/>
        </w:rPr>
        <w:t>10%</w:t>
      </w:r>
      <w:r>
        <w:rPr>
          <w:rFonts w:hint="eastAsia" w:ascii="宋体" w:hAnsi="宋体" w:cs="宋体"/>
          <w:color w:val="000000"/>
          <w:kern w:val="0"/>
          <w:szCs w:val="24"/>
          <w:highlight w:val="none"/>
          <w:lang w:bidi="ar"/>
        </w:rPr>
        <w:t xml:space="preserve">，以低速起吊新增重载荷 </w:t>
      </w:r>
      <w:r>
        <w:rPr>
          <w:color w:val="000000"/>
          <w:kern w:val="0"/>
          <w:szCs w:val="24"/>
          <w:highlight w:val="none"/>
          <w:lang w:bidi="ar"/>
        </w:rPr>
        <w:t>W1</w:t>
      </w:r>
      <w:r>
        <w:rPr>
          <w:rFonts w:hint="eastAsia" w:ascii="宋体" w:hAnsi="宋体" w:cs="宋体"/>
          <w:color w:val="000000"/>
          <w:kern w:val="0"/>
          <w:szCs w:val="24"/>
          <w:highlight w:val="none"/>
          <w:lang w:bidi="ar"/>
        </w:rPr>
        <w:t xml:space="preserve">，然后试换速高速起升，此时不应有高速 </w:t>
      </w:r>
      <w:r>
        <w:rPr>
          <w:color w:val="000000"/>
          <w:kern w:val="0"/>
          <w:szCs w:val="24"/>
          <w:highlight w:val="none"/>
          <w:lang w:bidi="ar"/>
        </w:rPr>
        <w:t xml:space="preserve">5 </w:t>
      </w:r>
      <w:r>
        <w:rPr>
          <w:rFonts w:hint="eastAsia" w:ascii="宋体" w:hAnsi="宋体" w:cs="宋体"/>
          <w:color w:val="000000"/>
          <w:kern w:val="0"/>
          <w:szCs w:val="24"/>
          <w:highlight w:val="none"/>
          <w:lang w:bidi="ar"/>
        </w:rPr>
        <w:t>档。如果得到高速，应重新调整。</w:t>
      </w:r>
    </w:p>
    <w:p w14:paraId="10B536AA">
      <w:pPr>
        <w:widowControl/>
        <w:ind w:firstLine="480"/>
        <w:jc w:val="left"/>
        <w:rPr>
          <w:highlight w:val="none"/>
        </w:rPr>
      </w:pPr>
      <w:r>
        <w:rPr>
          <w:rFonts w:hint="eastAsia" w:ascii="宋体" w:hAnsi="宋体" w:cs="宋体"/>
          <w:color w:val="000000"/>
          <w:kern w:val="0"/>
          <w:szCs w:val="24"/>
          <w:highlight w:val="none"/>
          <w:lang w:bidi="ar"/>
        </w:rPr>
        <w:t xml:space="preserve">降下载荷，增重 </w:t>
      </w:r>
      <w:r>
        <w:rPr>
          <w:color w:val="000000"/>
          <w:kern w:val="0"/>
          <w:szCs w:val="24"/>
          <w:highlight w:val="none"/>
          <w:lang w:bidi="ar"/>
        </w:rPr>
        <w:t>10%</w:t>
      </w:r>
      <w:r>
        <w:rPr>
          <w:rFonts w:hint="eastAsia" w:ascii="宋体" w:hAnsi="宋体" w:cs="宋体"/>
          <w:color w:val="000000"/>
          <w:kern w:val="0"/>
          <w:szCs w:val="24"/>
          <w:highlight w:val="none"/>
          <w:lang w:bidi="ar"/>
        </w:rPr>
        <w:t xml:space="preserve">，以低速起吊新增重载荷 </w:t>
      </w:r>
      <w:r>
        <w:rPr>
          <w:color w:val="000000"/>
          <w:kern w:val="0"/>
          <w:szCs w:val="24"/>
          <w:highlight w:val="none"/>
          <w:lang w:bidi="ar"/>
        </w:rPr>
        <w:t>W1</w:t>
      </w:r>
      <w:r>
        <w:rPr>
          <w:rFonts w:hint="eastAsia" w:ascii="宋体" w:hAnsi="宋体" w:cs="宋体"/>
          <w:color w:val="000000"/>
          <w:kern w:val="0"/>
          <w:szCs w:val="24"/>
          <w:highlight w:val="none"/>
          <w:lang w:bidi="ar"/>
        </w:rPr>
        <w:t xml:space="preserve">，然后试换速高速起升，此时不应有高速 </w:t>
      </w:r>
      <w:r>
        <w:rPr>
          <w:color w:val="000000"/>
          <w:kern w:val="0"/>
          <w:szCs w:val="24"/>
          <w:highlight w:val="none"/>
          <w:lang w:bidi="ar"/>
        </w:rPr>
        <w:t xml:space="preserve">5 </w:t>
      </w:r>
      <w:r>
        <w:rPr>
          <w:rFonts w:hint="eastAsia" w:ascii="宋体" w:hAnsi="宋体" w:cs="宋体"/>
          <w:color w:val="000000"/>
          <w:kern w:val="0"/>
          <w:szCs w:val="24"/>
          <w:highlight w:val="none"/>
          <w:lang w:bidi="ar"/>
        </w:rPr>
        <w:t>档。如果得到高速，应重新调整。</w:t>
      </w:r>
    </w:p>
    <w:p w14:paraId="328C4C38">
      <w:pPr>
        <w:widowControl/>
        <w:ind w:firstLine="480"/>
        <w:jc w:val="left"/>
        <w:rPr>
          <w:highlight w:val="none"/>
        </w:rPr>
      </w:pPr>
      <w:r>
        <w:rPr>
          <w:rFonts w:hint="eastAsia" w:ascii="宋体" w:hAnsi="宋体" w:cs="宋体"/>
          <w:color w:val="000000"/>
          <w:kern w:val="0"/>
          <w:szCs w:val="24"/>
          <w:highlight w:val="none"/>
          <w:lang w:bidi="ar"/>
        </w:rPr>
        <w:t xml:space="preserve">重复 </w:t>
      </w:r>
      <w:r>
        <w:rPr>
          <w:color w:val="000000"/>
          <w:kern w:val="0"/>
          <w:szCs w:val="24"/>
          <w:highlight w:val="none"/>
          <w:lang w:bidi="ar"/>
        </w:rPr>
        <w:t xml:space="preserve">3 </w:t>
      </w:r>
      <w:r>
        <w:rPr>
          <w:rFonts w:hint="eastAsia" w:ascii="宋体" w:hAnsi="宋体" w:cs="宋体"/>
          <w:color w:val="000000"/>
          <w:kern w:val="0"/>
          <w:szCs w:val="24"/>
          <w:highlight w:val="none"/>
          <w:lang w:bidi="ar"/>
        </w:rPr>
        <w:t>次，均应满足以上要求。</w:t>
      </w:r>
    </w:p>
    <w:p w14:paraId="75E3FB69">
      <w:pPr>
        <w:widowControl/>
        <w:ind w:firstLine="480"/>
        <w:jc w:val="left"/>
        <w:rPr>
          <w:highlight w:val="none"/>
        </w:rPr>
      </w:pPr>
      <w:r>
        <w:rPr>
          <w:rFonts w:hint="eastAsia"/>
          <w:highlight w:val="none"/>
        </w:rPr>
        <w:t>（2）</w:t>
      </w:r>
      <w:r>
        <w:rPr>
          <w:rFonts w:hint="eastAsia" w:ascii="宋体" w:hAnsi="宋体" w:cs="宋体"/>
          <w:color w:val="000000"/>
          <w:kern w:val="0"/>
          <w:szCs w:val="24"/>
          <w:highlight w:val="none"/>
          <w:lang w:bidi="ar"/>
        </w:rPr>
        <w:t xml:space="preserve">调整 </w:t>
      </w:r>
      <w:r>
        <w:rPr>
          <w:color w:val="000000"/>
          <w:kern w:val="0"/>
          <w:szCs w:val="24"/>
          <w:highlight w:val="none"/>
          <w:lang w:bidi="ar"/>
        </w:rPr>
        <w:t>75%</w:t>
      </w:r>
      <w:r>
        <w:rPr>
          <w:rFonts w:hint="eastAsia" w:ascii="宋体" w:hAnsi="宋体" w:cs="宋体"/>
          <w:color w:val="000000"/>
          <w:kern w:val="0"/>
          <w:szCs w:val="24"/>
          <w:highlight w:val="none"/>
          <w:lang w:bidi="ar"/>
        </w:rPr>
        <w:t xml:space="preserve">重量高速限制器 </w:t>
      </w:r>
      <w:r>
        <w:rPr>
          <w:color w:val="000000"/>
          <w:kern w:val="0"/>
          <w:szCs w:val="24"/>
          <w:highlight w:val="none"/>
          <w:lang w:bidi="ar"/>
        </w:rPr>
        <w:t>SWH</w:t>
      </w:r>
      <w:r>
        <w:rPr>
          <w:rFonts w:hint="eastAsia" w:ascii="宋体" w:hAnsi="宋体" w:cs="宋体"/>
          <w:color w:val="000000"/>
          <w:kern w:val="0"/>
          <w:szCs w:val="24"/>
          <w:highlight w:val="none"/>
          <w:lang w:bidi="ar"/>
        </w:rPr>
        <w:t>：</w:t>
      </w:r>
    </w:p>
    <w:p w14:paraId="63444C1F">
      <w:pPr>
        <w:widowControl/>
        <w:ind w:firstLine="480"/>
        <w:jc w:val="left"/>
        <w:rPr>
          <w:highlight w:val="none"/>
        </w:rPr>
      </w:pPr>
      <w:r>
        <w:rPr>
          <w:rFonts w:hint="eastAsia" w:ascii="宋体" w:hAnsi="宋体" w:cs="宋体"/>
          <w:color w:val="000000"/>
          <w:kern w:val="0"/>
          <w:szCs w:val="24"/>
          <w:highlight w:val="none"/>
          <w:lang w:bidi="ar"/>
        </w:rPr>
        <w:t xml:space="preserve">先以低速起吊载荷 </w:t>
      </w:r>
      <w:r>
        <w:rPr>
          <w:color w:val="000000"/>
          <w:kern w:val="0"/>
          <w:szCs w:val="24"/>
          <w:highlight w:val="none"/>
          <w:lang w:bidi="ar"/>
        </w:rPr>
        <w:t>V2</w:t>
      </w:r>
      <w:r>
        <w:rPr>
          <w:rFonts w:hint="eastAsia" w:ascii="宋体" w:hAnsi="宋体" w:cs="宋体"/>
          <w:color w:val="000000"/>
          <w:kern w:val="0"/>
          <w:szCs w:val="24"/>
          <w:highlight w:val="none"/>
          <w:lang w:bidi="ar"/>
        </w:rPr>
        <w:t>，然后再以高速起升。调整螺栓</w:t>
      </w:r>
      <w:r>
        <w:rPr>
          <w:color w:val="000000"/>
          <w:kern w:val="0"/>
          <w:szCs w:val="24"/>
          <w:highlight w:val="none"/>
          <w:lang w:bidi="ar"/>
        </w:rPr>
        <w:t>(3)</w:t>
      </w:r>
      <w:r>
        <w:rPr>
          <w:rFonts w:hint="eastAsia" w:ascii="宋体" w:hAnsi="宋体" w:cs="宋体"/>
          <w:color w:val="000000"/>
          <w:kern w:val="0"/>
          <w:szCs w:val="24"/>
          <w:highlight w:val="none"/>
          <w:lang w:bidi="ar"/>
        </w:rPr>
        <w:t>直至其头部接触到微动开关</w:t>
      </w:r>
      <w:r>
        <w:rPr>
          <w:color w:val="000000"/>
          <w:kern w:val="0"/>
          <w:szCs w:val="24"/>
          <w:highlight w:val="none"/>
          <w:lang w:bidi="ar"/>
        </w:rPr>
        <w:t>(4)</w:t>
      </w:r>
      <w:r>
        <w:rPr>
          <w:rFonts w:hint="eastAsia" w:ascii="宋体" w:hAnsi="宋体" w:cs="宋体"/>
          <w:color w:val="000000"/>
          <w:kern w:val="0"/>
          <w:szCs w:val="24"/>
          <w:highlight w:val="none"/>
          <w:lang w:bidi="ar"/>
        </w:rPr>
        <w:t xml:space="preserve">。 </w:t>
      </w:r>
    </w:p>
    <w:p w14:paraId="2AD44029">
      <w:pPr>
        <w:widowControl/>
        <w:ind w:firstLine="480"/>
        <w:jc w:val="left"/>
        <w:rPr>
          <w:highlight w:val="none"/>
        </w:rPr>
      </w:pPr>
      <w:r>
        <w:rPr>
          <w:rFonts w:hint="eastAsia" w:ascii="宋体" w:hAnsi="宋体" w:cs="宋体"/>
          <w:color w:val="000000"/>
          <w:kern w:val="0"/>
          <w:szCs w:val="24"/>
          <w:highlight w:val="none"/>
          <w:lang w:bidi="ar"/>
        </w:rPr>
        <w:t xml:space="preserve">降下载荷，增重 </w:t>
      </w:r>
      <w:r>
        <w:rPr>
          <w:color w:val="000000"/>
          <w:kern w:val="0"/>
          <w:szCs w:val="24"/>
          <w:highlight w:val="none"/>
          <w:lang w:bidi="ar"/>
        </w:rPr>
        <w:t>10%</w:t>
      </w:r>
      <w:r>
        <w:rPr>
          <w:rFonts w:hint="eastAsia" w:ascii="宋体" w:hAnsi="宋体" w:cs="宋体"/>
          <w:color w:val="000000"/>
          <w:kern w:val="0"/>
          <w:szCs w:val="24"/>
          <w:highlight w:val="none"/>
          <w:lang w:bidi="ar"/>
        </w:rPr>
        <w:t xml:space="preserve">，以低速起吊新增重载荷 </w:t>
      </w:r>
      <w:r>
        <w:rPr>
          <w:color w:val="000000"/>
          <w:kern w:val="0"/>
          <w:szCs w:val="24"/>
          <w:highlight w:val="none"/>
          <w:lang w:bidi="ar"/>
        </w:rPr>
        <w:t>W2</w:t>
      </w:r>
      <w:r>
        <w:rPr>
          <w:rFonts w:hint="eastAsia" w:ascii="宋体" w:hAnsi="宋体" w:cs="宋体"/>
          <w:color w:val="000000"/>
          <w:kern w:val="0"/>
          <w:szCs w:val="24"/>
          <w:highlight w:val="none"/>
          <w:lang w:bidi="ar"/>
        </w:rPr>
        <w:t xml:space="preserve">，然后试换速高速起升，此时不应有高速 </w:t>
      </w:r>
      <w:r>
        <w:rPr>
          <w:color w:val="000000"/>
          <w:kern w:val="0"/>
          <w:szCs w:val="24"/>
          <w:highlight w:val="none"/>
          <w:lang w:bidi="ar"/>
        </w:rPr>
        <w:t xml:space="preserve">4 </w:t>
      </w:r>
      <w:r>
        <w:rPr>
          <w:rFonts w:hint="eastAsia" w:ascii="宋体" w:hAnsi="宋体" w:cs="宋体"/>
          <w:color w:val="000000"/>
          <w:kern w:val="0"/>
          <w:szCs w:val="24"/>
          <w:highlight w:val="none"/>
          <w:lang w:bidi="ar"/>
        </w:rPr>
        <w:t xml:space="preserve">档。如果得到高速，应重新调整。 </w:t>
      </w:r>
    </w:p>
    <w:p w14:paraId="0AE27CFF">
      <w:pPr>
        <w:widowControl/>
        <w:ind w:firstLine="480"/>
        <w:jc w:val="left"/>
        <w:rPr>
          <w:highlight w:val="none"/>
        </w:rPr>
      </w:pPr>
      <w:r>
        <w:rPr>
          <w:rFonts w:hint="eastAsia" w:ascii="宋体" w:hAnsi="宋体" w:cs="宋体"/>
          <w:color w:val="000000"/>
          <w:kern w:val="0"/>
          <w:szCs w:val="24"/>
          <w:highlight w:val="none"/>
          <w:lang w:bidi="ar"/>
        </w:rPr>
        <w:t xml:space="preserve">重复 </w:t>
      </w:r>
      <w:r>
        <w:rPr>
          <w:color w:val="000000"/>
          <w:kern w:val="0"/>
          <w:szCs w:val="24"/>
          <w:highlight w:val="none"/>
          <w:lang w:bidi="ar"/>
        </w:rPr>
        <w:t xml:space="preserve">3 </w:t>
      </w:r>
      <w:r>
        <w:rPr>
          <w:rFonts w:hint="eastAsia" w:ascii="宋体" w:hAnsi="宋体" w:cs="宋体"/>
          <w:color w:val="000000"/>
          <w:kern w:val="0"/>
          <w:szCs w:val="24"/>
          <w:highlight w:val="none"/>
          <w:lang w:bidi="ar"/>
        </w:rPr>
        <w:t>次，均应满足以上要求。</w:t>
      </w:r>
    </w:p>
    <w:p w14:paraId="249D02D3">
      <w:pPr>
        <w:widowControl/>
        <w:ind w:firstLine="480"/>
        <w:jc w:val="left"/>
        <w:rPr>
          <w:highlight w:val="none"/>
        </w:rPr>
      </w:pPr>
      <w:r>
        <w:rPr>
          <w:rFonts w:hint="eastAsia"/>
          <w:highlight w:val="none"/>
        </w:rPr>
        <w:t>（3）</w:t>
      </w:r>
      <w:r>
        <w:rPr>
          <w:rFonts w:hint="eastAsia" w:ascii="宋体" w:hAnsi="宋体" w:cs="宋体"/>
          <w:color w:val="000000"/>
          <w:kern w:val="0"/>
          <w:szCs w:val="24"/>
          <w:highlight w:val="none"/>
          <w:lang w:bidi="ar"/>
        </w:rPr>
        <w:t xml:space="preserve">调整最大起重量限制器 </w:t>
      </w:r>
      <w:r>
        <w:rPr>
          <w:color w:val="000000"/>
          <w:kern w:val="0"/>
          <w:szCs w:val="24"/>
          <w:highlight w:val="none"/>
          <w:lang w:bidi="ar"/>
        </w:rPr>
        <w:t>SWL</w:t>
      </w:r>
      <w:r>
        <w:rPr>
          <w:rFonts w:hint="eastAsia" w:ascii="宋体" w:hAnsi="宋体" w:cs="宋体"/>
          <w:color w:val="000000"/>
          <w:kern w:val="0"/>
          <w:szCs w:val="24"/>
          <w:highlight w:val="none"/>
          <w:lang w:bidi="ar"/>
        </w:rPr>
        <w:t xml:space="preserve">： </w:t>
      </w:r>
    </w:p>
    <w:p w14:paraId="62895836">
      <w:pPr>
        <w:widowControl/>
        <w:ind w:firstLine="480"/>
        <w:jc w:val="left"/>
        <w:rPr>
          <w:highlight w:val="none"/>
        </w:rPr>
      </w:pPr>
      <w:r>
        <w:rPr>
          <w:rFonts w:hint="eastAsia" w:ascii="宋体" w:hAnsi="宋体" w:cs="宋体"/>
          <w:color w:val="000000"/>
          <w:kern w:val="0"/>
          <w:szCs w:val="24"/>
          <w:highlight w:val="none"/>
          <w:lang w:bidi="ar"/>
        </w:rPr>
        <w:t xml:space="preserve">以低速起吊载荷 </w:t>
      </w:r>
      <w:r>
        <w:rPr>
          <w:color w:val="000000"/>
          <w:kern w:val="0"/>
          <w:szCs w:val="24"/>
          <w:highlight w:val="none"/>
          <w:lang w:bidi="ar"/>
        </w:rPr>
        <w:t>X</w:t>
      </w:r>
      <w:r>
        <w:rPr>
          <w:rFonts w:hint="eastAsia" w:ascii="宋体" w:hAnsi="宋体" w:cs="宋体"/>
          <w:color w:val="000000"/>
          <w:kern w:val="0"/>
          <w:szCs w:val="24"/>
          <w:highlight w:val="none"/>
          <w:lang w:bidi="ar"/>
        </w:rPr>
        <w:t>，调整螺栓</w:t>
      </w:r>
      <w:r>
        <w:rPr>
          <w:color w:val="000000"/>
          <w:kern w:val="0"/>
          <w:szCs w:val="24"/>
          <w:highlight w:val="none"/>
          <w:lang w:bidi="ar"/>
        </w:rPr>
        <w:t>(5)</w:t>
      </w:r>
      <w:r>
        <w:rPr>
          <w:rFonts w:hint="eastAsia" w:ascii="宋体" w:hAnsi="宋体" w:cs="宋体"/>
          <w:color w:val="000000"/>
          <w:kern w:val="0"/>
          <w:szCs w:val="24"/>
          <w:highlight w:val="none"/>
          <w:lang w:bidi="ar"/>
        </w:rPr>
        <w:t>直至其头部接触到微动开关</w:t>
      </w:r>
      <w:r>
        <w:rPr>
          <w:color w:val="000000"/>
          <w:kern w:val="0"/>
          <w:szCs w:val="24"/>
          <w:highlight w:val="none"/>
          <w:lang w:bidi="ar"/>
        </w:rPr>
        <w:t>(6)</w:t>
      </w:r>
      <w:r>
        <w:rPr>
          <w:rFonts w:hint="eastAsia" w:ascii="宋体" w:hAnsi="宋体" w:cs="宋体"/>
          <w:color w:val="000000"/>
          <w:kern w:val="0"/>
          <w:szCs w:val="24"/>
          <w:highlight w:val="none"/>
          <w:lang w:bidi="ar"/>
        </w:rPr>
        <w:t xml:space="preserve">为止。 </w:t>
      </w:r>
    </w:p>
    <w:p w14:paraId="1163E1C4">
      <w:pPr>
        <w:widowControl/>
        <w:ind w:firstLine="480"/>
        <w:jc w:val="left"/>
        <w:rPr>
          <w:highlight w:val="none"/>
        </w:rPr>
      </w:pPr>
      <w:r>
        <w:rPr>
          <w:rFonts w:hint="eastAsia" w:ascii="宋体" w:hAnsi="宋体" w:cs="宋体"/>
          <w:color w:val="000000"/>
          <w:kern w:val="0"/>
          <w:szCs w:val="24"/>
          <w:highlight w:val="none"/>
          <w:lang w:bidi="ar"/>
        </w:rPr>
        <w:t xml:space="preserve">降下载荷，增重 </w:t>
      </w:r>
      <w:r>
        <w:rPr>
          <w:color w:val="000000"/>
          <w:kern w:val="0"/>
          <w:szCs w:val="24"/>
          <w:highlight w:val="none"/>
          <w:lang w:bidi="ar"/>
        </w:rPr>
        <w:t>10%</w:t>
      </w:r>
      <w:r>
        <w:rPr>
          <w:rFonts w:hint="eastAsia" w:ascii="宋体" w:hAnsi="宋体" w:cs="宋体"/>
          <w:color w:val="000000"/>
          <w:kern w:val="0"/>
          <w:szCs w:val="24"/>
          <w:highlight w:val="none"/>
          <w:lang w:bidi="ar"/>
        </w:rPr>
        <w:t xml:space="preserve">，试以低速起吊该载荷 </w:t>
      </w:r>
      <w:r>
        <w:rPr>
          <w:color w:val="000000"/>
          <w:kern w:val="0"/>
          <w:szCs w:val="24"/>
          <w:highlight w:val="none"/>
          <w:lang w:bidi="ar"/>
        </w:rPr>
        <w:t>Y</w:t>
      </w:r>
      <w:r>
        <w:rPr>
          <w:rFonts w:hint="eastAsia" w:ascii="宋体" w:hAnsi="宋体" w:cs="宋体"/>
          <w:color w:val="000000"/>
          <w:kern w:val="0"/>
          <w:szCs w:val="24"/>
          <w:highlight w:val="none"/>
          <w:lang w:bidi="ar"/>
        </w:rPr>
        <w:t xml:space="preserve">，如果载荷被吊起，则应重新调整。 </w:t>
      </w:r>
    </w:p>
    <w:p w14:paraId="163D5AA3">
      <w:pPr>
        <w:widowControl/>
        <w:ind w:firstLine="0" w:firstLineChars="0"/>
        <w:jc w:val="left"/>
        <w:rPr>
          <w:highlight w:val="none"/>
        </w:rPr>
      </w:pPr>
      <w:r>
        <w:rPr>
          <w:rFonts w:hint="eastAsia" w:ascii="宋体" w:hAnsi="宋体" w:cs="宋体"/>
          <w:color w:val="000000"/>
          <w:kern w:val="0"/>
          <w:szCs w:val="24"/>
          <w:highlight w:val="none"/>
          <w:lang w:bidi="ar"/>
        </w:rPr>
        <w:t xml:space="preserve">重复 </w:t>
      </w:r>
      <w:r>
        <w:rPr>
          <w:color w:val="000000"/>
          <w:kern w:val="0"/>
          <w:szCs w:val="24"/>
          <w:highlight w:val="none"/>
          <w:lang w:bidi="ar"/>
        </w:rPr>
        <w:t xml:space="preserve">3 </w:t>
      </w:r>
      <w:r>
        <w:rPr>
          <w:rFonts w:hint="eastAsia" w:ascii="宋体" w:hAnsi="宋体" w:cs="宋体"/>
          <w:color w:val="000000"/>
          <w:kern w:val="0"/>
          <w:szCs w:val="24"/>
          <w:highlight w:val="none"/>
          <w:lang w:bidi="ar"/>
        </w:rPr>
        <w:t xml:space="preserve">次，均应满足以上要求。 </w:t>
      </w:r>
    </w:p>
    <w:p w14:paraId="77C3AAC7">
      <w:pPr>
        <w:widowControl/>
        <w:ind w:firstLine="480"/>
        <w:jc w:val="left"/>
        <w:rPr>
          <w:highlight w:val="none"/>
        </w:rPr>
      </w:pPr>
      <w:r>
        <w:rPr>
          <w:rFonts w:hint="eastAsia" w:ascii="宋体" w:hAnsi="宋体" w:cs="宋体"/>
          <w:color w:val="000000"/>
          <w:kern w:val="0"/>
          <w:szCs w:val="24"/>
          <w:highlight w:val="none"/>
          <w:lang w:bidi="ar"/>
        </w:rPr>
        <w:t xml:space="preserve">对于不同的载荷值 </w:t>
      </w:r>
      <w:r>
        <w:rPr>
          <w:color w:val="000000"/>
          <w:kern w:val="0"/>
          <w:szCs w:val="24"/>
          <w:highlight w:val="none"/>
          <w:lang w:bidi="ar"/>
        </w:rPr>
        <w:t>V</w:t>
      </w:r>
      <w:r>
        <w:rPr>
          <w:rFonts w:hint="eastAsia" w:ascii="宋体" w:hAnsi="宋体" w:cs="宋体"/>
          <w:color w:val="000000"/>
          <w:kern w:val="0"/>
          <w:szCs w:val="24"/>
          <w:highlight w:val="none"/>
          <w:lang w:bidi="ar"/>
        </w:rPr>
        <w:t>、</w:t>
      </w:r>
      <w:r>
        <w:rPr>
          <w:color w:val="000000"/>
          <w:kern w:val="0"/>
          <w:szCs w:val="24"/>
          <w:highlight w:val="none"/>
          <w:lang w:bidi="ar"/>
        </w:rPr>
        <w:t>W</w:t>
      </w:r>
      <w:r>
        <w:rPr>
          <w:rFonts w:hint="eastAsia" w:ascii="宋体" w:hAnsi="宋体" w:cs="宋体"/>
          <w:color w:val="000000"/>
          <w:kern w:val="0"/>
          <w:szCs w:val="24"/>
          <w:highlight w:val="none"/>
          <w:lang w:bidi="ar"/>
        </w:rPr>
        <w:t>、</w:t>
      </w:r>
      <w:r>
        <w:rPr>
          <w:color w:val="000000"/>
          <w:kern w:val="0"/>
          <w:szCs w:val="24"/>
          <w:highlight w:val="none"/>
          <w:lang w:bidi="ar"/>
        </w:rPr>
        <w:t>X</w:t>
      </w:r>
      <w:r>
        <w:rPr>
          <w:rFonts w:hint="eastAsia" w:ascii="宋体" w:hAnsi="宋体" w:cs="宋体"/>
          <w:color w:val="000000"/>
          <w:kern w:val="0"/>
          <w:szCs w:val="24"/>
          <w:highlight w:val="none"/>
          <w:lang w:bidi="ar"/>
        </w:rPr>
        <w:t>、</w:t>
      </w:r>
      <w:r>
        <w:rPr>
          <w:color w:val="000000"/>
          <w:kern w:val="0"/>
          <w:szCs w:val="24"/>
          <w:highlight w:val="none"/>
          <w:lang w:bidi="ar"/>
        </w:rPr>
        <w:t>Y</w:t>
      </w:r>
      <w:r>
        <w:rPr>
          <w:rFonts w:hint="eastAsia" w:ascii="宋体" w:hAnsi="宋体" w:cs="宋体"/>
          <w:color w:val="000000"/>
          <w:kern w:val="0"/>
          <w:szCs w:val="24"/>
          <w:highlight w:val="none"/>
          <w:lang w:bidi="ar"/>
        </w:rPr>
        <w:t>，参见表 4.4.13.2.3-2。</w:t>
      </w:r>
    </w:p>
    <w:p w14:paraId="5DDBAE03">
      <w:pPr>
        <w:widowControl/>
        <w:ind w:firstLine="480"/>
        <w:jc w:val="center"/>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表4.5.1</w:t>
      </w:r>
      <w:r>
        <w:rPr>
          <w:rFonts w:hint="eastAsia" w:ascii="宋体" w:hAnsi="宋体" w:cs="宋体"/>
          <w:color w:val="000000"/>
          <w:kern w:val="0"/>
          <w:szCs w:val="24"/>
          <w:highlight w:val="none"/>
          <w:lang w:val="en-US" w:eastAsia="zh-CN" w:bidi="ar"/>
        </w:rPr>
        <w:t>3</w:t>
      </w:r>
      <w:r>
        <w:rPr>
          <w:rFonts w:hint="eastAsia" w:ascii="宋体" w:hAnsi="宋体" w:cs="宋体"/>
          <w:color w:val="000000"/>
          <w:kern w:val="0"/>
          <w:szCs w:val="24"/>
          <w:highlight w:val="none"/>
          <w:lang w:bidi="ar"/>
        </w:rPr>
        <w:t>.2.3-2 起重量限制器调试参数表</w:t>
      </w:r>
    </w:p>
    <w:p w14:paraId="27117E2F">
      <w:pPr>
        <w:widowControl/>
        <w:ind w:firstLine="0" w:firstLineChars="0"/>
        <w:rPr>
          <w:rFonts w:ascii="宋体" w:hAnsi="宋体" w:cs="宋体"/>
          <w:color w:val="000000"/>
          <w:kern w:val="0"/>
          <w:szCs w:val="24"/>
          <w:highlight w:val="none"/>
          <w:lang w:bidi="ar"/>
        </w:rPr>
      </w:pPr>
      <w:r>
        <w:rPr>
          <w:highlight w:val="none"/>
        </w:rPr>
        <w:drawing>
          <wp:inline distT="0" distB="0" distL="114300" distR="114300">
            <wp:extent cx="5273040" cy="1297305"/>
            <wp:effectExtent l="0" t="0" r="3810" b="17145"/>
            <wp:docPr id="14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0"/>
                    <pic:cNvPicPr>
                      <a:picLocks noChangeAspect="1"/>
                    </pic:cNvPicPr>
                  </pic:nvPicPr>
                  <pic:blipFill>
                    <a:blip r:embed="rId98"/>
                    <a:stretch>
                      <a:fillRect/>
                    </a:stretch>
                  </pic:blipFill>
                  <pic:spPr>
                    <a:xfrm>
                      <a:off x="0" y="0"/>
                      <a:ext cx="5273040" cy="1297305"/>
                    </a:xfrm>
                    <a:prstGeom prst="rect">
                      <a:avLst/>
                    </a:prstGeom>
                    <a:noFill/>
                    <a:ln>
                      <a:noFill/>
                    </a:ln>
                  </pic:spPr>
                </pic:pic>
              </a:graphicData>
            </a:graphic>
          </wp:inline>
        </w:drawing>
      </w:r>
    </w:p>
    <w:p w14:paraId="032C9BED">
      <w:pPr>
        <w:pStyle w:val="10"/>
        <w:bidi w:val="0"/>
        <w:ind w:left="1008" w:leftChars="0" w:hanging="1008" w:firstLineChars="0"/>
        <w:rPr>
          <w:highlight w:val="none"/>
        </w:rPr>
      </w:pPr>
      <w:r>
        <w:rPr>
          <w:rFonts w:hint="eastAsia"/>
          <w:highlight w:val="none"/>
        </w:rPr>
        <w:t xml:space="preserve">小车断绳保护装置 </w:t>
      </w:r>
    </w:p>
    <w:p w14:paraId="47FC232C">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该塔机小车上安装了安全锤，作为双向小车变幅断绳保护装置，检验安全锤是否能自由摆动。 </w:t>
      </w:r>
    </w:p>
    <w:p w14:paraId="71DCABED">
      <w:pPr>
        <w:pStyle w:val="10"/>
        <w:bidi w:val="0"/>
        <w:ind w:left="1008" w:leftChars="0" w:hanging="1008" w:firstLineChars="0"/>
        <w:rPr>
          <w:highlight w:val="none"/>
        </w:rPr>
      </w:pPr>
      <w:r>
        <w:rPr>
          <w:rFonts w:hint="eastAsia"/>
          <w:highlight w:val="none"/>
        </w:rPr>
        <w:t xml:space="preserve">小车防坠落装置 </w:t>
      </w:r>
    </w:p>
    <w:p w14:paraId="5EF98248">
      <w:pPr>
        <w:widowControl/>
        <w:ind w:firstLine="480"/>
        <w:jc w:val="left"/>
        <w:rPr>
          <w:rFonts w:ascii="宋体" w:hAnsi="宋体" w:cs="宋体"/>
          <w:highlight w:val="none"/>
        </w:rPr>
      </w:pPr>
      <w:r>
        <w:rPr>
          <w:rFonts w:hint="eastAsia" w:ascii="宋体" w:hAnsi="宋体" w:cs="宋体"/>
          <w:color w:val="000000"/>
          <w:kern w:val="0"/>
          <w:szCs w:val="24"/>
          <w:highlight w:val="none"/>
          <w:lang w:bidi="ar"/>
        </w:rPr>
        <w:t xml:space="preserve">该塔机设置小车防坠落装置，即使车轮失效小车也不脱离臂架坠落，目测观察防坠装置是否存在，连接是否有效。 </w:t>
      </w:r>
    </w:p>
    <w:p w14:paraId="2396D6A9">
      <w:pPr>
        <w:pStyle w:val="10"/>
        <w:bidi w:val="0"/>
        <w:ind w:left="1008" w:leftChars="0" w:hanging="1008" w:firstLineChars="0"/>
        <w:rPr>
          <w:highlight w:val="none"/>
        </w:rPr>
      </w:pPr>
      <w:r>
        <w:rPr>
          <w:rFonts w:hint="eastAsia"/>
          <w:highlight w:val="none"/>
        </w:rPr>
        <w:t xml:space="preserve">钢丝绳防脱装置 </w:t>
      </w:r>
    </w:p>
    <w:p w14:paraId="30B90DA5">
      <w:pPr>
        <w:widowControl/>
        <w:ind w:firstLine="480"/>
        <w:jc w:val="left"/>
        <w:rPr>
          <w:b/>
          <w:bCs/>
          <w:color w:val="FF0000"/>
          <w:kern w:val="44"/>
          <w:sz w:val="28"/>
          <w:szCs w:val="44"/>
          <w:highlight w:val="none"/>
        </w:rPr>
      </w:pPr>
      <w:r>
        <w:rPr>
          <w:rFonts w:hint="eastAsia" w:ascii="宋体" w:hAnsi="宋体" w:cs="宋体"/>
          <w:color w:val="000000"/>
          <w:kern w:val="0"/>
          <w:szCs w:val="24"/>
          <w:highlight w:val="none"/>
          <w:lang w:bidi="ar"/>
        </w:rPr>
        <w:t>该塔机的滑轮、起升卷筒均设有钢丝绳防脱装置，该装置表面与滑轮或卷筒侧板外缘间的间隙不超过钢丝绳直径的 20% ,该装置可能与钢丝绳接触的表面没有棱角，目测检验防脱是否有效。</w:t>
      </w:r>
    </w:p>
    <w:p w14:paraId="52D9CF9B">
      <w:pPr>
        <w:pStyle w:val="5"/>
        <w:bidi w:val="0"/>
        <w:ind w:left="0" w:leftChars="0" w:firstLine="0" w:firstLineChars="0"/>
        <w:rPr>
          <w:highlight w:val="none"/>
        </w:rPr>
      </w:pPr>
      <w:r>
        <w:rPr>
          <w:rFonts w:hint="eastAsia"/>
          <w:highlight w:val="none"/>
        </w:rPr>
        <w:t>塔吊顶升加节</w:t>
      </w:r>
    </w:p>
    <w:p w14:paraId="1E39C0C7">
      <w:pPr>
        <w:pStyle w:val="7"/>
        <w:bidi w:val="0"/>
        <w:ind w:left="864" w:leftChars="0" w:hanging="864" w:firstLineChars="0"/>
        <w:rPr>
          <w:highlight w:val="none"/>
        </w:rPr>
      </w:pPr>
      <w:r>
        <w:rPr>
          <w:rFonts w:hint="eastAsia"/>
          <w:highlight w:val="none"/>
        </w:rPr>
        <w:t>顶升前准备工作</w:t>
      </w:r>
    </w:p>
    <w:p w14:paraId="78E066DC">
      <w:pPr>
        <w:adjustRightInd w:val="0"/>
        <w:snapToGrid w:val="0"/>
        <w:ind w:firstLine="480"/>
        <w:rPr>
          <w:highlight w:val="none"/>
        </w:rPr>
      </w:pPr>
      <w:r>
        <w:rPr>
          <w:rFonts w:hint="eastAsia"/>
          <w:highlight w:val="none"/>
        </w:rPr>
        <w:t>（1）在地面上，将液压泵站注满液压油后，吊至套架下平台适当位置并接通泵站与油缸连接的油管。</w:t>
      </w:r>
    </w:p>
    <w:p w14:paraId="5CA7C8EE">
      <w:pPr>
        <w:adjustRightInd w:val="0"/>
        <w:snapToGrid w:val="0"/>
        <w:ind w:firstLine="480"/>
        <w:rPr>
          <w:highlight w:val="none"/>
        </w:rPr>
      </w:pPr>
      <w:r>
        <w:rPr>
          <w:rFonts w:hint="eastAsia"/>
          <w:highlight w:val="none"/>
        </w:rPr>
        <w:t>（</w:t>
      </w:r>
      <w:r>
        <w:rPr>
          <w:highlight w:val="none"/>
        </w:rPr>
        <w:t>2</w:t>
      </w:r>
      <w:r>
        <w:rPr>
          <w:rFonts w:hint="eastAsia"/>
          <w:highlight w:val="none"/>
        </w:rPr>
        <w:t>）清理各个塔身节，并在塔身节连接销轴孔内涂抹黄油，将待安装标准节组装好后放置在起重臂下方排成一排</w:t>
      </w:r>
    </w:p>
    <w:p w14:paraId="3F37BE98">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（3）放松电缆长度使其略大于总的顶升高度，并紧固好电缆。</w:t>
      </w:r>
    </w:p>
    <w:p w14:paraId="7DDDBD9C">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（4）将起重臂旋转至套架前方，平衡臂处于套架的后方。</w:t>
      </w:r>
    </w:p>
    <w:p w14:paraId="380BD253">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（5）检查、调试并确认顶升机构工作正确、可靠，保证套架能按塔机爬升规定的程序上升、下降、可靠停止；运行过程中应平稳，无爬行、振动现象。</w:t>
      </w:r>
    </w:p>
    <w:p w14:paraId="2AC98C29">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（6）检查套架支承系统，确保各部分运动灵活，承重可靠。</w:t>
      </w:r>
    </w:p>
    <w:p w14:paraId="4BB5D93E">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（7）液压顶升机构应保证安全，溢流阀的调整压力不得大于系统额定工作压力的110%</w:t>
      </w:r>
    </w:p>
    <w:p w14:paraId="71E9D1CB">
      <w:pPr>
        <w:pStyle w:val="7"/>
        <w:bidi w:val="0"/>
        <w:ind w:left="864" w:leftChars="0" w:hanging="864" w:firstLineChars="0"/>
        <w:rPr>
          <w:highlight w:val="none"/>
        </w:rPr>
      </w:pPr>
      <w:r>
        <w:rPr>
          <w:rFonts w:hint="eastAsia"/>
          <w:highlight w:val="none"/>
        </w:rPr>
        <w:t>顶升规则</w:t>
      </w:r>
    </w:p>
    <w:p w14:paraId="744D32B6">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（1）顶升前塔机旋转部分必须进行配平。</w:t>
      </w:r>
    </w:p>
    <w:p w14:paraId="3996544B">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（2）塔机最高处风速大于4级时，不得进行顶升作业。</w:t>
      </w:r>
    </w:p>
    <w:p w14:paraId="441CF59C">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（3）严禁在顶升系统正在顶起或已顶起时进行吊重（上升或下降）。</w:t>
      </w:r>
    </w:p>
    <w:p w14:paraId="705353D4">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（4）严禁在顶升系统正在顶起或已顶起时进行小车移动。</w:t>
      </w:r>
    </w:p>
    <w:p w14:paraId="568E00D7">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（5）顶升过程中必须保证起重臂与引入标准节方向一致，并利用回转机构制动器将起重臂制动住，载重小车必须停在顶升配平位置。</w:t>
      </w:r>
    </w:p>
    <w:p w14:paraId="67458129">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（6）塔身与</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安装用临时销轴其直径比标准销轴φ60 稍小，以便容易就位。该销轴仅 用于标准节引进过程中，每节标准节引进完进行下一节标准节引进前，必须用标准销轴取代。在标准销轴安装前，绝对禁止进行吊重操作。</w:t>
      </w:r>
    </w:p>
    <w:p w14:paraId="55C44273">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（7）若要连续加高几节标准节，则每加完一节后，塔机起吊下一节标准节前，塔身各主弦杆和</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必须有 4 根φ60 销轴连接，唯有在这种情况下，允许用 4 根φ60 销轴。</w:t>
      </w:r>
    </w:p>
    <w:p w14:paraId="74C96E49">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（8）所加标准节上的踏步，必须与已有标准节对正。</w:t>
      </w:r>
    </w:p>
    <w:p w14:paraId="3EDB4BDD">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（9）在</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与塔身没有用 8 根φ60 销轴连接好之前，严禁回转、变幅和吊装作业。</w:t>
      </w:r>
    </w:p>
    <w:p w14:paraId="221C95CA">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（10）在顶升过程中，若液压顶升系统出现异常， 应立即停止顶升，收回油缸，将</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落在塔身顶部，并用 8 根φ60 销轴将</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与塔身连接牢靠后， 再排除液压系统的故障。</w:t>
      </w:r>
    </w:p>
    <w:p w14:paraId="200C7EE4">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（11）顶升结束后，所有标准节之间均是用 8 根φ60 的标准销轴连接，最顶部标准节与</w:t>
      </w:r>
      <w:r>
        <w:rPr>
          <w:rFonts w:hint="eastAsia" w:ascii="宋体" w:hAnsi="宋体" w:cs="宋体"/>
          <w:color w:val="000000"/>
          <w:kern w:val="0"/>
          <w:szCs w:val="24"/>
          <w:highlight w:val="none"/>
          <w:lang w:val="en-US" w:eastAsia="zh-CN" w:bidi="ar"/>
        </w:rPr>
        <w:t>特殊节</w:t>
      </w:r>
      <w:r>
        <w:rPr>
          <w:rFonts w:hint="eastAsia" w:ascii="宋体" w:hAnsi="宋体" w:cs="宋体"/>
          <w:color w:val="000000"/>
          <w:kern w:val="0"/>
          <w:szCs w:val="24"/>
          <w:highlight w:val="none"/>
          <w:lang w:bidi="ar"/>
        </w:rPr>
        <w:t>之间是用 8 根φ60 销轴连接。</w:t>
      </w:r>
    </w:p>
    <w:p w14:paraId="56DD8026">
      <w:pPr>
        <w:pStyle w:val="7"/>
        <w:bidi w:val="0"/>
        <w:ind w:left="864" w:leftChars="0" w:hanging="864" w:firstLineChars="0"/>
        <w:rPr>
          <w:highlight w:val="none"/>
        </w:rPr>
      </w:pPr>
      <w:r>
        <w:rPr>
          <w:rFonts w:hint="eastAsia"/>
          <w:highlight w:val="none"/>
        </w:rPr>
        <w:t>顶升时的配平</w:t>
      </w:r>
    </w:p>
    <w:p w14:paraId="1FF8D8E8">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（1）塔机配平前，必须先吊一节标准节放在</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的引进横梁上（标准节的平台、平台栏杆和爬梯要固定好），钢丝绳挂在标准节的对角吊耳上，再将载重小车吊一节标准节运行到配平参考位置见下表，然后拆除</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 xml:space="preserve"> 4 个支腿与标准节连接的 8 个销轴。</w:t>
      </w:r>
    </w:p>
    <w:p w14:paraId="27DC3104">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（2）将液压顶升系统操纵杆推至“顶升”方向，使套架顶升至</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支腿刚刚脱离塔身的主弦杆的位置。</w:t>
      </w:r>
    </w:p>
    <w:p w14:paraId="2E105F09">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（3）通过检验</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支腿与塔身主弦杆是否在一条垂直线上，并观察套架 8 个导轮与塔身主弦杆间隙是否基本相同来检查塔机是否平衡。略微调整载重小车的配平位置，直至平衡。记录实际配平位置，以后顶升或降节时使用。 必须使得塔机上部重心落在顶升油缸梁的位置上。</w:t>
      </w:r>
    </w:p>
    <w:p w14:paraId="4BBC55F1">
      <w:pPr>
        <w:pStyle w:val="40"/>
        <w:ind w:firstLine="480"/>
        <w:jc w:val="center"/>
        <w:rPr>
          <w:highlight w:val="none"/>
        </w:rPr>
      </w:pPr>
      <w:r>
        <w:rPr>
          <w:rFonts w:hint="eastAsia" w:ascii="宋体" w:hAnsi="宋体" w:cs="宋体"/>
          <w:sz w:val="24"/>
          <w:szCs w:val="24"/>
          <w:highlight w:val="none"/>
          <w:lang w:bidi="ar"/>
        </w:rPr>
        <w:t>表4.5.1</w:t>
      </w:r>
      <w:r>
        <w:rPr>
          <w:rFonts w:hint="eastAsia" w:ascii="宋体" w:hAnsi="宋体" w:cs="宋体"/>
          <w:sz w:val="24"/>
          <w:szCs w:val="24"/>
          <w:highlight w:val="none"/>
          <w:lang w:val="en-US" w:eastAsia="zh-CN" w:bidi="ar"/>
        </w:rPr>
        <w:t>4</w:t>
      </w:r>
      <w:r>
        <w:rPr>
          <w:rFonts w:hint="eastAsia" w:ascii="宋体" w:hAnsi="宋体" w:cs="宋体"/>
          <w:sz w:val="24"/>
          <w:szCs w:val="24"/>
          <w:highlight w:val="none"/>
          <w:lang w:bidi="ar"/>
        </w:rPr>
        <w:t>.3-2不同臂长理论顶升配平位置表</w:t>
      </w:r>
    </w:p>
    <w:p w14:paraId="079B553E">
      <w:pPr>
        <w:pStyle w:val="40"/>
        <w:ind w:firstLine="0" w:firstLineChars="0"/>
        <w:jc w:val="center"/>
        <w:rPr>
          <w:highlight w:val="none"/>
        </w:rPr>
      </w:pPr>
      <w:r>
        <w:rPr>
          <w:highlight w:val="none"/>
        </w:rPr>
        <w:drawing>
          <wp:inline distT="0" distB="0" distL="114300" distR="114300">
            <wp:extent cx="5273040" cy="3116580"/>
            <wp:effectExtent l="0" t="0" r="3810" b="7620"/>
            <wp:docPr id="17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93"/>
                    <pic:cNvPicPr>
                      <a:picLocks noChangeAspect="1"/>
                    </pic:cNvPicPr>
                  </pic:nvPicPr>
                  <pic:blipFill>
                    <a:blip r:embed="rId131"/>
                    <a:stretch>
                      <a:fillRect/>
                    </a:stretch>
                  </pic:blipFill>
                  <pic:spPr>
                    <a:xfrm>
                      <a:off x="0" y="0"/>
                      <a:ext cx="5273040" cy="3116580"/>
                    </a:xfrm>
                    <a:prstGeom prst="rect">
                      <a:avLst/>
                    </a:prstGeom>
                    <a:noFill/>
                    <a:ln>
                      <a:noFill/>
                    </a:ln>
                  </pic:spPr>
                </pic:pic>
              </a:graphicData>
            </a:graphic>
          </wp:inline>
        </w:drawing>
      </w:r>
    </w:p>
    <w:p w14:paraId="02DC07F7">
      <w:pPr>
        <w:pStyle w:val="40"/>
        <w:ind w:firstLine="280"/>
        <w:jc w:val="center"/>
        <w:rPr>
          <w:highlight w:val="none"/>
        </w:rPr>
      </w:pPr>
      <w:r>
        <w:rPr>
          <w:highlight w:val="none"/>
        </w:rPr>
        <w:drawing>
          <wp:inline distT="0" distB="0" distL="114300" distR="114300">
            <wp:extent cx="5273040" cy="1368425"/>
            <wp:effectExtent l="0" t="0" r="3810" b="3175"/>
            <wp:docPr id="17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91"/>
                    <pic:cNvPicPr>
                      <a:picLocks noChangeAspect="1"/>
                    </pic:cNvPicPr>
                  </pic:nvPicPr>
                  <pic:blipFill>
                    <a:blip r:embed="rId132"/>
                    <a:stretch>
                      <a:fillRect/>
                    </a:stretch>
                  </pic:blipFill>
                  <pic:spPr>
                    <a:xfrm>
                      <a:off x="0" y="0"/>
                      <a:ext cx="5273040" cy="1368425"/>
                    </a:xfrm>
                    <a:prstGeom prst="rect">
                      <a:avLst/>
                    </a:prstGeom>
                    <a:noFill/>
                    <a:ln>
                      <a:noFill/>
                    </a:ln>
                  </pic:spPr>
                </pic:pic>
              </a:graphicData>
            </a:graphic>
          </wp:inline>
        </w:drawing>
      </w:r>
    </w:p>
    <w:p w14:paraId="2CAC6172">
      <w:pPr>
        <w:widowControl/>
        <w:ind w:firstLine="480"/>
        <w:jc w:val="center"/>
        <w:rPr>
          <w:b/>
          <w:sz w:val="21"/>
          <w:highlight w:val="none"/>
        </w:rPr>
      </w:pPr>
      <w:r>
        <w:rPr>
          <w:rFonts w:hint="eastAsia" w:ascii="宋体" w:hAnsi="宋体" w:cs="宋体"/>
          <w:color w:val="000000"/>
          <w:kern w:val="0"/>
          <w:szCs w:val="24"/>
          <w:highlight w:val="none"/>
          <w:lang w:bidi="ar"/>
        </w:rPr>
        <w:t>图4.5.1</w:t>
      </w:r>
      <w:r>
        <w:rPr>
          <w:rFonts w:hint="eastAsia" w:ascii="宋体" w:hAnsi="宋体" w:cs="宋体"/>
          <w:color w:val="000000"/>
          <w:kern w:val="0"/>
          <w:szCs w:val="24"/>
          <w:highlight w:val="none"/>
          <w:lang w:val="en-US" w:eastAsia="zh-CN" w:bidi="ar"/>
        </w:rPr>
        <w:t>4</w:t>
      </w:r>
      <w:r>
        <w:rPr>
          <w:rFonts w:hint="eastAsia" w:ascii="宋体" w:hAnsi="宋体" w:cs="宋体"/>
          <w:color w:val="000000"/>
          <w:kern w:val="0"/>
          <w:szCs w:val="24"/>
          <w:highlight w:val="none"/>
          <w:lang w:bidi="ar"/>
        </w:rPr>
        <w:t>.3-3顶升前配平示意图</w:t>
      </w:r>
    </w:p>
    <w:p w14:paraId="75628724">
      <w:pPr>
        <w:pStyle w:val="7"/>
        <w:bidi w:val="0"/>
        <w:ind w:left="864" w:leftChars="0" w:hanging="864" w:firstLineChars="0"/>
        <w:rPr>
          <w:highlight w:val="none"/>
        </w:rPr>
      </w:pPr>
      <w:r>
        <w:rPr>
          <w:rFonts w:hint="eastAsia"/>
          <w:highlight w:val="none"/>
        </w:rPr>
        <w:t>顶升作业</w:t>
      </w:r>
    </w:p>
    <w:p w14:paraId="20370CB7">
      <w:pPr>
        <w:widowControl/>
        <w:ind w:firstLine="720" w:firstLineChars="30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顶升作业为</w:t>
      </w:r>
      <w:r>
        <w:rPr>
          <w:rFonts w:hint="eastAsia" w:ascii="宋体" w:hAnsi="宋体" w:cs="宋体"/>
          <w:color w:val="000000"/>
          <w:kern w:val="0"/>
          <w:szCs w:val="24"/>
          <w:highlight w:val="none"/>
          <w:lang w:val="en-US" w:eastAsia="zh-CN" w:bidi="ar"/>
        </w:rPr>
        <w:t>4</w:t>
      </w:r>
      <w:r>
        <w:rPr>
          <w:rFonts w:hint="eastAsia" w:ascii="宋体" w:hAnsi="宋体" w:cs="宋体"/>
          <w:color w:val="000000"/>
          <w:kern w:val="0"/>
          <w:szCs w:val="24"/>
          <w:highlight w:val="none"/>
          <w:lang w:bidi="ar"/>
        </w:rPr>
        <w:t>人配合作业，</w:t>
      </w:r>
      <w:r>
        <w:rPr>
          <w:rFonts w:hint="eastAsia" w:ascii="宋体" w:hAnsi="宋体" w:cs="宋体"/>
          <w:color w:val="000000"/>
          <w:kern w:val="0"/>
          <w:szCs w:val="24"/>
          <w:highlight w:val="none"/>
          <w:lang w:val="en-US" w:eastAsia="zh-CN" w:bidi="ar"/>
        </w:rPr>
        <w:t>1人位于套架中层靠近平衡臂一侧平台</w:t>
      </w:r>
      <w:r>
        <w:rPr>
          <w:rFonts w:hint="eastAsia" w:ascii="宋体" w:hAnsi="宋体" w:cs="宋体"/>
          <w:color w:val="000000"/>
          <w:kern w:val="0"/>
          <w:szCs w:val="24"/>
          <w:highlight w:val="none"/>
          <w:lang w:bidi="ar"/>
        </w:rPr>
        <w:t>负责操作泵站、</w:t>
      </w:r>
      <w:r>
        <w:rPr>
          <w:rFonts w:hint="eastAsia" w:ascii="宋体" w:hAnsi="宋体" w:cs="宋体"/>
          <w:color w:val="000000"/>
          <w:kern w:val="0"/>
          <w:szCs w:val="24"/>
          <w:highlight w:val="none"/>
          <w:lang w:val="en-US" w:eastAsia="zh-CN" w:bidi="ar"/>
        </w:rPr>
        <w:t>2人位于下层平台进行顶升横梁与踏步连接操作，1人位于中层操作平台进行爬爪操作并在套架顶升过程中观察套架平衡。</w:t>
      </w:r>
    </w:p>
    <w:p w14:paraId="373936D2">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（1）按在引进梁上吊挂标准节的方法将一节标准节吊挂在引进梁上，并保证标准节上端面与引进小车下端面的距离在 100～250mm 之间。</w:t>
      </w:r>
    </w:p>
    <w:p w14:paraId="0596BEEA">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 再吊配平标准节，将载重小车开至顶升平衡位置，塔机处于配平状态。</w:t>
      </w:r>
    </w:p>
    <w:p w14:paraId="74E73240">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（3）使用回转机构上的回转制动器，将塔机上部机构处于制动状态；</w:t>
      </w:r>
    </w:p>
    <w:p w14:paraId="70E38C1B">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（4）卸下塔身顶部与</w:t>
      </w:r>
      <w:r>
        <w:rPr>
          <w:rFonts w:hint="eastAsia" w:ascii="宋体" w:hAnsi="宋体" w:cs="宋体"/>
          <w:color w:val="000000"/>
          <w:kern w:val="0"/>
          <w:szCs w:val="24"/>
          <w:highlight w:val="none"/>
          <w:lang w:val="en-US" w:eastAsia="zh-CN" w:bidi="ar"/>
        </w:rPr>
        <w:t>特殊节</w:t>
      </w:r>
      <w:r>
        <w:rPr>
          <w:rFonts w:hint="eastAsia" w:ascii="宋体" w:hAnsi="宋体" w:cs="宋体"/>
          <w:color w:val="000000"/>
          <w:kern w:val="0"/>
          <w:szCs w:val="24"/>
          <w:highlight w:val="none"/>
          <w:lang w:bidi="ar"/>
        </w:rPr>
        <w:t>连接的顶升用临时销轴。</w:t>
      </w:r>
    </w:p>
    <w:p w14:paraId="51555058">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 开动液压顶升系统，使油缸活塞杆伸出，将顶升横梁两端的止动靴挂在距顶升横梁最近的塔身节踏步上（要设专人负责观察顶升横梁两端止动靴都必须落入踏步圆弧槽内）；</w:t>
      </w:r>
    </w:p>
    <w:p w14:paraId="7BEE0A93">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（6）打开套架上止动靴操纵杆，使套架止动靴与塔身分开，继续顶升，将套架及以上部分顶起 0.1~0.5m 时停止。</w:t>
      </w:r>
    </w:p>
    <w:p w14:paraId="7D15E79A">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（7） 当液压油缸活塞接近下止点位置时，推动套架止动靴操纵杆使上止动靴挂入踏步上的圆弧槽内，使塔机套架以上部分临时固定在顶升踏步上。</w:t>
      </w:r>
    </w:p>
    <w:p w14:paraId="23F90B95">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（8）将顶升横梁上的止动靴从塔身节踏步上脱开。</w:t>
      </w:r>
    </w:p>
    <w:p w14:paraId="08F8BF7F">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（9） 液压泵站操纵杆搬向“向下”位置，使顶升横梁收回。在收回的过程中，注意不要使顶升梁与塔身上螺栓或鱼尾板卡住，防止造成事故。</w:t>
      </w:r>
    </w:p>
    <w:p w14:paraId="4FF9C021">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（10）当顶升横梁止动靴开口与上一级顶升踏步对齐时，搬动顶升横梁止动靴使其挂入顶升踏步上。</w:t>
      </w:r>
    </w:p>
    <w:p w14:paraId="307702A2">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（11） 打开顶升套架上止动靴操纵杆，使套架止动靴与塔身分开，液压泵站操纵杆搬向“向上”位置，继续顶升。</w:t>
      </w:r>
    </w:p>
    <w:p w14:paraId="31D37D0B">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该过程要重复三次方能形成可将一节标准节放进顶升套架内的空间。</w:t>
      </w:r>
    </w:p>
    <w:p w14:paraId="216725D8">
      <w:pPr>
        <w:pStyle w:val="7"/>
        <w:bidi w:val="0"/>
        <w:ind w:left="864" w:leftChars="0" w:hanging="864" w:firstLineChars="0"/>
        <w:rPr>
          <w:highlight w:val="none"/>
        </w:rPr>
      </w:pPr>
      <w:r>
        <w:rPr>
          <w:rFonts w:hint="eastAsia"/>
          <w:highlight w:val="none"/>
        </w:rPr>
        <w:t>引进标准节作业</w:t>
      </w:r>
    </w:p>
    <w:p w14:paraId="350ED10A">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（1）当顶升第</w:t>
      </w:r>
      <w:r>
        <w:rPr>
          <w:rFonts w:hint="eastAsia" w:ascii="宋体" w:hAnsi="宋体" w:cs="宋体"/>
          <w:color w:val="000000"/>
          <w:kern w:val="0"/>
          <w:szCs w:val="24"/>
          <w:highlight w:val="none"/>
          <w:lang w:val="en-US" w:eastAsia="zh-CN" w:bidi="ar"/>
        </w:rPr>
        <w:t>二</w:t>
      </w:r>
      <w:r>
        <w:rPr>
          <w:rFonts w:hint="eastAsia" w:ascii="宋体" w:hAnsi="宋体" w:cs="宋体"/>
          <w:color w:val="000000"/>
          <w:kern w:val="0"/>
          <w:szCs w:val="24"/>
          <w:highlight w:val="none"/>
          <w:lang w:bidi="ar"/>
        </w:rPr>
        <w:t>循环接近完成、顶升套架内空间可以容纳标准节时，将挂在引进梁上的标准节轻轻推向塔身、引入套架内；</w:t>
      </w:r>
    </w:p>
    <w:p w14:paraId="4FDD6BBB">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（2）液压泵站操纵杆搬向“向下”位置，引进的标准节下端与塔身原标准节上端鱼尾板对齐相联，打入 8 个标准节联接销轴，并用锁销固定。在联接标准节时注意使两标准节上爬梯对正，上下插接在一起。</w:t>
      </w:r>
    </w:p>
    <w:p w14:paraId="455D1E86">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（3）拆下引进小车上 4 根固定标准节的螺栓，将螺栓装在引进小车吊环内。向外推出引进小车至标准节以外位置；</w:t>
      </w:r>
    </w:p>
    <w:p w14:paraId="1445BFE9">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（4）继续下降顶升套架使</w:t>
      </w:r>
      <w:r>
        <w:rPr>
          <w:rFonts w:hint="eastAsia" w:ascii="宋体" w:hAnsi="宋体" w:cs="宋体"/>
          <w:color w:val="000000"/>
          <w:kern w:val="0"/>
          <w:szCs w:val="24"/>
          <w:highlight w:val="none"/>
          <w:lang w:val="en-US" w:eastAsia="zh-CN" w:bidi="ar"/>
        </w:rPr>
        <w:t>特殊节</w:t>
      </w:r>
      <w:r>
        <w:rPr>
          <w:rFonts w:hint="eastAsia" w:ascii="宋体" w:hAnsi="宋体" w:cs="宋体"/>
          <w:color w:val="000000"/>
          <w:kern w:val="0"/>
          <w:szCs w:val="24"/>
          <w:highlight w:val="none"/>
          <w:lang w:bidi="ar"/>
        </w:rPr>
        <w:t xml:space="preserve"> 4 个支腿落在新安装好的标准节上端鱼尾板内。用顶升套架上附带的四个临时固定销轴将</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与标准节联接起来；</w:t>
      </w:r>
    </w:p>
    <w:p w14:paraId="04CFD884">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（5）重复上述顶升程序，直到塔机顶升作业完成为止。</w:t>
      </w:r>
    </w:p>
    <w:p w14:paraId="65D09D29">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注意： 在 4 个临时销轴没有安装以前， 塔机不能做任何动作 （包括小车、 起升和回转）。否则有可能造成塔机倾翻的事故。</w:t>
      </w:r>
    </w:p>
    <w:p w14:paraId="5EEB1364">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关于顶升用临时销轴的说明：</w:t>
      </w:r>
    </w:p>
    <w:p w14:paraId="2213B238">
      <w:pPr>
        <w:widowControl/>
        <w:ind w:firstLine="480"/>
        <w:jc w:val="left"/>
        <w:rPr>
          <w:rFonts w:ascii="宋体" w:hAnsi="宋体" w:cs="宋体"/>
          <w:color w:val="000000"/>
          <w:kern w:val="0"/>
          <w:szCs w:val="24"/>
          <w:highlight w:val="none"/>
          <w:lang w:bidi="ar"/>
        </w:rPr>
      </w:pPr>
      <w:r>
        <w:rPr>
          <w:rFonts w:hint="eastAsia" w:ascii="宋体" w:hAnsi="宋体" w:cs="宋体"/>
          <w:color w:val="000000"/>
          <w:kern w:val="0"/>
          <w:szCs w:val="24"/>
          <w:highlight w:val="none"/>
          <w:lang w:bidi="ar"/>
        </w:rPr>
        <w:t>为方便顶升作业，配有 4 个临时销轴，此销轴直径比标准节销轴小 2mm 。此销轴只做顶升时联接</w:t>
      </w:r>
      <w:r>
        <w:rPr>
          <w:rFonts w:hint="eastAsia" w:ascii="宋体" w:hAnsi="宋体" w:cs="宋体"/>
          <w:color w:val="000000"/>
          <w:kern w:val="0"/>
          <w:szCs w:val="24"/>
          <w:highlight w:val="none"/>
          <w:lang w:eastAsia="zh-CN" w:bidi="ar"/>
        </w:rPr>
        <w:t>特殊节</w:t>
      </w:r>
      <w:r>
        <w:rPr>
          <w:rFonts w:hint="eastAsia" w:ascii="宋体" w:hAnsi="宋体" w:cs="宋体"/>
          <w:color w:val="000000"/>
          <w:kern w:val="0"/>
          <w:szCs w:val="24"/>
          <w:highlight w:val="none"/>
          <w:lang w:bidi="ar"/>
        </w:rPr>
        <w:t>与塔身用， 塔机正式作业时不允许用此销轴替代标准节销轴。</w:t>
      </w:r>
    </w:p>
    <w:p w14:paraId="01235C87">
      <w:pPr>
        <w:pStyle w:val="7"/>
        <w:bidi w:val="0"/>
        <w:ind w:left="864" w:leftChars="0" w:hanging="864" w:firstLineChars="0"/>
        <w:rPr>
          <w:highlight w:val="none"/>
        </w:rPr>
      </w:pPr>
      <w:r>
        <w:rPr>
          <w:rFonts w:hint="eastAsia"/>
          <w:highlight w:val="none"/>
        </w:rPr>
        <w:t>顶升过程的注意事项</w:t>
      </w:r>
    </w:p>
    <w:p w14:paraId="2EF983DB">
      <w:pPr>
        <w:spacing w:after="120"/>
        <w:ind w:firstLine="480"/>
        <w:rPr>
          <w:highlight w:val="none"/>
        </w:rPr>
      </w:pPr>
      <w:r>
        <w:rPr>
          <w:rFonts w:hint="eastAsia"/>
          <w:highlight w:val="none"/>
        </w:rPr>
        <w:t>（1）塔机最高处风速大于 4级时，不得进行顶升作业；</w:t>
      </w:r>
    </w:p>
    <w:p w14:paraId="12E37ECF">
      <w:pPr>
        <w:spacing w:after="120"/>
        <w:ind w:firstLine="480"/>
        <w:rPr>
          <w:highlight w:val="none"/>
        </w:rPr>
      </w:pPr>
      <w:r>
        <w:rPr>
          <w:rFonts w:hint="eastAsia"/>
          <w:highlight w:val="none"/>
        </w:rPr>
        <w:t>（2）塔机的爬升机构，其爬升作业时应确保套架上支承在塔身上的受力部位与塔身顶升支承部位应可靠定位和结合。并应及时查看顶升支承部位焊缝情况，若有异常情况应排除后才能继续进行爬升作业。</w:t>
      </w:r>
    </w:p>
    <w:p w14:paraId="21767478">
      <w:pPr>
        <w:spacing w:after="120"/>
        <w:ind w:firstLine="480"/>
        <w:rPr>
          <w:highlight w:val="none"/>
        </w:rPr>
      </w:pPr>
      <w:r>
        <w:rPr>
          <w:rFonts w:hint="eastAsia"/>
          <w:highlight w:val="none"/>
        </w:rPr>
        <w:t>（3）顶升过程中必须保证起重臂与引入标准节方向一致，并利用回转机构制动器将起重臂制动住，载重小车必须停靠在顶升配平位置；</w:t>
      </w:r>
    </w:p>
    <w:p w14:paraId="5EB692BA">
      <w:pPr>
        <w:spacing w:after="120"/>
        <w:ind w:firstLine="480"/>
        <w:rPr>
          <w:highlight w:val="none"/>
        </w:rPr>
      </w:pPr>
      <w:r>
        <w:rPr>
          <w:rFonts w:hint="eastAsia"/>
          <w:highlight w:val="none"/>
        </w:rPr>
        <w:t>（4）所加标准节上的踏步，必须与已有塔身节对正；</w:t>
      </w:r>
    </w:p>
    <w:p w14:paraId="4420F077">
      <w:pPr>
        <w:spacing w:after="120"/>
        <w:ind w:firstLine="480"/>
        <w:rPr>
          <w:highlight w:val="none"/>
        </w:rPr>
      </w:pPr>
      <w:r>
        <w:rPr>
          <w:rFonts w:hint="eastAsia"/>
          <w:highlight w:val="none"/>
        </w:rPr>
        <w:t>（5）在</w:t>
      </w:r>
      <w:r>
        <w:rPr>
          <w:rFonts w:hint="eastAsia"/>
          <w:highlight w:val="none"/>
          <w:lang w:eastAsia="zh-CN"/>
        </w:rPr>
        <w:t>特殊节</w:t>
      </w:r>
      <w:r>
        <w:rPr>
          <w:rFonts w:hint="eastAsia"/>
          <w:highlight w:val="none"/>
        </w:rPr>
        <w:t>与塔身没有用销轴连接好之前，严禁起重臂回转、载重小车变幅和吊装作业；</w:t>
      </w:r>
    </w:p>
    <w:p w14:paraId="3FF76A02">
      <w:pPr>
        <w:spacing w:after="120"/>
        <w:ind w:firstLine="480"/>
        <w:rPr>
          <w:highlight w:val="none"/>
        </w:rPr>
      </w:pPr>
      <w:r>
        <w:rPr>
          <w:rFonts w:hint="eastAsia"/>
          <w:highlight w:val="none"/>
        </w:rPr>
        <w:t>（6）在顶升过程中，若液压顶升系统出现异常，应立即停止顶升，收回油缸，将</w:t>
      </w:r>
      <w:r>
        <w:rPr>
          <w:rFonts w:hint="eastAsia"/>
          <w:highlight w:val="none"/>
          <w:lang w:eastAsia="zh-CN"/>
        </w:rPr>
        <w:t>特殊节</w:t>
      </w:r>
      <w:r>
        <w:rPr>
          <w:rFonts w:hint="eastAsia"/>
          <w:highlight w:val="none"/>
        </w:rPr>
        <w:t>落在塔身顶部，并用 8 个销轴将</w:t>
      </w:r>
      <w:r>
        <w:rPr>
          <w:rFonts w:hint="eastAsia"/>
          <w:highlight w:val="none"/>
          <w:lang w:eastAsia="zh-CN"/>
        </w:rPr>
        <w:t>特殊节</w:t>
      </w:r>
      <w:r>
        <w:rPr>
          <w:rFonts w:hint="eastAsia"/>
          <w:highlight w:val="none"/>
        </w:rPr>
        <w:t>与塔身连接牢靠后，再排除液压系统的故障；</w:t>
      </w:r>
    </w:p>
    <w:p w14:paraId="56E62CE1">
      <w:pPr>
        <w:pStyle w:val="7"/>
        <w:bidi w:val="0"/>
        <w:ind w:left="864" w:leftChars="0" w:hanging="864" w:firstLineChars="0"/>
        <w:rPr>
          <w:highlight w:val="none"/>
        </w:rPr>
      </w:pPr>
      <w:r>
        <w:rPr>
          <w:rFonts w:hint="eastAsia"/>
          <w:highlight w:val="none"/>
        </w:rPr>
        <w:t>顶升作业完成后注意事项</w:t>
      </w:r>
    </w:p>
    <w:p w14:paraId="718DD474">
      <w:pPr>
        <w:numPr>
          <w:ilvl w:val="0"/>
          <w:numId w:val="28"/>
        </w:numPr>
        <w:spacing w:after="120"/>
        <w:ind w:left="454" w:leftChars="0" w:hanging="454" w:firstLineChars="0"/>
        <w:rPr>
          <w:highlight w:val="none"/>
        </w:rPr>
      </w:pPr>
      <w:r>
        <w:rPr>
          <w:rFonts w:hint="eastAsia"/>
          <w:highlight w:val="none"/>
        </w:rPr>
        <w:t>引进小车不要放在塔身内；</w:t>
      </w:r>
    </w:p>
    <w:p w14:paraId="4410B37A">
      <w:pPr>
        <w:numPr>
          <w:ilvl w:val="0"/>
          <w:numId w:val="28"/>
        </w:numPr>
        <w:spacing w:after="120"/>
        <w:ind w:left="454" w:leftChars="0" w:hanging="454" w:firstLineChars="0"/>
        <w:rPr>
          <w:highlight w:val="none"/>
        </w:rPr>
      </w:pPr>
      <w:r>
        <w:rPr>
          <w:rFonts w:hint="eastAsia"/>
          <w:highlight w:val="none"/>
        </w:rPr>
        <w:t>必要时可以放下引进梁；</w:t>
      </w:r>
    </w:p>
    <w:p w14:paraId="0BD1232F">
      <w:pPr>
        <w:numPr>
          <w:ilvl w:val="0"/>
          <w:numId w:val="28"/>
        </w:numPr>
        <w:spacing w:after="120"/>
        <w:ind w:left="454" w:leftChars="0" w:hanging="454" w:firstLineChars="0"/>
        <w:rPr>
          <w:highlight w:val="none"/>
        </w:rPr>
      </w:pPr>
      <w:r>
        <w:rPr>
          <w:rFonts w:hint="eastAsia"/>
          <w:highlight w:val="none"/>
          <w:lang w:val="en-US" w:eastAsia="zh-CN"/>
        </w:rPr>
        <w:t>特殊节</w:t>
      </w:r>
      <w:r>
        <w:rPr>
          <w:rFonts w:hint="eastAsia"/>
          <w:highlight w:val="none"/>
        </w:rPr>
        <w:t>与塔身必须用 8 个标准节销轴联接好并用锁销固定；</w:t>
      </w:r>
    </w:p>
    <w:p w14:paraId="4CDD6CF3">
      <w:pPr>
        <w:numPr>
          <w:ilvl w:val="0"/>
          <w:numId w:val="28"/>
        </w:numPr>
        <w:spacing w:after="120"/>
        <w:ind w:left="454" w:leftChars="0" w:hanging="454" w:firstLineChars="0"/>
        <w:rPr>
          <w:highlight w:val="none"/>
        </w:rPr>
      </w:pPr>
      <w:r>
        <w:rPr>
          <w:rFonts w:hint="eastAsia"/>
          <w:highlight w:val="none"/>
        </w:rPr>
        <w:t>顶升梁必须轻挂在最后一级顶升踏步上，注意要使液压油缸卸荷；</w:t>
      </w:r>
    </w:p>
    <w:p w14:paraId="333ED2E3">
      <w:pPr>
        <w:numPr>
          <w:ilvl w:val="0"/>
          <w:numId w:val="28"/>
        </w:numPr>
        <w:spacing w:after="120"/>
        <w:ind w:left="454" w:leftChars="0" w:hanging="454" w:firstLineChars="0"/>
        <w:rPr>
          <w:highlight w:val="none"/>
        </w:rPr>
      </w:pPr>
      <w:r>
        <w:rPr>
          <w:rFonts w:hint="eastAsia"/>
          <w:highlight w:val="none"/>
        </w:rPr>
        <w:t>拆掉液压泵站的电源线，整理好塔机电源随线；</w:t>
      </w:r>
    </w:p>
    <w:p w14:paraId="6320CF2E">
      <w:pPr>
        <w:pStyle w:val="4"/>
        <w:bidi w:val="0"/>
        <w:ind w:left="0" w:leftChars="0" w:firstLine="0" w:firstLineChars="0"/>
        <w:rPr>
          <w:highlight w:val="none"/>
        </w:rPr>
      </w:pPr>
      <w:bookmarkStart w:id="47" w:name="_Toc3498"/>
      <w:bookmarkStart w:id="48" w:name="_Toc8668"/>
      <w:bookmarkStart w:id="49" w:name="_Toc22261"/>
      <w:bookmarkStart w:id="50" w:name="_Toc1572"/>
      <w:r>
        <w:rPr>
          <w:rFonts w:hint="eastAsia"/>
          <w:highlight w:val="none"/>
        </w:rPr>
        <w:t>试验</w:t>
      </w:r>
      <w:bookmarkEnd w:id="47"/>
      <w:bookmarkEnd w:id="48"/>
    </w:p>
    <w:p w14:paraId="7DD21833">
      <w:pPr>
        <w:spacing w:line="480" w:lineRule="exact"/>
        <w:ind w:firstLine="480"/>
        <w:rPr>
          <w:rFonts w:ascii="宋体" w:hAnsi="宋体" w:cs="宋体"/>
          <w:color w:val="002DC7"/>
          <w:highlight w:val="none"/>
        </w:rPr>
      </w:pPr>
      <w:r>
        <w:rPr>
          <w:rFonts w:hint="eastAsia" w:ascii="宋体" w:hAnsi="宋体" w:cs="宋体"/>
          <w:highlight w:val="none"/>
        </w:rPr>
        <w:t>试验的顺序按空载试验</w:t>
      </w:r>
      <w:r>
        <w:rPr>
          <w:rFonts w:hint="eastAsia"/>
          <w:color w:val="000000"/>
          <w:highlight w:val="none"/>
        </w:rPr>
        <w:t>、额定载荷试验、静载试验与动载试验的顺序进行。试验的重物可考虑用吊机的配重、或者路基箱等已知重量的物件组成。负载试验的风速不大于4级。在做负载试验前需提前办理安全</w:t>
      </w:r>
      <w:r>
        <w:rPr>
          <w:rFonts w:hint="eastAsia" w:ascii="宋体" w:hAnsi="宋体" w:cs="宋体"/>
          <w:highlight w:val="none"/>
        </w:rPr>
        <w:t>施工作业票。</w:t>
      </w:r>
    </w:p>
    <w:p w14:paraId="030BD6FE">
      <w:pPr>
        <w:pStyle w:val="5"/>
        <w:bidi w:val="0"/>
        <w:ind w:left="0" w:leftChars="0" w:firstLine="0" w:firstLineChars="0"/>
        <w:rPr>
          <w:highlight w:val="none"/>
        </w:rPr>
      </w:pPr>
      <w:r>
        <w:rPr>
          <w:rFonts w:hint="eastAsia"/>
          <w:highlight w:val="none"/>
        </w:rPr>
        <w:t>空载试验</w:t>
      </w:r>
    </w:p>
    <w:p w14:paraId="209B26BE">
      <w:pPr>
        <w:spacing w:line="480" w:lineRule="atLeast"/>
        <w:ind w:firstLine="480"/>
        <w:rPr>
          <w:rFonts w:ascii="宋体" w:hAnsi="宋体" w:cs="宋体"/>
          <w:szCs w:val="24"/>
          <w:highlight w:val="none"/>
        </w:rPr>
      </w:pPr>
      <w:r>
        <w:rPr>
          <w:rFonts w:hint="eastAsia" w:ascii="宋体" w:hAnsi="宋体" w:cs="宋体"/>
          <w:szCs w:val="24"/>
          <w:highlight w:val="none"/>
        </w:rPr>
        <w:t>各机构应分别进行数次运行，然后再做三次综合动作运行，运行过程中各机构不得发生任何异常现象，各机构制动器、操作系统、控制系统、联锁装置及各限位器、限制器应动作准确、可靠，否则应及时排除故障。</w:t>
      </w:r>
    </w:p>
    <w:p w14:paraId="111D3517">
      <w:pPr>
        <w:pStyle w:val="5"/>
        <w:bidi w:val="0"/>
        <w:ind w:left="0" w:leftChars="0" w:firstLine="0" w:firstLineChars="0"/>
        <w:rPr>
          <w:highlight w:val="none"/>
        </w:rPr>
      </w:pPr>
      <w:r>
        <w:rPr>
          <w:rFonts w:hint="eastAsia"/>
          <w:highlight w:val="none"/>
        </w:rPr>
        <w:t>负荷试验</w:t>
      </w:r>
    </w:p>
    <w:p w14:paraId="285CE9FD">
      <w:pPr>
        <w:spacing w:line="480" w:lineRule="exact"/>
        <w:ind w:firstLine="480"/>
        <w:rPr>
          <w:rFonts w:ascii="宋体" w:hAnsi="宋体" w:cs="宋体"/>
          <w:highlight w:val="none"/>
        </w:rPr>
      </w:pPr>
      <w:r>
        <w:rPr>
          <w:rFonts w:hint="eastAsia" w:ascii="宋体" w:hAnsi="宋体" w:cs="宋体"/>
          <w:highlight w:val="none"/>
        </w:rPr>
        <w:t>在最大幅度处分别吊对应额定起重量的25%，50%，75%，100%，按空载试验要求进行实验。运行过程中不得发生任何异常现象，各机构制动器、操作系统、控制系统、联锁装置及各限位器、限制器应动作准确、可靠。</w:t>
      </w:r>
    </w:p>
    <w:p w14:paraId="1DA705C5">
      <w:pPr>
        <w:pStyle w:val="5"/>
        <w:bidi w:val="0"/>
        <w:ind w:left="0" w:leftChars="0" w:firstLine="0" w:firstLineChars="0"/>
        <w:rPr>
          <w:highlight w:val="none"/>
        </w:rPr>
      </w:pPr>
      <w:r>
        <w:rPr>
          <w:rFonts w:hint="eastAsia"/>
          <w:highlight w:val="none"/>
        </w:rPr>
        <w:t>额定载荷试验</w:t>
      </w:r>
    </w:p>
    <w:p w14:paraId="68DA138B">
      <w:pPr>
        <w:spacing w:line="480" w:lineRule="exact"/>
        <w:ind w:firstLine="480"/>
        <w:rPr>
          <w:rFonts w:ascii="宋体" w:hAnsi="宋体" w:cs="宋体"/>
          <w:highlight w:val="none"/>
        </w:rPr>
      </w:pPr>
      <w:r>
        <w:rPr>
          <w:rFonts w:hint="eastAsia" w:ascii="宋体" w:hAnsi="宋体" w:cs="宋体"/>
          <w:highlight w:val="none"/>
        </w:rPr>
        <w:t>额定载荷试验按下表进行。每一工况试验不少于３次。各参数的测定值取为３次测量的算术平均值。</w:t>
      </w:r>
    </w:p>
    <w:p w14:paraId="6CD48B36">
      <w:pPr>
        <w:spacing w:line="480" w:lineRule="exact"/>
        <w:ind w:firstLine="480"/>
        <w:jc w:val="center"/>
        <w:rPr>
          <w:rFonts w:ascii="宋体" w:hAnsi="宋体" w:cs="宋体"/>
          <w:highlight w:val="none"/>
        </w:rPr>
      </w:pPr>
      <w:r>
        <w:rPr>
          <w:rFonts w:hint="eastAsia" w:ascii="宋体" w:hAnsi="宋体" w:cs="宋体"/>
          <w:highlight w:val="none"/>
        </w:rPr>
        <w:t>表4.7.3-1 额定载荷试验表</w:t>
      </w:r>
    </w:p>
    <w:p w14:paraId="3FA6270E">
      <w:pPr>
        <w:spacing w:line="240" w:lineRule="auto"/>
        <w:ind w:firstLine="0" w:firstLineChars="0"/>
        <w:rPr>
          <w:rFonts w:ascii="宋体" w:hAnsi="宋体" w:cs="宋体"/>
          <w:color w:val="0000FF"/>
          <w:highlight w:val="none"/>
        </w:rPr>
      </w:pPr>
      <w:r>
        <w:rPr>
          <w:rFonts w:hint="eastAsia" w:ascii="宋体" w:hAnsi="宋体" w:cs="宋体"/>
          <w:color w:val="0000FF"/>
          <w:highlight w:val="none"/>
        </w:rPr>
        <w:drawing>
          <wp:inline distT="0" distB="0" distL="114300" distR="114300">
            <wp:extent cx="5298440" cy="3941445"/>
            <wp:effectExtent l="0" t="0" r="5080" b="5715"/>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133"/>
                    <a:stretch>
                      <a:fillRect/>
                    </a:stretch>
                  </pic:blipFill>
                  <pic:spPr>
                    <a:xfrm>
                      <a:off x="0" y="0"/>
                      <a:ext cx="5298440" cy="3941445"/>
                    </a:xfrm>
                    <a:prstGeom prst="rect">
                      <a:avLst/>
                    </a:prstGeom>
                    <a:noFill/>
                    <a:ln>
                      <a:noFill/>
                    </a:ln>
                  </pic:spPr>
                </pic:pic>
              </a:graphicData>
            </a:graphic>
          </wp:inline>
        </w:drawing>
      </w:r>
    </w:p>
    <w:p w14:paraId="0ADC3B31">
      <w:pPr>
        <w:spacing w:line="480" w:lineRule="exact"/>
        <w:ind w:firstLine="480"/>
        <w:rPr>
          <w:rFonts w:ascii="宋体" w:hAnsi="宋体" w:cs="宋体"/>
          <w:highlight w:val="none"/>
        </w:rPr>
      </w:pPr>
      <w:r>
        <w:rPr>
          <w:rFonts w:hint="eastAsia" w:ascii="宋体" w:hAnsi="宋体" w:cs="宋体"/>
          <w:highlight w:val="none"/>
        </w:rPr>
        <w:t>另外，在做吊起额定载荷之后，需要对塔机刚性进行测量。刚性测量方法为：在额定载荷作用下，塔机起重机根部连接处的水平静位移应不大于1.34H%(H为最大独立状态下起重臂根部连接处至塔机基准面的垂直距离)。</w:t>
      </w:r>
    </w:p>
    <w:p w14:paraId="721D9F71">
      <w:pPr>
        <w:pStyle w:val="5"/>
        <w:bidi w:val="0"/>
        <w:ind w:left="0" w:leftChars="0" w:firstLine="0" w:firstLineChars="0"/>
        <w:rPr>
          <w:highlight w:val="none"/>
        </w:rPr>
      </w:pPr>
      <w:r>
        <w:rPr>
          <w:rFonts w:hint="eastAsia"/>
          <w:highlight w:val="none"/>
        </w:rPr>
        <w:t>超载25%静载试验</w:t>
      </w:r>
    </w:p>
    <w:p w14:paraId="2765C481">
      <w:pPr>
        <w:ind w:firstLine="480"/>
        <w:rPr>
          <w:highlight w:val="none"/>
        </w:rPr>
      </w:pPr>
      <w:r>
        <w:rPr>
          <w:rFonts w:hint="eastAsia"/>
          <w:highlight w:val="none"/>
        </w:rPr>
        <w:t>按下表，吊重额定起重量的125%，制动器动作可靠。机构及结构各部件无异常，连接无松动和破坏并做好记录。</w:t>
      </w:r>
    </w:p>
    <w:p w14:paraId="55B288F6">
      <w:pPr>
        <w:ind w:firstLine="480"/>
        <w:jc w:val="center"/>
        <w:rPr>
          <w:highlight w:val="none"/>
        </w:rPr>
      </w:pPr>
      <w:r>
        <w:rPr>
          <w:rFonts w:hint="eastAsia"/>
          <w:highlight w:val="none"/>
        </w:rPr>
        <w:t>表4.7.4-1 3#塔吊XGT360-20S1静载试验荷载表</w:t>
      </w:r>
    </w:p>
    <w:tbl>
      <w:tblPr>
        <w:tblStyle w:val="44"/>
        <w:tblW w:w="4998"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569"/>
        <w:gridCol w:w="1500"/>
        <w:gridCol w:w="1539"/>
        <w:gridCol w:w="1381"/>
        <w:gridCol w:w="1530"/>
      </w:tblGrid>
      <w:tr w14:paraId="534732A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37" w:hRule="atLeast"/>
          <w:jc w:val="center"/>
        </w:trPr>
        <w:tc>
          <w:tcPr>
            <w:tcW w:w="1507" w:type="pct"/>
            <w:tcBorders>
              <w:tl2br w:val="nil"/>
              <w:tr2bl w:val="nil"/>
            </w:tcBorders>
            <w:shd w:val="clear" w:color="auto" w:fill="auto"/>
          </w:tcPr>
          <w:p w14:paraId="0BBBABB8">
            <w:pPr>
              <w:tabs>
                <w:tab w:val="left" w:pos="360"/>
              </w:tabs>
              <w:adjustRightInd w:val="0"/>
              <w:snapToGri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项目</w:t>
            </w:r>
          </w:p>
          <w:p w14:paraId="17F83C26">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臂长</w:t>
            </w:r>
          </w:p>
        </w:tc>
        <w:tc>
          <w:tcPr>
            <w:tcW w:w="880" w:type="pct"/>
            <w:tcBorders>
              <w:tl2br w:val="nil"/>
              <w:tr2bl w:val="nil"/>
            </w:tcBorders>
            <w:shd w:val="clear" w:color="auto" w:fill="auto"/>
            <w:vAlign w:val="center"/>
          </w:tcPr>
          <w:p w14:paraId="6F5EDA56">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幅度Ⅰ</w:t>
            </w:r>
          </w:p>
        </w:tc>
        <w:tc>
          <w:tcPr>
            <w:tcW w:w="903" w:type="pct"/>
            <w:tcBorders>
              <w:tl2br w:val="nil"/>
              <w:tr2bl w:val="nil"/>
            </w:tcBorders>
            <w:shd w:val="clear" w:color="auto" w:fill="auto"/>
            <w:vAlign w:val="center"/>
          </w:tcPr>
          <w:p w14:paraId="4B2145A7">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吊重Ⅰ</w:t>
            </w:r>
          </w:p>
        </w:tc>
        <w:tc>
          <w:tcPr>
            <w:tcW w:w="810" w:type="pct"/>
            <w:tcBorders>
              <w:tl2br w:val="nil"/>
              <w:tr2bl w:val="nil"/>
            </w:tcBorders>
            <w:shd w:val="clear" w:color="auto" w:fill="auto"/>
            <w:vAlign w:val="center"/>
          </w:tcPr>
          <w:p w14:paraId="60F4F97E">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幅度Ⅱ</w:t>
            </w:r>
          </w:p>
        </w:tc>
        <w:tc>
          <w:tcPr>
            <w:tcW w:w="897" w:type="pct"/>
            <w:tcBorders>
              <w:tl2br w:val="nil"/>
              <w:tr2bl w:val="nil"/>
            </w:tcBorders>
            <w:shd w:val="clear" w:color="auto" w:fill="auto"/>
            <w:vAlign w:val="center"/>
          </w:tcPr>
          <w:p w14:paraId="6180C17B">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吊重Ⅱ</w:t>
            </w:r>
          </w:p>
        </w:tc>
      </w:tr>
      <w:tr w14:paraId="541A9E0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1507" w:type="pct"/>
            <w:tcBorders>
              <w:tl2br w:val="nil"/>
              <w:tr2bl w:val="nil"/>
            </w:tcBorders>
            <w:shd w:val="clear" w:color="auto" w:fill="auto"/>
            <w:vAlign w:val="center"/>
          </w:tcPr>
          <w:p w14:paraId="414BC19A">
            <w:pPr>
              <w:tabs>
                <w:tab w:val="left" w:pos="360"/>
              </w:tabs>
              <w:adjustRightInd w:val="0"/>
              <w:spacing w:line="240" w:lineRule="auto"/>
              <w:ind w:firstLine="840" w:firstLineChars="400"/>
              <w:rPr>
                <w:rFonts w:ascii="宋体" w:hAnsi="宋体" w:cs="宋体"/>
                <w:sz w:val="21"/>
                <w:highlight w:val="none"/>
              </w:rPr>
            </w:pPr>
            <w:r>
              <w:rPr>
                <w:rFonts w:hint="eastAsia" w:ascii="宋体" w:hAnsi="宋体" w:cs="宋体"/>
                <w:sz w:val="21"/>
                <w:highlight w:val="none"/>
              </w:rPr>
              <w:t>45m</w:t>
            </w:r>
          </w:p>
        </w:tc>
        <w:tc>
          <w:tcPr>
            <w:tcW w:w="880" w:type="pct"/>
            <w:tcBorders>
              <w:tl2br w:val="nil"/>
              <w:tr2bl w:val="nil"/>
            </w:tcBorders>
            <w:shd w:val="clear" w:color="auto" w:fill="auto"/>
            <w:vAlign w:val="center"/>
          </w:tcPr>
          <w:p w14:paraId="02CAABA2">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15m</w:t>
            </w:r>
          </w:p>
        </w:tc>
        <w:tc>
          <w:tcPr>
            <w:tcW w:w="903" w:type="pct"/>
            <w:tcBorders>
              <w:tl2br w:val="nil"/>
              <w:tr2bl w:val="nil"/>
            </w:tcBorders>
            <w:shd w:val="clear" w:color="auto" w:fill="auto"/>
            <w:vAlign w:val="center"/>
          </w:tcPr>
          <w:p w14:paraId="55173EBE">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25t</w:t>
            </w:r>
          </w:p>
        </w:tc>
        <w:tc>
          <w:tcPr>
            <w:tcW w:w="810" w:type="pct"/>
            <w:tcBorders>
              <w:tl2br w:val="nil"/>
              <w:tr2bl w:val="nil"/>
            </w:tcBorders>
            <w:shd w:val="clear" w:color="auto" w:fill="auto"/>
            <w:vAlign w:val="center"/>
          </w:tcPr>
          <w:p w14:paraId="3279612C">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45m</w:t>
            </w:r>
          </w:p>
        </w:tc>
        <w:tc>
          <w:tcPr>
            <w:tcW w:w="897" w:type="pct"/>
            <w:tcBorders>
              <w:tl2br w:val="nil"/>
              <w:tr2bl w:val="nil"/>
            </w:tcBorders>
            <w:shd w:val="clear" w:color="auto" w:fill="auto"/>
            <w:vAlign w:val="center"/>
          </w:tcPr>
          <w:p w14:paraId="585EA1B9">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10.375t</w:t>
            </w:r>
          </w:p>
        </w:tc>
      </w:tr>
    </w:tbl>
    <w:p w14:paraId="608215E1">
      <w:pPr>
        <w:ind w:firstLine="480"/>
        <w:jc w:val="center"/>
        <w:rPr>
          <w:highlight w:val="none"/>
        </w:rPr>
      </w:pPr>
      <w:r>
        <w:rPr>
          <w:rFonts w:hint="eastAsia"/>
          <w:highlight w:val="none"/>
        </w:rPr>
        <w:t>表4.7.4-2 4#塔吊XGT7026-12S1静载试验荷载表</w:t>
      </w:r>
    </w:p>
    <w:tbl>
      <w:tblPr>
        <w:tblStyle w:val="44"/>
        <w:tblW w:w="4998"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569"/>
        <w:gridCol w:w="1500"/>
        <w:gridCol w:w="1539"/>
        <w:gridCol w:w="1381"/>
        <w:gridCol w:w="1530"/>
      </w:tblGrid>
      <w:tr w14:paraId="6265617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37" w:hRule="atLeast"/>
          <w:jc w:val="center"/>
        </w:trPr>
        <w:tc>
          <w:tcPr>
            <w:tcW w:w="1507" w:type="pct"/>
            <w:tcBorders>
              <w:tl2br w:val="nil"/>
              <w:tr2bl w:val="nil"/>
            </w:tcBorders>
            <w:shd w:val="clear" w:color="auto" w:fill="auto"/>
          </w:tcPr>
          <w:p w14:paraId="3C8B581E">
            <w:pPr>
              <w:tabs>
                <w:tab w:val="left" w:pos="360"/>
              </w:tabs>
              <w:adjustRightInd w:val="0"/>
              <w:snapToGri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项目</w:t>
            </w:r>
          </w:p>
          <w:p w14:paraId="5257B37B">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臂长</w:t>
            </w:r>
          </w:p>
        </w:tc>
        <w:tc>
          <w:tcPr>
            <w:tcW w:w="880" w:type="pct"/>
            <w:tcBorders>
              <w:tl2br w:val="nil"/>
              <w:tr2bl w:val="nil"/>
            </w:tcBorders>
            <w:shd w:val="clear" w:color="auto" w:fill="auto"/>
            <w:vAlign w:val="center"/>
          </w:tcPr>
          <w:p w14:paraId="493677C6">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幅度Ⅰ</w:t>
            </w:r>
          </w:p>
        </w:tc>
        <w:tc>
          <w:tcPr>
            <w:tcW w:w="903" w:type="pct"/>
            <w:tcBorders>
              <w:tl2br w:val="nil"/>
              <w:tr2bl w:val="nil"/>
            </w:tcBorders>
            <w:shd w:val="clear" w:color="auto" w:fill="auto"/>
            <w:vAlign w:val="center"/>
          </w:tcPr>
          <w:p w14:paraId="1C6806A5">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吊重Ⅰ</w:t>
            </w:r>
          </w:p>
        </w:tc>
        <w:tc>
          <w:tcPr>
            <w:tcW w:w="810" w:type="pct"/>
            <w:tcBorders>
              <w:tl2br w:val="nil"/>
              <w:tr2bl w:val="nil"/>
            </w:tcBorders>
            <w:shd w:val="clear" w:color="auto" w:fill="auto"/>
            <w:vAlign w:val="center"/>
          </w:tcPr>
          <w:p w14:paraId="0C19FA3B">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幅度Ⅱ</w:t>
            </w:r>
          </w:p>
        </w:tc>
        <w:tc>
          <w:tcPr>
            <w:tcW w:w="897" w:type="pct"/>
            <w:tcBorders>
              <w:tl2br w:val="nil"/>
              <w:tr2bl w:val="nil"/>
            </w:tcBorders>
            <w:shd w:val="clear" w:color="auto" w:fill="auto"/>
            <w:vAlign w:val="center"/>
          </w:tcPr>
          <w:p w14:paraId="2BFB53E5">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吊重Ⅱ</w:t>
            </w:r>
          </w:p>
        </w:tc>
      </w:tr>
      <w:tr w14:paraId="71FAFBB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1507" w:type="pct"/>
            <w:tcBorders>
              <w:tl2br w:val="nil"/>
              <w:tr2bl w:val="nil"/>
            </w:tcBorders>
            <w:shd w:val="clear" w:color="auto" w:fill="auto"/>
            <w:vAlign w:val="center"/>
          </w:tcPr>
          <w:p w14:paraId="766A7966">
            <w:pPr>
              <w:tabs>
                <w:tab w:val="left" w:pos="360"/>
              </w:tabs>
              <w:adjustRightInd w:val="0"/>
              <w:spacing w:line="240" w:lineRule="auto"/>
              <w:ind w:firstLine="840" w:firstLineChars="400"/>
              <w:rPr>
                <w:rFonts w:ascii="宋体" w:hAnsi="宋体" w:cs="宋体"/>
                <w:sz w:val="21"/>
                <w:highlight w:val="none"/>
              </w:rPr>
            </w:pPr>
            <w:r>
              <w:rPr>
                <w:rFonts w:hint="eastAsia" w:ascii="宋体" w:hAnsi="宋体" w:cs="宋体"/>
                <w:sz w:val="21"/>
                <w:highlight w:val="none"/>
              </w:rPr>
              <w:t>35m</w:t>
            </w:r>
          </w:p>
        </w:tc>
        <w:tc>
          <w:tcPr>
            <w:tcW w:w="880" w:type="pct"/>
            <w:tcBorders>
              <w:tl2br w:val="nil"/>
              <w:tr2bl w:val="nil"/>
            </w:tcBorders>
            <w:shd w:val="clear" w:color="auto" w:fill="auto"/>
            <w:vAlign w:val="center"/>
          </w:tcPr>
          <w:p w14:paraId="7BEA6844">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20m</w:t>
            </w:r>
          </w:p>
        </w:tc>
        <w:tc>
          <w:tcPr>
            <w:tcW w:w="903" w:type="pct"/>
            <w:tcBorders>
              <w:tl2br w:val="nil"/>
              <w:tr2bl w:val="nil"/>
            </w:tcBorders>
            <w:shd w:val="clear" w:color="auto" w:fill="auto"/>
            <w:vAlign w:val="center"/>
          </w:tcPr>
          <w:p w14:paraId="3FE10F47">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15t</w:t>
            </w:r>
          </w:p>
        </w:tc>
        <w:tc>
          <w:tcPr>
            <w:tcW w:w="810" w:type="pct"/>
            <w:tcBorders>
              <w:tl2br w:val="nil"/>
              <w:tr2bl w:val="nil"/>
            </w:tcBorders>
            <w:shd w:val="clear" w:color="auto" w:fill="auto"/>
            <w:vAlign w:val="center"/>
          </w:tcPr>
          <w:p w14:paraId="331E3A76">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35m</w:t>
            </w:r>
          </w:p>
        </w:tc>
        <w:tc>
          <w:tcPr>
            <w:tcW w:w="897" w:type="pct"/>
            <w:tcBorders>
              <w:tl2br w:val="nil"/>
              <w:tr2bl w:val="nil"/>
            </w:tcBorders>
            <w:shd w:val="clear" w:color="auto" w:fill="auto"/>
            <w:vAlign w:val="center"/>
          </w:tcPr>
          <w:p w14:paraId="12CD7069">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9.8125t</w:t>
            </w:r>
          </w:p>
        </w:tc>
      </w:tr>
    </w:tbl>
    <w:p w14:paraId="47B83A8A">
      <w:pPr>
        <w:ind w:firstLine="480"/>
        <w:rPr>
          <w:highlight w:val="none"/>
        </w:rPr>
      </w:pPr>
    </w:p>
    <w:p w14:paraId="1A05C51B">
      <w:pPr>
        <w:spacing w:line="480" w:lineRule="exact"/>
        <w:ind w:firstLine="480"/>
        <w:rPr>
          <w:rFonts w:ascii="宋体" w:hAnsi="宋体" w:cs="宋体"/>
          <w:highlight w:val="none"/>
        </w:rPr>
      </w:pPr>
      <w:r>
        <w:rPr>
          <w:rFonts w:hint="eastAsia" w:ascii="宋体" w:hAnsi="宋体" w:cs="宋体"/>
          <w:highlight w:val="none"/>
        </w:rPr>
        <w:t>在以上幅度Ⅰ、幅度Ⅱ处以最低安全速度将对应的吊重吊离地面100~200mm处，并在吊钩上逐次增加重量至1.25倍，停留10min，卸载后检查金属结构及焊缝是否出现可见裂纹，永久变形、连接松动。（注意：静态超载实验不允许进行变幅及回转）</w:t>
      </w:r>
    </w:p>
    <w:p w14:paraId="7CB81E6C">
      <w:pPr>
        <w:pStyle w:val="5"/>
        <w:bidi w:val="0"/>
        <w:ind w:left="0" w:leftChars="0" w:firstLine="0" w:firstLineChars="0"/>
        <w:rPr>
          <w:highlight w:val="none"/>
        </w:rPr>
      </w:pPr>
      <w:r>
        <w:rPr>
          <w:rFonts w:hint="eastAsia"/>
          <w:highlight w:val="none"/>
        </w:rPr>
        <w:t>超载10%动载试验</w:t>
      </w:r>
    </w:p>
    <w:p w14:paraId="77942438">
      <w:pPr>
        <w:spacing w:line="480" w:lineRule="exact"/>
        <w:ind w:firstLine="480"/>
        <w:rPr>
          <w:rFonts w:ascii="宋体" w:hAnsi="宋体" w:cs="宋体"/>
          <w:highlight w:val="none"/>
        </w:rPr>
      </w:pPr>
      <w:r>
        <w:rPr>
          <w:rFonts w:hint="eastAsia" w:ascii="宋体" w:hAnsi="宋体" w:cs="宋体"/>
          <w:highlight w:val="none"/>
        </w:rPr>
        <w:t>按下表，吊重额定起重量的110%，对各机构对应的全程范围内动作三次，各机构应动作灵活，制动器动作可靠。机构及结构各部件无异常，连接无松动和破坏并做好记录。</w:t>
      </w:r>
    </w:p>
    <w:p w14:paraId="605A128E">
      <w:pPr>
        <w:ind w:firstLine="480"/>
        <w:jc w:val="center"/>
        <w:rPr>
          <w:highlight w:val="none"/>
        </w:rPr>
      </w:pPr>
      <w:r>
        <w:rPr>
          <w:rFonts w:hint="eastAsia"/>
          <w:highlight w:val="none"/>
        </w:rPr>
        <w:t>表4.7.5-1 3#XGT360-20S1静载试验荷载表</w:t>
      </w:r>
    </w:p>
    <w:tbl>
      <w:tblPr>
        <w:tblStyle w:val="44"/>
        <w:tblW w:w="4998"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569"/>
        <w:gridCol w:w="1500"/>
        <w:gridCol w:w="1539"/>
        <w:gridCol w:w="1381"/>
        <w:gridCol w:w="1530"/>
      </w:tblGrid>
      <w:tr w14:paraId="2C84BDB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37" w:hRule="atLeast"/>
          <w:jc w:val="center"/>
        </w:trPr>
        <w:tc>
          <w:tcPr>
            <w:tcW w:w="1507" w:type="pct"/>
            <w:tcBorders>
              <w:tl2br w:val="nil"/>
              <w:tr2bl w:val="nil"/>
            </w:tcBorders>
            <w:shd w:val="clear" w:color="auto" w:fill="auto"/>
          </w:tcPr>
          <w:p w14:paraId="04520F7C">
            <w:pPr>
              <w:tabs>
                <w:tab w:val="left" w:pos="360"/>
              </w:tabs>
              <w:adjustRightInd w:val="0"/>
              <w:snapToGri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项目</w:t>
            </w:r>
          </w:p>
          <w:p w14:paraId="7E51F89A">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臂长</w:t>
            </w:r>
          </w:p>
        </w:tc>
        <w:tc>
          <w:tcPr>
            <w:tcW w:w="880" w:type="pct"/>
            <w:tcBorders>
              <w:tl2br w:val="nil"/>
              <w:tr2bl w:val="nil"/>
            </w:tcBorders>
            <w:shd w:val="clear" w:color="auto" w:fill="auto"/>
            <w:vAlign w:val="center"/>
          </w:tcPr>
          <w:p w14:paraId="7014F5B9">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幅度Ⅰ</w:t>
            </w:r>
          </w:p>
        </w:tc>
        <w:tc>
          <w:tcPr>
            <w:tcW w:w="903" w:type="pct"/>
            <w:tcBorders>
              <w:tl2br w:val="nil"/>
              <w:tr2bl w:val="nil"/>
            </w:tcBorders>
            <w:shd w:val="clear" w:color="auto" w:fill="auto"/>
            <w:vAlign w:val="center"/>
          </w:tcPr>
          <w:p w14:paraId="18F75E33">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吊重Ⅰ</w:t>
            </w:r>
          </w:p>
        </w:tc>
        <w:tc>
          <w:tcPr>
            <w:tcW w:w="810" w:type="pct"/>
            <w:tcBorders>
              <w:tl2br w:val="nil"/>
              <w:tr2bl w:val="nil"/>
            </w:tcBorders>
            <w:shd w:val="clear" w:color="auto" w:fill="auto"/>
            <w:vAlign w:val="center"/>
          </w:tcPr>
          <w:p w14:paraId="0504ACB4">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幅度Ⅱ</w:t>
            </w:r>
          </w:p>
        </w:tc>
        <w:tc>
          <w:tcPr>
            <w:tcW w:w="897" w:type="pct"/>
            <w:tcBorders>
              <w:tl2br w:val="nil"/>
              <w:tr2bl w:val="nil"/>
            </w:tcBorders>
            <w:shd w:val="clear" w:color="auto" w:fill="auto"/>
            <w:vAlign w:val="center"/>
          </w:tcPr>
          <w:p w14:paraId="2D0A29EB">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吊重Ⅱ</w:t>
            </w:r>
          </w:p>
        </w:tc>
      </w:tr>
      <w:tr w14:paraId="33E2850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1507" w:type="pct"/>
            <w:tcBorders>
              <w:tl2br w:val="nil"/>
              <w:tr2bl w:val="nil"/>
            </w:tcBorders>
            <w:shd w:val="clear" w:color="auto" w:fill="auto"/>
            <w:vAlign w:val="center"/>
          </w:tcPr>
          <w:p w14:paraId="51C6B9B3">
            <w:pPr>
              <w:tabs>
                <w:tab w:val="left" w:pos="360"/>
              </w:tabs>
              <w:adjustRightInd w:val="0"/>
              <w:spacing w:line="240" w:lineRule="auto"/>
              <w:ind w:firstLine="840" w:firstLineChars="400"/>
              <w:rPr>
                <w:rFonts w:ascii="宋体" w:hAnsi="宋体" w:cs="宋体"/>
                <w:sz w:val="21"/>
                <w:highlight w:val="none"/>
              </w:rPr>
            </w:pPr>
            <w:r>
              <w:rPr>
                <w:rFonts w:hint="eastAsia" w:ascii="宋体" w:hAnsi="宋体" w:cs="宋体"/>
                <w:sz w:val="21"/>
                <w:highlight w:val="none"/>
              </w:rPr>
              <w:t>45m</w:t>
            </w:r>
          </w:p>
        </w:tc>
        <w:tc>
          <w:tcPr>
            <w:tcW w:w="880" w:type="pct"/>
            <w:tcBorders>
              <w:tl2br w:val="nil"/>
              <w:tr2bl w:val="nil"/>
            </w:tcBorders>
            <w:shd w:val="clear" w:color="auto" w:fill="auto"/>
            <w:vAlign w:val="center"/>
          </w:tcPr>
          <w:p w14:paraId="4C2F9058">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15m</w:t>
            </w:r>
          </w:p>
        </w:tc>
        <w:tc>
          <w:tcPr>
            <w:tcW w:w="903" w:type="pct"/>
            <w:tcBorders>
              <w:tl2br w:val="nil"/>
              <w:tr2bl w:val="nil"/>
            </w:tcBorders>
            <w:shd w:val="clear" w:color="auto" w:fill="auto"/>
            <w:vAlign w:val="center"/>
          </w:tcPr>
          <w:p w14:paraId="2D347AE7">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22t</w:t>
            </w:r>
          </w:p>
        </w:tc>
        <w:tc>
          <w:tcPr>
            <w:tcW w:w="810" w:type="pct"/>
            <w:tcBorders>
              <w:tl2br w:val="nil"/>
              <w:tr2bl w:val="nil"/>
            </w:tcBorders>
            <w:shd w:val="clear" w:color="auto" w:fill="auto"/>
            <w:vAlign w:val="center"/>
          </w:tcPr>
          <w:p w14:paraId="43076FE8">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45m</w:t>
            </w:r>
          </w:p>
        </w:tc>
        <w:tc>
          <w:tcPr>
            <w:tcW w:w="897" w:type="pct"/>
            <w:tcBorders>
              <w:tl2br w:val="nil"/>
              <w:tr2bl w:val="nil"/>
            </w:tcBorders>
            <w:shd w:val="clear" w:color="auto" w:fill="auto"/>
            <w:vAlign w:val="center"/>
          </w:tcPr>
          <w:p w14:paraId="63DFB024">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9.13t</w:t>
            </w:r>
          </w:p>
        </w:tc>
      </w:tr>
    </w:tbl>
    <w:p w14:paraId="20530075">
      <w:pPr>
        <w:ind w:firstLine="480"/>
        <w:jc w:val="center"/>
        <w:rPr>
          <w:highlight w:val="none"/>
        </w:rPr>
      </w:pPr>
      <w:r>
        <w:rPr>
          <w:rFonts w:hint="eastAsia"/>
          <w:highlight w:val="none"/>
        </w:rPr>
        <w:t>表4.7.5-2 4#XGT7026-12S1静载试验荷载表</w:t>
      </w:r>
    </w:p>
    <w:tbl>
      <w:tblPr>
        <w:tblStyle w:val="44"/>
        <w:tblW w:w="4998"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2569"/>
        <w:gridCol w:w="1500"/>
        <w:gridCol w:w="1539"/>
        <w:gridCol w:w="1381"/>
        <w:gridCol w:w="1530"/>
      </w:tblGrid>
      <w:tr w14:paraId="6FB3D2F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37" w:hRule="atLeast"/>
          <w:jc w:val="center"/>
        </w:trPr>
        <w:tc>
          <w:tcPr>
            <w:tcW w:w="1507" w:type="pct"/>
            <w:tcBorders>
              <w:tl2br w:val="nil"/>
              <w:tr2bl w:val="nil"/>
            </w:tcBorders>
            <w:shd w:val="clear" w:color="auto" w:fill="auto"/>
          </w:tcPr>
          <w:p w14:paraId="55879BF3">
            <w:pPr>
              <w:tabs>
                <w:tab w:val="left" w:pos="360"/>
              </w:tabs>
              <w:adjustRightInd w:val="0"/>
              <w:snapToGri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项目</w:t>
            </w:r>
          </w:p>
          <w:p w14:paraId="79BBC1CE">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臂长</w:t>
            </w:r>
          </w:p>
        </w:tc>
        <w:tc>
          <w:tcPr>
            <w:tcW w:w="880" w:type="pct"/>
            <w:tcBorders>
              <w:tl2br w:val="nil"/>
              <w:tr2bl w:val="nil"/>
            </w:tcBorders>
            <w:shd w:val="clear" w:color="auto" w:fill="auto"/>
            <w:vAlign w:val="center"/>
          </w:tcPr>
          <w:p w14:paraId="6DBFF5A6">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幅度Ⅰ</w:t>
            </w:r>
          </w:p>
        </w:tc>
        <w:tc>
          <w:tcPr>
            <w:tcW w:w="903" w:type="pct"/>
            <w:tcBorders>
              <w:tl2br w:val="nil"/>
              <w:tr2bl w:val="nil"/>
            </w:tcBorders>
            <w:shd w:val="clear" w:color="auto" w:fill="auto"/>
            <w:vAlign w:val="center"/>
          </w:tcPr>
          <w:p w14:paraId="53278447">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吊重Ⅰ</w:t>
            </w:r>
          </w:p>
        </w:tc>
        <w:tc>
          <w:tcPr>
            <w:tcW w:w="810" w:type="pct"/>
            <w:tcBorders>
              <w:tl2br w:val="nil"/>
              <w:tr2bl w:val="nil"/>
            </w:tcBorders>
            <w:shd w:val="clear" w:color="auto" w:fill="auto"/>
            <w:vAlign w:val="center"/>
          </w:tcPr>
          <w:p w14:paraId="2C2C0132">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幅度Ⅱ</w:t>
            </w:r>
          </w:p>
        </w:tc>
        <w:tc>
          <w:tcPr>
            <w:tcW w:w="897" w:type="pct"/>
            <w:tcBorders>
              <w:tl2br w:val="nil"/>
              <w:tr2bl w:val="nil"/>
            </w:tcBorders>
            <w:shd w:val="clear" w:color="auto" w:fill="auto"/>
            <w:vAlign w:val="center"/>
          </w:tcPr>
          <w:p w14:paraId="115353DB">
            <w:pPr>
              <w:tabs>
                <w:tab w:val="left" w:pos="360"/>
              </w:tabs>
              <w:adjustRightInd w:val="0"/>
              <w:spacing w:line="240" w:lineRule="auto"/>
              <w:ind w:firstLine="0" w:firstLineChars="0"/>
              <w:jc w:val="center"/>
              <w:rPr>
                <w:rFonts w:ascii="宋体" w:hAnsi="宋体" w:cs="宋体"/>
                <w:b/>
                <w:bCs/>
                <w:sz w:val="21"/>
                <w:highlight w:val="none"/>
              </w:rPr>
            </w:pPr>
            <w:r>
              <w:rPr>
                <w:rFonts w:hint="eastAsia" w:ascii="宋体" w:hAnsi="宋体" w:cs="宋体"/>
                <w:b/>
                <w:bCs/>
                <w:sz w:val="21"/>
                <w:highlight w:val="none"/>
              </w:rPr>
              <w:t>吊重Ⅱ</w:t>
            </w:r>
          </w:p>
        </w:tc>
      </w:tr>
      <w:tr w14:paraId="680529F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1507" w:type="pct"/>
            <w:tcBorders>
              <w:tl2br w:val="nil"/>
              <w:tr2bl w:val="nil"/>
            </w:tcBorders>
            <w:shd w:val="clear" w:color="auto" w:fill="auto"/>
            <w:vAlign w:val="center"/>
          </w:tcPr>
          <w:p w14:paraId="6EC863BE">
            <w:pPr>
              <w:tabs>
                <w:tab w:val="left" w:pos="360"/>
              </w:tabs>
              <w:adjustRightInd w:val="0"/>
              <w:spacing w:line="240" w:lineRule="auto"/>
              <w:ind w:firstLine="840" w:firstLineChars="400"/>
              <w:rPr>
                <w:rFonts w:ascii="宋体" w:hAnsi="宋体" w:cs="宋体"/>
                <w:sz w:val="21"/>
                <w:highlight w:val="none"/>
              </w:rPr>
            </w:pPr>
            <w:r>
              <w:rPr>
                <w:rFonts w:hint="eastAsia" w:ascii="宋体" w:hAnsi="宋体" w:cs="宋体"/>
                <w:sz w:val="21"/>
                <w:highlight w:val="none"/>
              </w:rPr>
              <w:t>35m</w:t>
            </w:r>
          </w:p>
        </w:tc>
        <w:tc>
          <w:tcPr>
            <w:tcW w:w="880" w:type="pct"/>
            <w:tcBorders>
              <w:tl2br w:val="nil"/>
              <w:tr2bl w:val="nil"/>
            </w:tcBorders>
            <w:shd w:val="clear" w:color="auto" w:fill="auto"/>
            <w:vAlign w:val="center"/>
          </w:tcPr>
          <w:p w14:paraId="2E6AA264">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20m</w:t>
            </w:r>
          </w:p>
        </w:tc>
        <w:tc>
          <w:tcPr>
            <w:tcW w:w="903" w:type="pct"/>
            <w:tcBorders>
              <w:tl2br w:val="nil"/>
              <w:tr2bl w:val="nil"/>
            </w:tcBorders>
            <w:shd w:val="clear" w:color="auto" w:fill="auto"/>
            <w:vAlign w:val="center"/>
          </w:tcPr>
          <w:p w14:paraId="1743DA2C">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13.2t</w:t>
            </w:r>
          </w:p>
        </w:tc>
        <w:tc>
          <w:tcPr>
            <w:tcW w:w="810" w:type="pct"/>
            <w:tcBorders>
              <w:tl2br w:val="nil"/>
              <w:tr2bl w:val="nil"/>
            </w:tcBorders>
            <w:shd w:val="clear" w:color="auto" w:fill="auto"/>
            <w:vAlign w:val="center"/>
          </w:tcPr>
          <w:p w14:paraId="04DCA39C">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35m</w:t>
            </w:r>
          </w:p>
        </w:tc>
        <w:tc>
          <w:tcPr>
            <w:tcW w:w="897" w:type="pct"/>
            <w:tcBorders>
              <w:tl2br w:val="nil"/>
              <w:tr2bl w:val="nil"/>
            </w:tcBorders>
            <w:shd w:val="clear" w:color="auto" w:fill="auto"/>
            <w:vAlign w:val="center"/>
          </w:tcPr>
          <w:p w14:paraId="6575E746">
            <w:pPr>
              <w:tabs>
                <w:tab w:val="left" w:pos="360"/>
              </w:tabs>
              <w:adjustRightInd w:val="0"/>
              <w:spacing w:line="240" w:lineRule="auto"/>
              <w:ind w:firstLine="0" w:firstLineChars="0"/>
              <w:jc w:val="center"/>
              <w:rPr>
                <w:rFonts w:ascii="宋体" w:hAnsi="宋体" w:cs="宋体"/>
                <w:sz w:val="21"/>
                <w:highlight w:val="none"/>
              </w:rPr>
            </w:pPr>
            <w:r>
              <w:rPr>
                <w:rFonts w:hint="eastAsia" w:ascii="宋体" w:hAnsi="宋体" w:cs="宋体"/>
                <w:sz w:val="21"/>
                <w:highlight w:val="none"/>
              </w:rPr>
              <w:t>8.635t</w:t>
            </w:r>
          </w:p>
        </w:tc>
      </w:tr>
    </w:tbl>
    <w:p w14:paraId="0F5181E2">
      <w:pPr>
        <w:spacing w:line="480" w:lineRule="exact"/>
        <w:ind w:firstLine="480"/>
        <w:rPr>
          <w:rFonts w:ascii="宋体" w:hAnsi="宋体" w:cs="宋体"/>
          <w:highlight w:val="none"/>
        </w:rPr>
      </w:pPr>
    </w:p>
    <w:bookmarkEnd w:id="49"/>
    <w:bookmarkEnd w:id="50"/>
    <w:p w14:paraId="6B5E4171">
      <w:pPr>
        <w:pStyle w:val="3"/>
        <w:bidi w:val="0"/>
        <w:ind w:left="432" w:leftChars="0" w:hanging="432" w:firstLineChars="0"/>
        <w:rPr>
          <w:highlight w:val="none"/>
        </w:rPr>
      </w:pPr>
      <w:bookmarkStart w:id="51" w:name="_Toc5797"/>
      <w:r>
        <w:rPr>
          <w:rFonts w:hint="eastAsia"/>
          <w:highlight w:val="none"/>
        </w:rPr>
        <w:t>质量控制措施</w:t>
      </w:r>
      <w:bookmarkEnd w:id="51"/>
    </w:p>
    <w:p w14:paraId="0B13791B">
      <w:pPr>
        <w:pStyle w:val="4"/>
        <w:bidi w:val="0"/>
        <w:ind w:left="0" w:leftChars="0" w:firstLine="0" w:firstLineChars="0"/>
        <w:rPr>
          <w:highlight w:val="none"/>
        </w:rPr>
      </w:pPr>
      <w:bookmarkStart w:id="52" w:name="_Toc7345"/>
      <w:bookmarkStart w:id="53" w:name="_Toc25993"/>
      <w:bookmarkStart w:id="54" w:name="_Toc17963"/>
      <w:bookmarkStart w:id="55" w:name="_Toc122514833"/>
      <w:bookmarkStart w:id="56" w:name="_Toc3450"/>
      <w:r>
        <w:rPr>
          <w:highlight w:val="none"/>
        </w:rPr>
        <w:t>质量管理组织机构</w:t>
      </w:r>
      <w:bookmarkEnd w:id="52"/>
      <w:bookmarkEnd w:id="53"/>
      <w:bookmarkEnd w:id="54"/>
      <w:bookmarkEnd w:id="55"/>
      <w:bookmarkEnd w:id="56"/>
    </w:p>
    <w:p w14:paraId="1B012E30">
      <w:pPr>
        <w:pStyle w:val="16"/>
        <w:ind w:firstLine="480"/>
        <w:rPr>
          <w:highlight w:val="none"/>
        </w:rPr>
      </w:pPr>
      <w:bookmarkStart w:id="57" w:name="_Toc33269587"/>
      <w:bookmarkStart w:id="58" w:name="_Toc17352"/>
      <w:bookmarkStart w:id="59" w:name="_Toc1444"/>
      <w:bookmarkStart w:id="60" w:name="_Toc0"/>
      <w:r>
        <w:rPr>
          <w:rFonts w:hint="eastAsia"/>
          <w:highlight w:val="none"/>
        </w:rPr>
        <w:t>根据本施工工程成立质量管理组织机构，其人员组成、工作职责详见下表。</w:t>
      </w:r>
    </w:p>
    <w:p w14:paraId="2C544A59">
      <w:pPr>
        <w:pStyle w:val="18"/>
        <w:ind w:firstLine="480"/>
        <w:rPr>
          <w:rFonts w:cs="Times New Roman"/>
          <w:highlight w:val="none"/>
        </w:rPr>
      </w:pPr>
      <w:r>
        <w:rPr>
          <w:highlight w:val="none"/>
        </w:rPr>
        <w:t xml:space="preserve">表 </w:t>
      </w:r>
      <w:r>
        <w:rPr>
          <w:highlight w:val="none"/>
        </w:rPr>
        <w:fldChar w:fldCharType="begin"/>
      </w:r>
      <w:r>
        <w:rPr>
          <w:highlight w:val="none"/>
        </w:rPr>
        <w:instrText xml:space="preserve"> STYLEREF 2 \s </w:instrText>
      </w:r>
      <w:r>
        <w:rPr>
          <w:highlight w:val="none"/>
        </w:rPr>
        <w:fldChar w:fldCharType="separate"/>
      </w:r>
      <w:r>
        <w:rPr>
          <w:highlight w:val="none"/>
        </w:rPr>
        <w:t>5.1</w:t>
      </w:r>
      <w:r>
        <w:rPr>
          <w:highlight w:val="none"/>
        </w:rPr>
        <w:fldChar w:fldCharType="end"/>
      </w:r>
      <w:r>
        <w:rPr>
          <w:rFonts w:hint="eastAsia"/>
          <w:highlight w:val="none"/>
        </w:rPr>
        <w:t>-</w:t>
      </w:r>
      <w:r>
        <w:rPr>
          <w:highlight w:val="none"/>
        </w:rPr>
        <w:fldChar w:fldCharType="begin"/>
      </w:r>
      <w:r>
        <w:rPr>
          <w:highlight w:val="none"/>
        </w:rPr>
        <w:instrText xml:space="preserve"> SEQ 表 \* ARABIC \s 2 </w:instrText>
      </w:r>
      <w:r>
        <w:rPr>
          <w:highlight w:val="none"/>
        </w:rPr>
        <w:fldChar w:fldCharType="separate"/>
      </w:r>
      <w:r>
        <w:rPr>
          <w:highlight w:val="none"/>
        </w:rPr>
        <w:t>1</w:t>
      </w:r>
      <w:r>
        <w:rPr>
          <w:highlight w:val="none"/>
        </w:rPr>
        <w:fldChar w:fldCharType="end"/>
      </w:r>
      <w:r>
        <w:rPr>
          <w:rFonts w:cs="Times New Roman"/>
          <w:szCs w:val="22"/>
          <w:highlight w:val="none"/>
        </w:rPr>
        <w:t>质量管理组织机构</w:t>
      </w:r>
      <w:r>
        <w:rPr>
          <w:rFonts w:hint="eastAsia" w:cs="Times New Roman"/>
          <w:szCs w:val="22"/>
          <w:highlight w:val="none"/>
        </w:rPr>
        <w:t>表</w:t>
      </w:r>
    </w:p>
    <w:tbl>
      <w:tblPr>
        <w:tblStyle w:val="396"/>
        <w:tblW w:w="488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97"/>
        <w:gridCol w:w="2148"/>
        <w:gridCol w:w="889"/>
        <w:gridCol w:w="4199"/>
        <w:gridCol w:w="588"/>
      </w:tblGrid>
      <w:tr w14:paraId="77F17B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299" w:type="pct"/>
            <w:shd w:val="clear" w:color="auto" w:fill="auto"/>
            <w:vAlign w:val="center"/>
          </w:tcPr>
          <w:p w14:paraId="2D7D0F94">
            <w:pPr>
              <w:snapToGrid w:val="0"/>
              <w:spacing w:line="240" w:lineRule="auto"/>
              <w:ind w:firstLine="0" w:firstLineChars="0"/>
              <w:jc w:val="center"/>
              <w:rPr>
                <w:b/>
                <w:sz w:val="21"/>
                <w:highlight w:val="none"/>
              </w:rPr>
            </w:pPr>
            <w:r>
              <w:rPr>
                <w:rFonts w:hint="eastAsia"/>
                <w:b/>
                <w:sz w:val="21"/>
                <w:highlight w:val="none"/>
              </w:rPr>
              <w:t>序号</w:t>
            </w:r>
          </w:p>
        </w:tc>
        <w:tc>
          <w:tcPr>
            <w:tcW w:w="1290" w:type="pct"/>
            <w:shd w:val="clear" w:color="auto" w:fill="auto"/>
            <w:vAlign w:val="center"/>
          </w:tcPr>
          <w:p w14:paraId="40920F12">
            <w:pPr>
              <w:snapToGrid w:val="0"/>
              <w:spacing w:line="240" w:lineRule="auto"/>
              <w:ind w:firstLine="0" w:firstLineChars="0"/>
              <w:jc w:val="center"/>
              <w:rPr>
                <w:b/>
                <w:bCs/>
                <w:sz w:val="21"/>
                <w:highlight w:val="none"/>
              </w:rPr>
            </w:pPr>
            <w:r>
              <w:rPr>
                <w:rFonts w:hint="eastAsia"/>
                <w:b/>
                <w:bCs/>
                <w:sz w:val="21"/>
                <w:highlight w:val="none"/>
              </w:rPr>
              <w:t>岗位</w:t>
            </w:r>
          </w:p>
        </w:tc>
        <w:tc>
          <w:tcPr>
            <w:tcW w:w="534" w:type="pct"/>
            <w:shd w:val="clear" w:color="auto" w:fill="auto"/>
            <w:vAlign w:val="center"/>
          </w:tcPr>
          <w:p w14:paraId="4F6E562B">
            <w:pPr>
              <w:snapToGrid w:val="0"/>
              <w:spacing w:line="240" w:lineRule="auto"/>
              <w:ind w:firstLine="0" w:firstLineChars="0"/>
              <w:jc w:val="center"/>
              <w:rPr>
                <w:b/>
                <w:sz w:val="21"/>
                <w:highlight w:val="none"/>
              </w:rPr>
            </w:pPr>
            <w:r>
              <w:rPr>
                <w:rFonts w:hint="eastAsia"/>
                <w:b/>
                <w:bCs/>
                <w:sz w:val="21"/>
                <w:highlight w:val="none"/>
              </w:rPr>
              <w:t>姓名</w:t>
            </w:r>
          </w:p>
        </w:tc>
        <w:tc>
          <w:tcPr>
            <w:tcW w:w="2522" w:type="pct"/>
            <w:shd w:val="clear" w:color="auto" w:fill="auto"/>
            <w:vAlign w:val="center"/>
          </w:tcPr>
          <w:p w14:paraId="40DA1B37">
            <w:pPr>
              <w:snapToGrid w:val="0"/>
              <w:spacing w:line="240" w:lineRule="auto"/>
              <w:ind w:firstLine="0" w:firstLineChars="0"/>
              <w:jc w:val="center"/>
              <w:rPr>
                <w:b/>
                <w:sz w:val="21"/>
                <w:highlight w:val="none"/>
              </w:rPr>
            </w:pPr>
            <w:r>
              <w:rPr>
                <w:rFonts w:hint="eastAsia"/>
                <w:b/>
                <w:sz w:val="21"/>
                <w:highlight w:val="none"/>
              </w:rPr>
              <w:t>工作职责</w:t>
            </w:r>
          </w:p>
        </w:tc>
        <w:tc>
          <w:tcPr>
            <w:tcW w:w="353" w:type="pct"/>
            <w:shd w:val="clear" w:color="auto" w:fill="auto"/>
            <w:vAlign w:val="center"/>
          </w:tcPr>
          <w:p w14:paraId="6274D502">
            <w:pPr>
              <w:snapToGrid w:val="0"/>
              <w:spacing w:line="240" w:lineRule="auto"/>
              <w:ind w:firstLine="0" w:firstLineChars="0"/>
              <w:jc w:val="center"/>
              <w:rPr>
                <w:b/>
                <w:sz w:val="21"/>
                <w:highlight w:val="none"/>
              </w:rPr>
            </w:pPr>
            <w:r>
              <w:rPr>
                <w:rFonts w:hint="eastAsia"/>
                <w:b/>
                <w:sz w:val="21"/>
                <w:highlight w:val="none"/>
              </w:rPr>
              <w:t>备注</w:t>
            </w:r>
          </w:p>
        </w:tc>
      </w:tr>
      <w:tr w14:paraId="38D71C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9" w:type="pct"/>
            <w:shd w:val="clear" w:color="auto" w:fill="auto"/>
            <w:vAlign w:val="center"/>
          </w:tcPr>
          <w:p w14:paraId="5892473F">
            <w:pPr>
              <w:numPr>
                <w:ilvl w:val="0"/>
                <w:numId w:val="29"/>
              </w:numPr>
              <w:snapToGrid w:val="0"/>
              <w:spacing w:line="240" w:lineRule="auto"/>
              <w:ind w:left="0" w:firstLine="0" w:firstLineChars="0"/>
              <w:jc w:val="center"/>
              <w:rPr>
                <w:sz w:val="21"/>
                <w:highlight w:val="none"/>
              </w:rPr>
            </w:pPr>
          </w:p>
        </w:tc>
        <w:tc>
          <w:tcPr>
            <w:tcW w:w="1290" w:type="pct"/>
            <w:shd w:val="clear" w:color="auto" w:fill="auto"/>
            <w:vAlign w:val="center"/>
          </w:tcPr>
          <w:p w14:paraId="7A90AF0D">
            <w:pPr>
              <w:pStyle w:val="53"/>
              <w:snapToGrid w:val="0"/>
              <w:rPr>
                <w:b w:val="0"/>
                <w:highlight w:val="none"/>
              </w:rPr>
            </w:pPr>
            <w:r>
              <w:rPr>
                <w:rFonts w:hint="eastAsia"/>
                <w:b w:val="0"/>
                <w:highlight w:val="none"/>
              </w:rPr>
              <w:t>技术负责人</w:t>
            </w:r>
          </w:p>
        </w:tc>
        <w:tc>
          <w:tcPr>
            <w:tcW w:w="534" w:type="pct"/>
            <w:shd w:val="clear" w:color="auto" w:fill="auto"/>
            <w:vAlign w:val="center"/>
          </w:tcPr>
          <w:p w14:paraId="033BC647">
            <w:pPr>
              <w:pStyle w:val="53"/>
              <w:snapToGrid w:val="0"/>
              <w:rPr>
                <w:b w:val="0"/>
                <w:highlight w:val="none"/>
              </w:rPr>
            </w:pPr>
            <w:r>
              <w:rPr>
                <w:rFonts w:hint="eastAsia"/>
                <w:b w:val="0"/>
                <w:highlight w:val="none"/>
              </w:rPr>
              <w:t>温涛</w:t>
            </w:r>
          </w:p>
        </w:tc>
        <w:tc>
          <w:tcPr>
            <w:tcW w:w="2522" w:type="pct"/>
            <w:shd w:val="clear" w:color="auto" w:fill="auto"/>
            <w:vAlign w:val="center"/>
          </w:tcPr>
          <w:p w14:paraId="39899B23">
            <w:pPr>
              <w:pStyle w:val="53"/>
              <w:snapToGrid w:val="0"/>
              <w:rPr>
                <w:b w:val="0"/>
                <w:highlight w:val="none"/>
              </w:rPr>
            </w:pPr>
            <w:r>
              <w:rPr>
                <w:rStyle w:val="220"/>
                <w:rFonts w:hint="eastAsia" w:cstheme="minorBidi"/>
                <w:b w:val="0"/>
                <w:color w:val="000000"/>
                <w:highlight w:val="none"/>
              </w:rPr>
              <w:t>技术负责人负责制定塔吊安装方案的技术细节，包括安装流程、技术参数、安全技术措施等内容；同时，在安装过程中提供技术指导，解决各类技术问题，监督技术方案执行情况并及时调整优化。</w:t>
            </w:r>
          </w:p>
        </w:tc>
        <w:tc>
          <w:tcPr>
            <w:tcW w:w="353" w:type="pct"/>
            <w:shd w:val="clear" w:color="auto" w:fill="auto"/>
            <w:vAlign w:val="center"/>
          </w:tcPr>
          <w:p w14:paraId="11947BFB">
            <w:pPr>
              <w:snapToGrid w:val="0"/>
              <w:spacing w:line="240" w:lineRule="auto"/>
              <w:ind w:firstLine="0" w:firstLineChars="0"/>
              <w:jc w:val="center"/>
              <w:rPr>
                <w:sz w:val="21"/>
                <w:highlight w:val="none"/>
              </w:rPr>
            </w:pPr>
          </w:p>
        </w:tc>
      </w:tr>
      <w:tr w14:paraId="3FFACD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9" w:type="pct"/>
            <w:shd w:val="clear" w:color="auto" w:fill="auto"/>
            <w:vAlign w:val="center"/>
          </w:tcPr>
          <w:p w14:paraId="106B0A2A">
            <w:pPr>
              <w:numPr>
                <w:ilvl w:val="0"/>
                <w:numId w:val="29"/>
              </w:numPr>
              <w:snapToGrid w:val="0"/>
              <w:spacing w:line="240" w:lineRule="auto"/>
              <w:ind w:left="0" w:firstLine="0" w:firstLineChars="0"/>
              <w:jc w:val="center"/>
              <w:rPr>
                <w:sz w:val="21"/>
                <w:highlight w:val="none"/>
              </w:rPr>
            </w:pPr>
          </w:p>
        </w:tc>
        <w:tc>
          <w:tcPr>
            <w:tcW w:w="1290" w:type="pct"/>
            <w:shd w:val="clear" w:color="auto" w:fill="auto"/>
            <w:vAlign w:val="center"/>
          </w:tcPr>
          <w:p w14:paraId="722E77B7">
            <w:pPr>
              <w:pStyle w:val="53"/>
              <w:snapToGrid w:val="0"/>
              <w:rPr>
                <w:b w:val="0"/>
                <w:highlight w:val="none"/>
              </w:rPr>
            </w:pPr>
            <w:r>
              <w:rPr>
                <w:rFonts w:hint="eastAsia"/>
                <w:b w:val="0"/>
                <w:highlight w:val="none"/>
              </w:rPr>
              <w:t>项目负责人</w:t>
            </w:r>
          </w:p>
        </w:tc>
        <w:tc>
          <w:tcPr>
            <w:tcW w:w="534" w:type="pct"/>
            <w:shd w:val="clear" w:color="auto" w:fill="auto"/>
            <w:vAlign w:val="center"/>
          </w:tcPr>
          <w:p w14:paraId="63608EDE">
            <w:pPr>
              <w:pStyle w:val="53"/>
              <w:snapToGrid w:val="0"/>
              <w:rPr>
                <w:b w:val="0"/>
                <w:highlight w:val="none"/>
              </w:rPr>
            </w:pPr>
            <w:r>
              <w:rPr>
                <w:rFonts w:hint="eastAsia"/>
                <w:b w:val="0"/>
                <w:highlight w:val="none"/>
              </w:rPr>
              <w:t>吕仕昌</w:t>
            </w:r>
          </w:p>
        </w:tc>
        <w:tc>
          <w:tcPr>
            <w:tcW w:w="2522" w:type="pct"/>
            <w:shd w:val="clear" w:color="auto" w:fill="auto"/>
            <w:vAlign w:val="center"/>
          </w:tcPr>
          <w:p w14:paraId="7B946138">
            <w:pPr>
              <w:pStyle w:val="53"/>
              <w:snapToGrid w:val="0"/>
              <w:rPr>
                <w:b w:val="0"/>
                <w:highlight w:val="none"/>
              </w:rPr>
            </w:pPr>
            <w:r>
              <w:rPr>
                <w:rFonts w:hint="eastAsia"/>
                <w:b w:val="0"/>
                <w:highlight w:val="none"/>
              </w:rPr>
              <w:t>负责现场安拆指导及安全管理</w:t>
            </w:r>
          </w:p>
        </w:tc>
        <w:tc>
          <w:tcPr>
            <w:tcW w:w="353" w:type="pct"/>
            <w:shd w:val="clear" w:color="auto" w:fill="auto"/>
            <w:vAlign w:val="center"/>
          </w:tcPr>
          <w:p w14:paraId="1A8953C1">
            <w:pPr>
              <w:snapToGrid w:val="0"/>
              <w:spacing w:line="240" w:lineRule="auto"/>
              <w:ind w:firstLine="0" w:firstLineChars="0"/>
              <w:jc w:val="center"/>
              <w:rPr>
                <w:sz w:val="21"/>
                <w:highlight w:val="none"/>
              </w:rPr>
            </w:pPr>
          </w:p>
        </w:tc>
      </w:tr>
      <w:tr w14:paraId="60C7E9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9" w:type="pct"/>
            <w:shd w:val="clear" w:color="auto" w:fill="auto"/>
            <w:vAlign w:val="center"/>
          </w:tcPr>
          <w:p w14:paraId="75272C8A">
            <w:pPr>
              <w:numPr>
                <w:ilvl w:val="0"/>
                <w:numId w:val="29"/>
              </w:numPr>
              <w:snapToGrid w:val="0"/>
              <w:spacing w:line="240" w:lineRule="auto"/>
              <w:ind w:left="0" w:firstLine="0" w:firstLineChars="0"/>
              <w:jc w:val="center"/>
              <w:rPr>
                <w:sz w:val="21"/>
                <w:highlight w:val="none"/>
              </w:rPr>
            </w:pPr>
          </w:p>
        </w:tc>
        <w:tc>
          <w:tcPr>
            <w:tcW w:w="1290" w:type="pct"/>
            <w:shd w:val="clear" w:color="auto" w:fill="auto"/>
            <w:vAlign w:val="center"/>
          </w:tcPr>
          <w:p w14:paraId="5067EC68">
            <w:pPr>
              <w:pStyle w:val="53"/>
              <w:snapToGrid w:val="0"/>
              <w:rPr>
                <w:b w:val="0"/>
                <w:highlight w:val="none"/>
              </w:rPr>
            </w:pPr>
            <w:r>
              <w:rPr>
                <w:rFonts w:hint="eastAsia"/>
                <w:b w:val="0"/>
                <w:highlight w:val="none"/>
              </w:rPr>
              <w:t>现场负责人</w:t>
            </w:r>
          </w:p>
        </w:tc>
        <w:tc>
          <w:tcPr>
            <w:tcW w:w="534" w:type="pct"/>
            <w:shd w:val="clear" w:color="auto" w:fill="auto"/>
            <w:vAlign w:val="center"/>
          </w:tcPr>
          <w:p w14:paraId="25F09F1E">
            <w:pPr>
              <w:pStyle w:val="53"/>
              <w:snapToGrid w:val="0"/>
              <w:rPr>
                <w:b w:val="0"/>
                <w:highlight w:val="none"/>
              </w:rPr>
            </w:pPr>
            <w:r>
              <w:rPr>
                <w:rFonts w:hint="eastAsia"/>
                <w:b w:val="0"/>
                <w:highlight w:val="none"/>
              </w:rPr>
              <w:t>罗乾龙</w:t>
            </w:r>
          </w:p>
        </w:tc>
        <w:tc>
          <w:tcPr>
            <w:tcW w:w="2522" w:type="pct"/>
            <w:shd w:val="clear" w:color="auto" w:fill="auto"/>
            <w:vAlign w:val="center"/>
          </w:tcPr>
          <w:p w14:paraId="4D5565E1">
            <w:pPr>
              <w:pStyle w:val="53"/>
              <w:snapToGrid w:val="0"/>
              <w:rPr>
                <w:b w:val="0"/>
                <w:highlight w:val="none"/>
              </w:rPr>
            </w:pPr>
            <w:r>
              <w:rPr>
                <w:rFonts w:hint="eastAsia"/>
                <w:b w:val="0"/>
                <w:highlight w:val="none"/>
              </w:rPr>
              <w:t>负责组织人员按安装工艺规程及塔吊使用说明书要求进行作业，负责每日的工作安排，安全交底、工作记录，制止任何违章作业。</w:t>
            </w:r>
          </w:p>
        </w:tc>
        <w:tc>
          <w:tcPr>
            <w:tcW w:w="353" w:type="pct"/>
            <w:shd w:val="clear" w:color="auto" w:fill="auto"/>
            <w:vAlign w:val="center"/>
          </w:tcPr>
          <w:p w14:paraId="5243E56F">
            <w:pPr>
              <w:snapToGrid w:val="0"/>
              <w:spacing w:line="240" w:lineRule="auto"/>
              <w:ind w:firstLine="0" w:firstLineChars="0"/>
              <w:jc w:val="center"/>
              <w:rPr>
                <w:sz w:val="21"/>
                <w:highlight w:val="none"/>
              </w:rPr>
            </w:pPr>
          </w:p>
        </w:tc>
      </w:tr>
      <w:tr w14:paraId="5BEE44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9" w:type="pct"/>
            <w:shd w:val="clear" w:color="auto" w:fill="auto"/>
            <w:vAlign w:val="center"/>
          </w:tcPr>
          <w:p w14:paraId="15BCF3DC">
            <w:pPr>
              <w:numPr>
                <w:ilvl w:val="0"/>
                <w:numId w:val="29"/>
              </w:numPr>
              <w:snapToGrid w:val="0"/>
              <w:spacing w:line="240" w:lineRule="auto"/>
              <w:ind w:left="0" w:firstLine="0" w:firstLineChars="0"/>
              <w:jc w:val="center"/>
              <w:rPr>
                <w:sz w:val="21"/>
                <w:highlight w:val="none"/>
              </w:rPr>
            </w:pPr>
          </w:p>
        </w:tc>
        <w:tc>
          <w:tcPr>
            <w:tcW w:w="1290" w:type="pct"/>
            <w:shd w:val="clear" w:color="auto" w:fill="auto"/>
            <w:vAlign w:val="center"/>
          </w:tcPr>
          <w:p w14:paraId="76561732">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34" w:type="pct"/>
            <w:shd w:val="clear" w:color="auto" w:fill="auto"/>
            <w:vAlign w:val="center"/>
          </w:tcPr>
          <w:p w14:paraId="47D6A010">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胡杰</w:t>
            </w:r>
          </w:p>
        </w:tc>
        <w:tc>
          <w:tcPr>
            <w:tcW w:w="2522" w:type="pct"/>
            <w:shd w:val="clear" w:color="auto" w:fill="auto"/>
            <w:vAlign w:val="center"/>
          </w:tcPr>
          <w:p w14:paraId="4BF2E7CD">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w:t>
            </w:r>
          </w:p>
          <w:p w14:paraId="0D1A1564">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及维保</w:t>
            </w:r>
          </w:p>
        </w:tc>
        <w:tc>
          <w:tcPr>
            <w:tcW w:w="353" w:type="pct"/>
            <w:shd w:val="clear" w:color="auto" w:fill="auto"/>
            <w:vAlign w:val="center"/>
          </w:tcPr>
          <w:p w14:paraId="44E08F27">
            <w:pPr>
              <w:snapToGrid w:val="0"/>
              <w:spacing w:line="240" w:lineRule="auto"/>
              <w:ind w:firstLine="0" w:firstLineChars="0"/>
              <w:jc w:val="center"/>
              <w:rPr>
                <w:sz w:val="21"/>
                <w:highlight w:val="none"/>
              </w:rPr>
            </w:pPr>
          </w:p>
        </w:tc>
      </w:tr>
      <w:tr w14:paraId="01327D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jc w:val="center"/>
        </w:trPr>
        <w:tc>
          <w:tcPr>
            <w:tcW w:w="299" w:type="pct"/>
            <w:shd w:val="clear" w:color="auto" w:fill="auto"/>
            <w:vAlign w:val="center"/>
          </w:tcPr>
          <w:p w14:paraId="4C7B7AC0">
            <w:pPr>
              <w:numPr>
                <w:ilvl w:val="0"/>
                <w:numId w:val="29"/>
              </w:numPr>
              <w:snapToGrid w:val="0"/>
              <w:spacing w:line="240" w:lineRule="auto"/>
              <w:ind w:left="0" w:firstLine="0" w:firstLineChars="0"/>
              <w:jc w:val="center"/>
              <w:rPr>
                <w:sz w:val="21"/>
                <w:highlight w:val="none"/>
              </w:rPr>
            </w:pPr>
          </w:p>
        </w:tc>
        <w:tc>
          <w:tcPr>
            <w:tcW w:w="1290" w:type="pct"/>
            <w:shd w:val="clear" w:color="auto" w:fill="auto"/>
            <w:vAlign w:val="center"/>
          </w:tcPr>
          <w:p w14:paraId="2DB980A0">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34" w:type="pct"/>
            <w:shd w:val="clear" w:color="auto" w:fill="auto"/>
            <w:vAlign w:val="center"/>
          </w:tcPr>
          <w:p w14:paraId="08F1FFA0">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何小兵</w:t>
            </w:r>
          </w:p>
        </w:tc>
        <w:tc>
          <w:tcPr>
            <w:tcW w:w="2522" w:type="pct"/>
            <w:shd w:val="clear" w:color="auto" w:fill="auto"/>
            <w:vAlign w:val="center"/>
          </w:tcPr>
          <w:p w14:paraId="39E4E97F">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负责设备安拆调试及维保</w:t>
            </w:r>
          </w:p>
        </w:tc>
        <w:tc>
          <w:tcPr>
            <w:tcW w:w="353" w:type="pct"/>
            <w:shd w:val="clear" w:color="auto" w:fill="auto"/>
            <w:vAlign w:val="center"/>
          </w:tcPr>
          <w:p w14:paraId="6C0FD630">
            <w:pPr>
              <w:snapToGrid w:val="0"/>
              <w:spacing w:line="240" w:lineRule="auto"/>
              <w:ind w:firstLine="0" w:firstLineChars="0"/>
              <w:jc w:val="center"/>
              <w:rPr>
                <w:sz w:val="21"/>
                <w:highlight w:val="none"/>
              </w:rPr>
            </w:pPr>
          </w:p>
        </w:tc>
      </w:tr>
      <w:tr w14:paraId="5EB8D5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9" w:type="pct"/>
            <w:shd w:val="clear" w:color="auto" w:fill="auto"/>
            <w:vAlign w:val="center"/>
          </w:tcPr>
          <w:p w14:paraId="2EAA0A2C">
            <w:pPr>
              <w:numPr>
                <w:ilvl w:val="0"/>
                <w:numId w:val="29"/>
              </w:numPr>
              <w:snapToGrid w:val="0"/>
              <w:spacing w:line="240" w:lineRule="auto"/>
              <w:ind w:left="0" w:firstLine="0" w:firstLineChars="0"/>
              <w:jc w:val="center"/>
              <w:rPr>
                <w:sz w:val="21"/>
                <w:highlight w:val="none"/>
              </w:rPr>
            </w:pPr>
          </w:p>
        </w:tc>
        <w:tc>
          <w:tcPr>
            <w:tcW w:w="1290" w:type="pct"/>
            <w:shd w:val="clear" w:color="auto" w:fill="auto"/>
            <w:vAlign w:val="center"/>
          </w:tcPr>
          <w:p w14:paraId="168F7738">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34" w:type="pct"/>
            <w:shd w:val="clear" w:color="auto" w:fill="auto"/>
            <w:vAlign w:val="center"/>
          </w:tcPr>
          <w:p w14:paraId="1CD1A25F">
            <w:pPr>
              <w:snapToGrid w:val="0"/>
              <w:spacing w:line="240" w:lineRule="auto"/>
              <w:ind w:firstLine="0" w:firstLineChars="0"/>
              <w:jc w:val="center"/>
              <w:rPr>
                <w:rFonts w:hint="eastAsia" w:eastAsia="宋体"/>
                <w:bCs/>
                <w:color w:val="000000" w:themeColor="text1"/>
                <w:sz w:val="21"/>
                <w:highlight w:val="none"/>
                <w:lang w:eastAsia="zh-CN"/>
                <w14:textFill>
                  <w14:solidFill>
                    <w14:schemeClr w14:val="tx1"/>
                  </w14:solidFill>
                </w14:textFill>
              </w:rPr>
            </w:pPr>
            <w:r>
              <w:rPr>
                <w:rFonts w:hint="eastAsia"/>
                <w:bCs/>
                <w:color w:val="000000" w:themeColor="text1"/>
                <w:sz w:val="21"/>
                <w:highlight w:val="none"/>
                <w:lang w:eastAsia="zh-CN"/>
                <w14:textFill>
                  <w14:solidFill>
                    <w14:schemeClr w14:val="tx1"/>
                  </w14:solidFill>
                </w14:textFill>
              </w:rPr>
              <w:t>李国林</w:t>
            </w:r>
          </w:p>
        </w:tc>
        <w:tc>
          <w:tcPr>
            <w:tcW w:w="2522" w:type="pct"/>
            <w:shd w:val="clear" w:color="auto" w:fill="auto"/>
            <w:vAlign w:val="center"/>
          </w:tcPr>
          <w:p w14:paraId="36861C8F">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负责设备安拆调试及维保</w:t>
            </w:r>
          </w:p>
        </w:tc>
        <w:tc>
          <w:tcPr>
            <w:tcW w:w="353" w:type="pct"/>
            <w:shd w:val="clear" w:color="auto" w:fill="auto"/>
            <w:vAlign w:val="center"/>
          </w:tcPr>
          <w:p w14:paraId="76F90649">
            <w:pPr>
              <w:snapToGrid w:val="0"/>
              <w:spacing w:line="240" w:lineRule="auto"/>
              <w:ind w:firstLine="0" w:firstLineChars="0"/>
              <w:jc w:val="center"/>
              <w:rPr>
                <w:sz w:val="21"/>
                <w:highlight w:val="none"/>
              </w:rPr>
            </w:pPr>
          </w:p>
        </w:tc>
      </w:tr>
      <w:tr w14:paraId="73368B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9" w:type="pct"/>
            <w:shd w:val="clear" w:color="auto" w:fill="auto"/>
            <w:vAlign w:val="center"/>
          </w:tcPr>
          <w:p w14:paraId="7FB36E5A">
            <w:pPr>
              <w:numPr>
                <w:ilvl w:val="0"/>
                <w:numId w:val="29"/>
              </w:numPr>
              <w:snapToGrid w:val="0"/>
              <w:spacing w:line="240" w:lineRule="auto"/>
              <w:ind w:left="0" w:firstLine="0" w:firstLineChars="0"/>
              <w:jc w:val="center"/>
              <w:rPr>
                <w:sz w:val="21"/>
                <w:highlight w:val="none"/>
              </w:rPr>
            </w:pPr>
          </w:p>
        </w:tc>
        <w:tc>
          <w:tcPr>
            <w:tcW w:w="1290" w:type="pct"/>
            <w:shd w:val="clear" w:color="auto" w:fill="auto"/>
            <w:vAlign w:val="center"/>
          </w:tcPr>
          <w:p w14:paraId="703A61CB">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34" w:type="pct"/>
            <w:shd w:val="clear" w:color="auto" w:fill="auto"/>
            <w:vAlign w:val="center"/>
          </w:tcPr>
          <w:p w14:paraId="165555E9">
            <w:pPr>
              <w:snapToGrid w:val="0"/>
              <w:spacing w:line="240" w:lineRule="auto"/>
              <w:ind w:firstLine="0" w:firstLineChars="0"/>
              <w:jc w:val="center"/>
              <w:rPr>
                <w:rFonts w:hint="eastAsia" w:eastAsia="宋体"/>
                <w:bCs/>
                <w:color w:val="000000" w:themeColor="text1"/>
                <w:sz w:val="21"/>
                <w:highlight w:val="none"/>
                <w:lang w:eastAsia="zh-CN"/>
                <w14:textFill>
                  <w14:solidFill>
                    <w14:schemeClr w14:val="tx1"/>
                  </w14:solidFill>
                </w14:textFill>
              </w:rPr>
            </w:pPr>
            <w:r>
              <w:rPr>
                <w:rFonts w:hint="eastAsia"/>
                <w:bCs/>
                <w:color w:val="000000" w:themeColor="text1"/>
                <w:sz w:val="21"/>
                <w:highlight w:val="none"/>
                <w:lang w:val="en-US" w:eastAsia="zh-CN"/>
                <w14:textFill>
                  <w14:solidFill>
                    <w14:schemeClr w14:val="tx1"/>
                  </w14:solidFill>
                </w14:textFill>
              </w:rPr>
              <w:t>薛强</w:t>
            </w:r>
          </w:p>
        </w:tc>
        <w:tc>
          <w:tcPr>
            <w:tcW w:w="2522" w:type="pct"/>
            <w:shd w:val="clear" w:color="auto" w:fill="auto"/>
            <w:vAlign w:val="center"/>
          </w:tcPr>
          <w:p w14:paraId="57B4C011">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负责设备安拆调试及维保</w:t>
            </w:r>
          </w:p>
        </w:tc>
        <w:tc>
          <w:tcPr>
            <w:tcW w:w="353" w:type="pct"/>
            <w:shd w:val="clear" w:color="auto" w:fill="auto"/>
            <w:vAlign w:val="center"/>
          </w:tcPr>
          <w:p w14:paraId="071ADFA1">
            <w:pPr>
              <w:snapToGrid w:val="0"/>
              <w:spacing w:line="240" w:lineRule="auto"/>
              <w:ind w:firstLine="0" w:firstLineChars="0"/>
              <w:jc w:val="center"/>
              <w:rPr>
                <w:sz w:val="21"/>
                <w:highlight w:val="none"/>
              </w:rPr>
            </w:pPr>
          </w:p>
        </w:tc>
      </w:tr>
      <w:tr w14:paraId="463395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9" w:type="pct"/>
            <w:shd w:val="clear" w:color="auto" w:fill="auto"/>
            <w:vAlign w:val="center"/>
          </w:tcPr>
          <w:p w14:paraId="40A6606F">
            <w:pPr>
              <w:numPr>
                <w:ilvl w:val="0"/>
                <w:numId w:val="29"/>
              </w:numPr>
              <w:snapToGrid w:val="0"/>
              <w:spacing w:line="240" w:lineRule="auto"/>
              <w:ind w:left="0" w:firstLine="0" w:firstLineChars="0"/>
              <w:jc w:val="center"/>
              <w:rPr>
                <w:sz w:val="21"/>
                <w:highlight w:val="none"/>
              </w:rPr>
            </w:pPr>
          </w:p>
        </w:tc>
        <w:tc>
          <w:tcPr>
            <w:tcW w:w="1290" w:type="pct"/>
            <w:shd w:val="clear" w:color="auto" w:fill="auto"/>
            <w:vAlign w:val="center"/>
          </w:tcPr>
          <w:p w14:paraId="6C5B6D87">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建筑电工（维保人员）</w:t>
            </w:r>
          </w:p>
        </w:tc>
        <w:tc>
          <w:tcPr>
            <w:tcW w:w="534" w:type="pct"/>
            <w:shd w:val="clear" w:color="auto" w:fill="auto"/>
            <w:vAlign w:val="center"/>
          </w:tcPr>
          <w:p w14:paraId="6FD4C8B9">
            <w:pPr>
              <w:snapToGrid w:val="0"/>
              <w:spacing w:line="240" w:lineRule="auto"/>
              <w:ind w:firstLine="0" w:firstLineChars="0"/>
              <w:jc w:val="center"/>
              <w:rPr>
                <w:rFonts w:hint="eastAsia" w:eastAsia="宋体"/>
                <w:bCs/>
                <w:color w:val="000000" w:themeColor="text1"/>
                <w:sz w:val="21"/>
                <w:highlight w:val="none"/>
                <w:lang w:eastAsia="zh-CN"/>
                <w14:textFill>
                  <w14:solidFill>
                    <w14:schemeClr w14:val="tx1"/>
                  </w14:solidFill>
                </w14:textFill>
              </w:rPr>
            </w:pPr>
            <w:r>
              <w:rPr>
                <w:rFonts w:hint="eastAsia"/>
                <w:bCs/>
                <w:color w:val="000000" w:themeColor="text1"/>
                <w:sz w:val="21"/>
                <w:highlight w:val="none"/>
                <w:lang w:eastAsia="zh-CN"/>
                <w14:textFill>
                  <w14:solidFill>
                    <w14:schemeClr w14:val="tx1"/>
                  </w14:solidFill>
                </w14:textFill>
              </w:rPr>
              <w:t>冯昌苹</w:t>
            </w:r>
          </w:p>
        </w:tc>
        <w:tc>
          <w:tcPr>
            <w:tcW w:w="2522" w:type="pct"/>
            <w:shd w:val="clear" w:color="auto" w:fill="auto"/>
            <w:vAlign w:val="center"/>
          </w:tcPr>
          <w:p w14:paraId="053125C2">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负责设备安拆电气调试及维保</w:t>
            </w:r>
          </w:p>
        </w:tc>
        <w:tc>
          <w:tcPr>
            <w:tcW w:w="353" w:type="pct"/>
            <w:shd w:val="clear" w:color="auto" w:fill="auto"/>
            <w:vAlign w:val="center"/>
          </w:tcPr>
          <w:p w14:paraId="30803C11">
            <w:pPr>
              <w:snapToGrid w:val="0"/>
              <w:spacing w:line="240" w:lineRule="auto"/>
              <w:ind w:firstLine="0" w:firstLineChars="0"/>
              <w:jc w:val="center"/>
              <w:rPr>
                <w:sz w:val="21"/>
                <w:highlight w:val="none"/>
              </w:rPr>
            </w:pPr>
          </w:p>
        </w:tc>
      </w:tr>
    </w:tbl>
    <w:p w14:paraId="182FC71C">
      <w:pPr>
        <w:ind w:firstLine="480"/>
        <w:jc w:val="center"/>
        <w:rPr>
          <w:highlight w:val="none"/>
        </w:rPr>
      </w:pPr>
    </w:p>
    <w:p w14:paraId="45D4F586">
      <w:pPr>
        <w:pStyle w:val="4"/>
        <w:bidi w:val="0"/>
        <w:ind w:left="0" w:leftChars="0" w:firstLine="0" w:firstLineChars="0"/>
        <w:rPr>
          <w:highlight w:val="none"/>
        </w:rPr>
      </w:pPr>
      <w:bookmarkStart w:id="61" w:name="_Toc31014"/>
      <w:bookmarkStart w:id="62" w:name="_Toc122514834"/>
      <w:r>
        <w:rPr>
          <w:highlight w:val="none"/>
        </w:rPr>
        <w:t>质量保证体系</w:t>
      </w:r>
      <w:bookmarkEnd w:id="57"/>
      <w:bookmarkEnd w:id="58"/>
      <w:bookmarkEnd w:id="59"/>
      <w:bookmarkEnd w:id="60"/>
      <w:bookmarkEnd w:id="61"/>
      <w:bookmarkEnd w:id="62"/>
    </w:p>
    <w:p w14:paraId="2EFBE799">
      <w:pPr>
        <w:pStyle w:val="389"/>
        <w:ind w:firstLine="0" w:firstLineChars="0"/>
        <w:jc w:val="left"/>
        <w:rPr>
          <w:rFonts w:cs="Times New Roman"/>
          <w:highlight w:val="none"/>
        </w:rPr>
      </w:pPr>
      <w:r>
        <w:rPr>
          <w:rFonts w:hint="eastAsia" w:cs="Times New Roman"/>
          <w:highlight w:val="none"/>
        </w:rPr>
        <w:t xml:space="preserve">    项目部全面落实全过程、全方位质量管理，从组织、资源、技术、制度保证等各个方面建立符合项目实际的质量管理体系，明确项目施工准备期、施工期、缺陷责任期与质保期等各阶段的质量管控内容。采用PDCA模式，通过不断循环的工作方法，提高质量，促进质量管理体系的持续改进。质量保证体系框图见</w:t>
      </w:r>
      <w:r>
        <w:rPr>
          <w:rFonts w:cs="Times New Roman"/>
          <w:highlight w:val="none"/>
        </w:rPr>
        <w:fldChar w:fldCharType="begin"/>
      </w:r>
      <w:r>
        <w:rPr>
          <w:rFonts w:cs="Times New Roman"/>
          <w:highlight w:val="none"/>
        </w:rPr>
        <w:instrText xml:space="preserve"> </w:instrText>
      </w:r>
      <w:r>
        <w:rPr>
          <w:rFonts w:hint="eastAsia" w:cs="Times New Roman"/>
          <w:highlight w:val="none"/>
        </w:rPr>
        <w:instrText xml:space="preserve">REF _Ref141710718 \h</w:instrText>
      </w:r>
      <w:r>
        <w:rPr>
          <w:rFonts w:cs="Times New Roman"/>
          <w:highlight w:val="none"/>
        </w:rPr>
        <w:instrText xml:space="preserve"> </w:instrText>
      </w:r>
      <w:r>
        <w:rPr>
          <w:rFonts w:cs="Times New Roman"/>
          <w:highlight w:val="none"/>
        </w:rPr>
        <w:fldChar w:fldCharType="separate"/>
      </w:r>
      <w:r>
        <w:rPr>
          <w:rFonts w:hint="eastAsia" w:cs="Times New Roman"/>
          <w:highlight w:val="none"/>
        </w:rPr>
        <w:t>图</w:t>
      </w:r>
      <w:r>
        <w:rPr>
          <w:rFonts w:cs="Times New Roman"/>
          <w:highlight w:val="none"/>
        </w:rPr>
        <w:fldChar w:fldCharType="begin"/>
      </w:r>
      <w:r>
        <w:rPr>
          <w:rFonts w:cs="Times New Roman"/>
          <w:highlight w:val="none"/>
        </w:rPr>
        <w:instrText xml:space="preserve"> </w:instrText>
      </w:r>
      <w:r>
        <w:rPr>
          <w:rFonts w:hint="eastAsia" w:cs="Times New Roman"/>
          <w:highlight w:val="none"/>
        </w:rPr>
        <w:instrText xml:space="preserve">STYLEREF 2 \s</w:instrText>
      </w:r>
      <w:r>
        <w:rPr>
          <w:rFonts w:cs="Times New Roman"/>
          <w:highlight w:val="none"/>
        </w:rPr>
        <w:instrText xml:space="preserve"> </w:instrText>
      </w:r>
      <w:r>
        <w:rPr>
          <w:rFonts w:cs="Times New Roman"/>
          <w:highlight w:val="none"/>
        </w:rPr>
        <w:fldChar w:fldCharType="separate"/>
      </w:r>
      <w:r>
        <w:rPr>
          <w:rFonts w:hint="eastAsia" w:cs="Times New Roman"/>
          <w:highlight w:val="none"/>
        </w:rPr>
        <w:t>5.2</w:t>
      </w:r>
      <w:r>
        <w:rPr>
          <w:rFonts w:cs="Times New Roman"/>
          <w:highlight w:val="none"/>
        </w:rPr>
        <w:fldChar w:fldCharType="end"/>
      </w:r>
      <w:r>
        <w:rPr>
          <w:rFonts w:cs="Times New Roman"/>
          <w:highlight w:val="none"/>
        </w:rPr>
        <w:noBreakHyphen/>
      </w:r>
      <w:r>
        <w:rPr>
          <w:rFonts w:hint="eastAsia" w:cs="Times New Roman"/>
          <w:highlight w:val="none"/>
        </w:rPr>
        <w:t>1</w:t>
      </w:r>
      <w:r>
        <w:rPr>
          <w:rFonts w:cs="Times New Roman"/>
          <w:highlight w:val="none"/>
        </w:rPr>
        <w:fldChar w:fldCharType="end"/>
      </w:r>
      <w:r>
        <w:rPr>
          <w:rFonts w:hint="eastAsia" w:cs="Times New Roman"/>
          <w:highlight w:val="none"/>
        </w:rPr>
        <w:t>。</w:t>
      </w:r>
    </w:p>
    <w:p w14:paraId="32A40F14">
      <w:pPr>
        <w:pStyle w:val="389"/>
        <w:ind w:firstLine="0" w:firstLineChars="0"/>
        <w:jc w:val="center"/>
        <w:rPr>
          <w:rFonts w:cs="Times New Roman"/>
          <w:highlight w:val="none"/>
        </w:rPr>
        <w:sectPr>
          <w:headerReference r:id="rId13" w:type="default"/>
          <w:footerReference r:id="rId14" w:type="default"/>
          <w:pgSz w:w="11906" w:h="16838"/>
          <w:pgMar w:top="1440" w:right="1800" w:bottom="1440" w:left="1800" w:header="851" w:footer="992" w:gutter="0"/>
          <w:cols w:space="425" w:num="1"/>
          <w:docGrid w:type="lines" w:linePitch="312" w:charSpace="0"/>
        </w:sectPr>
      </w:pPr>
    </w:p>
    <w:p w14:paraId="2F397A9E">
      <w:pPr>
        <w:ind w:firstLine="0" w:firstLineChars="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object>
          <v:shape id="_x0000_i1026" o:spt="75" type="#_x0000_t75" style="height:297.35pt;width:413.35pt;" o:ole="t" filled="f" o:preferrelative="t" stroked="f" coordsize="21600,21600">
            <v:path/>
            <v:fill on="f" focussize="0,0"/>
            <v:stroke on="f" joinstyle="miter"/>
            <v:imagedata r:id="rId135" o:title=""/>
            <o:lock v:ext="edit" aspectratio="f"/>
            <w10:wrap type="none"/>
            <w10:anchorlock/>
          </v:shape>
          <o:OLEObject Type="Embed" ProgID="Visio.Drawing.15" ShapeID="_x0000_i1026" DrawAspect="Content" ObjectID="_1468075726" r:id="rId134">
            <o:LockedField>false</o:LockedField>
          </o:OLEObject>
        </w:object>
      </w:r>
    </w:p>
    <w:p w14:paraId="58B7FACB">
      <w:pPr>
        <w:ind w:firstLine="0" w:firstLineChars="0"/>
        <w:jc w:val="center"/>
        <w:rPr>
          <w:highlight w:val="none"/>
        </w:rPr>
      </w:pPr>
      <w:r>
        <w:rPr>
          <w:rFonts w:hint="eastAsia"/>
          <w:highlight w:val="none"/>
        </w:rPr>
        <w:t xml:space="preserve">图 </w:t>
      </w:r>
      <w:r>
        <w:rPr>
          <w:rFonts w:hint="eastAsia"/>
          <w:highlight w:val="none"/>
        </w:rPr>
        <w:fldChar w:fldCharType="begin"/>
      </w:r>
      <w:r>
        <w:rPr>
          <w:rFonts w:hint="eastAsia"/>
          <w:highlight w:val="none"/>
        </w:rPr>
        <w:instrText xml:space="preserve"> STYLEREF 2 \s </w:instrText>
      </w:r>
      <w:r>
        <w:rPr>
          <w:rFonts w:hint="eastAsia"/>
          <w:highlight w:val="none"/>
        </w:rPr>
        <w:fldChar w:fldCharType="separate"/>
      </w:r>
      <w:r>
        <w:rPr>
          <w:rFonts w:hint="eastAsia"/>
          <w:highlight w:val="none"/>
        </w:rPr>
        <w:t>5.2</w:t>
      </w:r>
      <w:r>
        <w:rPr>
          <w:rFonts w:hint="eastAsia"/>
          <w:highlight w:val="none"/>
        </w:rPr>
        <w:fldChar w:fldCharType="end"/>
      </w:r>
      <w:r>
        <w:rPr>
          <w:rFonts w:hint="eastAsia"/>
          <w:highlight w:val="none"/>
        </w:rPr>
        <w:noBreakHyphen/>
      </w:r>
      <w:r>
        <w:rPr>
          <w:rFonts w:hint="eastAsia"/>
          <w:highlight w:val="none"/>
        </w:rPr>
        <w:fldChar w:fldCharType="begin"/>
      </w:r>
      <w:r>
        <w:rPr>
          <w:rFonts w:hint="eastAsia"/>
          <w:highlight w:val="none"/>
        </w:rPr>
        <w:instrText xml:space="preserve"> SEQ 图 \* ARABIC \s 2 </w:instrText>
      </w:r>
      <w:r>
        <w:rPr>
          <w:rFonts w:hint="eastAsia"/>
          <w:highlight w:val="none"/>
        </w:rPr>
        <w:fldChar w:fldCharType="separate"/>
      </w:r>
      <w:r>
        <w:rPr>
          <w:rFonts w:hint="eastAsia"/>
          <w:highlight w:val="none"/>
        </w:rPr>
        <w:t>1</w:t>
      </w:r>
      <w:r>
        <w:rPr>
          <w:rFonts w:hint="eastAsia"/>
          <w:highlight w:val="none"/>
        </w:rPr>
        <w:fldChar w:fldCharType="end"/>
      </w:r>
      <w:r>
        <w:rPr>
          <w:rFonts w:hint="eastAsia"/>
          <w:highlight w:val="none"/>
        </w:rPr>
        <w:t xml:space="preserve">  项目质量保证体系图</w:t>
      </w:r>
    </w:p>
    <w:p w14:paraId="11CBDF96">
      <w:pPr>
        <w:pStyle w:val="4"/>
        <w:bidi w:val="0"/>
        <w:ind w:left="0" w:leftChars="0" w:firstLine="0" w:firstLineChars="0"/>
        <w:rPr>
          <w:highlight w:val="none"/>
        </w:rPr>
      </w:pPr>
      <w:bookmarkStart w:id="63" w:name="_Toc6654"/>
      <w:r>
        <w:rPr>
          <w:rFonts w:hint="eastAsia"/>
          <w:highlight w:val="none"/>
        </w:rPr>
        <w:t>质量通病及质量通病预防</w:t>
      </w:r>
      <w:bookmarkEnd w:id="63"/>
    </w:p>
    <w:p w14:paraId="00E8B3AD">
      <w:pPr>
        <w:pStyle w:val="18"/>
        <w:rPr>
          <w:rFonts w:cs="Times New Roman"/>
          <w:b w:val="0"/>
          <w:sz w:val="24"/>
          <w:szCs w:val="21"/>
          <w:highlight w:val="none"/>
        </w:rPr>
      </w:pPr>
      <w:r>
        <w:rPr>
          <w:rFonts w:hint="eastAsia" w:cs="Times New Roman"/>
          <w:b w:val="0"/>
          <w:sz w:val="24"/>
          <w:szCs w:val="21"/>
          <w:highlight w:val="none"/>
        </w:rPr>
        <w:t>表 5.3</w:t>
      </w:r>
      <w:r>
        <w:rPr>
          <w:rFonts w:hint="eastAsia" w:cs="Times New Roman"/>
          <w:b w:val="0"/>
          <w:sz w:val="24"/>
          <w:szCs w:val="21"/>
          <w:highlight w:val="none"/>
        </w:rPr>
        <w:noBreakHyphen/>
      </w:r>
      <w:r>
        <w:rPr>
          <w:rFonts w:hint="eastAsia" w:cs="Times New Roman"/>
          <w:b w:val="0"/>
          <w:sz w:val="24"/>
          <w:szCs w:val="21"/>
          <w:highlight w:val="none"/>
        </w:rPr>
        <w:fldChar w:fldCharType="begin"/>
      </w:r>
      <w:r>
        <w:rPr>
          <w:rFonts w:hint="eastAsia" w:cs="Times New Roman"/>
          <w:b w:val="0"/>
          <w:sz w:val="24"/>
          <w:szCs w:val="21"/>
          <w:highlight w:val="none"/>
        </w:rPr>
        <w:instrText xml:space="preserve"> SEQ 表 \* ARABIC \s 3 </w:instrText>
      </w:r>
      <w:r>
        <w:rPr>
          <w:rFonts w:hint="eastAsia" w:cs="Times New Roman"/>
          <w:b w:val="0"/>
          <w:sz w:val="24"/>
          <w:szCs w:val="21"/>
          <w:highlight w:val="none"/>
        </w:rPr>
        <w:fldChar w:fldCharType="separate"/>
      </w:r>
      <w:r>
        <w:rPr>
          <w:rFonts w:hint="eastAsia" w:cs="Times New Roman"/>
          <w:b w:val="0"/>
          <w:sz w:val="24"/>
          <w:szCs w:val="21"/>
          <w:highlight w:val="none"/>
        </w:rPr>
        <w:t>1</w:t>
      </w:r>
      <w:r>
        <w:rPr>
          <w:rFonts w:hint="eastAsia" w:cs="Times New Roman"/>
          <w:b w:val="0"/>
          <w:sz w:val="24"/>
          <w:szCs w:val="21"/>
          <w:highlight w:val="none"/>
        </w:rPr>
        <w:fldChar w:fldCharType="end"/>
      </w:r>
      <w:r>
        <w:rPr>
          <w:rFonts w:hint="eastAsia" w:cs="Times New Roman"/>
          <w:b w:val="0"/>
          <w:sz w:val="24"/>
          <w:szCs w:val="21"/>
          <w:highlight w:val="none"/>
        </w:rPr>
        <w:t>塔吊安装质量通病预防措施</w:t>
      </w:r>
    </w:p>
    <w:tbl>
      <w:tblPr>
        <w:tblStyle w:val="44"/>
        <w:tblW w:w="4999" w:type="pct"/>
        <w:jc w:val="center"/>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96"/>
        <w:gridCol w:w="1268"/>
        <w:gridCol w:w="6456"/>
      </w:tblGrid>
      <w:tr w14:paraId="0BF137FE">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467" w:type="pct"/>
            <w:tcBorders>
              <w:top w:val="single" w:color="000000" w:sz="12" w:space="0"/>
              <w:left w:val="single" w:color="000000" w:sz="12" w:space="0"/>
              <w:tl2br w:val="nil"/>
              <w:tr2bl w:val="nil"/>
            </w:tcBorders>
            <w:shd w:val="clear" w:color="auto" w:fill="FFFFFF"/>
            <w:vAlign w:val="center"/>
          </w:tcPr>
          <w:p w14:paraId="042560A7">
            <w:pPr>
              <w:pStyle w:val="53"/>
              <w:rPr>
                <w:bCs w:val="0"/>
                <w:highlight w:val="none"/>
              </w:rPr>
            </w:pPr>
            <w:r>
              <w:rPr>
                <w:rFonts w:hint="eastAsia"/>
                <w:bCs w:val="0"/>
                <w:highlight w:val="none"/>
              </w:rPr>
              <w:t>项次</w:t>
            </w:r>
          </w:p>
        </w:tc>
        <w:tc>
          <w:tcPr>
            <w:tcW w:w="744" w:type="pct"/>
            <w:tcBorders>
              <w:top w:val="single" w:color="000000" w:sz="12" w:space="0"/>
              <w:tl2br w:val="nil"/>
              <w:tr2bl w:val="nil"/>
            </w:tcBorders>
            <w:shd w:val="clear" w:color="auto" w:fill="FFFFFF"/>
            <w:vAlign w:val="center"/>
          </w:tcPr>
          <w:p w14:paraId="187899F9">
            <w:pPr>
              <w:pStyle w:val="53"/>
              <w:rPr>
                <w:bCs w:val="0"/>
                <w:highlight w:val="none"/>
              </w:rPr>
            </w:pPr>
            <w:r>
              <w:rPr>
                <w:rFonts w:hint="eastAsia"/>
                <w:bCs w:val="0"/>
                <w:highlight w:val="none"/>
              </w:rPr>
              <w:t>质量通病</w:t>
            </w:r>
          </w:p>
        </w:tc>
        <w:tc>
          <w:tcPr>
            <w:tcW w:w="3788" w:type="pct"/>
            <w:tcBorders>
              <w:top w:val="single" w:color="000000" w:sz="12" w:space="0"/>
              <w:right w:val="single" w:color="000000" w:sz="12" w:space="0"/>
              <w:tl2br w:val="nil"/>
              <w:tr2bl w:val="nil"/>
            </w:tcBorders>
            <w:shd w:val="clear" w:color="auto" w:fill="FFFFFF"/>
            <w:vAlign w:val="center"/>
          </w:tcPr>
          <w:p w14:paraId="1A89D604">
            <w:pPr>
              <w:pStyle w:val="53"/>
              <w:rPr>
                <w:bCs w:val="0"/>
                <w:highlight w:val="none"/>
              </w:rPr>
            </w:pPr>
            <w:r>
              <w:rPr>
                <w:rFonts w:hint="eastAsia"/>
                <w:bCs w:val="0"/>
                <w:highlight w:val="none"/>
              </w:rPr>
              <w:t>预防措施</w:t>
            </w:r>
          </w:p>
        </w:tc>
      </w:tr>
      <w:tr w14:paraId="0C189CEE">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67" w:type="pct"/>
            <w:tcBorders>
              <w:left w:val="single" w:color="000000" w:sz="12" w:space="0"/>
              <w:tl2br w:val="nil"/>
              <w:tr2bl w:val="nil"/>
            </w:tcBorders>
            <w:shd w:val="clear" w:color="auto" w:fill="FFFFFF"/>
            <w:vAlign w:val="center"/>
          </w:tcPr>
          <w:p w14:paraId="00650789">
            <w:pPr>
              <w:pStyle w:val="53"/>
              <w:rPr>
                <w:b w:val="0"/>
                <w:highlight w:val="none"/>
              </w:rPr>
            </w:pPr>
            <w:r>
              <w:rPr>
                <w:rFonts w:hint="eastAsia"/>
                <w:b w:val="0"/>
                <w:highlight w:val="none"/>
              </w:rPr>
              <w:t>1</w:t>
            </w:r>
          </w:p>
        </w:tc>
        <w:tc>
          <w:tcPr>
            <w:tcW w:w="744" w:type="pct"/>
            <w:tcBorders>
              <w:tl2br w:val="nil"/>
              <w:tr2bl w:val="nil"/>
            </w:tcBorders>
            <w:shd w:val="clear" w:color="auto" w:fill="FFFFFF"/>
            <w:vAlign w:val="center"/>
          </w:tcPr>
          <w:p w14:paraId="33DEF372">
            <w:pPr>
              <w:pStyle w:val="53"/>
              <w:rPr>
                <w:b w:val="0"/>
                <w:highlight w:val="none"/>
              </w:rPr>
            </w:pPr>
            <w:r>
              <w:rPr>
                <w:rFonts w:hint="eastAsia"/>
                <w:b w:val="0"/>
                <w:highlight w:val="none"/>
              </w:rPr>
              <w:t>安装作业前未对设备进行全面检查</w:t>
            </w:r>
          </w:p>
        </w:tc>
        <w:tc>
          <w:tcPr>
            <w:tcW w:w="3788" w:type="pct"/>
            <w:tcBorders>
              <w:right w:val="single" w:color="000000" w:sz="12" w:space="0"/>
              <w:tl2br w:val="nil"/>
              <w:tr2bl w:val="nil"/>
            </w:tcBorders>
            <w:shd w:val="clear" w:color="auto" w:fill="FFFFFF"/>
            <w:vAlign w:val="center"/>
          </w:tcPr>
          <w:p w14:paraId="376B7776">
            <w:pPr>
              <w:pStyle w:val="53"/>
              <w:rPr>
                <w:b w:val="0"/>
                <w:highlight w:val="none"/>
              </w:rPr>
            </w:pPr>
            <w:r>
              <w:rPr>
                <w:rFonts w:hint="eastAsia"/>
                <w:b w:val="0"/>
                <w:highlight w:val="none"/>
              </w:rPr>
              <w:t>在对整机进行安装作前，安装人员，尤其是安装队的负责人应对塔吊进行全面的检查，确保钢结构无裂纹及不可恢复的塑性变形，焊缝无开裂现象，各安全装置齐全、有效，如发现问题应及时的采取措施，以免在塔吊安装作过程中发生事故。</w:t>
            </w:r>
          </w:p>
        </w:tc>
      </w:tr>
      <w:tr w14:paraId="78BC1B59">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67" w:type="pct"/>
            <w:tcBorders>
              <w:left w:val="single" w:color="000000" w:sz="12" w:space="0"/>
              <w:tl2br w:val="nil"/>
              <w:tr2bl w:val="nil"/>
            </w:tcBorders>
            <w:shd w:val="clear" w:color="auto" w:fill="FFFFFF"/>
            <w:vAlign w:val="center"/>
          </w:tcPr>
          <w:p w14:paraId="5B954199">
            <w:pPr>
              <w:pStyle w:val="53"/>
              <w:rPr>
                <w:b w:val="0"/>
                <w:highlight w:val="none"/>
              </w:rPr>
            </w:pPr>
            <w:r>
              <w:rPr>
                <w:rFonts w:hint="eastAsia"/>
                <w:b w:val="0"/>
                <w:highlight w:val="none"/>
              </w:rPr>
              <w:t>2</w:t>
            </w:r>
          </w:p>
        </w:tc>
        <w:tc>
          <w:tcPr>
            <w:tcW w:w="744" w:type="pct"/>
            <w:tcBorders>
              <w:tl2br w:val="nil"/>
              <w:tr2bl w:val="nil"/>
            </w:tcBorders>
            <w:shd w:val="clear" w:color="auto" w:fill="FFFFFF"/>
            <w:vAlign w:val="center"/>
          </w:tcPr>
          <w:p w14:paraId="3266AEA2">
            <w:pPr>
              <w:pStyle w:val="53"/>
              <w:rPr>
                <w:b w:val="0"/>
                <w:highlight w:val="none"/>
              </w:rPr>
            </w:pPr>
            <w:r>
              <w:rPr>
                <w:rFonts w:hint="eastAsia"/>
                <w:b w:val="0"/>
                <w:highlight w:val="none"/>
              </w:rPr>
              <w:t>施工工艺</w:t>
            </w:r>
          </w:p>
          <w:p w14:paraId="350A0629">
            <w:pPr>
              <w:pStyle w:val="53"/>
              <w:rPr>
                <w:b w:val="0"/>
                <w:highlight w:val="none"/>
              </w:rPr>
            </w:pPr>
            <w:r>
              <w:rPr>
                <w:rFonts w:hint="eastAsia"/>
                <w:b w:val="0"/>
                <w:highlight w:val="none"/>
              </w:rPr>
              <w:t>粗糙</w:t>
            </w:r>
          </w:p>
        </w:tc>
        <w:tc>
          <w:tcPr>
            <w:tcW w:w="3788" w:type="pct"/>
            <w:tcBorders>
              <w:right w:val="single" w:color="000000" w:sz="12" w:space="0"/>
              <w:tl2br w:val="nil"/>
              <w:tr2bl w:val="nil"/>
            </w:tcBorders>
            <w:shd w:val="clear" w:color="auto" w:fill="FFFFFF"/>
            <w:vAlign w:val="center"/>
          </w:tcPr>
          <w:p w14:paraId="0705CEC7">
            <w:pPr>
              <w:pStyle w:val="53"/>
              <w:rPr>
                <w:b w:val="0"/>
                <w:highlight w:val="none"/>
              </w:rPr>
            </w:pPr>
            <w:r>
              <w:rPr>
                <w:rFonts w:hint="eastAsia"/>
                <w:b w:val="0"/>
                <w:highlight w:val="none"/>
              </w:rPr>
              <w:t>要求在施工准备阶段，技术人员在熟悉图纸、规范、标准的基础上，根据具体的施工条件，制定周密可行的施工技术措施。施工前做好技术交底工作，使每个施工人员都清楚安装过程中需控制的质量标准。施工人员在熟悉各种构件的特点后，参考以往的施工经验，确定一套科学的施工方法，并在施工中不断总结经验，使施工方法日趋完善和合理。</w:t>
            </w:r>
          </w:p>
        </w:tc>
      </w:tr>
      <w:tr w14:paraId="2605E52F">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67" w:type="pct"/>
            <w:tcBorders>
              <w:left w:val="single" w:color="000000" w:sz="12" w:space="0"/>
              <w:bottom w:val="single" w:color="000000" w:sz="12" w:space="0"/>
              <w:tl2br w:val="nil"/>
              <w:tr2bl w:val="nil"/>
            </w:tcBorders>
            <w:shd w:val="clear" w:color="auto" w:fill="FFFFFF"/>
            <w:vAlign w:val="center"/>
          </w:tcPr>
          <w:p w14:paraId="726A285D">
            <w:pPr>
              <w:pStyle w:val="53"/>
              <w:rPr>
                <w:b w:val="0"/>
                <w:highlight w:val="none"/>
              </w:rPr>
            </w:pPr>
            <w:r>
              <w:rPr>
                <w:rFonts w:hint="eastAsia"/>
                <w:b w:val="0"/>
                <w:highlight w:val="none"/>
              </w:rPr>
              <w:t>3</w:t>
            </w:r>
          </w:p>
        </w:tc>
        <w:tc>
          <w:tcPr>
            <w:tcW w:w="744" w:type="pct"/>
            <w:tcBorders>
              <w:bottom w:val="single" w:color="000000" w:sz="12" w:space="0"/>
              <w:tl2br w:val="nil"/>
              <w:tr2bl w:val="nil"/>
            </w:tcBorders>
            <w:shd w:val="clear" w:color="auto" w:fill="FFFFFF"/>
            <w:vAlign w:val="center"/>
          </w:tcPr>
          <w:p w14:paraId="5CFB4610">
            <w:pPr>
              <w:pStyle w:val="53"/>
              <w:rPr>
                <w:b w:val="0"/>
                <w:highlight w:val="none"/>
              </w:rPr>
            </w:pPr>
            <w:r>
              <w:rPr>
                <w:rFonts w:hint="eastAsia"/>
                <w:b w:val="0"/>
                <w:highlight w:val="none"/>
              </w:rPr>
              <w:t>吊索具未进行检查和使用不当</w:t>
            </w:r>
          </w:p>
        </w:tc>
        <w:tc>
          <w:tcPr>
            <w:tcW w:w="3788" w:type="pct"/>
            <w:tcBorders>
              <w:bottom w:val="single" w:color="000000" w:sz="12" w:space="0"/>
              <w:right w:val="single" w:color="000000" w:sz="12" w:space="0"/>
              <w:tl2br w:val="nil"/>
              <w:tr2bl w:val="nil"/>
            </w:tcBorders>
            <w:shd w:val="clear" w:color="auto" w:fill="FFFFFF"/>
            <w:vAlign w:val="center"/>
          </w:tcPr>
          <w:p w14:paraId="30E4035A">
            <w:pPr>
              <w:pStyle w:val="53"/>
              <w:rPr>
                <w:b w:val="0"/>
                <w:highlight w:val="none"/>
              </w:rPr>
            </w:pPr>
            <w:r>
              <w:rPr>
                <w:rFonts w:hint="eastAsia"/>
                <w:b w:val="0"/>
                <w:highlight w:val="none"/>
              </w:rPr>
              <w:t>塔吊的安装作业的吊装工具主要是钢丝绳和卡扣，在进行吊装作业前，应对各吊装的吊索具进行全面的检查，确保钢丝绳无断丝、断股现象，对已达到报废标准的应停止使用，卡具无严重变形和磨损。在进行部件吊装时，安装队负责人首先要对待安装部件的重量要非常清楚，尤其是重量较大的部件，严格按照施工的方案选用吊索具，保证6倍以上的安全系数。</w:t>
            </w:r>
          </w:p>
        </w:tc>
      </w:tr>
    </w:tbl>
    <w:p w14:paraId="0B8E6EE7">
      <w:pPr>
        <w:pStyle w:val="4"/>
        <w:bidi w:val="0"/>
        <w:ind w:left="0" w:leftChars="0" w:firstLine="0" w:firstLineChars="0"/>
        <w:rPr>
          <w:highlight w:val="none"/>
        </w:rPr>
      </w:pPr>
      <w:bookmarkStart w:id="64" w:name="_Toc20170"/>
      <w:bookmarkStart w:id="65" w:name="_Toc22190"/>
      <w:bookmarkStart w:id="66" w:name="_Toc533345492"/>
      <w:r>
        <w:rPr>
          <w:rFonts w:hint="eastAsia"/>
          <w:highlight w:val="none"/>
        </w:rPr>
        <w:t>质量保证措施</w:t>
      </w:r>
      <w:bookmarkEnd w:id="64"/>
      <w:bookmarkEnd w:id="65"/>
      <w:bookmarkEnd w:id="66"/>
    </w:p>
    <w:p w14:paraId="30BE729D">
      <w:pPr>
        <w:ind w:firstLine="480"/>
        <w:rPr>
          <w:highlight w:val="none"/>
        </w:rPr>
      </w:pPr>
      <w:r>
        <w:rPr>
          <w:rFonts w:hint="eastAsia"/>
          <w:highlight w:val="none"/>
        </w:rPr>
        <w:t>为了保证塔吊安装质量，树立良好的质量信誉，全面贯彻落实公司制定的质量管理作业文件，实现对施工过程的有效控制，特制定以下控制措施：</w:t>
      </w:r>
    </w:p>
    <w:p w14:paraId="06F19377">
      <w:pPr>
        <w:ind w:firstLine="480"/>
        <w:rPr>
          <w:highlight w:val="none"/>
        </w:rPr>
      </w:pPr>
      <w:r>
        <w:rPr>
          <w:rFonts w:hint="eastAsia"/>
          <w:highlight w:val="none"/>
        </w:rPr>
        <w:t>（1）作业前由技术员及工长组织作业人员认真学习图纸、资料，了解作业技术要求，掌握作业方法和作业要领。同时宣传质量，提高意识，加强作业人员的工作责任心。</w:t>
      </w:r>
    </w:p>
    <w:p w14:paraId="4A3E4F43">
      <w:pPr>
        <w:ind w:firstLine="480"/>
        <w:rPr>
          <w:highlight w:val="none"/>
        </w:rPr>
      </w:pPr>
      <w:r>
        <w:rPr>
          <w:rFonts w:hint="eastAsia"/>
          <w:highlight w:val="none"/>
        </w:rPr>
        <w:t>（</w:t>
      </w:r>
      <w:r>
        <w:rPr>
          <w:highlight w:val="none"/>
        </w:rPr>
        <w:t>2</w:t>
      </w:r>
      <w:r>
        <w:rPr>
          <w:rFonts w:hint="eastAsia"/>
          <w:highlight w:val="none"/>
        </w:rPr>
        <w:t>）对重要工序的作业方法、作业要领，应进行作业前的施工技术培训。</w:t>
      </w:r>
    </w:p>
    <w:p w14:paraId="0D8504E7">
      <w:pPr>
        <w:ind w:firstLine="480"/>
        <w:rPr>
          <w:highlight w:val="none"/>
        </w:rPr>
      </w:pPr>
      <w:r>
        <w:rPr>
          <w:rFonts w:hint="eastAsia"/>
          <w:highlight w:val="none"/>
        </w:rPr>
        <w:t>（</w:t>
      </w:r>
      <w:r>
        <w:rPr>
          <w:highlight w:val="none"/>
        </w:rPr>
        <w:t>3</w:t>
      </w:r>
      <w:r>
        <w:rPr>
          <w:rFonts w:hint="eastAsia"/>
          <w:highlight w:val="none"/>
        </w:rPr>
        <w:t>）认真做好作业前的技术交底工作，使每个作业人员充分的理解施工工艺和技术要求，达到作业人员对工作心中有数，交底后必须双方签字。</w:t>
      </w:r>
    </w:p>
    <w:p w14:paraId="03B28273">
      <w:pPr>
        <w:ind w:firstLine="480"/>
        <w:rPr>
          <w:highlight w:val="none"/>
        </w:rPr>
      </w:pPr>
      <w:r>
        <w:rPr>
          <w:rFonts w:hint="eastAsia"/>
          <w:highlight w:val="none"/>
        </w:rPr>
        <w:t>（</w:t>
      </w:r>
      <w:r>
        <w:rPr>
          <w:highlight w:val="none"/>
        </w:rPr>
        <w:t>4</w:t>
      </w:r>
      <w:r>
        <w:rPr>
          <w:rFonts w:hint="eastAsia"/>
          <w:highlight w:val="none"/>
        </w:rPr>
        <w:t>）班长和</w:t>
      </w:r>
      <w:r>
        <w:rPr>
          <w:rFonts w:hint="eastAsia"/>
          <w:color w:val="000000" w:themeColor="text1"/>
          <w:highlight w:val="none"/>
          <w14:textFill>
            <w14:solidFill>
              <w14:schemeClr w14:val="tx1"/>
            </w14:solidFill>
          </w14:textFill>
        </w:rPr>
        <w:t>安全员认真做好作业过程的质量监督控制，确保每一道工序的施工质量以及工序间合理衔接，不留缺陷，不留尾工，认真做好</w:t>
      </w:r>
      <w:r>
        <w:rPr>
          <w:rFonts w:hint="eastAsia"/>
          <w:highlight w:val="none"/>
        </w:rPr>
        <w:t>作业后的自检工作。</w:t>
      </w:r>
    </w:p>
    <w:p w14:paraId="0C5913C8">
      <w:pPr>
        <w:ind w:firstLine="480"/>
        <w:rPr>
          <w:highlight w:val="none"/>
        </w:rPr>
      </w:pPr>
      <w:r>
        <w:rPr>
          <w:rFonts w:hint="eastAsia"/>
          <w:highlight w:val="none"/>
        </w:rPr>
        <w:t>（</w:t>
      </w:r>
      <w:r>
        <w:rPr>
          <w:highlight w:val="none"/>
        </w:rPr>
        <w:t>5</w:t>
      </w:r>
      <w:r>
        <w:rPr>
          <w:rFonts w:hint="eastAsia"/>
          <w:highlight w:val="none"/>
        </w:rPr>
        <w:t>）对作业中容易发生的质量问题，作业前做出预测，并采取有效的、可操作的预防措施，消除施工质量缺陷。</w:t>
      </w:r>
    </w:p>
    <w:p w14:paraId="26F5A077">
      <w:pPr>
        <w:ind w:firstLine="480"/>
        <w:rPr>
          <w:highlight w:val="none"/>
        </w:rPr>
      </w:pPr>
      <w:r>
        <w:rPr>
          <w:rFonts w:hint="eastAsia"/>
          <w:highlight w:val="none"/>
        </w:rPr>
        <w:t>（</w:t>
      </w:r>
      <w:r>
        <w:rPr>
          <w:highlight w:val="none"/>
        </w:rPr>
        <w:t>6</w:t>
      </w:r>
      <w:r>
        <w:rPr>
          <w:rFonts w:hint="eastAsia"/>
          <w:highlight w:val="none"/>
        </w:rPr>
        <w:t>）作业中发现设备缺陷或施工质量问题，及时向技术员提出并采取措施后进行处理。重大质量问题必须停工，待提出处理意见或制定整改措施后方可进行整改。</w:t>
      </w:r>
    </w:p>
    <w:p w14:paraId="2F5CEFAE">
      <w:pPr>
        <w:ind w:firstLine="480"/>
        <w:rPr>
          <w:highlight w:val="none"/>
        </w:rPr>
      </w:pPr>
      <w:r>
        <w:rPr>
          <w:rFonts w:hint="eastAsia"/>
          <w:highlight w:val="none"/>
        </w:rPr>
        <w:t>（</w:t>
      </w:r>
      <w:r>
        <w:rPr>
          <w:highlight w:val="none"/>
        </w:rPr>
        <w:t>7</w:t>
      </w:r>
      <w:r>
        <w:rPr>
          <w:rFonts w:hint="eastAsia"/>
          <w:highlight w:val="none"/>
        </w:rPr>
        <w:t>）积极配合项目部工程管理部门和监理的质检工作，对查出的质量问题积极并及时的进行处理。</w:t>
      </w:r>
    </w:p>
    <w:p w14:paraId="56B856AF">
      <w:pPr>
        <w:pStyle w:val="4"/>
        <w:bidi w:val="0"/>
        <w:ind w:left="0" w:leftChars="0" w:firstLine="0" w:firstLineChars="0"/>
        <w:rPr>
          <w:highlight w:val="none"/>
        </w:rPr>
      </w:pPr>
      <w:bookmarkStart w:id="67" w:name="_Toc23643"/>
      <w:r>
        <w:rPr>
          <w:rFonts w:hint="eastAsia"/>
          <w:highlight w:val="none"/>
        </w:rPr>
        <w:t>作业过程中控制点的设置</w:t>
      </w:r>
      <w:bookmarkEnd w:id="67"/>
    </w:p>
    <w:tbl>
      <w:tblPr>
        <w:tblStyle w:val="44"/>
        <w:tblpPr w:leftFromText="180" w:rightFromText="180" w:vertAnchor="text" w:horzAnchor="page" w:tblpX="1508" w:tblpY="317"/>
        <w:tblOverlap w:val="never"/>
        <w:tblW w:w="4999" w:type="pct"/>
        <w:tblInd w:w="0" w:type="dxa"/>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33"/>
        <w:gridCol w:w="3668"/>
        <w:gridCol w:w="762"/>
        <w:gridCol w:w="892"/>
        <w:gridCol w:w="897"/>
        <w:gridCol w:w="665"/>
        <w:gridCol w:w="803"/>
      </w:tblGrid>
      <w:tr w14:paraId="2ABE0961">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c>
          <w:tcPr>
            <w:tcW w:w="489" w:type="pct"/>
            <w:vMerge w:val="restart"/>
            <w:tcBorders>
              <w:top w:val="single" w:color="000000" w:sz="12" w:space="0"/>
              <w:left w:val="single" w:color="000000" w:sz="12" w:space="0"/>
              <w:tl2br w:val="nil"/>
              <w:tr2bl w:val="nil"/>
            </w:tcBorders>
            <w:shd w:val="clear" w:color="auto" w:fill="FFFFFF"/>
            <w:vAlign w:val="center"/>
          </w:tcPr>
          <w:p w14:paraId="4B6615B6">
            <w:pPr>
              <w:pStyle w:val="53"/>
              <w:rPr>
                <w:b w:val="0"/>
                <w:highlight w:val="none"/>
              </w:rPr>
            </w:pPr>
            <w:r>
              <w:rPr>
                <w:rFonts w:hint="eastAsia"/>
                <w:b w:val="0"/>
                <w:highlight w:val="none"/>
              </w:rPr>
              <w:t>序号</w:t>
            </w:r>
          </w:p>
        </w:tc>
        <w:tc>
          <w:tcPr>
            <w:tcW w:w="2152" w:type="pct"/>
            <w:vMerge w:val="restart"/>
            <w:tcBorders>
              <w:top w:val="single" w:color="000000" w:sz="12" w:space="0"/>
              <w:tl2br w:val="nil"/>
              <w:tr2bl w:val="nil"/>
            </w:tcBorders>
            <w:shd w:val="clear" w:color="auto" w:fill="FFFFFF"/>
            <w:vAlign w:val="center"/>
          </w:tcPr>
          <w:p w14:paraId="08F95402">
            <w:pPr>
              <w:pStyle w:val="53"/>
              <w:rPr>
                <w:b w:val="0"/>
                <w:highlight w:val="none"/>
              </w:rPr>
            </w:pPr>
            <w:r>
              <w:rPr>
                <w:rFonts w:hint="eastAsia"/>
                <w:b w:val="0"/>
                <w:highlight w:val="none"/>
              </w:rPr>
              <w:t>作业控制点</w:t>
            </w:r>
          </w:p>
        </w:tc>
        <w:tc>
          <w:tcPr>
            <w:tcW w:w="1886" w:type="pct"/>
            <w:gridSpan w:val="4"/>
            <w:tcBorders>
              <w:top w:val="single" w:color="000000" w:sz="12" w:space="0"/>
              <w:tl2br w:val="nil"/>
              <w:tr2bl w:val="nil"/>
            </w:tcBorders>
            <w:shd w:val="clear" w:color="auto" w:fill="FFFFFF"/>
            <w:vAlign w:val="center"/>
          </w:tcPr>
          <w:p w14:paraId="24ADC32E">
            <w:pPr>
              <w:pStyle w:val="53"/>
              <w:rPr>
                <w:b w:val="0"/>
                <w:highlight w:val="none"/>
              </w:rPr>
            </w:pPr>
            <w:r>
              <w:rPr>
                <w:rFonts w:hint="eastAsia"/>
                <w:b w:val="0"/>
                <w:highlight w:val="none"/>
              </w:rPr>
              <w:t>检验单位</w:t>
            </w:r>
          </w:p>
        </w:tc>
        <w:tc>
          <w:tcPr>
            <w:tcW w:w="471" w:type="pct"/>
            <w:vMerge w:val="restart"/>
            <w:tcBorders>
              <w:top w:val="single" w:color="000000" w:sz="12" w:space="0"/>
              <w:right w:val="single" w:color="000000" w:sz="4" w:space="0"/>
              <w:tl2br w:val="nil"/>
              <w:tr2bl w:val="nil"/>
            </w:tcBorders>
            <w:shd w:val="clear" w:color="auto" w:fill="FFFFFF"/>
            <w:vAlign w:val="center"/>
          </w:tcPr>
          <w:p w14:paraId="32502E12">
            <w:pPr>
              <w:pStyle w:val="53"/>
              <w:rPr>
                <w:b w:val="0"/>
                <w:highlight w:val="none"/>
              </w:rPr>
            </w:pPr>
            <w:r>
              <w:rPr>
                <w:rFonts w:hint="eastAsia"/>
                <w:b w:val="0"/>
                <w:highlight w:val="none"/>
              </w:rPr>
              <w:t>见证</w:t>
            </w:r>
          </w:p>
          <w:p w14:paraId="7349E896">
            <w:pPr>
              <w:pStyle w:val="53"/>
              <w:rPr>
                <w:b w:val="0"/>
                <w:highlight w:val="none"/>
              </w:rPr>
            </w:pPr>
            <w:r>
              <w:rPr>
                <w:rFonts w:hint="eastAsia"/>
                <w:b w:val="0"/>
                <w:highlight w:val="none"/>
              </w:rPr>
              <w:t>方式</w:t>
            </w:r>
          </w:p>
        </w:tc>
      </w:tr>
      <w:tr w14:paraId="28033B5B">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c>
          <w:tcPr>
            <w:tcW w:w="489" w:type="pct"/>
            <w:vMerge w:val="continue"/>
            <w:tcBorders>
              <w:left w:val="single" w:color="000000" w:sz="12" w:space="0"/>
              <w:tl2br w:val="nil"/>
              <w:tr2bl w:val="nil"/>
            </w:tcBorders>
            <w:shd w:val="clear" w:color="auto" w:fill="FFFFFF"/>
            <w:vAlign w:val="center"/>
          </w:tcPr>
          <w:p w14:paraId="20B399C3">
            <w:pPr>
              <w:pStyle w:val="53"/>
              <w:rPr>
                <w:b w:val="0"/>
                <w:highlight w:val="none"/>
              </w:rPr>
            </w:pPr>
          </w:p>
        </w:tc>
        <w:tc>
          <w:tcPr>
            <w:tcW w:w="2152" w:type="pct"/>
            <w:vMerge w:val="continue"/>
            <w:tcBorders>
              <w:tl2br w:val="nil"/>
              <w:tr2bl w:val="nil"/>
            </w:tcBorders>
            <w:shd w:val="clear" w:color="auto" w:fill="FFFFFF"/>
            <w:vAlign w:val="center"/>
          </w:tcPr>
          <w:p w14:paraId="222E3C6B">
            <w:pPr>
              <w:pStyle w:val="53"/>
              <w:rPr>
                <w:b w:val="0"/>
                <w:highlight w:val="none"/>
              </w:rPr>
            </w:pPr>
          </w:p>
        </w:tc>
        <w:tc>
          <w:tcPr>
            <w:tcW w:w="447" w:type="pct"/>
            <w:tcBorders>
              <w:tl2br w:val="nil"/>
              <w:tr2bl w:val="nil"/>
            </w:tcBorders>
            <w:shd w:val="clear" w:color="auto" w:fill="FFFFFF"/>
            <w:vAlign w:val="center"/>
          </w:tcPr>
          <w:p w14:paraId="7FC0010A">
            <w:pPr>
              <w:pStyle w:val="53"/>
              <w:rPr>
                <w:b w:val="0"/>
                <w:highlight w:val="none"/>
              </w:rPr>
            </w:pPr>
            <w:r>
              <w:rPr>
                <w:rFonts w:hint="eastAsia"/>
                <w:b w:val="0"/>
                <w:highlight w:val="none"/>
              </w:rPr>
              <w:t>班组</w:t>
            </w:r>
          </w:p>
        </w:tc>
        <w:tc>
          <w:tcPr>
            <w:tcW w:w="523" w:type="pct"/>
            <w:tcBorders>
              <w:tl2br w:val="nil"/>
              <w:tr2bl w:val="nil"/>
            </w:tcBorders>
            <w:shd w:val="clear" w:color="auto" w:fill="FFFFFF"/>
            <w:vAlign w:val="center"/>
          </w:tcPr>
          <w:p w14:paraId="32833C18">
            <w:pPr>
              <w:pStyle w:val="53"/>
              <w:rPr>
                <w:b w:val="0"/>
                <w:highlight w:val="none"/>
              </w:rPr>
            </w:pPr>
            <w:r>
              <w:rPr>
                <w:rFonts w:hint="eastAsia"/>
                <w:b w:val="0"/>
                <w:highlight w:val="none"/>
              </w:rPr>
              <w:t>专业</w:t>
            </w:r>
          </w:p>
          <w:p w14:paraId="2A1FAF5E">
            <w:pPr>
              <w:pStyle w:val="53"/>
              <w:rPr>
                <w:b w:val="0"/>
                <w:highlight w:val="none"/>
              </w:rPr>
            </w:pPr>
            <w:r>
              <w:rPr>
                <w:rFonts w:hint="eastAsia"/>
                <w:b w:val="0"/>
                <w:highlight w:val="none"/>
              </w:rPr>
              <w:t>公司</w:t>
            </w:r>
          </w:p>
        </w:tc>
        <w:tc>
          <w:tcPr>
            <w:tcW w:w="526" w:type="pct"/>
            <w:tcBorders>
              <w:tl2br w:val="nil"/>
              <w:tr2bl w:val="nil"/>
            </w:tcBorders>
            <w:shd w:val="clear" w:color="auto" w:fill="FFFFFF"/>
            <w:vAlign w:val="center"/>
          </w:tcPr>
          <w:p w14:paraId="590E1F09">
            <w:pPr>
              <w:pStyle w:val="53"/>
              <w:rPr>
                <w:b w:val="0"/>
                <w:highlight w:val="none"/>
              </w:rPr>
            </w:pPr>
            <w:r>
              <w:rPr>
                <w:rFonts w:hint="eastAsia"/>
                <w:b w:val="0"/>
                <w:highlight w:val="none"/>
              </w:rPr>
              <w:t>项目质检部门</w:t>
            </w:r>
          </w:p>
        </w:tc>
        <w:tc>
          <w:tcPr>
            <w:tcW w:w="388" w:type="pct"/>
            <w:tcBorders>
              <w:tl2br w:val="nil"/>
              <w:tr2bl w:val="nil"/>
            </w:tcBorders>
            <w:shd w:val="clear" w:color="auto" w:fill="FFFFFF"/>
            <w:vAlign w:val="center"/>
          </w:tcPr>
          <w:p w14:paraId="714E1BBC">
            <w:pPr>
              <w:pStyle w:val="53"/>
              <w:rPr>
                <w:b w:val="0"/>
                <w:highlight w:val="none"/>
              </w:rPr>
            </w:pPr>
            <w:r>
              <w:rPr>
                <w:rFonts w:hint="eastAsia"/>
                <w:b w:val="0"/>
                <w:highlight w:val="none"/>
              </w:rPr>
              <w:t>监理</w:t>
            </w:r>
          </w:p>
        </w:tc>
        <w:tc>
          <w:tcPr>
            <w:tcW w:w="471" w:type="pct"/>
            <w:vMerge w:val="continue"/>
            <w:tcBorders>
              <w:right w:val="single" w:color="000000" w:sz="12" w:space="0"/>
              <w:tl2br w:val="nil"/>
              <w:tr2bl w:val="nil"/>
            </w:tcBorders>
            <w:shd w:val="clear" w:color="auto" w:fill="FFFFFF"/>
            <w:vAlign w:val="center"/>
          </w:tcPr>
          <w:p w14:paraId="11A151AB">
            <w:pPr>
              <w:pStyle w:val="53"/>
              <w:rPr>
                <w:b w:val="0"/>
                <w:highlight w:val="none"/>
              </w:rPr>
            </w:pPr>
          </w:p>
        </w:tc>
      </w:tr>
      <w:tr w14:paraId="7EAB1C22">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c>
          <w:tcPr>
            <w:tcW w:w="489" w:type="pct"/>
            <w:tcBorders>
              <w:left w:val="single" w:color="000000" w:sz="12" w:space="0"/>
              <w:tl2br w:val="nil"/>
              <w:tr2bl w:val="nil"/>
            </w:tcBorders>
            <w:shd w:val="clear" w:color="auto" w:fill="FFFFFF"/>
            <w:vAlign w:val="center"/>
          </w:tcPr>
          <w:p w14:paraId="675CD70B">
            <w:pPr>
              <w:pStyle w:val="53"/>
              <w:rPr>
                <w:b w:val="0"/>
                <w:highlight w:val="none"/>
              </w:rPr>
            </w:pPr>
            <w:r>
              <w:rPr>
                <w:rFonts w:hint="eastAsia"/>
                <w:b w:val="0"/>
                <w:highlight w:val="none"/>
              </w:rPr>
              <w:t>1</w:t>
            </w:r>
          </w:p>
        </w:tc>
        <w:tc>
          <w:tcPr>
            <w:tcW w:w="2152" w:type="pct"/>
            <w:tcBorders>
              <w:tl2br w:val="nil"/>
              <w:tr2bl w:val="nil"/>
            </w:tcBorders>
            <w:shd w:val="clear" w:color="auto" w:fill="FFFFFF"/>
            <w:vAlign w:val="center"/>
          </w:tcPr>
          <w:p w14:paraId="50B7C9AC">
            <w:pPr>
              <w:pStyle w:val="53"/>
              <w:rPr>
                <w:b w:val="0"/>
                <w:highlight w:val="none"/>
              </w:rPr>
            </w:pPr>
            <w:r>
              <w:rPr>
                <w:rFonts w:hint="eastAsia"/>
                <w:b w:val="0"/>
                <w:highlight w:val="none"/>
              </w:rPr>
              <w:t>施工中防止部件磕碰和交叉作业现象</w:t>
            </w:r>
          </w:p>
        </w:tc>
        <w:tc>
          <w:tcPr>
            <w:tcW w:w="447" w:type="pct"/>
            <w:tcBorders>
              <w:tl2br w:val="nil"/>
              <w:tr2bl w:val="nil"/>
            </w:tcBorders>
            <w:shd w:val="clear" w:color="auto" w:fill="FFFFFF"/>
            <w:vAlign w:val="center"/>
          </w:tcPr>
          <w:p w14:paraId="250057A8">
            <w:pPr>
              <w:pStyle w:val="53"/>
              <w:rPr>
                <w:b w:val="0"/>
                <w:highlight w:val="none"/>
              </w:rPr>
            </w:pPr>
            <w:r>
              <w:rPr>
                <w:rFonts w:hint="eastAsia"/>
                <w:b w:val="0"/>
                <w:highlight w:val="none"/>
              </w:rPr>
              <w:t>★</w:t>
            </w:r>
          </w:p>
        </w:tc>
        <w:tc>
          <w:tcPr>
            <w:tcW w:w="523" w:type="pct"/>
            <w:tcBorders>
              <w:tl2br w:val="nil"/>
              <w:tr2bl w:val="nil"/>
            </w:tcBorders>
            <w:shd w:val="clear" w:color="auto" w:fill="FFFFFF"/>
            <w:vAlign w:val="center"/>
          </w:tcPr>
          <w:p w14:paraId="075D5B4C">
            <w:pPr>
              <w:pStyle w:val="53"/>
              <w:rPr>
                <w:b w:val="0"/>
                <w:highlight w:val="none"/>
              </w:rPr>
            </w:pPr>
          </w:p>
        </w:tc>
        <w:tc>
          <w:tcPr>
            <w:tcW w:w="526" w:type="pct"/>
            <w:tcBorders>
              <w:tl2br w:val="nil"/>
              <w:tr2bl w:val="nil"/>
            </w:tcBorders>
            <w:shd w:val="clear" w:color="auto" w:fill="FFFFFF"/>
            <w:vAlign w:val="center"/>
          </w:tcPr>
          <w:p w14:paraId="381116E5">
            <w:pPr>
              <w:pStyle w:val="53"/>
              <w:rPr>
                <w:b w:val="0"/>
                <w:highlight w:val="none"/>
              </w:rPr>
            </w:pPr>
            <w:r>
              <w:rPr>
                <w:rFonts w:hint="eastAsia"/>
                <w:b w:val="0"/>
                <w:highlight w:val="none"/>
              </w:rPr>
              <w:t>★</w:t>
            </w:r>
          </w:p>
        </w:tc>
        <w:tc>
          <w:tcPr>
            <w:tcW w:w="388" w:type="pct"/>
            <w:tcBorders>
              <w:tl2br w:val="nil"/>
              <w:tr2bl w:val="nil"/>
            </w:tcBorders>
            <w:shd w:val="clear" w:color="auto" w:fill="FFFFFF"/>
            <w:vAlign w:val="center"/>
          </w:tcPr>
          <w:p w14:paraId="01F0767D">
            <w:pPr>
              <w:pStyle w:val="53"/>
              <w:rPr>
                <w:b w:val="0"/>
                <w:highlight w:val="none"/>
              </w:rPr>
            </w:pPr>
          </w:p>
        </w:tc>
        <w:tc>
          <w:tcPr>
            <w:tcW w:w="471" w:type="pct"/>
            <w:tcBorders>
              <w:right w:val="single" w:color="000000" w:sz="12" w:space="0"/>
              <w:tl2br w:val="nil"/>
              <w:tr2bl w:val="nil"/>
            </w:tcBorders>
            <w:shd w:val="clear" w:color="auto" w:fill="FFFFFF"/>
            <w:vAlign w:val="center"/>
          </w:tcPr>
          <w:p w14:paraId="623D9C9D">
            <w:pPr>
              <w:pStyle w:val="53"/>
              <w:rPr>
                <w:b w:val="0"/>
                <w:highlight w:val="none"/>
              </w:rPr>
            </w:pPr>
            <w:r>
              <w:rPr>
                <w:rFonts w:hint="eastAsia"/>
                <w:b w:val="0"/>
                <w:highlight w:val="none"/>
              </w:rPr>
              <w:t>R</w:t>
            </w:r>
          </w:p>
        </w:tc>
      </w:tr>
      <w:tr w14:paraId="76A8E58F">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c>
          <w:tcPr>
            <w:tcW w:w="489" w:type="pct"/>
            <w:tcBorders>
              <w:left w:val="single" w:color="000000" w:sz="12" w:space="0"/>
              <w:tl2br w:val="nil"/>
              <w:tr2bl w:val="nil"/>
            </w:tcBorders>
            <w:shd w:val="clear" w:color="auto" w:fill="FFFFFF"/>
            <w:vAlign w:val="center"/>
          </w:tcPr>
          <w:p w14:paraId="1AEBB165">
            <w:pPr>
              <w:pStyle w:val="53"/>
              <w:rPr>
                <w:b w:val="0"/>
                <w:highlight w:val="none"/>
              </w:rPr>
            </w:pPr>
            <w:r>
              <w:rPr>
                <w:rFonts w:hint="eastAsia"/>
                <w:b w:val="0"/>
                <w:highlight w:val="none"/>
              </w:rPr>
              <w:t>2</w:t>
            </w:r>
          </w:p>
        </w:tc>
        <w:tc>
          <w:tcPr>
            <w:tcW w:w="2152" w:type="pct"/>
            <w:tcBorders>
              <w:tl2br w:val="nil"/>
              <w:tr2bl w:val="nil"/>
            </w:tcBorders>
            <w:shd w:val="clear" w:color="auto" w:fill="FFFFFF"/>
            <w:vAlign w:val="center"/>
          </w:tcPr>
          <w:p w14:paraId="570B4FB9">
            <w:pPr>
              <w:pStyle w:val="53"/>
              <w:rPr>
                <w:b w:val="0"/>
                <w:highlight w:val="none"/>
              </w:rPr>
            </w:pPr>
            <w:r>
              <w:rPr>
                <w:rFonts w:hint="eastAsia"/>
                <w:b w:val="0"/>
                <w:highlight w:val="none"/>
              </w:rPr>
              <w:t>作业工机具、卡索具完好无损，无人员、设备损伤</w:t>
            </w:r>
          </w:p>
        </w:tc>
        <w:tc>
          <w:tcPr>
            <w:tcW w:w="447" w:type="pct"/>
            <w:tcBorders>
              <w:tl2br w:val="nil"/>
              <w:tr2bl w:val="nil"/>
            </w:tcBorders>
            <w:shd w:val="clear" w:color="auto" w:fill="FFFFFF"/>
            <w:vAlign w:val="center"/>
          </w:tcPr>
          <w:p w14:paraId="39D45CEB">
            <w:pPr>
              <w:pStyle w:val="53"/>
              <w:rPr>
                <w:b w:val="0"/>
                <w:highlight w:val="none"/>
              </w:rPr>
            </w:pPr>
            <w:r>
              <w:rPr>
                <w:rFonts w:hint="eastAsia"/>
                <w:b w:val="0"/>
                <w:highlight w:val="none"/>
              </w:rPr>
              <w:t>★</w:t>
            </w:r>
          </w:p>
        </w:tc>
        <w:tc>
          <w:tcPr>
            <w:tcW w:w="523" w:type="pct"/>
            <w:tcBorders>
              <w:tl2br w:val="nil"/>
              <w:tr2bl w:val="nil"/>
            </w:tcBorders>
            <w:shd w:val="clear" w:color="auto" w:fill="FFFFFF"/>
            <w:vAlign w:val="center"/>
          </w:tcPr>
          <w:p w14:paraId="7A7B15BD">
            <w:pPr>
              <w:pStyle w:val="53"/>
              <w:rPr>
                <w:b w:val="0"/>
                <w:highlight w:val="none"/>
              </w:rPr>
            </w:pPr>
          </w:p>
        </w:tc>
        <w:tc>
          <w:tcPr>
            <w:tcW w:w="526" w:type="pct"/>
            <w:tcBorders>
              <w:tl2br w:val="nil"/>
              <w:tr2bl w:val="nil"/>
            </w:tcBorders>
            <w:shd w:val="clear" w:color="auto" w:fill="FFFFFF"/>
            <w:vAlign w:val="center"/>
          </w:tcPr>
          <w:p w14:paraId="66B237AA">
            <w:pPr>
              <w:pStyle w:val="53"/>
              <w:rPr>
                <w:b w:val="0"/>
                <w:highlight w:val="none"/>
              </w:rPr>
            </w:pPr>
            <w:r>
              <w:rPr>
                <w:rFonts w:hint="eastAsia"/>
                <w:b w:val="0"/>
                <w:highlight w:val="none"/>
              </w:rPr>
              <w:t>★</w:t>
            </w:r>
          </w:p>
        </w:tc>
        <w:tc>
          <w:tcPr>
            <w:tcW w:w="388" w:type="pct"/>
            <w:tcBorders>
              <w:tl2br w:val="nil"/>
              <w:tr2bl w:val="nil"/>
            </w:tcBorders>
            <w:shd w:val="clear" w:color="auto" w:fill="FFFFFF"/>
            <w:vAlign w:val="center"/>
          </w:tcPr>
          <w:p w14:paraId="183BDCDF">
            <w:pPr>
              <w:pStyle w:val="53"/>
              <w:rPr>
                <w:b w:val="0"/>
                <w:highlight w:val="none"/>
              </w:rPr>
            </w:pPr>
          </w:p>
        </w:tc>
        <w:tc>
          <w:tcPr>
            <w:tcW w:w="471" w:type="pct"/>
            <w:tcBorders>
              <w:right w:val="single" w:color="000000" w:sz="12" w:space="0"/>
              <w:tl2br w:val="nil"/>
              <w:tr2bl w:val="nil"/>
            </w:tcBorders>
            <w:shd w:val="clear" w:color="auto" w:fill="FFFFFF"/>
            <w:vAlign w:val="center"/>
          </w:tcPr>
          <w:p w14:paraId="121575BF">
            <w:pPr>
              <w:pStyle w:val="53"/>
              <w:rPr>
                <w:b w:val="0"/>
                <w:highlight w:val="none"/>
              </w:rPr>
            </w:pPr>
            <w:r>
              <w:rPr>
                <w:rFonts w:hint="eastAsia"/>
                <w:b w:val="0"/>
                <w:highlight w:val="none"/>
              </w:rPr>
              <w:t>S</w:t>
            </w:r>
          </w:p>
        </w:tc>
      </w:tr>
      <w:tr w14:paraId="1BE80FCB">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c>
          <w:tcPr>
            <w:tcW w:w="489" w:type="pct"/>
            <w:tcBorders>
              <w:left w:val="single" w:color="000000" w:sz="12" w:space="0"/>
              <w:tl2br w:val="nil"/>
              <w:tr2bl w:val="nil"/>
            </w:tcBorders>
            <w:shd w:val="clear" w:color="auto" w:fill="FFFFFF"/>
            <w:vAlign w:val="center"/>
          </w:tcPr>
          <w:p w14:paraId="3FF26DEC">
            <w:pPr>
              <w:pStyle w:val="53"/>
              <w:rPr>
                <w:b w:val="0"/>
                <w:highlight w:val="none"/>
              </w:rPr>
            </w:pPr>
            <w:r>
              <w:rPr>
                <w:rFonts w:hint="eastAsia"/>
                <w:b w:val="0"/>
                <w:highlight w:val="none"/>
              </w:rPr>
              <w:t>3</w:t>
            </w:r>
          </w:p>
        </w:tc>
        <w:tc>
          <w:tcPr>
            <w:tcW w:w="2152" w:type="pct"/>
            <w:tcBorders>
              <w:tl2br w:val="nil"/>
              <w:tr2bl w:val="nil"/>
            </w:tcBorders>
            <w:shd w:val="clear" w:color="auto" w:fill="FFFFFF"/>
            <w:vAlign w:val="center"/>
          </w:tcPr>
          <w:p w14:paraId="47D1FBF2">
            <w:pPr>
              <w:pStyle w:val="53"/>
              <w:rPr>
                <w:b w:val="0"/>
                <w:highlight w:val="none"/>
              </w:rPr>
            </w:pPr>
            <w:r>
              <w:rPr>
                <w:rFonts w:hint="eastAsia"/>
                <w:b w:val="0"/>
                <w:highlight w:val="none"/>
              </w:rPr>
              <w:t>各组件、零部件安全顺利安装、安装，无损坏或变形</w:t>
            </w:r>
          </w:p>
        </w:tc>
        <w:tc>
          <w:tcPr>
            <w:tcW w:w="447" w:type="pct"/>
            <w:tcBorders>
              <w:tl2br w:val="nil"/>
              <w:tr2bl w:val="nil"/>
            </w:tcBorders>
            <w:shd w:val="clear" w:color="auto" w:fill="FFFFFF"/>
            <w:vAlign w:val="center"/>
          </w:tcPr>
          <w:p w14:paraId="0A224599">
            <w:pPr>
              <w:pStyle w:val="53"/>
              <w:rPr>
                <w:b w:val="0"/>
                <w:highlight w:val="none"/>
              </w:rPr>
            </w:pPr>
            <w:r>
              <w:rPr>
                <w:rFonts w:hint="eastAsia"/>
                <w:b w:val="0"/>
                <w:highlight w:val="none"/>
              </w:rPr>
              <w:t>★</w:t>
            </w:r>
          </w:p>
        </w:tc>
        <w:tc>
          <w:tcPr>
            <w:tcW w:w="523" w:type="pct"/>
            <w:tcBorders>
              <w:tl2br w:val="nil"/>
              <w:tr2bl w:val="nil"/>
            </w:tcBorders>
            <w:shd w:val="clear" w:color="auto" w:fill="FFFFFF"/>
            <w:vAlign w:val="center"/>
          </w:tcPr>
          <w:p w14:paraId="1515C321">
            <w:pPr>
              <w:pStyle w:val="53"/>
              <w:rPr>
                <w:b w:val="0"/>
                <w:highlight w:val="none"/>
              </w:rPr>
            </w:pPr>
          </w:p>
        </w:tc>
        <w:tc>
          <w:tcPr>
            <w:tcW w:w="526" w:type="pct"/>
            <w:tcBorders>
              <w:tl2br w:val="nil"/>
              <w:tr2bl w:val="nil"/>
            </w:tcBorders>
            <w:shd w:val="clear" w:color="auto" w:fill="FFFFFF"/>
            <w:vAlign w:val="center"/>
          </w:tcPr>
          <w:p w14:paraId="565AA503">
            <w:pPr>
              <w:pStyle w:val="53"/>
              <w:rPr>
                <w:b w:val="0"/>
                <w:highlight w:val="none"/>
              </w:rPr>
            </w:pPr>
            <w:r>
              <w:rPr>
                <w:rFonts w:hint="eastAsia"/>
                <w:b w:val="0"/>
                <w:highlight w:val="none"/>
              </w:rPr>
              <w:t>★</w:t>
            </w:r>
          </w:p>
        </w:tc>
        <w:tc>
          <w:tcPr>
            <w:tcW w:w="388" w:type="pct"/>
            <w:tcBorders>
              <w:tl2br w:val="nil"/>
              <w:tr2bl w:val="nil"/>
            </w:tcBorders>
            <w:shd w:val="clear" w:color="auto" w:fill="FFFFFF"/>
            <w:vAlign w:val="center"/>
          </w:tcPr>
          <w:p w14:paraId="419C8B18">
            <w:pPr>
              <w:pStyle w:val="53"/>
              <w:rPr>
                <w:b w:val="0"/>
                <w:highlight w:val="none"/>
              </w:rPr>
            </w:pPr>
          </w:p>
        </w:tc>
        <w:tc>
          <w:tcPr>
            <w:tcW w:w="471" w:type="pct"/>
            <w:tcBorders>
              <w:right w:val="single" w:color="000000" w:sz="12" w:space="0"/>
              <w:tl2br w:val="nil"/>
              <w:tr2bl w:val="nil"/>
            </w:tcBorders>
            <w:shd w:val="clear" w:color="auto" w:fill="FFFFFF"/>
            <w:vAlign w:val="center"/>
          </w:tcPr>
          <w:p w14:paraId="05504193">
            <w:pPr>
              <w:pStyle w:val="53"/>
              <w:rPr>
                <w:b w:val="0"/>
                <w:highlight w:val="none"/>
              </w:rPr>
            </w:pPr>
            <w:r>
              <w:rPr>
                <w:rFonts w:hint="eastAsia"/>
                <w:b w:val="0"/>
                <w:highlight w:val="none"/>
              </w:rPr>
              <w:t>W</w:t>
            </w:r>
          </w:p>
        </w:tc>
      </w:tr>
      <w:tr w14:paraId="3DE9B520">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c>
          <w:tcPr>
            <w:tcW w:w="489" w:type="pct"/>
            <w:tcBorders>
              <w:left w:val="single" w:color="000000" w:sz="12" w:space="0"/>
              <w:tl2br w:val="nil"/>
              <w:tr2bl w:val="nil"/>
            </w:tcBorders>
            <w:shd w:val="clear" w:color="auto" w:fill="FFFFFF"/>
            <w:vAlign w:val="center"/>
          </w:tcPr>
          <w:p w14:paraId="5AF29A68">
            <w:pPr>
              <w:pStyle w:val="53"/>
              <w:rPr>
                <w:b w:val="0"/>
                <w:highlight w:val="none"/>
              </w:rPr>
            </w:pPr>
            <w:r>
              <w:rPr>
                <w:rFonts w:hint="eastAsia"/>
                <w:b w:val="0"/>
                <w:highlight w:val="none"/>
              </w:rPr>
              <w:t>4</w:t>
            </w:r>
          </w:p>
        </w:tc>
        <w:tc>
          <w:tcPr>
            <w:tcW w:w="2152" w:type="pct"/>
            <w:tcBorders>
              <w:tl2br w:val="nil"/>
              <w:tr2bl w:val="nil"/>
            </w:tcBorders>
            <w:shd w:val="clear" w:color="auto" w:fill="FFFFFF"/>
            <w:vAlign w:val="center"/>
          </w:tcPr>
          <w:p w14:paraId="1515A6BA">
            <w:pPr>
              <w:pStyle w:val="53"/>
              <w:rPr>
                <w:b w:val="0"/>
                <w:highlight w:val="none"/>
              </w:rPr>
            </w:pPr>
            <w:r>
              <w:rPr>
                <w:rFonts w:hint="eastAsia"/>
                <w:b w:val="0"/>
                <w:highlight w:val="none"/>
              </w:rPr>
              <w:t>做好各组件、零部件安装后清点、整理和存放工作。</w:t>
            </w:r>
          </w:p>
        </w:tc>
        <w:tc>
          <w:tcPr>
            <w:tcW w:w="447" w:type="pct"/>
            <w:tcBorders>
              <w:tl2br w:val="nil"/>
              <w:tr2bl w:val="nil"/>
            </w:tcBorders>
            <w:shd w:val="clear" w:color="auto" w:fill="FFFFFF"/>
            <w:vAlign w:val="center"/>
          </w:tcPr>
          <w:p w14:paraId="6916BA53">
            <w:pPr>
              <w:pStyle w:val="53"/>
              <w:rPr>
                <w:b w:val="0"/>
                <w:highlight w:val="none"/>
              </w:rPr>
            </w:pPr>
            <w:r>
              <w:rPr>
                <w:rFonts w:hint="eastAsia"/>
                <w:b w:val="0"/>
                <w:highlight w:val="none"/>
              </w:rPr>
              <w:t>★</w:t>
            </w:r>
          </w:p>
        </w:tc>
        <w:tc>
          <w:tcPr>
            <w:tcW w:w="523" w:type="pct"/>
            <w:tcBorders>
              <w:tl2br w:val="nil"/>
              <w:tr2bl w:val="nil"/>
            </w:tcBorders>
            <w:shd w:val="clear" w:color="auto" w:fill="FFFFFF"/>
            <w:vAlign w:val="center"/>
          </w:tcPr>
          <w:p w14:paraId="33EF89D2">
            <w:pPr>
              <w:pStyle w:val="53"/>
              <w:rPr>
                <w:b w:val="0"/>
                <w:highlight w:val="none"/>
              </w:rPr>
            </w:pPr>
          </w:p>
        </w:tc>
        <w:tc>
          <w:tcPr>
            <w:tcW w:w="526" w:type="pct"/>
            <w:tcBorders>
              <w:tl2br w:val="nil"/>
              <w:tr2bl w:val="nil"/>
            </w:tcBorders>
            <w:shd w:val="clear" w:color="auto" w:fill="FFFFFF"/>
            <w:vAlign w:val="center"/>
          </w:tcPr>
          <w:p w14:paraId="63BF30CA">
            <w:pPr>
              <w:pStyle w:val="53"/>
              <w:rPr>
                <w:b w:val="0"/>
                <w:highlight w:val="none"/>
              </w:rPr>
            </w:pPr>
            <w:r>
              <w:rPr>
                <w:rFonts w:hint="eastAsia"/>
                <w:b w:val="0"/>
                <w:highlight w:val="none"/>
              </w:rPr>
              <w:t>★</w:t>
            </w:r>
          </w:p>
        </w:tc>
        <w:tc>
          <w:tcPr>
            <w:tcW w:w="388" w:type="pct"/>
            <w:tcBorders>
              <w:tl2br w:val="nil"/>
              <w:tr2bl w:val="nil"/>
            </w:tcBorders>
            <w:shd w:val="clear" w:color="auto" w:fill="FFFFFF"/>
            <w:vAlign w:val="center"/>
          </w:tcPr>
          <w:p w14:paraId="139438A3">
            <w:pPr>
              <w:pStyle w:val="53"/>
              <w:rPr>
                <w:b w:val="0"/>
                <w:highlight w:val="none"/>
              </w:rPr>
            </w:pPr>
          </w:p>
        </w:tc>
        <w:tc>
          <w:tcPr>
            <w:tcW w:w="471" w:type="pct"/>
            <w:tcBorders>
              <w:right w:val="single" w:color="000000" w:sz="12" w:space="0"/>
              <w:tl2br w:val="nil"/>
              <w:tr2bl w:val="nil"/>
            </w:tcBorders>
            <w:shd w:val="clear" w:color="auto" w:fill="FFFFFF"/>
            <w:vAlign w:val="center"/>
          </w:tcPr>
          <w:p w14:paraId="151F85CD">
            <w:pPr>
              <w:pStyle w:val="53"/>
              <w:rPr>
                <w:b w:val="0"/>
                <w:highlight w:val="none"/>
              </w:rPr>
            </w:pPr>
            <w:r>
              <w:rPr>
                <w:rFonts w:hint="eastAsia"/>
                <w:b w:val="0"/>
                <w:highlight w:val="none"/>
              </w:rPr>
              <w:t>W</w:t>
            </w:r>
          </w:p>
        </w:tc>
      </w:tr>
      <w:tr w14:paraId="21CF1948">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c>
          <w:tcPr>
            <w:tcW w:w="489" w:type="pct"/>
            <w:tcBorders>
              <w:left w:val="single" w:color="000000" w:sz="12" w:space="0"/>
              <w:bottom w:val="single" w:color="000000" w:sz="12" w:space="0"/>
              <w:tl2br w:val="nil"/>
              <w:tr2bl w:val="nil"/>
            </w:tcBorders>
            <w:shd w:val="clear" w:color="auto" w:fill="FFFFFF"/>
            <w:vAlign w:val="center"/>
          </w:tcPr>
          <w:p w14:paraId="172D24D5">
            <w:pPr>
              <w:pStyle w:val="53"/>
              <w:rPr>
                <w:b w:val="0"/>
                <w:highlight w:val="none"/>
              </w:rPr>
            </w:pPr>
            <w:r>
              <w:rPr>
                <w:rFonts w:hint="eastAsia"/>
                <w:b w:val="0"/>
                <w:highlight w:val="none"/>
              </w:rPr>
              <w:t>5</w:t>
            </w:r>
          </w:p>
        </w:tc>
        <w:tc>
          <w:tcPr>
            <w:tcW w:w="2152" w:type="pct"/>
            <w:tcBorders>
              <w:bottom w:val="single" w:color="000000" w:sz="12" w:space="0"/>
              <w:tl2br w:val="nil"/>
              <w:tr2bl w:val="nil"/>
            </w:tcBorders>
            <w:shd w:val="clear" w:color="auto" w:fill="FFFFFF"/>
            <w:vAlign w:val="center"/>
          </w:tcPr>
          <w:p w14:paraId="30DC1E5B">
            <w:pPr>
              <w:pStyle w:val="53"/>
              <w:rPr>
                <w:b w:val="0"/>
                <w:highlight w:val="none"/>
              </w:rPr>
            </w:pPr>
            <w:r>
              <w:rPr>
                <w:rFonts w:hint="eastAsia"/>
                <w:b w:val="0"/>
                <w:highlight w:val="none"/>
              </w:rPr>
              <w:t>作业方法应该按照说明书和本方案要求严格执行</w:t>
            </w:r>
          </w:p>
        </w:tc>
        <w:tc>
          <w:tcPr>
            <w:tcW w:w="447" w:type="pct"/>
            <w:tcBorders>
              <w:bottom w:val="single" w:color="000000" w:sz="12" w:space="0"/>
              <w:tl2br w:val="nil"/>
              <w:tr2bl w:val="nil"/>
            </w:tcBorders>
            <w:shd w:val="clear" w:color="auto" w:fill="FFFFFF"/>
            <w:vAlign w:val="center"/>
          </w:tcPr>
          <w:p w14:paraId="004A5FE3">
            <w:pPr>
              <w:pStyle w:val="53"/>
              <w:rPr>
                <w:b w:val="0"/>
                <w:highlight w:val="none"/>
              </w:rPr>
            </w:pPr>
            <w:r>
              <w:rPr>
                <w:rFonts w:hint="eastAsia"/>
                <w:b w:val="0"/>
                <w:highlight w:val="none"/>
              </w:rPr>
              <w:t>★</w:t>
            </w:r>
          </w:p>
        </w:tc>
        <w:tc>
          <w:tcPr>
            <w:tcW w:w="523" w:type="pct"/>
            <w:tcBorders>
              <w:bottom w:val="single" w:color="000000" w:sz="12" w:space="0"/>
              <w:tl2br w:val="nil"/>
              <w:tr2bl w:val="nil"/>
            </w:tcBorders>
            <w:shd w:val="clear" w:color="auto" w:fill="FFFFFF"/>
            <w:vAlign w:val="center"/>
          </w:tcPr>
          <w:p w14:paraId="6A3F2A78">
            <w:pPr>
              <w:pStyle w:val="53"/>
              <w:rPr>
                <w:b w:val="0"/>
                <w:highlight w:val="none"/>
              </w:rPr>
            </w:pPr>
          </w:p>
        </w:tc>
        <w:tc>
          <w:tcPr>
            <w:tcW w:w="526" w:type="pct"/>
            <w:tcBorders>
              <w:bottom w:val="single" w:color="000000" w:sz="12" w:space="0"/>
              <w:tl2br w:val="nil"/>
              <w:tr2bl w:val="nil"/>
            </w:tcBorders>
            <w:shd w:val="clear" w:color="auto" w:fill="FFFFFF"/>
            <w:vAlign w:val="center"/>
          </w:tcPr>
          <w:p w14:paraId="464FC6A3">
            <w:pPr>
              <w:pStyle w:val="53"/>
              <w:rPr>
                <w:b w:val="0"/>
                <w:highlight w:val="none"/>
              </w:rPr>
            </w:pPr>
            <w:r>
              <w:rPr>
                <w:rFonts w:hint="eastAsia"/>
                <w:b w:val="0"/>
                <w:highlight w:val="none"/>
              </w:rPr>
              <w:t>★</w:t>
            </w:r>
          </w:p>
        </w:tc>
        <w:tc>
          <w:tcPr>
            <w:tcW w:w="388" w:type="pct"/>
            <w:tcBorders>
              <w:bottom w:val="single" w:color="000000" w:sz="12" w:space="0"/>
              <w:tl2br w:val="nil"/>
              <w:tr2bl w:val="nil"/>
            </w:tcBorders>
            <w:shd w:val="clear" w:color="auto" w:fill="FFFFFF"/>
            <w:vAlign w:val="center"/>
          </w:tcPr>
          <w:p w14:paraId="20F905F8">
            <w:pPr>
              <w:pStyle w:val="53"/>
              <w:rPr>
                <w:b w:val="0"/>
                <w:highlight w:val="none"/>
              </w:rPr>
            </w:pPr>
          </w:p>
        </w:tc>
        <w:tc>
          <w:tcPr>
            <w:tcW w:w="471" w:type="pct"/>
            <w:tcBorders>
              <w:bottom w:val="single" w:color="000000" w:sz="12" w:space="0"/>
              <w:right w:val="single" w:color="000000" w:sz="12" w:space="0"/>
              <w:tl2br w:val="nil"/>
              <w:tr2bl w:val="nil"/>
            </w:tcBorders>
            <w:shd w:val="clear" w:color="auto" w:fill="FFFFFF"/>
            <w:vAlign w:val="center"/>
          </w:tcPr>
          <w:p w14:paraId="18E1456C">
            <w:pPr>
              <w:pStyle w:val="53"/>
              <w:rPr>
                <w:b w:val="0"/>
                <w:highlight w:val="none"/>
              </w:rPr>
            </w:pPr>
            <w:r>
              <w:rPr>
                <w:rFonts w:hint="eastAsia"/>
                <w:b w:val="0"/>
                <w:highlight w:val="none"/>
              </w:rPr>
              <w:t>R</w:t>
            </w:r>
          </w:p>
        </w:tc>
      </w:tr>
    </w:tbl>
    <w:p w14:paraId="37451CAF">
      <w:pPr>
        <w:pStyle w:val="18"/>
        <w:rPr>
          <w:rFonts w:cs="Times New Roman"/>
          <w:b w:val="0"/>
          <w:sz w:val="24"/>
          <w:szCs w:val="21"/>
          <w:highlight w:val="none"/>
        </w:rPr>
      </w:pPr>
      <w:r>
        <w:rPr>
          <w:rFonts w:hint="eastAsia" w:cs="Times New Roman"/>
          <w:b w:val="0"/>
          <w:sz w:val="24"/>
          <w:szCs w:val="21"/>
          <w:highlight w:val="none"/>
        </w:rPr>
        <w:t>表 5.5</w:t>
      </w:r>
      <w:r>
        <w:rPr>
          <w:rFonts w:hint="eastAsia" w:cs="Times New Roman"/>
          <w:b w:val="0"/>
          <w:sz w:val="24"/>
          <w:szCs w:val="21"/>
          <w:highlight w:val="none"/>
        </w:rPr>
        <w:noBreakHyphen/>
      </w:r>
      <w:r>
        <w:rPr>
          <w:rFonts w:hint="eastAsia" w:cs="Times New Roman"/>
          <w:b w:val="0"/>
          <w:sz w:val="24"/>
          <w:szCs w:val="21"/>
          <w:highlight w:val="none"/>
        </w:rPr>
        <w:fldChar w:fldCharType="begin"/>
      </w:r>
      <w:r>
        <w:rPr>
          <w:rFonts w:hint="eastAsia" w:cs="Times New Roman"/>
          <w:b w:val="0"/>
          <w:sz w:val="24"/>
          <w:szCs w:val="21"/>
          <w:highlight w:val="none"/>
        </w:rPr>
        <w:instrText xml:space="preserve"> SEQ 表 \* ARABIC \s 3 </w:instrText>
      </w:r>
      <w:r>
        <w:rPr>
          <w:rFonts w:hint="eastAsia" w:cs="Times New Roman"/>
          <w:b w:val="0"/>
          <w:sz w:val="24"/>
          <w:szCs w:val="21"/>
          <w:highlight w:val="none"/>
        </w:rPr>
        <w:fldChar w:fldCharType="separate"/>
      </w:r>
      <w:r>
        <w:rPr>
          <w:rFonts w:hint="eastAsia" w:cs="Times New Roman"/>
          <w:b w:val="0"/>
          <w:sz w:val="24"/>
          <w:szCs w:val="21"/>
          <w:highlight w:val="none"/>
        </w:rPr>
        <w:t>1</w:t>
      </w:r>
      <w:r>
        <w:rPr>
          <w:rFonts w:hint="eastAsia" w:cs="Times New Roman"/>
          <w:b w:val="0"/>
          <w:sz w:val="24"/>
          <w:szCs w:val="21"/>
          <w:highlight w:val="none"/>
        </w:rPr>
        <w:fldChar w:fldCharType="end"/>
      </w:r>
      <w:r>
        <w:rPr>
          <w:rFonts w:hint="eastAsia" w:cs="Times New Roman"/>
          <w:b w:val="0"/>
          <w:sz w:val="24"/>
          <w:szCs w:val="21"/>
          <w:highlight w:val="none"/>
        </w:rPr>
        <w:t>关键控制点设置</w:t>
      </w:r>
    </w:p>
    <w:p w14:paraId="1AB09469">
      <w:pPr>
        <w:ind w:firstLine="440"/>
        <w:rPr>
          <w:sz w:val="22"/>
          <w:highlight w:val="none"/>
        </w:rPr>
      </w:pPr>
      <w:r>
        <w:rPr>
          <w:rFonts w:hint="eastAsia"/>
          <w:sz w:val="22"/>
          <w:highlight w:val="none"/>
        </w:rPr>
        <w:t>见证方式:R － 记录确认点；W － 见证点；H － 停工待检点；S － 连续监视监护</w:t>
      </w:r>
    </w:p>
    <w:p w14:paraId="15FE7510">
      <w:pPr>
        <w:pStyle w:val="3"/>
        <w:bidi w:val="0"/>
        <w:ind w:left="432" w:leftChars="0" w:hanging="432" w:firstLineChars="0"/>
        <w:rPr>
          <w:highlight w:val="none"/>
        </w:rPr>
      </w:pPr>
      <w:bookmarkStart w:id="68" w:name="_Toc6650"/>
      <w:r>
        <w:rPr>
          <w:rFonts w:hint="eastAsia"/>
          <w:highlight w:val="none"/>
        </w:rPr>
        <w:t>施工安全保障措施</w:t>
      </w:r>
      <w:bookmarkEnd w:id="68"/>
    </w:p>
    <w:p w14:paraId="3D804707">
      <w:pPr>
        <w:pStyle w:val="4"/>
        <w:bidi w:val="0"/>
        <w:ind w:left="0" w:leftChars="0" w:firstLine="0" w:firstLineChars="0"/>
        <w:rPr>
          <w:highlight w:val="none"/>
          <w:lang w:val="en-US" w:eastAsia="zh-CN"/>
        </w:rPr>
      </w:pPr>
      <w:bookmarkStart w:id="69" w:name="_Toc12184"/>
      <w:bookmarkStart w:id="70" w:name="_Toc10511"/>
      <w:bookmarkStart w:id="71" w:name="_Toc638"/>
      <w:bookmarkStart w:id="72" w:name="_Toc14956"/>
      <w:bookmarkStart w:id="73" w:name="_Toc122514838"/>
      <w:r>
        <w:rPr>
          <w:rFonts w:hint="eastAsia"/>
          <w:highlight w:val="none"/>
          <w:lang w:val="en-US" w:eastAsia="zh-CN"/>
        </w:rPr>
        <w:t>危险源辨识及方法</w:t>
      </w:r>
      <w:bookmarkEnd w:id="69"/>
      <w:bookmarkEnd w:id="70"/>
      <w:bookmarkEnd w:id="71"/>
      <w:bookmarkEnd w:id="72"/>
    </w:p>
    <w:p w14:paraId="5EC9B6D7">
      <w:pPr>
        <w:pStyle w:val="5"/>
        <w:bidi w:val="0"/>
        <w:ind w:left="0" w:leftChars="0" w:firstLine="0" w:firstLineChars="0"/>
        <w:rPr>
          <w:highlight w:val="none"/>
        </w:rPr>
      </w:pPr>
      <w:r>
        <w:rPr>
          <w:rFonts w:hint="eastAsia"/>
          <w:highlight w:val="none"/>
          <w:lang w:val="en-US" w:eastAsia="zh-CN"/>
        </w:rPr>
        <w:t>风险源辨识与评价</w:t>
      </w:r>
    </w:p>
    <w:p w14:paraId="7219426E">
      <w:pPr>
        <w:ind w:firstLine="480"/>
        <w:rPr>
          <w:highlight w:val="none"/>
        </w:rPr>
      </w:pPr>
      <w:r>
        <w:rPr>
          <w:rFonts w:hint="eastAsia"/>
          <w:highlight w:val="none"/>
        </w:rPr>
        <w:t>风险因素分析、识别表见</w:t>
      </w:r>
      <w:r>
        <w:rPr>
          <w:highlight w:val="none"/>
        </w:rPr>
        <w:fldChar w:fldCharType="begin"/>
      </w:r>
      <w:r>
        <w:rPr>
          <w:highlight w:val="none"/>
        </w:rPr>
        <w:instrText xml:space="preserve"> </w:instrText>
      </w:r>
      <w:r>
        <w:rPr>
          <w:rFonts w:hint="eastAsia"/>
          <w:highlight w:val="none"/>
        </w:rPr>
        <w:instrText xml:space="preserve">REF _Ref130390235 \h</w:instrText>
      </w:r>
      <w:r>
        <w:rPr>
          <w:highlight w:val="none"/>
        </w:rPr>
        <w:instrText xml:space="preserve"> </w:instrText>
      </w:r>
      <w:r>
        <w:rPr>
          <w:highlight w:val="none"/>
        </w:rPr>
        <w:fldChar w:fldCharType="separate"/>
      </w:r>
      <w:r>
        <w:rPr>
          <w:rFonts w:hint="eastAsia"/>
          <w:highlight w:val="none"/>
        </w:rPr>
        <w:t>表</w:t>
      </w:r>
      <w:r>
        <w:rPr>
          <w:highlight w:val="none"/>
        </w:rPr>
        <w:t>6.1.1</w:t>
      </w:r>
      <w:r>
        <w:rPr>
          <w:rFonts w:hint="eastAsia"/>
          <w:highlight w:val="none"/>
        </w:rPr>
        <w:t>-</w:t>
      </w:r>
      <w:r>
        <w:rPr>
          <w:highlight w:val="none"/>
        </w:rPr>
        <w:t>1</w:t>
      </w:r>
      <w:r>
        <w:rPr>
          <w:highlight w:val="none"/>
        </w:rPr>
        <w:fldChar w:fldCharType="end"/>
      </w:r>
      <w:r>
        <w:rPr>
          <w:rFonts w:hint="eastAsia"/>
          <w:highlight w:val="none"/>
        </w:rPr>
        <w:t>所示。</w:t>
      </w:r>
    </w:p>
    <w:p w14:paraId="6A8BD51A">
      <w:pPr>
        <w:pStyle w:val="18"/>
        <w:rPr>
          <w:highlight w:val="none"/>
        </w:rPr>
      </w:pPr>
      <w:bookmarkStart w:id="74" w:name="_Ref130390235"/>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w:instrText>
      </w:r>
      <w:r>
        <w:rPr>
          <w:highlight w:val="none"/>
        </w:rPr>
        <w:instrText xml:space="preserve"> 3</w:instrText>
      </w:r>
      <w:r>
        <w:rPr>
          <w:rFonts w:hint="eastAsia"/>
          <w:highlight w:val="none"/>
        </w:rPr>
        <w:instrText xml:space="preserve"> \s</w:instrText>
      </w:r>
      <w:r>
        <w:rPr>
          <w:highlight w:val="none"/>
        </w:rPr>
        <w:instrText xml:space="preserve"> </w:instrText>
      </w:r>
      <w:r>
        <w:rPr>
          <w:highlight w:val="none"/>
        </w:rPr>
        <w:fldChar w:fldCharType="separate"/>
      </w:r>
      <w:r>
        <w:rPr>
          <w:highlight w:val="none"/>
        </w:rPr>
        <w:t>6.1.1</w:t>
      </w:r>
      <w:r>
        <w:rPr>
          <w:highlight w:val="none"/>
        </w:rPr>
        <w:fldChar w:fldCharType="end"/>
      </w:r>
      <w:r>
        <w:rPr>
          <w:rFonts w:hint="eastAsia"/>
          <w:highlight w:val="none"/>
        </w:rPr>
        <w:t>-</w:t>
      </w:r>
      <w:r>
        <w:rPr>
          <w:highlight w:val="none"/>
        </w:rPr>
        <w:fldChar w:fldCharType="begin"/>
      </w:r>
      <w:r>
        <w:rPr>
          <w:highlight w:val="none"/>
        </w:rPr>
        <w:instrText xml:space="preserve"> </w:instrText>
      </w:r>
      <w:r>
        <w:rPr>
          <w:rFonts w:hint="eastAsia"/>
          <w:highlight w:val="none"/>
        </w:rPr>
        <w:instrText xml:space="preserve">SEQ 表 \* ARABIC \s </w:instrText>
      </w:r>
      <w:r>
        <w:rPr>
          <w:highlight w:val="none"/>
        </w:rPr>
        <w:instrText xml:space="preserve">3 </w:instrText>
      </w:r>
      <w:r>
        <w:rPr>
          <w:highlight w:val="none"/>
        </w:rPr>
        <w:fldChar w:fldCharType="separate"/>
      </w:r>
      <w:r>
        <w:rPr>
          <w:highlight w:val="none"/>
        </w:rPr>
        <w:t>1</w:t>
      </w:r>
      <w:r>
        <w:rPr>
          <w:highlight w:val="none"/>
        </w:rPr>
        <w:fldChar w:fldCharType="end"/>
      </w:r>
      <w:bookmarkEnd w:id="74"/>
      <w:r>
        <w:rPr>
          <w:highlight w:val="none"/>
        </w:rPr>
        <w:t xml:space="preserve"> </w:t>
      </w:r>
      <w:r>
        <w:rPr>
          <w:rFonts w:hint="eastAsia"/>
          <w:highlight w:val="none"/>
        </w:rPr>
        <w:t>风险因素分析、识别表</w:t>
      </w:r>
    </w:p>
    <w:tbl>
      <w:tblPr>
        <w:tblStyle w:val="44"/>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40"/>
        <w:gridCol w:w="859"/>
        <w:gridCol w:w="6131"/>
        <w:gridCol w:w="1092"/>
      </w:tblGrid>
      <w:tr w14:paraId="6ACE9A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258" w:type="pct"/>
            <w:tcBorders>
              <w:tl2br w:val="nil"/>
              <w:tr2bl w:val="nil"/>
            </w:tcBorders>
            <w:vAlign w:val="center"/>
          </w:tcPr>
          <w:p w14:paraId="737047EF">
            <w:pPr>
              <w:pStyle w:val="53"/>
              <w:tabs>
                <w:tab w:val="left" w:pos="0"/>
              </w:tabs>
              <w:jc w:val="both"/>
              <w:rPr>
                <w:b/>
                <w:highlight w:val="none"/>
              </w:rPr>
            </w:pPr>
            <w:r>
              <w:rPr>
                <w:rFonts w:hint="eastAsia"/>
                <w:b/>
                <w:highlight w:val="none"/>
              </w:rPr>
              <w:t>序号</w:t>
            </w:r>
          </w:p>
        </w:tc>
        <w:tc>
          <w:tcPr>
            <w:tcW w:w="504" w:type="pct"/>
            <w:tcBorders>
              <w:tl2br w:val="nil"/>
              <w:tr2bl w:val="nil"/>
            </w:tcBorders>
            <w:vAlign w:val="center"/>
          </w:tcPr>
          <w:p w14:paraId="11F8900A">
            <w:pPr>
              <w:pStyle w:val="53"/>
              <w:rPr>
                <w:b/>
                <w:highlight w:val="none"/>
              </w:rPr>
            </w:pPr>
            <w:r>
              <w:rPr>
                <w:rFonts w:hint="eastAsia"/>
                <w:b/>
                <w:highlight w:val="none"/>
              </w:rPr>
              <w:t>环节</w:t>
            </w:r>
          </w:p>
        </w:tc>
        <w:tc>
          <w:tcPr>
            <w:tcW w:w="3596" w:type="pct"/>
            <w:tcBorders>
              <w:tl2br w:val="nil"/>
              <w:tr2bl w:val="nil"/>
            </w:tcBorders>
            <w:vAlign w:val="center"/>
          </w:tcPr>
          <w:p w14:paraId="04B204DF">
            <w:pPr>
              <w:pStyle w:val="53"/>
              <w:rPr>
                <w:b/>
                <w:highlight w:val="none"/>
              </w:rPr>
            </w:pPr>
            <w:r>
              <w:rPr>
                <w:rFonts w:hint="eastAsia"/>
                <w:b/>
                <w:bCs/>
                <w:highlight w:val="none"/>
              </w:rPr>
              <w:t>危害因素</w:t>
            </w:r>
          </w:p>
        </w:tc>
        <w:tc>
          <w:tcPr>
            <w:tcW w:w="640" w:type="pct"/>
            <w:tcBorders>
              <w:tl2br w:val="nil"/>
              <w:tr2bl w:val="nil"/>
            </w:tcBorders>
            <w:vAlign w:val="center"/>
          </w:tcPr>
          <w:p w14:paraId="2C422B6D">
            <w:pPr>
              <w:pStyle w:val="53"/>
              <w:rPr>
                <w:b/>
                <w:highlight w:val="none"/>
              </w:rPr>
            </w:pPr>
            <w:r>
              <w:rPr>
                <w:rFonts w:hint="eastAsia"/>
                <w:b/>
                <w:bCs/>
                <w:highlight w:val="none"/>
              </w:rPr>
              <w:t>潜在事故类型</w:t>
            </w:r>
          </w:p>
        </w:tc>
      </w:tr>
      <w:tr w14:paraId="323321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07F98286">
            <w:pPr>
              <w:pStyle w:val="53"/>
              <w:numPr>
                <w:ilvl w:val="0"/>
                <w:numId w:val="30"/>
              </w:numPr>
              <w:tabs>
                <w:tab w:val="clear" w:pos="0"/>
              </w:tabs>
              <w:rPr>
                <w:highlight w:val="none"/>
              </w:rPr>
            </w:pPr>
          </w:p>
        </w:tc>
        <w:tc>
          <w:tcPr>
            <w:tcW w:w="504" w:type="pct"/>
            <w:vMerge w:val="restart"/>
            <w:tcBorders>
              <w:tl2br w:val="nil"/>
              <w:tr2bl w:val="nil"/>
            </w:tcBorders>
            <w:vAlign w:val="center"/>
          </w:tcPr>
          <w:p w14:paraId="7F6E8A54">
            <w:pPr>
              <w:pStyle w:val="53"/>
              <w:rPr>
                <w:b w:val="0"/>
                <w:bCs w:val="0"/>
                <w:highlight w:val="none"/>
              </w:rPr>
            </w:pPr>
            <w:r>
              <w:rPr>
                <w:rFonts w:hint="eastAsia"/>
                <w:b w:val="0"/>
                <w:bCs w:val="0"/>
                <w:highlight w:val="none"/>
              </w:rPr>
              <w:t>安装前准备</w:t>
            </w:r>
          </w:p>
        </w:tc>
        <w:tc>
          <w:tcPr>
            <w:tcW w:w="3596" w:type="pct"/>
            <w:tcBorders>
              <w:tl2br w:val="nil"/>
              <w:tr2bl w:val="nil"/>
            </w:tcBorders>
            <w:vAlign w:val="center"/>
          </w:tcPr>
          <w:p w14:paraId="7372C550">
            <w:pPr>
              <w:pStyle w:val="53"/>
              <w:rPr>
                <w:b w:val="0"/>
                <w:bCs w:val="0"/>
                <w:highlight w:val="none"/>
              </w:rPr>
            </w:pPr>
            <w:r>
              <w:rPr>
                <w:rFonts w:hint="eastAsia"/>
                <w:b w:val="0"/>
                <w:bCs w:val="0"/>
                <w:highlight w:val="none"/>
              </w:rPr>
              <w:t>设备安装前没有进行全面的检查，并确认合格。</w:t>
            </w:r>
          </w:p>
        </w:tc>
        <w:tc>
          <w:tcPr>
            <w:tcW w:w="640" w:type="pct"/>
            <w:tcBorders>
              <w:tl2br w:val="nil"/>
              <w:tr2bl w:val="nil"/>
            </w:tcBorders>
            <w:vAlign w:val="center"/>
          </w:tcPr>
          <w:p w14:paraId="6E6074E5">
            <w:pPr>
              <w:pStyle w:val="53"/>
              <w:rPr>
                <w:b w:val="0"/>
                <w:bCs w:val="0"/>
                <w:highlight w:val="none"/>
              </w:rPr>
            </w:pPr>
            <w:r>
              <w:rPr>
                <w:rFonts w:hint="eastAsia"/>
                <w:b w:val="0"/>
                <w:bCs w:val="0"/>
                <w:highlight w:val="none"/>
              </w:rPr>
              <w:t>起重伤害</w:t>
            </w:r>
          </w:p>
        </w:tc>
      </w:tr>
      <w:tr w14:paraId="279EEA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5C86F965">
            <w:pPr>
              <w:pStyle w:val="53"/>
              <w:numPr>
                <w:ilvl w:val="0"/>
                <w:numId w:val="30"/>
              </w:numPr>
              <w:tabs>
                <w:tab w:val="clear" w:pos="0"/>
              </w:tabs>
              <w:rPr>
                <w:highlight w:val="none"/>
              </w:rPr>
            </w:pPr>
          </w:p>
        </w:tc>
        <w:tc>
          <w:tcPr>
            <w:tcW w:w="504" w:type="pct"/>
            <w:vMerge w:val="continue"/>
            <w:tcBorders>
              <w:tl2br w:val="nil"/>
              <w:tr2bl w:val="nil"/>
            </w:tcBorders>
            <w:vAlign w:val="center"/>
          </w:tcPr>
          <w:p w14:paraId="40006B90">
            <w:pPr>
              <w:pStyle w:val="53"/>
              <w:rPr>
                <w:b w:val="0"/>
                <w:bCs w:val="0"/>
                <w:highlight w:val="none"/>
              </w:rPr>
            </w:pPr>
          </w:p>
        </w:tc>
        <w:tc>
          <w:tcPr>
            <w:tcW w:w="3596" w:type="pct"/>
            <w:tcBorders>
              <w:tl2br w:val="nil"/>
              <w:tr2bl w:val="nil"/>
            </w:tcBorders>
            <w:vAlign w:val="center"/>
          </w:tcPr>
          <w:p w14:paraId="549A9F87">
            <w:pPr>
              <w:pStyle w:val="53"/>
              <w:rPr>
                <w:b w:val="0"/>
                <w:bCs w:val="0"/>
                <w:highlight w:val="none"/>
              </w:rPr>
            </w:pPr>
            <w:r>
              <w:rPr>
                <w:rFonts w:hint="eastAsia"/>
                <w:b w:val="0"/>
                <w:bCs w:val="0"/>
                <w:highlight w:val="none"/>
              </w:rPr>
              <w:t>安装前没有对基础进行验收。基础周围没有排水设施、积水未及时清理。影响施工的地下地面管线未改迁。</w:t>
            </w:r>
          </w:p>
        </w:tc>
        <w:tc>
          <w:tcPr>
            <w:tcW w:w="640" w:type="pct"/>
            <w:tcBorders>
              <w:tl2br w:val="nil"/>
              <w:tr2bl w:val="nil"/>
            </w:tcBorders>
            <w:vAlign w:val="center"/>
          </w:tcPr>
          <w:p w14:paraId="7DEC2311">
            <w:pPr>
              <w:pStyle w:val="53"/>
              <w:rPr>
                <w:b w:val="0"/>
                <w:bCs w:val="0"/>
                <w:highlight w:val="none"/>
              </w:rPr>
            </w:pPr>
            <w:r>
              <w:rPr>
                <w:rFonts w:hint="eastAsia"/>
                <w:b w:val="0"/>
                <w:bCs w:val="0"/>
                <w:highlight w:val="none"/>
              </w:rPr>
              <w:t>坍塌</w:t>
            </w:r>
          </w:p>
        </w:tc>
      </w:tr>
      <w:tr w14:paraId="652CFC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3BD4B1FE">
            <w:pPr>
              <w:pStyle w:val="53"/>
              <w:numPr>
                <w:ilvl w:val="0"/>
                <w:numId w:val="30"/>
              </w:numPr>
              <w:tabs>
                <w:tab w:val="clear" w:pos="0"/>
              </w:tabs>
              <w:rPr>
                <w:highlight w:val="none"/>
              </w:rPr>
            </w:pPr>
          </w:p>
        </w:tc>
        <w:tc>
          <w:tcPr>
            <w:tcW w:w="504" w:type="pct"/>
            <w:vMerge w:val="continue"/>
            <w:tcBorders>
              <w:tl2br w:val="nil"/>
              <w:tr2bl w:val="nil"/>
            </w:tcBorders>
            <w:vAlign w:val="center"/>
          </w:tcPr>
          <w:p w14:paraId="4CC09F02">
            <w:pPr>
              <w:pStyle w:val="53"/>
              <w:rPr>
                <w:b w:val="0"/>
                <w:bCs w:val="0"/>
                <w:highlight w:val="none"/>
              </w:rPr>
            </w:pPr>
          </w:p>
        </w:tc>
        <w:tc>
          <w:tcPr>
            <w:tcW w:w="3596" w:type="pct"/>
            <w:tcBorders>
              <w:tl2br w:val="nil"/>
              <w:tr2bl w:val="nil"/>
            </w:tcBorders>
            <w:vAlign w:val="center"/>
          </w:tcPr>
          <w:p w14:paraId="69E7C20A">
            <w:pPr>
              <w:pStyle w:val="53"/>
              <w:rPr>
                <w:b w:val="0"/>
                <w:bCs w:val="0"/>
                <w:highlight w:val="none"/>
              </w:rPr>
            </w:pPr>
            <w:r>
              <w:rPr>
                <w:rFonts w:hint="eastAsia"/>
                <w:b w:val="0"/>
                <w:bCs w:val="0"/>
                <w:highlight w:val="none"/>
              </w:rPr>
              <w:t>没有对建筑承载结构进行验算。</w:t>
            </w:r>
          </w:p>
        </w:tc>
        <w:tc>
          <w:tcPr>
            <w:tcW w:w="640" w:type="pct"/>
            <w:tcBorders>
              <w:tl2br w:val="nil"/>
              <w:tr2bl w:val="nil"/>
            </w:tcBorders>
            <w:vAlign w:val="center"/>
          </w:tcPr>
          <w:p w14:paraId="04C36110">
            <w:pPr>
              <w:pStyle w:val="53"/>
              <w:rPr>
                <w:b w:val="0"/>
                <w:bCs w:val="0"/>
                <w:highlight w:val="none"/>
              </w:rPr>
            </w:pPr>
            <w:r>
              <w:rPr>
                <w:rFonts w:hint="eastAsia"/>
                <w:b w:val="0"/>
                <w:bCs w:val="0"/>
                <w:highlight w:val="none"/>
              </w:rPr>
              <w:t>起重伤害</w:t>
            </w:r>
          </w:p>
        </w:tc>
      </w:tr>
      <w:tr w14:paraId="683ACB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06CD4D68">
            <w:pPr>
              <w:pStyle w:val="53"/>
              <w:numPr>
                <w:ilvl w:val="0"/>
                <w:numId w:val="30"/>
              </w:numPr>
              <w:tabs>
                <w:tab w:val="clear" w:pos="0"/>
              </w:tabs>
              <w:rPr>
                <w:highlight w:val="none"/>
              </w:rPr>
            </w:pPr>
          </w:p>
        </w:tc>
        <w:tc>
          <w:tcPr>
            <w:tcW w:w="504" w:type="pct"/>
            <w:vMerge w:val="continue"/>
            <w:tcBorders>
              <w:tl2br w:val="nil"/>
              <w:tr2bl w:val="nil"/>
            </w:tcBorders>
            <w:vAlign w:val="center"/>
          </w:tcPr>
          <w:p w14:paraId="0AFA26DF">
            <w:pPr>
              <w:pStyle w:val="53"/>
              <w:rPr>
                <w:b w:val="0"/>
                <w:bCs w:val="0"/>
                <w:highlight w:val="none"/>
              </w:rPr>
            </w:pPr>
          </w:p>
        </w:tc>
        <w:tc>
          <w:tcPr>
            <w:tcW w:w="3596" w:type="pct"/>
            <w:tcBorders>
              <w:tl2br w:val="nil"/>
              <w:tr2bl w:val="nil"/>
            </w:tcBorders>
            <w:vAlign w:val="center"/>
          </w:tcPr>
          <w:p w14:paraId="46428244">
            <w:pPr>
              <w:pStyle w:val="53"/>
              <w:rPr>
                <w:b w:val="0"/>
                <w:bCs w:val="0"/>
                <w:highlight w:val="none"/>
              </w:rPr>
            </w:pPr>
            <w:r>
              <w:rPr>
                <w:rFonts w:hint="eastAsia"/>
                <w:b w:val="0"/>
                <w:bCs w:val="0"/>
                <w:highlight w:val="none"/>
              </w:rPr>
              <w:t>安装作业未按照专项方案要求实施。安装前未对安装作业人员进行安全技术交底。</w:t>
            </w:r>
          </w:p>
        </w:tc>
        <w:tc>
          <w:tcPr>
            <w:tcW w:w="640" w:type="pct"/>
            <w:tcBorders>
              <w:tl2br w:val="nil"/>
              <w:tr2bl w:val="nil"/>
            </w:tcBorders>
            <w:vAlign w:val="center"/>
          </w:tcPr>
          <w:p w14:paraId="26CD4041">
            <w:pPr>
              <w:pStyle w:val="53"/>
              <w:rPr>
                <w:b w:val="0"/>
                <w:bCs w:val="0"/>
                <w:highlight w:val="none"/>
              </w:rPr>
            </w:pPr>
            <w:r>
              <w:rPr>
                <w:rFonts w:hint="eastAsia"/>
                <w:b w:val="0"/>
                <w:bCs w:val="0"/>
                <w:highlight w:val="none"/>
              </w:rPr>
              <w:t>起重伤害</w:t>
            </w:r>
          </w:p>
        </w:tc>
      </w:tr>
      <w:tr w14:paraId="2471B6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3FFE1583">
            <w:pPr>
              <w:pStyle w:val="53"/>
              <w:numPr>
                <w:ilvl w:val="0"/>
                <w:numId w:val="30"/>
              </w:numPr>
              <w:tabs>
                <w:tab w:val="clear" w:pos="0"/>
              </w:tabs>
              <w:rPr>
                <w:highlight w:val="none"/>
              </w:rPr>
            </w:pPr>
          </w:p>
        </w:tc>
        <w:tc>
          <w:tcPr>
            <w:tcW w:w="504" w:type="pct"/>
            <w:vMerge w:val="continue"/>
            <w:tcBorders>
              <w:tl2br w:val="nil"/>
              <w:tr2bl w:val="nil"/>
            </w:tcBorders>
            <w:vAlign w:val="center"/>
          </w:tcPr>
          <w:p w14:paraId="759CBFA7">
            <w:pPr>
              <w:pStyle w:val="53"/>
              <w:rPr>
                <w:b w:val="0"/>
                <w:bCs w:val="0"/>
                <w:highlight w:val="none"/>
              </w:rPr>
            </w:pPr>
          </w:p>
        </w:tc>
        <w:tc>
          <w:tcPr>
            <w:tcW w:w="3596" w:type="pct"/>
            <w:tcBorders>
              <w:tl2br w:val="nil"/>
              <w:tr2bl w:val="nil"/>
            </w:tcBorders>
            <w:vAlign w:val="center"/>
          </w:tcPr>
          <w:p w14:paraId="76B8C1B8">
            <w:pPr>
              <w:pStyle w:val="53"/>
              <w:rPr>
                <w:b w:val="0"/>
                <w:bCs w:val="0"/>
                <w:highlight w:val="none"/>
              </w:rPr>
            </w:pPr>
            <w:r>
              <w:rPr>
                <w:rFonts w:hint="eastAsia"/>
                <w:b w:val="0"/>
                <w:bCs w:val="0"/>
                <w:highlight w:val="none"/>
              </w:rPr>
              <w:t>雨雪、浓雾天气没有停止安装作业。</w:t>
            </w:r>
          </w:p>
        </w:tc>
        <w:tc>
          <w:tcPr>
            <w:tcW w:w="640" w:type="pct"/>
            <w:tcBorders>
              <w:tl2br w:val="nil"/>
              <w:tr2bl w:val="nil"/>
            </w:tcBorders>
            <w:vAlign w:val="center"/>
          </w:tcPr>
          <w:p w14:paraId="1FD77342">
            <w:pPr>
              <w:pStyle w:val="53"/>
              <w:rPr>
                <w:b w:val="0"/>
                <w:bCs w:val="0"/>
                <w:highlight w:val="none"/>
              </w:rPr>
            </w:pPr>
            <w:r>
              <w:rPr>
                <w:rFonts w:hint="eastAsia"/>
                <w:b w:val="0"/>
                <w:bCs w:val="0"/>
                <w:highlight w:val="none"/>
              </w:rPr>
              <w:t>起重伤害</w:t>
            </w:r>
          </w:p>
        </w:tc>
      </w:tr>
      <w:tr w14:paraId="7A3A81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55EF409A">
            <w:pPr>
              <w:pStyle w:val="53"/>
              <w:numPr>
                <w:ilvl w:val="0"/>
                <w:numId w:val="30"/>
              </w:numPr>
              <w:tabs>
                <w:tab w:val="clear" w:pos="0"/>
              </w:tabs>
              <w:rPr>
                <w:highlight w:val="none"/>
              </w:rPr>
            </w:pPr>
          </w:p>
        </w:tc>
        <w:tc>
          <w:tcPr>
            <w:tcW w:w="504" w:type="pct"/>
            <w:vMerge w:val="continue"/>
            <w:tcBorders>
              <w:tl2br w:val="nil"/>
              <w:tr2bl w:val="nil"/>
            </w:tcBorders>
            <w:vAlign w:val="center"/>
          </w:tcPr>
          <w:p w14:paraId="75C85286">
            <w:pPr>
              <w:pStyle w:val="53"/>
              <w:rPr>
                <w:b w:val="0"/>
                <w:bCs w:val="0"/>
                <w:highlight w:val="none"/>
              </w:rPr>
            </w:pPr>
          </w:p>
        </w:tc>
        <w:tc>
          <w:tcPr>
            <w:tcW w:w="3596" w:type="pct"/>
            <w:tcBorders>
              <w:tl2br w:val="nil"/>
              <w:tr2bl w:val="nil"/>
            </w:tcBorders>
            <w:vAlign w:val="center"/>
          </w:tcPr>
          <w:p w14:paraId="5974A071">
            <w:pPr>
              <w:pStyle w:val="53"/>
              <w:rPr>
                <w:b w:val="0"/>
                <w:bCs w:val="0"/>
                <w:highlight w:val="none"/>
              </w:rPr>
            </w:pPr>
            <w:r>
              <w:rPr>
                <w:rFonts w:hint="eastAsia"/>
                <w:b w:val="0"/>
                <w:bCs w:val="0"/>
                <w:highlight w:val="none"/>
              </w:rPr>
              <w:t>当需要在夜间进行安拆作业时，没有保证提供足够的照明。</w:t>
            </w:r>
          </w:p>
        </w:tc>
        <w:tc>
          <w:tcPr>
            <w:tcW w:w="640" w:type="pct"/>
            <w:tcBorders>
              <w:tl2br w:val="nil"/>
              <w:tr2bl w:val="nil"/>
            </w:tcBorders>
            <w:vAlign w:val="center"/>
          </w:tcPr>
          <w:p w14:paraId="01072900">
            <w:pPr>
              <w:pStyle w:val="53"/>
              <w:rPr>
                <w:b w:val="0"/>
                <w:bCs w:val="0"/>
                <w:highlight w:val="none"/>
              </w:rPr>
            </w:pPr>
            <w:r>
              <w:rPr>
                <w:rFonts w:hint="eastAsia"/>
                <w:b w:val="0"/>
                <w:bCs w:val="0"/>
                <w:highlight w:val="none"/>
              </w:rPr>
              <w:t>起重伤害</w:t>
            </w:r>
          </w:p>
        </w:tc>
      </w:tr>
      <w:tr w14:paraId="778719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83FD751">
            <w:pPr>
              <w:pStyle w:val="53"/>
              <w:numPr>
                <w:ilvl w:val="0"/>
                <w:numId w:val="30"/>
              </w:numPr>
              <w:tabs>
                <w:tab w:val="clear" w:pos="0"/>
              </w:tabs>
              <w:rPr>
                <w:highlight w:val="none"/>
              </w:rPr>
            </w:pPr>
          </w:p>
        </w:tc>
        <w:tc>
          <w:tcPr>
            <w:tcW w:w="504" w:type="pct"/>
            <w:vMerge w:val="continue"/>
            <w:tcBorders>
              <w:tl2br w:val="nil"/>
              <w:tr2bl w:val="nil"/>
            </w:tcBorders>
            <w:vAlign w:val="center"/>
          </w:tcPr>
          <w:p w14:paraId="706B5088">
            <w:pPr>
              <w:pStyle w:val="53"/>
              <w:rPr>
                <w:b w:val="0"/>
                <w:bCs w:val="0"/>
                <w:highlight w:val="none"/>
              </w:rPr>
            </w:pPr>
          </w:p>
        </w:tc>
        <w:tc>
          <w:tcPr>
            <w:tcW w:w="3596" w:type="pct"/>
            <w:tcBorders>
              <w:tl2br w:val="nil"/>
              <w:tr2bl w:val="nil"/>
            </w:tcBorders>
            <w:vAlign w:val="center"/>
          </w:tcPr>
          <w:p w14:paraId="7129FF5D">
            <w:pPr>
              <w:pStyle w:val="53"/>
              <w:rPr>
                <w:b w:val="0"/>
                <w:bCs w:val="0"/>
                <w:highlight w:val="none"/>
              </w:rPr>
            </w:pPr>
            <w:r>
              <w:rPr>
                <w:rFonts w:hint="eastAsia"/>
                <w:b w:val="0"/>
                <w:bCs w:val="0"/>
                <w:highlight w:val="none"/>
              </w:rPr>
              <w:t>起重吊装设备的进场验收</w:t>
            </w:r>
          </w:p>
        </w:tc>
        <w:tc>
          <w:tcPr>
            <w:tcW w:w="640" w:type="pct"/>
            <w:tcBorders>
              <w:tl2br w:val="nil"/>
              <w:tr2bl w:val="nil"/>
            </w:tcBorders>
            <w:vAlign w:val="center"/>
          </w:tcPr>
          <w:p w14:paraId="75838378">
            <w:pPr>
              <w:pStyle w:val="53"/>
              <w:rPr>
                <w:b w:val="0"/>
                <w:bCs w:val="0"/>
                <w:highlight w:val="none"/>
              </w:rPr>
            </w:pPr>
            <w:r>
              <w:rPr>
                <w:rFonts w:hint="eastAsia"/>
                <w:b w:val="0"/>
                <w:bCs w:val="0"/>
                <w:highlight w:val="none"/>
              </w:rPr>
              <w:t>起重伤害</w:t>
            </w:r>
          </w:p>
        </w:tc>
      </w:tr>
      <w:tr w14:paraId="3BF709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25A0D432">
            <w:pPr>
              <w:pStyle w:val="53"/>
              <w:numPr>
                <w:ilvl w:val="0"/>
                <w:numId w:val="30"/>
              </w:numPr>
              <w:tabs>
                <w:tab w:val="clear" w:pos="0"/>
              </w:tabs>
              <w:rPr>
                <w:highlight w:val="none"/>
              </w:rPr>
            </w:pPr>
          </w:p>
        </w:tc>
        <w:tc>
          <w:tcPr>
            <w:tcW w:w="504" w:type="pct"/>
            <w:vMerge w:val="continue"/>
            <w:tcBorders>
              <w:tl2br w:val="nil"/>
              <w:tr2bl w:val="nil"/>
            </w:tcBorders>
            <w:vAlign w:val="center"/>
          </w:tcPr>
          <w:p w14:paraId="793860F2">
            <w:pPr>
              <w:pStyle w:val="53"/>
              <w:rPr>
                <w:b w:val="0"/>
                <w:bCs w:val="0"/>
                <w:highlight w:val="none"/>
              </w:rPr>
            </w:pPr>
          </w:p>
        </w:tc>
        <w:tc>
          <w:tcPr>
            <w:tcW w:w="3596" w:type="pct"/>
            <w:tcBorders>
              <w:tl2br w:val="nil"/>
              <w:tr2bl w:val="nil"/>
            </w:tcBorders>
            <w:vAlign w:val="center"/>
          </w:tcPr>
          <w:p w14:paraId="3DF21028">
            <w:pPr>
              <w:pStyle w:val="53"/>
              <w:rPr>
                <w:b w:val="0"/>
                <w:bCs w:val="0"/>
                <w:highlight w:val="none"/>
              </w:rPr>
            </w:pPr>
            <w:r>
              <w:rPr>
                <w:rFonts w:hint="eastAsia"/>
                <w:b w:val="0"/>
                <w:bCs w:val="0"/>
                <w:highlight w:val="none"/>
              </w:rPr>
              <w:t>与建筑物、高压线安全距离不足。</w:t>
            </w:r>
          </w:p>
        </w:tc>
        <w:tc>
          <w:tcPr>
            <w:tcW w:w="640" w:type="pct"/>
            <w:tcBorders>
              <w:tl2br w:val="nil"/>
              <w:tr2bl w:val="nil"/>
            </w:tcBorders>
            <w:vAlign w:val="center"/>
          </w:tcPr>
          <w:p w14:paraId="169CC24B">
            <w:pPr>
              <w:pStyle w:val="53"/>
              <w:rPr>
                <w:b w:val="0"/>
                <w:bCs w:val="0"/>
                <w:highlight w:val="none"/>
              </w:rPr>
            </w:pPr>
            <w:r>
              <w:rPr>
                <w:rFonts w:hint="eastAsia"/>
                <w:b w:val="0"/>
                <w:bCs w:val="0"/>
                <w:highlight w:val="none"/>
              </w:rPr>
              <w:t>触电、起重伤害</w:t>
            </w:r>
          </w:p>
        </w:tc>
      </w:tr>
      <w:tr w14:paraId="7950CC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D312B55">
            <w:pPr>
              <w:pStyle w:val="53"/>
              <w:numPr>
                <w:ilvl w:val="0"/>
                <w:numId w:val="30"/>
              </w:numPr>
              <w:tabs>
                <w:tab w:val="clear" w:pos="0"/>
              </w:tabs>
              <w:rPr>
                <w:highlight w:val="none"/>
              </w:rPr>
            </w:pPr>
          </w:p>
        </w:tc>
        <w:tc>
          <w:tcPr>
            <w:tcW w:w="504" w:type="pct"/>
            <w:vMerge w:val="continue"/>
            <w:tcBorders>
              <w:tl2br w:val="nil"/>
              <w:tr2bl w:val="nil"/>
            </w:tcBorders>
            <w:vAlign w:val="center"/>
          </w:tcPr>
          <w:p w14:paraId="7B6B7327">
            <w:pPr>
              <w:pStyle w:val="53"/>
              <w:rPr>
                <w:b w:val="0"/>
                <w:bCs w:val="0"/>
                <w:highlight w:val="none"/>
              </w:rPr>
            </w:pPr>
          </w:p>
        </w:tc>
        <w:tc>
          <w:tcPr>
            <w:tcW w:w="3596" w:type="pct"/>
            <w:tcBorders>
              <w:tl2br w:val="nil"/>
              <w:tr2bl w:val="nil"/>
            </w:tcBorders>
            <w:vAlign w:val="center"/>
          </w:tcPr>
          <w:p w14:paraId="25E94CBE">
            <w:pPr>
              <w:pStyle w:val="53"/>
              <w:rPr>
                <w:b w:val="0"/>
                <w:bCs w:val="0"/>
                <w:highlight w:val="none"/>
              </w:rPr>
            </w:pPr>
            <w:r>
              <w:rPr>
                <w:rFonts w:hint="eastAsia"/>
                <w:b w:val="0"/>
                <w:bCs w:val="0"/>
                <w:highlight w:val="none"/>
              </w:rPr>
              <w:t>作业场地未封闭、警戒区域未设置。</w:t>
            </w:r>
          </w:p>
        </w:tc>
        <w:tc>
          <w:tcPr>
            <w:tcW w:w="640" w:type="pct"/>
            <w:tcBorders>
              <w:tl2br w:val="nil"/>
              <w:tr2bl w:val="nil"/>
            </w:tcBorders>
            <w:vAlign w:val="center"/>
          </w:tcPr>
          <w:p w14:paraId="35DA9875">
            <w:pPr>
              <w:pStyle w:val="53"/>
              <w:rPr>
                <w:b w:val="0"/>
                <w:bCs w:val="0"/>
                <w:highlight w:val="none"/>
              </w:rPr>
            </w:pPr>
            <w:r>
              <w:rPr>
                <w:rFonts w:hint="eastAsia"/>
                <w:b w:val="0"/>
                <w:bCs w:val="0"/>
                <w:highlight w:val="none"/>
              </w:rPr>
              <w:t>起重伤害</w:t>
            </w:r>
          </w:p>
        </w:tc>
      </w:tr>
      <w:tr w14:paraId="152396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0A3DE887">
            <w:pPr>
              <w:pStyle w:val="53"/>
              <w:numPr>
                <w:ilvl w:val="0"/>
                <w:numId w:val="30"/>
              </w:numPr>
              <w:tabs>
                <w:tab w:val="clear" w:pos="0"/>
              </w:tabs>
              <w:rPr>
                <w:highlight w:val="none"/>
              </w:rPr>
            </w:pPr>
          </w:p>
        </w:tc>
        <w:tc>
          <w:tcPr>
            <w:tcW w:w="504" w:type="pct"/>
            <w:vMerge w:val="continue"/>
            <w:tcBorders>
              <w:tl2br w:val="nil"/>
              <w:tr2bl w:val="nil"/>
            </w:tcBorders>
            <w:vAlign w:val="center"/>
          </w:tcPr>
          <w:p w14:paraId="05379336">
            <w:pPr>
              <w:pStyle w:val="53"/>
              <w:rPr>
                <w:b w:val="0"/>
                <w:bCs w:val="0"/>
                <w:highlight w:val="none"/>
              </w:rPr>
            </w:pPr>
          </w:p>
        </w:tc>
        <w:tc>
          <w:tcPr>
            <w:tcW w:w="3596" w:type="pct"/>
            <w:tcBorders>
              <w:tl2br w:val="nil"/>
              <w:tr2bl w:val="nil"/>
            </w:tcBorders>
            <w:vAlign w:val="center"/>
          </w:tcPr>
          <w:p w14:paraId="018C2EAF">
            <w:pPr>
              <w:pStyle w:val="53"/>
              <w:rPr>
                <w:b w:val="0"/>
                <w:bCs w:val="0"/>
                <w:highlight w:val="none"/>
              </w:rPr>
            </w:pPr>
            <w:r>
              <w:rPr>
                <w:rFonts w:hint="eastAsia"/>
                <w:b w:val="0"/>
                <w:bCs w:val="0"/>
                <w:highlight w:val="none"/>
              </w:rPr>
              <w:t>当遇特殊情况安装作业不能连续进行时，没有将已安装的部位固定牢靠并达到安全状态。</w:t>
            </w:r>
          </w:p>
        </w:tc>
        <w:tc>
          <w:tcPr>
            <w:tcW w:w="640" w:type="pct"/>
            <w:tcBorders>
              <w:tl2br w:val="nil"/>
              <w:tr2bl w:val="nil"/>
            </w:tcBorders>
            <w:vAlign w:val="center"/>
          </w:tcPr>
          <w:p w14:paraId="0CF84FF4">
            <w:pPr>
              <w:pStyle w:val="53"/>
              <w:rPr>
                <w:b w:val="0"/>
                <w:bCs w:val="0"/>
                <w:highlight w:val="none"/>
              </w:rPr>
            </w:pPr>
            <w:r>
              <w:rPr>
                <w:rFonts w:hint="eastAsia"/>
                <w:b w:val="0"/>
                <w:bCs w:val="0"/>
                <w:highlight w:val="none"/>
              </w:rPr>
              <w:t>物体打击</w:t>
            </w:r>
          </w:p>
        </w:tc>
      </w:tr>
      <w:tr w14:paraId="54180F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5C61A2B4">
            <w:pPr>
              <w:pStyle w:val="53"/>
              <w:numPr>
                <w:ilvl w:val="0"/>
                <w:numId w:val="30"/>
              </w:numPr>
              <w:tabs>
                <w:tab w:val="clear" w:pos="0"/>
              </w:tabs>
              <w:rPr>
                <w:highlight w:val="none"/>
              </w:rPr>
            </w:pPr>
          </w:p>
        </w:tc>
        <w:tc>
          <w:tcPr>
            <w:tcW w:w="504" w:type="pct"/>
            <w:vMerge w:val="continue"/>
            <w:tcBorders>
              <w:tl2br w:val="nil"/>
              <w:tr2bl w:val="nil"/>
            </w:tcBorders>
            <w:vAlign w:val="center"/>
          </w:tcPr>
          <w:p w14:paraId="07351ED5">
            <w:pPr>
              <w:pStyle w:val="53"/>
              <w:rPr>
                <w:b w:val="0"/>
                <w:bCs w:val="0"/>
                <w:highlight w:val="none"/>
              </w:rPr>
            </w:pPr>
          </w:p>
        </w:tc>
        <w:tc>
          <w:tcPr>
            <w:tcW w:w="3596" w:type="pct"/>
            <w:tcBorders>
              <w:tl2br w:val="nil"/>
              <w:tr2bl w:val="nil"/>
            </w:tcBorders>
            <w:vAlign w:val="center"/>
          </w:tcPr>
          <w:p w14:paraId="3ED0D74B">
            <w:pPr>
              <w:pStyle w:val="53"/>
              <w:rPr>
                <w:b w:val="0"/>
                <w:bCs w:val="0"/>
                <w:highlight w:val="none"/>
              </w:rPr>
            </w:pPr>
            <w:r>
              <w:rPr>
                <w:rFonts w:hint="eastAsia"/>
                <w:b w:val="0"/>
                <w:bCs w:val="0"/>
                <w:highlight w:val="none"/>
              </w:rPr>
              <w:t>安全装置不齐全，未进行防雷接地没有按程序进行调试合格。</w:t>
            </w:r>
          </w:p>
        </w:tc>
        <w:tc>
          <w:tcPr>
            <w:tcW w:w="640" w:type="pct"/>
            <w:tcBorders>
              <w:tl2br w:val="nil"/>
              <w:tr2bl w:val="nil"/>
            </w:tcBorders>
            <w:vAlign w:val="center"/>
          </w:tcPr>
          <w:p w14:paraId="615C0E89">
            <w:pPr>
              <w:pStyle w:val="53"/>
              <w:rPr>
                <w:b w:val="0"/>
                <w:bCs w:val="0"/>
                <w:highlight w:val="none"/>
              </w:rPr>
            </w:pPr>
            <w:r>
              <w:rPr>
                <w:rFonts w:hint="eastAsia"/>
                <w:b w:val="0"/>
                <w:bCs w:val="0"/>
                <w:highlight w:val="none"/>
              </w:rPr>
              <w:t>起重伤害</w:t>
            </w:r>
          </w:p>
        </w:tc>
      </w:tr>
      <w:tr w14:paraId="1CCB3E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254B8B92">
            <w:pPr>
              <w:pStyle w:val="53"/>
              <w:numPr>
                <w:ilvl w:val="0"/>
                <w:numId w:val="30"/>
              </w:numPr>
              <w:tabs>
                <w:tab w:val="clear" w:pos="0"/>
              </w:tabs>
              <w:rPr>
                <w:highlight w:val="none"/>
              </w:rPr>
            </w:pPr>
          </w:p>
        </w:tc>
        <w:tc>
          <w:tcPr>
            <w:tcW w:w="504" w:type="pct"/>
            <w:tcBorders>
              <w:tl2br w:val="nil"/>
              <w:tr2bl w:val="nil"/>
            </w:tcBorders>
            <w:vAlign w:val="center"/>
          </w:tcPr>
          <w:p w14:paraId="3B81BBFC">
            <w:pPr>
              <w:pStyle w:val="53"/>
              <w:rPr>
                <w:b w:val="0"/>
                <w:bCs w:val="0"/>
                <w:highlight w:val="none"/>
              </w:rPr>
            </w:pPr>
            <w:r>
              <w:rPr>
                <w:rFonts w:hint="eastAsia"/>
                <w:b w:val="0"/>
                <w:bCs w:val="0"/>
                <w:highlight w:val="none"/>
              </w:rPr>
              <w:t>风速要求</w:t>
            </w:r>
          </w:p>
        </w:tc>
        <w:tc>
          <w:tcPr>
            <w:tcW w:w="3596" w:type="pct"/>
            <w:tcBorders>
              <w:tl2br w:val="nil"/>
              <w:tr2bl w:val="nil"/>
            </w:tcBorders>
            <w:vAlign w:val="center"/>
          </w:tcPr>
          <w:p w14:paraId="7FA35E73">
            <w:pPr>
              <w:pStyle w:val="53"/>
              <w:rPr>
                <w:b w:val="0"/>
                <w:bCs w:val="0"/>
                <w:highlight w:val="none"/>
              </w:rPr>
            </w:pPr>
            <w:r>
              <w:rPr>
                <w:rFonts w:hint="eastAsia"/>
                <w:b w:val="0"/>
                <w:bCs w:val="0"/>
                <w:highlight w:val="none"/>
              </w:rPr>
              <w:t>安装时塔机最高处的风速不符合使用说明书的要求</w:t>
            </w:r>
            <w:r>
              <w:rPr>
                <w:rFonts w:hint="eastAsia"/>
                <w:b w:val="0"/>
                <w:bCs w:val="0"/>
                <w:highlight w:val="none"/>
                <w:lang w:eastAsia="zh-CN"/>
              </w:rPr>
              <w:t>，</w:t>
            </w:r>
            <w:r>
              <w:rPr>
                <w:rFonts w:hint="eastAsia"/>
                <w:b w:val="0"/>
                <w:bCs w:val="0"/>
                <w:highlight w:val="none"/>
              </w:rPr>
              <w:t>顶升作业时风速超过四级风。</w:t>
            </w:r>
          </w:p>
        </w:tc>
        <w:tc>
          <w:tcPr>
            <w:tcW w:w="640" w:type="pct"/>
            <w:tcBorders>
              <w:tl2br w:val="nil"/>
              <w:tr2bl w:val="nil"/>
            </w:tcBorders>
            <w:vAlign w:val="center"/>
          </w:tcPr>
          <w:p w14:paraId="27C3A511">
            <w:pPr>
              <w:pStyle w:val="53"/>
              <w:rPr>
                <w:b w:val="0"/>
                <w:bCs w:val="0"/>
                <w:highlight w:val="none"/>
              </w:rPr>
            </w:pPr>
            <w:r>
              <w:rPr>
                <w:rFonts w:hint="eastAsia"/>
                <w:b w:val="0"/>
                <w:bCs w:val="0"/>
                <w:highlight w:val="none"/>
              </w:rPr>
              <w:t>起重伤害</w:t>
            </w:r>
          </w:p>
        </w:tc>
      </w:tr>
      <w:tr w14:paraId="2546CE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5F07FA89">
            <w:pPr>
              <w:pStyle w:val="53"/>
              <w:numPr>
                <w:ilvl w:val="0"/>
                <w:numId w:val="30"/>
              </w:numPr>
              <w:tabs>
                <w:tab w:val="clear" w:pos="0"/>
              </w:tabs>
              <w:rPr>
                <w:highlight w:val="none"/>
              </w:rPr>
            </w:pPr>
          </w:p>
        </w:tc>
        <w:tc>
          <w:tcPr>
            <w:tcW w:w="504" w:type="pct"/>
            <w:tcBorders>
              <w:tl2br w:val="nil"/>
              <w:tr2bl w:val="nil"/>
            </w:tcBorders>
            <w:vAlign w:val="center"/>
          </w:tcPr>
          <w:p w14:paraId="1BDA6DF5">
            <w:pPr>
              <w:pStyle w:val="53"/>
              <w:rPr>
                <w:b w:val="0"/>
                <w:bCs w:val="0"/>
                <w:highlight w:val="none"/>
              </w:rPr>
            </w:pPr>
            <w:r>
              <w:rPr>
                <w:rFonts w:hint="eastAsia"/>
                <w:b w:val="0"/>
                <w:bCs w:val="0"/>
                <w:highlight w:val="none"/>
              </w:rPr>
              <w:t>连接要求</w:t>
            </w:r>
          </w:p>
        </w:tc>
        <w:tc>
          <w:tcPr>
            <w:tcW w:w="3596" w:type="pct"/>
            <w:tcBorders>
              <w:tl2br w:val="nil"/>
              <w:tr2bl w:val="nil"/>
            </w:tcBorders>
            <w:vAlign w:val="center"/>
          </w:tcPr>
          <w:p w14:paraId="076011E6">
            <w:pPr>
              <w:pStyle w:val="53"/>
              <w:rPr>
                <w:b w:val="0"/>
                <w:bCs w:val="0"/>
                <w:highlight w:val="none"/>
              </w:rPr>
            </w:pPr>
            <w:r>
              <w:rPr>
                <w:rFonts w:hint="eastAsia"/>
                <w:b w:val="0"/>
                <w:bCs w:val="0"/>
                <w:highlight w:val="none"/>
              </w:rPr>
              <w:t>开口销未两边张开，夹角未达到90°以上，螺栓与螺母未连接牢固</w:t>
            </w:r>
          </w:p>
        </w:tc>
        <w:tc>
          <w:tcPr>
            <w:tcW w:w="640" w:type="pct"/>
            <w:tcBorders>
              <w:tl2br w:val="nil"/>
              <w:tr2bl w:val="nil"/>
            </w:tcBorders>
            <w:vAlign w:val="center"/>
          </w:tcPr>
          <w:p w14:paraId="0A31B2FE">
            <w:pPr>
              <w:pStyle w:val="53"/>
              <w:rPr>
                <w:b w:val="0"/>
                <w:bCs w:val="0"/>
                <w:highlight w:val="none"/>
              </w:rPr>
            </w:pPr>
            <w:r>
              <w:rPr>
                <w:rFonts w:hint="eastAsia"/>
                <w:b w:val="0"/>
                <w:bCs w:val="0"/>
                <w:highlight w:val="none"/>
              </w:rPr>
              <w:t>起重伤害</w:t>
            </w:r>
          </w:p>
        </w:tc>
      </w:tr>
      <w:tr w14:paraId="1C098B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1CEB2348">
            <w:pPr>
              <w:pStyle w:val="53"/>
              <w:numPr>
                <w:ilvl w:val="0"/>
                <w:numId w:val="30"/>
              </w:numPr>
              <w:tabs>
                <w:tab w:val="clear" w:pos="0"/>
              </w:tabs>
              <w:rPr>
                <w:highlight w:val="none"/>
              </w:rPr>
            </w:pPr>
          </w:p>
        </w:tc>
        <w:tc>
          <w:tcPr>
            <w:tcW w:w="504" w:type="pct"/>
            <w:vMerge w:val="restart"/>
            <w:tcBorders>
              <w:tl2br w:val="nil"/>
              <w:tr2bl w:val="nil"/>
            </w:tcBorders>
            <w:vAlign w:val="center"/>
          </w:tcPr>
          <w:p w14:paraId="6DB88BB6">
            <w:pPr>
              <w:pStyle w:val="53"/>
              <w:rPr>
                <w:b w:val="0"/>
                <w:bCs w:val="0"/>
                <w:highlight w:val="none"/>
              </w:rPr>
            </w:pPr>
            <w:r>
              <w:rPr>
                <w:rFonts w:hint="eastAsia"/>
                <w:b w:val="0"/>
                <w:bCs w:val="0"/>
                <w:highlight w:val="none"/>
              </w:rPr>
              <w:t>安装塔身基础节</w:t>
            </w:r>
          </w:p>
        </w:tc>
        <w:tc>
          <w:tcPr>
            <w:tcW w:w="3596" w:type="pct"/>
            <w:tcBorders>
              <w:tl2br w:val="nil"/>
              <w:tr2bl w:val="nil"/>
            </w:tcBorders>
            <w:vAlign w:val="center"/>
          </w:tcPr>
          <w:p w14:paraId="216DCA4B">
            <w:pPr>
              <w:pStyle w:val="53"/>
              <w:rPr>
                <w:b w:val="0"/>
                <w:bCs w:val="0"/>
                <w:highlight w:val="none"/>
              </w:rPr>
            </w:pPr>
            <w:r>
              <w:rPr>
                <w:rFonts w:hint="eastAsia"/>
                <w:b w:val="0"/>
                <w:bCs w:val="0"/>
                <w:highlight w:val="none"/>
              </w:rPr>
              <w:t>塔身基础节吊至预埋塔架上方，未对好方向。塔身基础节与</w:t>
            </w:r>
            <w:r>
              <w:rPr>
                <w:rFonts w:hint="eastAsia"/>
                <w:b w:val="0"/>
                <w:bCs w:val="0"/>
                <w:highlight w:val="none"/>
                <w:lang w:val="en-US" w:eastAsia="zh-CN"/>
              </w:rPr>
              <w:t>焊接支腿未</w:t>
            </w:r>
            <w:r>
              <w:rPr>
                <w:rFonts w:hint="eastAsia"/>
                <w:b w:val="0"/>
                <w:bCs w:val="0"/>
                <w:highlight w:val="none"/>
              </w:rPr>
              <w:t>正确就位</w:t>
            </w:r>
          </w:p>
        </w:tc>
        <w:tc>
          <w:tcPr>
            <w:tcW w:w="640" w:type="pct"/>
            <w:tcBorders>
              <w:tl2br w:val="nil"/>
              <w:tr2bl w:val="nil"/>
            </w:tcBorders>
            <w:vAlign w:val="center"/>
          </w:tcPr>
          <w:p w14:paraId="526B8C00">
            <w:pPr>
              <w:pStyle w:val="53"/>
              <w:rPr>
                <w:b w:val="0"/>
                <w:bCs w:val="0"/>
                <w:highlight w:val="none"/>
              </w:rPr>
            </w:pPr>
            <w:r>
              <w:rPr>
                <w:rFonts w:hint="eastAsia"/>
                <w:b w:val="0"/>
                <w:bCs w:val="0"/>
                <w:highlight w:val="none"/>
              </w:rPr>
              <w:t>起重伤害</w:t>
            </w:r>
          </w:p>
        </w:tc>
      </w:tr>
      <w:tr w14:paraId="1ABDAF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501EC7F8">
            <w:pPr>
              <w:pStyle w:val="53"/>
              <w:numPr>
                <w:ilvl w:val="0"/>
                <w:numId w:val="30"/>
              </w:numPr>
              <w:tabs>
                <w:tab w:val="clear" w:pos="0"/>
              </w:tabs>
              <w:rPr>
                <w:highlight w:val="none"/>
              </w:rPr>
            </w:pPr>
          </w:p>
        </w:tc>
        <w:tc>
          <w:tcPr>
            <w:tcW w:w="504" w:type="pct"/>
            <w:vMerge w:val="continue"/>
            <w:tcBorders>
              <w:tl2br w:val="nil"/>
              <w:tr2bl w:val="nil"/>
            </w:tcBorders>
            <w:vAlign w:val="center"/>
          </w:tcPr>
          <w:p w14:paraId="49865CA9">
            <w:pPr>
              <w:pStyle w:val="53"/>
              <w:rPr>
                <w:b w:val="0"/>
                <w:bCs w:val="0"/>
                <w:highlight w:val="none"/>
              </w:rPr>
            </w:pPr>
          </w:p>
        </w:tc>
        <w:tc>
          <w:tcPr>
            <w:tcW w:w="3596" w:type="pct"/>
            <w:tcBorders>
              <w:tl2br w:val="nil"/>
              <w:tr2bl w:val="nil"/>
            </w:tcBorders>
            <w:vAlign w:val="center"/>
          </w:tcPr>
          <w:p w14:paraId="077823D0">
            <w:pPr>
              <w:pStyle w:val="53"/>
              <w:rPr>
                <w:b w:val="0"/>
                <w:bCs w:val="0"/>
                <w:highlight w:val="none"/>
              </w:rPr>
            </w:pPr>
            <w:r>
              <w:rPr>
                <w:rFonts w:hint="eastAsia"/>
                <w:b w:val="0"/>
                <w:bCs w:val="0"/>
                <w:highlight w:val="none"/>
              </w:rPr>
              <w:t>基础节</w:t>
            </w:r>
            <w:r>
              <w:rPr>
                <w:rFonts w:hint="eastAsia"/>
                <w:b w:val="0"/>
                <w:bCs w:val="0"/>
                <w:highlight w:val="none"/>
                <w:lang w:val="en-US" w:eastAsia="zh-CN"/>
              </w:rPr>
              <w:t>主肢端面未</w:t>
            </w:r>
            <w:r>
              <w:rPr>
                <w:rFonts w:hint="eastAsia"/>
                <w:b w:val="0"/>
                <w:bCs w:val="0"/>
                <w:highlight w:val="none"/>
              </w:rPr>
              <w:t>在同一水平面上，误差大于1/1000</w:t>
            </w:r>
          </w:p>
        </w:tc>
        <w:tc>
          <w:tcPr>
            <w:tcW w:w="640" w:type="pct"/>
            <w:tcBorders>
              <w:tl2br w:val="nil"/>
              <w:tr2bl w:val="nil"/>
            </w:tcBorders>
            <w:vAlign w:val="center"/>
          </w:tcPr>
          <w:p w14:paraId="77012981">
            <w:pPr>
              <w:pStyle w:val="53"/>
              <w:rPr>
                <w:b w:val="0"/>
                <w:bCs w:val="0"/>
                <w:highlight w:val="none"/>
              </w:rPr>
            </w:pPr>
            <w:r>
              <w:rPr>
                <w:rFonts w:hint="eastAsia"/>
                <w:b w:val="0"/>
                <w:bCs w:val="0"/>
                <w:highlight w:val="none"/>
              </w:rPr>
              <w:t>起重伤害</w:t>
            </w:r>
          </w:p>
        </w:tc>
      </w:tr>
      <w:tr w14:paraId="6BB4D0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2B8D3100">
            <w:pPr>
              <w:pStyle w:val="53"/>
              <w:numPr>
                <w:ilvl w:val="0"/>
                <w:numId w:val="30"/>
              </w:numPr>
              <w:tabs>
                <w:tab w:val="clear" w:pos="0"/>
              </w:tabs>
              <w:rPr>
                <w:highlight w:val="none"/>
              </w:rPr>
            </w:pPr>
          </w:p>
        </w:tc>
        <w:tc>
          <w:tcPr>
            <w:tcW w:w="504" w:type="pct"/>
            <w:vMerge w:val="continue"/>
            <w:tcBorders>
              <w:tl2br w:val="nil"/>
              <w:tr2bl w:val="nil"/>
            </w:tcBorders>
            <w:vAlign w:val="center"/>
          </w:tcPr>
          <w:p w14:paraId="45819638">
            <w:pPr>
              <w:pStyle w:val="53"/>
              <w:rPr>
                <w:b w:val="0"/>
                <w:bCs w:val="0"/>
                <w:highlight w:val="none"/>
              </w:rPr>
            </w:pPr>
          </w:p>
        </w:tc>
        <w:tc>
          <w:tcPr>
            <w:tcW w:w="3596" w:type="pct"/>
            <w:tcBorders>
              <w:tl2br w:val="nil"/>
              <w:tr2bl w:val="nil"/>
            </w:tcBorders>
            <w:vAlign w:val="center"/>
          </w:tcPr>
          <w:p w14:paraId="4D82175C">
            <w:pPr>
              <w:pStyle w:val="53"/>
              <w:rPr>
                <w:rFonts w:hint="default" w:eastAsia="宋体"/>
                <w:b w:val="0"/>
                <w:bCs w:val="0"/>
                <w:highlight w:val="none"/>
                <w:lang w:val="en-US" w:eastAsia="zh-CN"/>
              </w:rPr>
            </w:pPr>
            <w:r>
              <w:rPr>
                <w:rFonts w:hint="eastAsia"/>
                <w:b w:val="0"/>
                <w:bCs w:val="0"/>
                <w:highlight w:val="none"/>
              </w:rPr>
              <w:t>塔身基础节未使用</w:t>
            </w:r>
            <w:r>
              <w:rPr>
                <w:rFonts w:hint="eastAsia"/>
                <w:b w:val="0"/>
                <w:bCs w:val="0"/>
                <w:highlight w:val="none"/>
                <w:lang w:val="en-US" w:eastAsia="zh-CN"/>
              </w:rPr>
              <w:t>销轴和防脱纵销与焊接支腿连接</w:t>
            </w:r>
          </w:p>
        </w:tc>
        <w:tc>
          <w:tcPr>
            <w:tcW w:w="640" w:type="pct"/>
            <w:tcBorders>
              <w:tl2br w:val="nil"/>
              <w:tr2bl w:val="nil"/>
            </w:tcBorders>
            <w:vAlign w:val="center"/>
          </w:tcPr>
          <w:p w14:paraId="09798480">
            <w:pPr>
              <w:pStyle w:val="53"/>
              <w:rPr>
                <w:b w:val="0"/>
                <w:bCs w:val="0"/>
                <w:highlight w:val="none"/>
              </w:rPr>
            </w:pPr>
            <w:r>
              <w:rPr>
                <w:rFonts w:hint="eastAsia"/>
                <w:b w:val="0"/>
                <w:bCs w:val="0"/>
                <w:highlight w:val="none"/>
              </w:rPr>
              <w:t>起重伤害</w:t>
            </w:r>
          </w:p>
        </w:tc>
      </w:tr>
      <w:tr w14:paraId="35C2A6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43587957">
            <w:pPr>
              <w:pStyle w:val="53"/>
              <w:numPr>
                <w:ilvl w:val="0"/>
                <w:numId w:val="30"/>
              </w:numPr>
              <w:tabs>
                <w:tab w:val="clear" w:pos="0"/>
              </w:tabs>
              <w:rPr>
                <w:highlight w:val="none"/>
              </w:rPr>
            </w:pPr>
          </w:p>
        </w:tc>
        <w:tc>
          <w:tcPr>
            <w:tcW w:w="504" w:type="pct"/>
            <w:vMerge w:val="restart"/>
            <w:tcBorders>
              <w:tl2br w:val="nil"/>
              <w:tr2bl w:val="nil"/>
            </w:tcBorders>
            <w:vAlign w:val="center"/>
          </w:tcPr>
          <w:p w14:paraId="177BF070">
            <w:pPr>
              <w:pStyle w:val="53"/>
              <w:rPr>
                <w:b w:val="0"/>
                <w:bCs w:val="0"/>
                <w:highlight w:val="none"/>
              </w:rPr>
            </w:pPr>
            <w:r>
              <w:rPr>
                <w:rFonts w:hint="eastAsia"/>
                <w:b w:val="0"/>
                <w:bCs w:val="0"/>
                <w:highlight w:val="none"/>
              </w:rPr>
              <w:t>安装塔身</w:t>
            </w:r>
          </w:p>
        </w:tc>
        <w:tc>
          <w:tcPr>
            <w:tcW w:w="3596" w:type="pct"/>
            <w:tcBorders>
              <w:tl2br w:val="nil"/>
              <w:tr2bl w:val="nil"/>
            </w:tcBorders>
            <w:vAlign w:val="center"/>
          </w:tcPr>
          <w:p w14:paraId="278523E5">
            <w:pPr>
              <w:pStyle w:val="53"/>
              <w:rPr>
                <w:rFonts w:hint="default" w:eastAsia="宋体"/>
                <w:b w:val="0"/>
                <w:bCs w:val="0"/>
                <w:highlight w:val="none"/>
                <w:lang w:val="en-US" w:eastAsia="zh-CN"/>
              </w:rPr>
            </w:pPr>
            <w:r>
              <w:rPr>
                <w:rFonts w:hint="eastAsia"/>
                <w:b w:val="0"/>
                <w:bCs w:val="0"/>
                <w:highlight w:val="none"/>
              </w:rPr>
              <w:t>安装下塔身</w:t>
            </w:r>
            <w:r>
              <w:rPr>
                <w:rFonts w:hint="eastAsia"/>
                <w:b w:val="0"/>
                <w:bCs w:val="0"/>
                <w:highlight w:val="none"/>
                <w:lang w:val="en-US" w:eastAsia="zh-CN"/>
              </w:rPr>
              <w:t>未使用标准销轴与防脱纵销连接</w:t>
            </w:r>
          </w:p>
        </w:tc>
        <w:tc>
          <w:tcPr>
            <w:tcW w:w="640" w:type="pct"/>
            <w:tcBorders>
              <w:tl2br w:val="nil"/>
              <w:tr2bl w:val="nil"/>
            </w:tcBorders>
            <w:vAlign w:val="center"/>
          </w:tcPr>
          <w:p w14:paraId="22FDEA62">
            <w:pPr>
              <w:pStyle w:val="53"/>
              <w:rPr>
                <w:b w:val="0"/>
                <w:bCs w:val="0"/>
                <w:highlight w:val="none"/>
              </w:rPr>
            </w:pPr>
            <w:r>
              <w:rPr>
                <w:rFonts w:hint="eastAsia"/>
                <w:b w:val="0"/>
                <w:bCs w:val="0"/>
                <w:highlight w:val="none"/>
              </w:rPr>
              <w:t>起重伤害</w:t>
            </w:r>
          </w:p>
        </w:tc>
      </w:tr>
      <w:tr w14:paraId="644F8D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50933640">
            <w:pPr>
              <w:pStyle w:val="53"/>
              <w:numPr>
                <w:ilvl w:val="0"/>
                <w:numId w:val="30"/>
              </w:numPr>
              <w:tabs>
                <w:tab w:val="clear" w:pos="0"/>
              </w:tabs>
              <w:rPr>
                <w:highlight w:val="none"/>
              </w:rPr>
            </w:pPr>
          </w:p>
        </w:tc>
        <w:tc>
          <w:tcPr>
            <w:tcW w:w="504" w:type="pct"/>
            <w:vMerge w:val="continue"/>
            <w:tcBorders>
              <w:tl2br w:val="nil"/>
              <w:tr2bl w:val="nil"/>
            </w:tcBorders>
            <w:vAlign w:val="center"/>
          </w:tcPr>
          <w:p w14:paraId="36A3CE74">
            <w:pPr>
              <w:pStyle w:val="53"/>
              <w:rPr>
                <w:b w:val="0"/>
                <w:bCs w:val="0"/>
                <w:highlight w:val="none"/>
              </w:rPr>
            </w:pPr>
          </w:p>
        </w:tc>
        <w:tc>
          <w:tcPr>
            <w:tcW w:w="3596" w:type="pct"/>
            <w:tcBorders>
              <w:tl2br w:val="nil"/>
              <w:tr2bl w:val="nil"/>
            </w:tcBorders>
            <w:vAlign w:val="center"/>
          </w:tcPr>
          <w:p w14:paraId="12613B5F">
            <w:pPr>
              <w:pStyle w:val="53"/>
              <w:rPr>
                <w:b w:val="0"/>
                <w:bCs w:val="0"/>
                <w:highlight w:val="none"/>
              </w:rPr>
            </w:pPr>
            <w:r>
              <w:rPr>
                <w:rFonts w:hint="eastAsia"/>
                <w:b w:val="0"/>
                <w:bCs w:val="0"/>
                <w:highlight w:val="none"/>
              </w:rPr>
              <w:t>套架上未安装操作平台</w:t>
            </w:r>
          </w:p>
        </w:tc>
        <w:tc>
          <w:tcPr>
            <w:tcW w:w="640" w:type="pct"/>
            <w:tcBorders>
              <w:tl2br w:val="nil"/>
              <w:tr2bl w:val="nil"/>
            </w:tcBorders>
            <w:vAlign w:val="center"/>
          </w:tcPr>
          <w:p w14:paraId="05366CCD">
            <w:pPr>
              <w:pStyle w:val="53"/>
              <w:rPr>
                <w:b w:val="0"/>
                <w:bCs w:val="0"/>
                <w:highlight w:val="none"/>
              </w:rPr>
            </w:pPr>
            <w:r>
              <w:rPr>
                <w:rFonts w:hint="eastAsia"/>
                <w:b w:val="0"/>
                <w:bCs w:val="0"/>
                <w:highlight w:val="none"/>
              </w:rPr>
              <w:t>起重伤害</w:t>
            </w:r>
          </w:p>
        </w:tc>
      </w:tr>
      <w:tr w14:paraId="26A85B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96726BC">
            <w:pPr>
              <w:pStyle w:val="53"/>
              <w:numPr>
                <w:ilvl w:val="0"/>
                <w:numId w:val="30"/>
              </w:numPr>
              <w:tabs>
                <w:tab w:val="clear" w:pos="0"/>
              </w:tabs>
              <w:rPr>
                <w:highlight w:val="none"/>
              </w:rPr>
            </w:pPr>
          </w:p>
        </w:tc>
        <w:tc>
          <w:tcPr>
            <w:tcW w:w="504" w:type="pct"/>
            <w:vMerge w:val="continue"/>
            <w:tcBorders>
              <w:tl2br w:val="nil"/>
              <w:tr2bl w:val="nil"/>
            </w:tcBorders>
            <w:vAlign w:val="center"/>
          </w:tcPr>
          <w:p w14:paraId="2078166D">
            <w:pPr>
              <w:pStyle w:val="53"/>
              <w:rPr>
                <w:b w:val="0"/>
                <w:bCs w:val="0"/>
                <w:highlight w:val="none"/>
              </w:rPr>
            </w:pPr>
          </w:p>
        </w:tc>
        <w:tc>
          <w:tcPr>
            <w:tcW w:w="3596" w:type="pct"/>
            <w:tcBorders>
              <w:tl2br w:val="nil"/>
              <w:tr2bl w:val="nil"/>
            </w:tcBorders>
            <w:vAlign w:val="center"/>
          </w:tcPr>
          <w:p w14:paraId="244F6614">
            <w:pPr>
              <w:pStyle w:val="53"/>
              <w:rPr>
                <w:b w:val="0"/>
                <w:bCs w:val="0"/>
                <w:highlight w:val="none"/>
              </w:rPr>
            </w:pPr>
            <w:r>
              <w:rPr>
                <w:rFonts w:hint="eastAsia"/>
                <w:b w:val="0"/>
                <w:bCs w:val="0"/>
                <w:highlight w:val="none"/>
                <w:lang w:val="en-US" w:eastAsia="zh-CN"/>
              </w:rPr>
              <w:t>特殊节</w:t>
            </w:r>
            <w:r>
              <w:rPr>
                <w:rFonts w:hint="eastAsia"/>
                <w:b w:val="0"/>
                <w:bCs w:val="0"/>
                <w:highlight w:val="none"/>
              </w:rPr>
              <w:t>主弦杆与</w:t>
            </w:r>
            <w:r>
              <w:rPr>
                <w:rFonts w:hint="eastAsia"/>
                <w:b w:val="0"/>
                <w:bCs w:val="0"/>
                <w:highlight w:val="none"/>
                <w:lang w:val="en-US" w:eastAsia="zh-CN"/>
              </w:rPr>
              <w:t>标准节主</w:t>
            </w:r>
            <w:r>
              <w:rPr>
                <w:rFonts w:hint="eastAsia"/>
                <w:b w:val="0"/>
                <w:bCs w:val="0"/>
                <w:highlight w:val="none"/>
              </w:rPr>
              <w:t>弦杆未使用</w:t>
            </w:r>
            <w:r>
              <w:rPr>
                <w:rFonts w:hint="eastAsia"/>
                <w:b w:val="0"/>
                <w:bCs w:val="0"/>
                <w:highlight w:val="none"/>
                <w:lang w:val="en-US" w:eastAsia="zh-CN"/>
              </w:rPr>
              <w:t>销轴</w:t>
            </w:r>
            <w:r>
              <w:rPr>
                <w:rFonts w:hint="eastAsia"/>
                <w:b w:val="0"/>
                <w:bCs w:val="0"/>
                <w:highlight w:val="none"/>
              </w:rPr>
              <w:t>将其相连，</w:t>
            </w:r>
            <w:r>
              <w:rPr>
                <w:rFonts w:hint="eastAsia"/>
                <w:b w:val="0"/>
                <w:bCs w:val="0"/>
                <w:highlight w:val="none"/>
                <w:lang w:val="en-US" w:eastAsia="zh-CN"/>
              </w:rPr>
              <w:t>并未使用防脱纵销</w:t>
            </w:r>
            <w:r>
              <w:rPr>
                <w:rFonts w:hint="eastAsia"/>
                <w:b w:val="0"/>
                <w:bCs w:val="0"/>
                <w:highlight w:val="none"/>
              </w:rPr>
              <w:t>未紧固好双螺母</w:t>
            </w:r>
          </w:p>
        </w:tc>
        <w:tc>
          <w:tcPr>
            <w:tcW w:w="640" w:type="pct"/>
            <w:tcBorders>
              <w:tl2br w:val="nil"/>
              <w:tr2bl w:val="nil"/>
            </w:tcBorders>
            <w:vAlign w:val="center"/>
          </w:tcPr>
          <w:p w14:paraId="2CC608A5">
            <w:pPr>
              <w:pStyle w:val="53"/>
              <w:rPr>
                <w:b w:val="0"/>
                <w:bCs w:val="0"/>
                <w:highlight w:val="none"/>
              </w:rPr>
            </w:pPr>
            <w:r>
              <w:rPr>
                <w:rFonts w:hint="eastAsia"/>
                <w:b w:val="0"/>
                <w:bCs w:val="0"/>
                <w:highlight w:val="none"/>
              </w:rPr>
              <w:t>起重伤害</w:t>
            </w:r>
          </w:p>
        </w:tc>
      </w:tr>
      <w:tr w14:paraId="4704FC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5D93CC27">
            <w:pPr>
              <w:pStyle w:val="53"/>
              <w:numPr>
                <w:ilvl w:val="0"/>
                <w:numId w:val="30"/>
              </w:numPr>
              <w:tabs>
                <w:tab w:val="clear" w:pos="0"/>
              </w:tabs>
              <w:rPr>
                <w:highlight w:val="none"/>
              </w:rPr>
            </w:pPr>
          </w:p>
        </w:tc>
        <w:tc>
          <w:tcPr>
            <w:tcW w:w="504" w:type="pct"/>
            <w:vMerge w:val="continue"/>
            <w:tcBorders>
              <w:tl2br w:val="nil"/>
              <w:tr2bl w:val="nil"/>
            </w:tcBorders>
            <w:vAlign w:val="center"/>
          </w:tcPr>
          <w:p w14:paraId="72021FA5">
            <w:pPr>
              <w:pStyle w:val="53"/>
              <w:rPr>
                <w:b w:val="0"/>
                <w:bCs w:val="0"/>
                <w:highlight w:val="none"/>
              </w:rPr>
            </w:pPr>
          </w:p>
        </w:tc>
        <w:tc>
          <w:tcPr>
            <w:tcW w:w="3596" w:type="pct"/>
            <w:tcBorders>
              <w:tl2br w:val="nil"/>
              <w:tr2bl w:val="nil"/>
            </w:tcBorders>
            <w:vAlign w:val="center"/>
          </w:tcPr>
          <w:p w14:paraId="1B6AB5C2">
            <w:pPr>
              <w:pStyle w:val="53"/>
              <w:rPr>
                <w:b w:val="0"/>
                <w:bCs w:val="0"/>
                <w:highlight w:val="none"/>
              </w:rPr>
            </w:pPr>
            <w:r>
              <w:rPr>
                <w:rFonts w:hint="eastAsia"/>
                <w:b w:val="0"/>
                <w:bCs w:val="0"/>
                <w:highlight w:val="none"/>
              </w:rPr>
              <w:t>标准节的爬梯、背圈、爬梯平台未同步安装</w:t>
            </w:r>
          </w:p>
        </w:tc>
        <w:tc>
          <w:tcPr>
            <w:tcW w:w="640" w:type="pct"/>
            <w:tcBorders>
              <w:tl2br w:val="nil"/>
              <w:tr2bl w:val="nil"/>
            </w:tcBorders>
            <w:vAlign w:val="center"/>
          </w:tcPr>
          <w:p w14:paraId="7857BB07">
            <w:pPr>
              <w:pStyle w:val="53"/>
              <w:rPr>
                <w:b w:val="0"/>
                <w:bCs w:val="0"/>
                <w:highlight w:val="none"/>
              </w:rPr>
            </w:pPr>
            <w:r>
              <w:rPr>
                <w:rFonts w:hint="eastAsia"/>
                <w:b w:val="0"/>
                <w:bCs w:val="0"/>
                <w:highlight w:val="none"/>
              </w:rPr>
              <w:t>起重伤害</w:t>
            </w:r>
          </w:p>
        </w:tc>
      </w:tr>
      <w:tr w14:paraId="481883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5666184B">
            <w:pPr>
              <w:pStyle w:val="53"/>
              <w:numPr>
                <w:ilvl w:val="0"/>
                <w:numId w:val="30"/>
              </w:numPr>
              <w:tabs>
                <w:tab w:val="clear" w:pos="0"/>
              </w:tabs>
              <w:rPr>
                <w:highlight w:val="none"/>
              </w:rPr>
            </w:pPr>
          </w:p>
        </w:tc>
        <w:tc>
          <w:tcPr>
            <w:tcW w:w="504" w:type="pct"/>
            <w:vMerge w:val="continue"/>
            <w:tcBorders>
              <w:tl2br w:val="nil"/>
              <w:tr2bl w:val="nil"/>
            </w:tcBorders>
            <w:vAlign w:val="center"/>
          </w:tcPr>
          <w:p w14:paraId="32D75AF6">
            <w:pPr>
              <w:pStyle w:val="53"/>
              <w:rPr>
                <w:b w:val="0"/>
                <w:bCs w:val="0"/>
                <w:highlight w:val="none"/>
              </w:rPr>
            </w:pPr>
          </w:p>
        </w:tc>
        <w:tc>
          <w:tcPr>
            <w:tcW w:w="3596" w:type="pct"/>
            <w:tcBorders>
              <w:tl2br w:val="nil"/>
              <w:tr2bl w:val="nil"/>
            </w:tcBorders>
            <w:vAlign w:val="center"/>
          </w:tcPr>
          <w:p w14:paraId="415A616A">
            <w:pPr>
              <w:pStyle w:val="53"/>
              <w:rPr>
                <w:b w:val="0"/>
                <w:bCs w:val="0"/>
                <w:highlight w:val="none"/>
              </w:rPr>
            </w:pPr>
            <w:r>
              <w:rPr>
                <w:rFonts w:hint="eastAsia"/>
                <w:b w:val="0"/>
                <w:bCs w:val="0"/>
                <w:highlight w:val="none"/>
              </w:rPr>
              <w:t>未安装塔顶平台、栏杆、滑轮、过度拉板</w:t>
            </w:r>
          </w:p>
        </w:tc>
        <w:tc>
          <w:tcPr>
            <w:tcW w:w="640" w:type="pct"/>
            <w:tcBorders>
              <w:tl2br w:val="nil"/>
              <w:tr2bl w:val="nil"/>
            </w:tcBorders>
            <w:vAlign w:val="center"/>
          </w:tcPr>
          <w:p w14:paraId="72489F7B">
            <w:pPr>
              <w:pStyle w:val="53"/>
              <w:rPr>
                <w:b w:val="0"/>
                <w:bCs w:val="0"/>
                <w:highlight w:val="none"/>
              </w:rPr>
            </w:pPr>
            <w:r>
              <w:rPr>
                <w:rFonts w:hint="eastAsia"/>
                <w:b w:val="0"/>
                <w:bCs w:val="0"/>
                <w:highlight w:val="none"/>
              </w:rPr>
              <w:t>起重伤害</w:t>
            </w:r>
          </w:p>
        </w:tc>
      </w:tr>
      <w:tr w14:paraId="369E67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4256C98">
            <w:pPr>
              <w:pStyle w:val="53"/>
              <w:numPr>
                <w:ilvl w:val="0"/>
                <w:numId w:val="30"/>
              </w:numPr>
              <w:tabs>
                <w:tab w:val="clear" w:pos="0"/>
              </w:tabs>
              <w:rPr>
                <w:highlight w:val="none"/>
              </w:rPr>
            </w:pPr>
          </w:p>
        </w:tc>
        <w:tc>
          <w:tcPr>
            <w:tcW w:w="504" w:type="pct"/>
            <w:vMerge w:val="restart"/>
            <w:tcBorders>
              <w:tl2br w:val="nil"/>
              <w:tr2bl w:val="nil"/>
            </w:tcBorders>
            <w:vAlign w:val="center"/>
          </w:tcPr>
          <w:p w14:paraId="27C0EF73">
            <w:pPr>
              <w:pStyle w:val="53"/>
              <w:rPr>
                <w:b w:val="0"/>
                <w:bCs w:val="0"/>
                <w:highlight w:val="none"/>
              </w:rPr>
            </w:pPr>
            <w:r>
              <w:rPr>
                <w:rFonts w:hint="eastAsia"/>
                <w:b w:val="0"/>
                <w:bCs w:val="0"/>
                <w:highlight w:val="none"/>
              </w:rPr>
              <w:t>安装起重臂、平衡臂</w:t>
            </w:r>
          </w:p>
        </w:tc>
        <w:tc>
          <w:tcPr>
            <w:tcW w:w="3596" w:type="pct"/>
            <w:tcBorders>
              <w:tl2br w:val="nil"/>
              <w:tr2bl w:val="nil"/>
            </w:tcBorders>
            <w:vAlign w:val="center"/>
          </w:tcPr>
          <w:p w14:paraId="66B1773E">
            <w:pPr>
              <w:pStyle w:val="53"/>
              <w:rPr>
                <w:b w:val="0"/>
                <w:bCs w:val="0"/>
                <w:highlight w:val="none"/>
              </w:rPr>
            </w:pPr>
            <w:r>
              <w:rPr>
                <w:rFonts w:hint="eastAsia"/>
                <w:b w:val="0"/>
                <w:bCs w:val="0"/>
                <w:highlight w:val="none"/>
              </w:rPr>
              <w:t>平衡臂未安装平台、栏杆</w:t>
            </w:r>
          </w:p>
        </w:tc>
        <w:tc>
          <w:tcPr>
            <w:tcW w:w="640" w:type="pct"/>
            <w:tcBorders>
              <w:tl2br w:val="nil"/>
              <w:tr2bl w:val="nil"/>
            </w:tcBorders>
            <w:vAlign w:val="center"/>
          </w:tcPr>
          <w:p w14:paraId="3D781F9B">
            <w:pPr>
              <w:pStyle w:val="53"/>
              <w:rPr>
                <w:b w:val="0"/>
                <w:bCs w:val="0"/>
                <w:highlight w:val="none"/>
              </w:rPr>
            </w:pPr>
            <w:r>
              <w:rPr>
                <w:rFonts w:hint="eastAsia"/>
                <w:b w:val="0"/>
                <w:bCs w:val="0"/>
                <w:highlight w:val="none"/>
              </w:rPr>
              <w:t>起重伤害</w:t>
            </w:r>
          </w:p>
        </w:tc>
      </w:tr>
      <w:tr w14:paraId="534444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58582A7B">
            <w:pPr>
              <w:pStyle w:val="53"/>
              <w:numPr>
                <w:ilvl w:val="0"/>
                <w:numId w:val="30"/>
              </w:numPr>
              <w:tabs>
                <w:tab w:val="clear" w:pos="0"/>
              </w:tabs>
              <w:rPr>
                <w:highlight w:val="none"/>
              </w:rPr>
            </w:pPr>
          </w:p>
        </w:tc>
        <w:tc>
          <w:tcPr>
            <w:tcW w:w="504" w:type="pct"/>
            <w:vMerge w:val="continue"/>
            <w:tcBorders>
              <w:tl2br w:val="nil"/>
              <w:tr2bl w:val="nil"/>
            </w:tcBorders>
            <w:vAlign w:val="center"/>
          </w:tcPr>
          <w:p w14:paraId="4887F649">
            <w:pPr>
              <w:pStyle w:val="53"/>
              <w:rPr>
                <w:b w:val="0"/>
                <w:bCs w:val="0"/>
                <w:highlight w:val="none"/>
              </w:rPr>
            </w:pPr>
          </w:p>
        </w:tc>
        <w:tc>
          <w:tcPr>
            <w:tcW w:w="3596" w:type="pct"/>
            <w:tcBorders>
              <w:tl2br w:val="nil"/>
              <w:tr2bl w:val="nil"/>
            </w:tcBorders>
            <w:vAlign w:val="center"/>
          </w:tcPr>
          <w:p w14:paraId="6D3E9448">
            <w:pPr>
              <w:pStyle w:val="53"/>
              <w:rPr>
                <w:b w:val="0"/>
                <w:bCs w:val="0"/>
                <w:highlight w:val="none"/>
              </w:rPr>
            </w:pPr>
            <w:r>
              <w:rPr>
                <w:rFonts w:hint="eastAsia"/>
                <w:b w:val="0"/>
                <w:bCs w:val="0"/>
                <w:highlight w:val="none"/>
              </w:rPr>
              <w:t>平衡重未安装在后部规定位置，未使用专用钢销将平衡重支持在平衡臂上</w:t>
            </w:r>
          </w:p>
        </w:tc>
        <w:tc>
          <w:tcPr>
            <w:tcW w:w="640" w:type="pct"/>
            <w:tcBorders>
              <w:tl2br w:val="nil"/>
              <w:tr2bl w:val="nil"/>
            </w:tcBorders>
            <w:vAlign w:val="center"/>
          </w:tcPr>
          <w:p w14:paraId="2D9DE57E">
            <w:pPr>
              <w:pStyle w:val="53"/>
              <w:rPr>
                <w:b w:val="0"/>
                <w:bCs w:val="0"/>
                <w:highlight w:val="none"/>
              </w:rPr>
            </w:pPr>
            <w:r>
              <w:rPr>
                <w:rFonts w:hint="eastAsia"/>
                <w:b w:val="0"/>
                <w:bCs w:val="0"/>
                <w:highlight w:val="none"/>
              </w:rPr>
              <w:t>起重伤害</w:t>
            </w:r>
          </w:p>
        </w:tc>
      </w:tr>
      <w:tr w14:paraId="461975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25477023">
            <w:pPr>
              <w:pStyle w:val="53"/>
              <w:numPr>
                <w:ilvl w:val="0"/>
                <w:numId w:val="30"/>
              </w:numPr>
              <w:tabs>
                <w:tab w:val="clear" w:pos="0"/>
              </w:tabs>
              <w:rPr>
                <w:highlight w:val="none"/>
              </w:rPr>
            </w:pPr>
          </w:p>
        </w:tc>
        <w:tc>
          <w:tcPr>
            <w:tcW w:w="504" w:type="pct"/>
            <w:vMerge w:val="continue"/>
            <w:tcBorders>
              <w:tl2br w:val="nil"/>
              <w:tr2bl w:val="nil"/>
            </w:tcBorders>
            <w:vAlign w:val="center"/>
          </w:tcPr>
          <w:p w14:paraId="69448CE2">
            <w:pPr>
              <w:pStyle w:val="53"/>
              <w:rPr>
                <w:b w:val="0"/>
                <w:bCs w:val="0"/>
                <w:highlight w:val="none"/>
              </w:rPr>
            </w:pPr>
          </w:p>
        </w:tc>
        <w:tc>
          <w:tcPr>
            <w:tcW w:w="3596" w:type="pct"/>
            <w:tcBorders>
              <w:tl2br w:val="nil"/>
              <w:tr2bl w:val="nil"/>
            </w:tcBorders>
            <w:vAlign w:val="center"/>
          </w:tcPr>
          <w:p w14:paraId="7F25B1D0">
            <w:pPr>
              <w:pStyle w:val="53"/>
              <w:rPr>
                <w:b w:val="0"/>
                <w:bCs w:val="0"/>
                <w:highlight w:val="none"/>
              </w:rPr>
            </w:pPr>
            <w:r>
              <w:rPr>
                <w:rFonts w:hint="eastAsia"/>
                <w:b w:val="0"/>
                <w:bCs w:val="0"/>
                <w:highlight w:val="none"/>
              </w:rPr>
              <w:t>未在变幅小车上安装检修平台</w:t>
            </w:r>
          </w:p>
        </w:tc>
        <w:tc>
          <w:tcPr>
            <w:tcW w:w="640" w:type="pct"/>
            <w:tcBorders>
              <w:tl2br w:val="nil"/>
              <w:tr2bl w:val="nil"/>
            </w:tcBorders>
            <w:vAlign w:val="center"/>
          </w:tcPr>
          <w:p w14:paraId="75CDF5F7">
            <w:pPr>
              <w:pStyle w:val="53"/>
              <w:rPr>
                <w:b w:val="0"/>
                <w:bCs w:val="0"/>
                <w:highlight w:val="none"/>
              </w:rPr>
            </w:pPr>
            <w:r>
              <w:rPr>
                <w:rFonts w:hint="eastAsia"/>
                <w:b w:val="0"/>
                <w:bCs w:val="0"/>
                <w:highlight w:val="none"/>
              </w:rPr>
              <w:t>起重伤害</w:t>
            </w:r>
          </w:p>
        </w:tc>
      </w:tr>
      <w:tr w14:paraId="101320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70082FF">
            <w:pPr>
              <w:pStyle w:val="53"/>
              <w:numPr>
                <w:ilvl w:val="0"/>
                <w:numId w:val="30"/>
              </w:numPr>
              <w:tabs>
                <w:tab w:val="clear" w:pos="0"/>
              </w:tabs>
              <w:rPr>
                <w:highlight w:val="none"/>
              </w:rPr>
            </w:pPr>
          </w:p>
        </w:tc>
        <w:tc>
          <w:tcPr>
            <w:tcW w:w="504" w:type="pct"/>
            <w:vMerge w:val="continue"/>
            <w:tcBorders>
              <w:tl2br w:val="nil"/>
              <w:tr2bl w:val="nil"/>
            </w:tcBorders>
            <w:vAlign w:val="center"/>
          </w:tcPr>
          <w:p w14:paraId="32D4B0E1">
            <w:pPr>
              <w:pStyle w:val="53"/>
              <w:rPr>
                <w:b w:val="0"/>
                <w:bCs w:val="0"/>
                <w:highlight w:val="none"/>
              </w:rPr>
            </w:pPr>
          </w:p>
        </w:tc>
        <w:tc>
          <w:tcPr>
            <w:tcW w:w="3596" w:type="pct"/>
            <w:tcBorders>
              <w:tl2br w:val="nil"/>
              <w:tr2bl w:val="nil"/>
            </w:tcBorders>
            <w:vAlign w:val="center"/>
          </w:tcPr>
          <w:p w14:paraId="1943D1EF">
            <w:pPr>
              <w:pStyle w:val="53"/>
              <w:rPr>
                <w:b w:val="0"/>
                <w:bCs w:val="0"/>
                <w:highlight w:val="none"/>
              </w:rPr>
            </w:pPr>
            <w:r>
              <w:rPr>
                <w:rFonts w:hint="eastAsia"/>
                <w:b w:val="0"/>
                <w:bCs w:val="0"/>
                <w:highlight w:val="none"/>
              </w:rPr>
              <w:t>未用特制销轴将起重臂与回转塔身耳板铰接好、并未穿好开口销</w:t>
            </w:r>
          </w:p>
        </w:tc>
        <w:tc>
          <w:tcPr>
            <w:tcW w:w="640" w:type="pct"/>
            <w:tcBorders>
              <w:tl2br w:val="nil"/>
              <w:tr2bl w:val="nil"/>
            </w:tcBorders>
            <w:vAlign w:val="center"/>
          </w:tcPr>
          <w:p w14:paraId="235702A4">
            <w:pPr>
              <w:pStyle w:val="53"/>
              <w:rPr>
                <w:b w:val="0"/>
                <w:bCs w:val="0"/>
                <w:highlight w:val="none"/>
              </w:rPr>
            </w:pPr>
            <w:r>
              <w:rPr>
                <w:rFonts w:hint="eastAsia"/>
                <w:b w:val="0"/>
                <w:bCs w:val="0"/>
                <w:highlight w:val="none"/>
              </w:rPr>
              <w:t>起重伤害</w:t>
            </w:r>
          </w:p>
        </w:tc>
      </w:tr>
      <w:tr w14:paraId="6E69CA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63E92925">
            <w:pPr>
              <w:pStyle w:val="53"/>
              <w:numPr>
                <w:ilvl w:val="0"/>
                <w:numId w:val="30"/>
              </w:numPr>
              <w:tabs>
                <w:tab w:val="clear" w:pos="0"/>
              </w:tabs>
              <w:rPr>
                <w:highlight w:val="none"/>
              </w:rPr>
            </w:pPr>
          </w:p>
        </w:tc>
        <w:tc>
          <w:tcPr>
            <w:tcW w:w="504" w:type="pct"/>
            <w:vMerge w:val="continue"/>
            <w:tcBorders>
              <w:tl2br w:val="nil"/>
              <w:tr2bl w:val="nil"/>
            </w:tcBorders>
            <w:vAlign w:val="center"/>
          </w:tcPr>
          <w:p w14:paraId="16106DCE">
            <w:pPr>
              <w:pStyle w:val="53"/>
              <w:rPr>
                <w:b w:val="0"/>
                <w:bCs w:val="0"/>
                <w:highlight w:val="none"/>
              </w:rPr>
            </w:pPr>
          </w:p>
        </w:tc>
        <w:tc>
          <w:tcPr>
            <w:tcW w:w="3596" w:type="pct"/>
            <w:tcBorders>
              <w:tl2br w:val="nil"/>
              <w:tr2bl w:val="nil"/>
            </w:tcBorders>
            <w:vAlign w:val="center"/>
          </w:tcPr>
          <w:p w14:paraId="17110306">
            <w:pPr>
              <w:pStyle w:val="53"/>
              <w:rPr>
                <w:b w:val="0"/>
                <w:bCs w:val="0"/>
                <w:highlight w:val="none"/>
              </w:rPr>
            </w:pPr>
            <w:r>
              <w:rPr>
                <w:rFonts w:hint="eastAsia"/>
                <w:b w:val="0"/>
                <w:bCs w:val="0"/>
                <w:highlight w:val="none"/>
              </w:rPr>
              <w:t>配重重量与大臂长度不匹配</w:t>
            </w:r>
          </w:p>
        </w:tc>
        <w:tc>
          <w:tcPr>
            <w:tcW w:w="640" w:type="pct"/>
            <w:tcBorders>
              <w:tl2br w:val="nil"/>
              <w:tr2bl w:val="nil"/>
            </w:tcBorders>
            <w:vAlign w:val="center"/>
          </w:tcPr>
          <w:p w14:paraId="6F84B21C">
            <w:pPr>
              <w:pStyle w:val="53"/>
              <w:rPr>
                <w:b w:val="0"/>
                <w:bCs w:val="0"/>
                <w:highlight w:val="none"/>
              </w:rPr>
            </w:pPr>
            <w:r>
              <w:rPr>
                <w:rFonts w:hint="eastAsia"/>
                <w:b w:val="0"/>
                <w:bCs w:val="0"/>
                <w:highlight w:val="none"/>
              </w:rPr>
              <w:t>起重伤害</w:t>
            </w:r>
          </w:p>
        </w:tc>
      </w:tr>
      <w:tr w14:paraId="4A157A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701E0E0">
            <w:pPr>
              <w:pStyle w:val="53"/>
              <w:numPr>
                <w:ilvl w:val="0"/>
                <w:numId w:val="30"/>
              </w:numPr>
              <w:tabs>
                <w:tab w:val="clear" w:pos="0"/>
              </w:tabs>
              <w:rPr>
                <w:highlight w:val="none"/>
              </w:rPr>
            </w:pPr>
          </w:p>
        </w:tc>
        <w:tc>
          <w:tcPr>
            <w:tcW w:w="504" w:type="pct"/>
            <w:vMerge w:val="continue"/>
            <w:tcBorders>
              <w:tl2br w:val="nil"/>
              <w:tr2bl w:val="nil"/>
            </w:tcBorders>
            <w:vAlign w:val="center"/>
          </w:tcPr>
          <w:p w14:paraId="183C554F">
            <w:pPr>
              <w:pStyle w:val="53"/>
              <w:rPr>
                <w:b w:val="0"/>
                <w:bCs w:val="0"/>
                <w:highlight w:val="none"/>
              </w:rPr>
            </w:pPr>
          </w:p>
        </w:tc>
        <w:tc>
          <w:tcPr>
            <w:tcW w:w="3596" w:type="pct"/>
            <w:tcBorders>
              <w:tl2br w:val="nil"/>
              <w:tr2bl w:val="nil"/>
            </w:tcBorders>
            <w:vAlign w:val="center"/>
          </w:tcPr>
          <w:p w14:paraId="788B07F1">
            <w:pPr>
              <w:pStyle w:val="53"/>
              <w:rPr>
                <w:b w:val="0"/>
                <w:bCs w:val="0"/>
                <w:highlight w:val="none"/>
              </w:rPr>
            </w:pPr>
            <w:r>
              <w:rPr>
                <w:rFonts w:hint="eastAsia"/>
                <w:b w:val="0"/>
                <w:bCs w:val="0"/>
                <w:highlight w:val="none"/>
              </w:rPr>
              <w:t>未使用链条葫芦或未利用起升钢丝绳提升起重臂拉杆</w:t>
            </w:r>
          </w:p>
        </w:tc>
        <w:tc>
          <w:tcPr>
            <w:tcW w:w="640" w:type="pct"/>
            <w:tcBorders>
              <w:tl2br w:val="nil"/>
              <w:tr2bl w:val="nil"/>
            </w:tcBorders>
            <w:vAlign w:val="center"/>
          </w:tcPr>
          <w:p w14:paraId="0AFE2946">
            <w:pPr>
              <w:pStyle w:val="53"/>
              <w:rPr>
                <w:b w:val="0"/>
                <w:bCs w:val="0"/>
                <w:highlight w:val="none"/>
              </w:rPr>
            </w:pPr>
            <w:r>
              <w:rPr>
                <w:rFonts w:hint="eastAsia"/>
                <w:b w:val="0"/>
                <w:bCs w:val="0"/>
                <w:highlight w:val="none"/>
              </w:rPr>
              <w:t>起重伤害</w:t>
            </w:r>
          </w:p>
        </w:tc>
      </w:tr>
      <w:tr w14:paraId="0A5936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49DFCB44">
            <w:pPr>
              <w:pStyle w:val="53"/>
              <w:numPr>
                <w:ilvl w:val="0"/>
                <w:numId w:val="30"/>
              </w:numPr>
              <w:tabs>
                <w:tab w:val="clear" w:pos="0"/>
              </w:tabs>
              <w:rPr>
                <w:highlight w:val="none"/>
              </w:rPr>
            </w:pPr>
          </w:p>
        </w:tc>
        <w:tc>
          <w:tcPr>
            <w:tcW w:w="504" w:type="pct"/>
            <w:vMerge w:val="restart"/>
            <w:tcBorders>
              <w:tl2br w:val="nil"/>
              <w:tr2bl w:val="nil"/>
            </w:tcBorders>
            <w:vAlign w:val="center"/>
          </w:tcPr>
          <w:p w14:paraId="136312CD">
            <w:pPr>
              <w:pStyle w:val="53"/>
              <w:rPr>
                <w:b w:val="0"/>
                <w:bCs w:val="0"/>
                <w:highlight w:val="none"/>
              </w:rPr>
            </w:pPr>
            <w:r>
              <w:rPr>
                <w:rFonts w:hint="eastAsia"/>
                <w:b w:val="0"/>
                <w:bCs w:val="0"/>
                <w:highlight w:val="none"/>
              </w:rPr>
              <w:t>安装后检验</w:t>
            </w:r>
          </w:p>
        </w:tc>
        <w:tc>
          <w:tcPr>
            <w:tcW w:w="3596" w:type="pct"/>
            <w:tcBorders>
              <w:tl2br w:val="nil"/>
              <w:tr2bl w:val="nil"/>
            </w:tcBorders>
            <w:vAlign w:val="center"/>
          </w:tcPr>
          <w:p w14:paraId="7087ECBD">
            <w:pPr>
              <w:pStyle w:val="53"/>
              <w:rPr>
                <w:b w:val="0"/>
                <w:bCs w:val="0"/>
                <w:highlight w:val="none"/>
              </w:rPr>
            </w:pPr>
            <w:r>
              <w:rPr>
                <w:rFonts w:hint="eastAsia"/>
                <w:b w:val="0"/>
                <w:bCs w:val="0"/>
                <w:highlight w:val="none"/>
              </w:rPr>
              <w:t>安装完成未组织人员验收与试吊</w:t>
            </w:r>
          </w:p>
        </w:tc>
        <w:tc>
          <w:tcPr>
            <w:tcW w:w="640" w:type="pct"/>
            <w:tcBorders>
              <w:tl2br w:val="nil"/>
              <w:tr2bl w:val="nil"/>
            </w:tcBorders>
            <w:vAlign w:val="center"/>
          </w:tcPr>
          <w:p w14:paraId="05AF8BDB">
            <w:pPr>
              <w:pStyle w:val="53"/>
              <w:rPr>
                <w:b w:val="0"/>
                <w:bCs w:val="0"/>
                <w:highlight w:val="none"/>
              </w:rPr>
            </w:pPr>
            <w:r>
              <w:rPr>
                <w:rFonts w:hint="eastAsia"/>
                <w:b w:val="0"/>
                <w:bCs w:val="0"/>
                <w:highlight w:val="none"/>
              </w:rPr>
              <w:t>起重伤害</w:t>
            </w:r>
          </w:p>
        </w:tc>
      </w:tr>
      <w:tr w14:paraId="23A9B0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328F2DCF">
            <w:pPr>
              <w:pStyle w:val="53"/>
              <w:numPr>
                <w:ilvl w:val="0"/>
                <w:numId w:val="30"/>
              </w:numPr>
              <w:tabs>
                <w:tab w:val="clear" w:pos="0"/>
              </w:tabs>
              <w:rPr>
                <w:highlight w:val="none"/>
              </w:rPr>
            </w:pPr>
          </w:p>
        </w:tc>
        <w:tc>
          <w:tcPr>
            <w:tcW w:w="504" w:type="pct"/>
            <w:vMerge w:val="continue"/>
            <w:tcBorders>
              <w:tl2br w:val="nil"/>
              <w:tr2bl w:val="nil"/>
            </w:tcBorders>
            <w:vAlign w:val="center"/>
          </w:tcPr>
          <w:p w14:paraId="7518541C">
            <w:pPr>
              <w:pStyle w:val="53"/>
              <w:rPr>
                <w:b w:val="0"/>
                <w:bCs w:val="0"/>
                <w:highlight w:val="none"/>
              </w:rPr>
            </w:pPr>
          </w:p>
        </w:tc>
        <w:tc>
          <w:tcPr>
            <w:tcW w:w="3596" w:type="pct"/>
            <w:tcBorders>
              <w:tl2br w:val="nil"/>
              <w:tr2bl w:val="nil"/>
            </w:tcBorders>
            <w:vAlign w:val="center"/>
          </w:tcPr>
          <w:p w14:paraId="1792EF35">
            <w:pPr>
              <w:pStyle w:val="53"/>
              <w:rPr>
                <w:b w:val="0"/>
                <w:bCs w:val="0"/>
                <w:highlight w:val="none"/>
              </w:rPr>
            </w:pPr>
            <w:r>
              <w:rPr>
                <w:rFonts w:hint="eastAsia"/>
                <w:b w:val="0"/>
                <w:bCs w:val="0"/>
                <w:highlight w:val="none"/>
              </w:rPr>
              <w:t>安装单位自检合格后，没有上报有关部门检测合格。</w:t>
            </w:r>
          </w:p>
        </w:tc>
        <w:tc>
          <w:tcPr>
            <w:tcW w:w="640" w:type="pct"/>
            <w:tcBorders>
              <w:tl2br w:val="nil"/>
              <w:tr2bl w:val="nil"/>
            </w:tcBorders>
            <w:vAlign w:val="center"/>
          </w:tcPr>
          <w:p w14:paraId="5149157B">
            <w:pPr>
              <w:pStyle w:val="53"/>
              <w:rPr>
                <w:b w:val="0"/>
                <w:bCs w:val="0"/>
                <w:highlight w:val="none"/>
              </w:rPr>
            </w:pPr>
            <w:r>
              <w:rPr>
                <w:rFonts w:hint="eastAsia"/>
                <w:b w:val="0"/>
                <w:bCs w:val="0"/>
                <w:highlight w:val="none"/>
              </w:rPr>
              <w:t>起重伤害</w:t>
            </w:r>
          </w:p>
        </w:tc>
      </w:tr>
      <w:tr w14:paraId="265F91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496D3CBA">
            <w:pPr>
              <w:pStyle w:val="53"/>
              <w:numPr>
                <w:ilvl w:val="0"/>
                <w:numId w:val="30"/>
              </w:numPr>
              <w:tabs>
                <w:tab w:val="clear" w:pos="0"/>
              </w:tabs>
              <w:rPr>
                <w:highlight w:val="none"/>
              </w:rPr>
            </w:pPr>
          </w:p>
        </w:tc>
        <w:tc>
          <w:tcPr>
            <w:tcW w:w="504" w:type="pct"/>
            <w:vMerge w:val="restart"/>
            <w:tcBorders>
              <w:tl2br w:val="nil"/>
              <w:tr2bl w:val="nil"/>
            </w:tcBorders>
            <w:vAlign w:val="center"/>
          </w:tcPr>
          <w:p w14:paraId="72C2F9C3">
            <w:pPr>
              <w:pStyle w:val="53"/>
              <w:rPr>
                <w:b w:val="0"/>
                <w:bCs w:val="0"/>
                <w:highlight w:val="none"/>
              </w:rPr>
            </w:pPr>
            <w:r>
              <w:rPr>
                <w:rFonts w:hint="eastAsia"/>
                <w:b w:val="0"/>
                <w:bCs w:val="0"/>
                <w:highlight w:val="none"/>
              </w:rPr>
              <w:t>拆除</w:t>
            </w:r>
          </w:p>
        </w:tc>
        <w:tc>
          <w:tcPr>
            <w:tcW w:w="3596" w:type="pct"/>
            <w:tcBorders>
              <w:tl2br w:val="nil"/>
              <w:tr2bl w:val="nil"/>
            </w:tcBorders>
            <w:vAlign w:val="center"/>
          </w:tcPr>
          <w:p w14:paraId="47C4D06E">
            <w:pPr>
              <w:pStyle w:val="53"/>
              <w:rPr>
                <w:b w:val="0"/>
                <w:bCs w:val="0"/>
                <w:highlight w:val="none"/>
              </w:rPr>
            </w:pPr>
            <w:r>
              <w:rPr>
                <w:rFonts w:hint="eastAsia"/>
                <w:b w:val="0"/>
                <w:bCs w:val="0"/>
                <w:highlight w:val="none"/>
              </w:rPr>
              <w:t>附着式塔机没有明确附着装置的拆卸顺序和方法。</w:t>
            </w:r>
          </w:p>
        </w:tc>
        <w:tc>
          <w:tcPr>
            <w:tcW w:w="640" w:type="pct"/>
            <w:tcBorders>
              <w:tl2br w:val="nil"/>
              <w:tr2bl w:val="nil"/>
            </w:tcBorders>
            <w:vAlign w:val="center"/>
          </w:tcPr>
          <w:p w14:paraId="69575571">
            <w:pPr>
              <w:pStyle w:val="53"/>
              <w:rPr>
                <w:b w:val="0"/>
                <w:bCs w:val="0"/>
                <w:highlight w:val="none"/>
              </w:rPr>
            </w:pPr>
            <w:r>
              <w:rPr>
                <w:rFonts w:hint="eastAsia"/>
                <w:b w:val="0"/>
                <w:bCs w:val="0"/>
                <w:highlight w:val="none"/>
              </w:rPr>
              <w:t>起重伤害</w:t>
            </w:r>
          </w:p>
        </w:tc>
      </w:tr>
      <w:tr w14:paraId="3B5167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20F71514">
            <w:pPr>
              <w:pStyle w:val="53"/>
              <w:numPr>
                <w:ilvl w:val="0"/>
                <w:numId w:val="30"/>
              </w:numPr>
              <w:tabs>
                <w:tab w:val="clear" w:pos="0"/>
              </w:tabs>
              <w:rPr>
                <w:highlight w:val="none"/>
              </w:rPr>
            </w:pPr>
          </w:p>
        </w:tc>
        <w:tc>
          <w:tcPr>
            <w:tcW w:w="504" w:type="pct"/>
            <w:vMerge w:val="continue"/>
            <w:tcBorders>
              <w:tl2br w:val="nil"/>
              <w:tr2bl w:val="nil"/>
            </w:tcBorders>
            <w:vAlign w:val="center"/>
          </w:tcPr>
          <w:p w14:paraId="32F9248A">
            <w:pPr>
              <w:pStyle w:val="53"/>
              <w:rPr>
                <w:b w:val="0"/>
                <w:bCs w:val="0"/>
                <w:highlight w:val="none"/>
              </w:rPr>
            </w:pPr>
          </w:p>
        </w:tc>
        <w:tc>
          <w:tcPr>
            <w:tcW w:w="3596" w:type="pct"/>
            <w:tcBorders>
              <w:tl2br w:val="nil"/>
              <w:tr2bl w:val="nil"/>
            </w:tcBorders>
            <w:vAlign w:val="center"/>
          </w:tcPr>
          <w:p w14:paraId="12A30D31">
            <w:pPr>
              <w:pStyle w:val="53"/>
              <w:rPr>
                <w:b w:val="0"/>
                <w:bCs w:val="0"/>
                <w:highlight w:val="none"/>
              </w:rPr>
            </w:pPr>
            <w:r>
              <w:rPr>
                <w:rFonts w:hint="eastAsia"/>
                <w:b w:val="0"/>
                <w:bCs w:val="0"/>
                <w:highlight w:val="none"/>
              </w:rPr>
              <w:t>当遇特殊情况拆卸作业不能继续时，没有采取措施保证塔机处于安全状态。</w:t>
            </w:r>
          </w:p>
        </w:tc>
        <w:tc>
          <w:tcPr>
            <w:tcW w:w="640" w:type="pct"/>
            <w:tcBorders>
              <w:tl2br w:val="nil"/>
              <w:tr2bl w:val="nil"/>
            </w:tcBorders>
            <w:vAlign w:val="center"/>
          </w:tcPr>
          <w:p w14:paraId="28A780D5">
            <w:pPr>
              <w:pStyle w:val="53"/>
              <w:rPr>
                <w:b w:val="0"/>
                <w:bCs w:val="0"/>
                <w:highlight w:val="none"/>
              </w:rPr>
            </w:pPr>
            <w:r>
              <w:rPr>
                <w:rFonts w:hint="eastAsia"/>
                <w:b w:val="0"/>
                <w:bCs w:val="0"/>
                <w:highlight w:val="none"/>
              </w:rPr>
              <w:t>起重伤害</w:t>
            </w:r>
          </w:p>
        </w:tc>
      </w:tr>
      <w:tr w14:paraId="7FC213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F33CA36">
            <w:pPr>
              <w:pStyle w:val="53"/>
              <w:numPr>
                <w:ilvl w:val="0"/>
                <w:numId w:val="30"/>
              </w:numPr>
              <w:tabs>
                <w:tab w:val="clear" w:pos="0"/>
              </w:tabs>
              <w:rPr>
                <w:highlight w:val="none"/>
              </w:rPr>
            </w:pPr>
          </w:p>
        </w:tc>
        <w:tc>
          <w:tcPr>
            <w:tcW w:w="504" w:type="pct"/>
            <w:vMerge w:val="continue"/>
            <w:tcBorders>
              <w:tl2br w:val="nil"/>
              <w:tr2bl w:val="nil"/>
            </w:tcBorders>
            <w:vAlign w:val="center"/>
          </w:tcPr>
          <w:p w14:paraId="1D50225A">
            <w:pPr>
              <w:pStyle w:val="53"/>
              <w:rPr>
                <w:b w:val="0"/>
                <w:bCs w:val="0"/>
                <w:highlight w:val="none"/>
              </w:rPr>
            </w:pPr>
          </w:p>
        </w:tc>
        <w:tc>
          <w:tcPr>
            <w:tcW w:w="3596" w:type="pct"/>
            <w:tcBorders>
              <w:tl2br w:val="nil"/>
              <w:tr2bl w:val="nil"/>
            </w:tcBorders>
            <w:vAlign w:val="center"/>
          </w:tcPr>
          <w:p w14:paraId="75E11355">
            <w:pPr>
              <w:pStyle w:val="53"/>
              <w:rPr>
                <w:b w:val="0"/>
                <w:bCs w:val="0"/>
                <w:highlight w:val="none"/>
              </w:rPr>
            </w:pPr>
            <w:r>
              <w:rPr>
                <w:rFonts w:hint="eastAsia"/>
                <w:b w:val="0"/>
                <w:bCs w:val="0"/>
                <w:highlight w:val="none"/>
              </w:rPr>
              <w:t>塔式起重机每次降节前，没有检查顶升系统和附着装置的连接等。</w:t>
            </w:r>
          </w:p>
        </w:tc>
        <w:tc>
          <w:tcPr>
            <w:tcW w:w="640" w:type="pct"/>
            <w:tcBorders>
              <w:tl2br w:val="nil"/>
              <w:tr2bl w:val="nil"/>
            </w:tcBorders>
            <w:vAlign w:val="center"/>
          </w:tcPr>
          <w:p w14:paraId="503F0A9B">
            <w:pPr>
              <w:pStyle w:val="53"/>
              <w:rPr>
                <w:b w:val="0"/>
                <w:bCs w:val="0"/>
                <w:highlight w:val="none"/>
              </w:rPr>
            </w:pPr>
            <w:r>
              <w:rPr>
                <w:rFonts w:hint="eastAsia"/>
                <w:b w:val="0"/>
                <w:bCs w:val="0"/>
                <w:highlight w:val="none"/>
              </w:rPr>
              <w:t>起重伤害</w:t>
            </w:r>
          </w:p>
        </w:tc>
      </w:tr>
      <w:tr w14:paraId="4DC74E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35EFAB94">
            <w:pPr>
              <w:pStyle w:val="53"/>
              <w:numPr>
                <w:ilvl w:val="0"/>
                <w:numId w:val="30"/>
              </w:numPr>
              <w:tabs>
                <w:tab w:val="clear" w:pos="0"/>
              </w:tabs>
              <w:rPr>
                <w:highlight w:val="none"/>
              </w:rPr>
            </w:pPr>
          </w:p>
        </w:tc>
        <w:tc>
          <w:tcPr>
            <w:tcW w:w="504" w:type="pct"/>
            <w:vMerge w:val="continue"/>
            <w:tcBorders>
              <w:tl2br w:val="nil"/>
              <w:tr2bl w:val="nil"/>
            </w:tcBorders>
            <w:vAlign w:val="center"/>
          </w:tcPr>
          <w:p w14:paraId="106635BB">
            <w:pPr>
              <w:pStyle w:val="53"/>
              <w:rPr>
                <w:b w:val="0"/>
                <w:bCs w:val="0"/>
                <w:highlight w:val="none"/>
              </w:rPr>
            </w:pPr>
          </w:p>
        </w:tc>
        <w:tc>
          <w:tcPr>
            <w:tcW w:w="3596" w:type="pct"/>
            <w:tcBorders>
              <w:tl2br w:val="nil"/>
              <w:tr2bl w:val="nil"/>
            </w:tcBorders>
            <w:vAlign w:val="center"/>
          </w:tcPr>
          <w:p w14:paraId="53C0D82E">
            <w:pPr>
              <w:pStyle w:val="53"/>
              <w:rPr>
                <w:b w:val="0"/>
                <w:bCs w:val="0"/>
                <w:highlight w:val="none"/>
              </w:rPr>
            </w:pPr>
            <w:r>
              <w:rPr>
                <w:rFonts w:hint="eastAsia"/>
                <w:b w:val="0"/>
                <w:bCs w:val="0"/>
                <w:highlight w:val="none"/>
              </w:rPr>
              <w:t>拆卸时没有按照先降节，后拆除附着装置的顺序施工。</w:t>
            </w:r>
          </w:p>
        </w:tc>
        <w:tc>
          <w:tcPr>
            <w:tcW w:w="640" w:type="pct"/>
            <w:tcBorders>
              <w:tl2br w:val="nil"/>
              <w:tr2bl w:val="nil"/>
            </w:tcBorders>
            <w:vAlign w:val="center"/>
          </w:tcPr>
          <w:p w14:paraId="60500884">
            <w:pPr>
              <w:pStyle w:val="53"/>
              <w:rPr>
                <w:b w:val="0"/>
                <w:bCs w:val="0"/>
                <w:highlight w:val="none"/>
              </w:rPr>
            </w:pPr>
            <w:r>
              <w:rPr>
                <w:rFonts w:hint="eastAsia"/>
                <w:b w:val="0"/>
                <w:bCs w:val="0"/>
                <w:highlight w:val="none"/>
              </w:rPr>
              <w:t>起重伤害</w:t>
            </w:r>
          </w:p>
        </w:tc>
      </w:tr>
      <w:tr w14:paraId="3B24EF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43E64C4">
            <w:pPr>
              <w:pStyle w:val="53"/>
              <w:numPr>
                <w:ilvl w:val="0"/>
                <w:numId w:val="30"/>
              </w:numPr>
              <w:tabs>
                <w:tab w:val="clear" w:pos="0"/>
              </w:tabs>
              <w:rPr>
                <w:highlight w:val="none"/>
              </w:rPr>
            </w:pPr>
          </w:p>
        </w:tc>
        <w:tc>
          <w:tcPr>
            <w:tcW w:w="504" w:type="pct"/>
            <w:vMerge w:val="continue"/>
            <w:tcBorders>
              <w:tl2br w:val="nil"/>
              <w:tr2bl w:val="nil"/>
            </w:tcBorders>
            <w:vAlign w:val="center"/>
          </w:tcPr>
          <w:p w14:paraId="4AC48722">
            <w:pPr>
              <w:pStyle w:val="53"/>
              <w:rPr>
                <w:b w:val="0"/>
                <w:bCs w:val="0"/>
                <w:highlight w:val="none"/>
              </w:rPr>
            </w:pPr>
          </w:p>
        </w:tc>
        <w:tc>
          <w:tcPr>
            <w:tcW w:w="3596" w:type="pct"/>
            <w:tcBorders>
              <w:tl2br w:val="nil"/>
              <w:tr2bl w:val="nil"/>
            </w:tcBorders>
            <w:vAlign w:val="center"/>
          </w:tcPr>
          <w:p w14:paraId="295C0981">
            <w:pPr>
              <w:pStyle w:val="53"/>
              <w:rPr>
                <w:b w:val="0"/>
                <w:bCs w:val="0"/>
                <w:highlight w:val="none"/>
              </w:rPr>
            </w:pPr>
            <w:r>
              <w:rPr>
                <w:rFonts w:hint="eastAsia"/>
                <w:b w:val="0"/>
                <w:bCs w:val="0"/>
                <w:highlight w:val="none"/>
              </w:rPr>
              <w:t>当用于拆卸作业的辅助设备设置在建筑物上时，没有对辅助起重设备的安全性及建筑物的承载能力等进行验算</w:t>
            </w:r>
          </w:p>
        </w:tc>
        <w:tc>
          <w:tcPr>
            <w:tcW w:w="640" w:type="pct"/>
            <w:tcBorders>
              <w:tl2br w:val="nil"/>
              <w:tr2bl w:val="nil"/>
            </w:tcBorders>
            <w:vAlign w:val="center"/>
          </w:tcPr>
          <w:p w14:paraId="35173DBD">
            <w:pPr>
              <w:pStyle w:val="53"/>
              <w:rPr>
                <w:b w:val="0"/>
                <w:bCs w:val="0"/>
                <w:highlight w:val="none"/>
              </w:rPr>
            </w:pPr>
            <w:r>
              <w:rPr>
                <w:rFonts w:hint="eastAsia"/>
                <w:b w:val="0"/>
                <w:bCs w:val="0"/>
                <w:highlight w:val="none"/>
              </w:rPr>
              <w:t>物体打击</w:t>
            </w:r>
          </w:p>
        </w:tc>
      </w:tr>
      <w:tr w14:paraId="15F83B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673BF6A4">
            <w:pPr>
              <w:pStyle w:val="53"/>
              <w:numPr>
                <w:ilvl w:val="0"/>
                <w:numId w:val="30"/>
              </w:numPr>
              <w:tabs>
                <w:tab w:val="clear" w:pos="0"/>
              </w:tabs>
              <w:rPr>
                <w:highlight w:val="none"/>
              </w:rPr>
            </w:pPr>
          </w:p>
        </w:tc>
        <w:tc>
          <w:tcPr>
            <w:tcW w:w="504" w:type="pct"/>
            <w:vMerge w:val="continue"/>
            <w:tcBorders>
              <w:tl2br w:val="nil"/>
              <w:tr2bl w:val="nil"/>
            </w:tcBorders>
            <w:vAlign w:val="center"/>
          </w:tcPr>
          <w:p w14:paraId="353334DB">
            <w:pPr>
              <w:pStyle w:val="53"/>
              <w:rPr>
                <w:b w:val="0"/>
                <w:bCs w:val="0"/>
                <w:highlight w:val="none"/>
              </w:rPr>
            </w:pPr>
          </w:p>
        </w:tc>
        <w:tc>
          <w:tcPr>
            <w:tcW w:w="3596" w:type="pct"/>
            <w:tcBorders>
              <w:tl2br w:val="nil"/>
              <w:tr2bl w:val="nil"/>
            </w:tcBorders>
            <w:vAlign w:val="center"/>
          </w:tcPr>
          <w:p w14:paraId="1DB23F18">
            <w:pPr>
              <w:pStyle w:val="53"/>
              <w:rPr>
                <w:b w:val="0"/>
                <w:bCs w:val="0"/>
                <w:highlight w:val="none"/>
              </w:rPr>
            </w:pPr>
            <w:r>
              <w:rPr>
                <w:rFonts w:hint="eastAsia"/>
                <w:b w:val="0"/>
                <w:bCs w:val="0"/>
                <w:highlight w:val="none"/>
              </w:rPr>
              <w:t>拆除作业未按照专项方案要求实施。拆除前未对安装作业人员进行安全技术交底。</w:t>
            </w:r>
          </w:p>
        </w:tc>
        <w:tc>
          <w:tcPr>
            <w:tcW w:w="640" w:type="pct"/>
            <w:tcBorders>
              <w:tl2br w:val="nil"/>
              <w:tr2bl w:val="nil"/>
            </w:tcBorders>
            <w:vAlign w:val="center"/>
          </w:tcPr>
          <w:p w14:paraId="0FAB93F4">
            <w:pPr>
              <w:pStyle w:val="53"/>
              <w:rPr>
                <w:b w:val="0"/>
                <w:bCs w:val="0"/>
                <w:highlight w:val="none"/>
              </w:rPr>
            </w:pPr>
            <w:r>
              <w:rPr>
                <w:rFonts w:hint="eastAsia"/>
                <w:b w:val="0"/>
                <w:bCs w:val="0"/>
                <w:highlight w:val="none"/>
              </w:rPr>
              <w:t>机械伤害</w:t>
            </w:r>
          </w:p>
        </w:tc>
      </w:tr>
      <w:tr w14:paraId="33B89D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016F4CAD">
            <w:pPr>
              <w:pStyle w:val="53"/>
              <w:numPr>
                <w:ilvl w:val="0"/>
                <w:numId w:val="30"/>
              </w:numPr>
              <w:tabs>
                <w:tab w:val="clear" w:pos="0"/>
              </w:tabs>
              <w:rPr>
                <w:highlight w:val="none"/>
              </w:rPr>
            </w:pPr>
          </w:p>
        </w:tc>
        <w:tc>
          <w:tcPr>
            <w:tcW w:w="504" w:type="pct"/>
            <w:vMerge w:val="continue"/>
            <w:tcBorders>
              <w:tl2br w:val="nil"/>
              <w:tr2bl w:val="nil"/>
            </w:tcBorders>
            <w:vAlign w:val="center"/>
          </w:tcPr>
          <w:p w14:paraId="53E160EA">
            <w:pPr>
              <w:pStyle w:val="53"/>
              <w:rPr>
                <w:b w:val="0"/>
                <w:bCs w:val="0"/>
                <w:highlight w:val="none"/>
              </w:rPr>
            </w:pPr>
          </w:p>
        </w:tc>
        <w:tc>
          <w:tcPr>
            <w:tcW w:w="3596" w:type="pct"/>
            <w:tcBorders>
              <w:tl2br w:val="nil"/>
              <w:tr2bl w:val="nil"/>
            </w:tcBorders>
            <w:vAlign w:val="center"/>
          </w:tcPr>
          <w:p w14:paraId="54DA9637">
            <w:pPr>
              <w:pStyle w:val="53"/>
              <w:rPr>
                <w:b w:val="0"/>
                <w:bCs w:val="0"/>
                <w:highlight w:val="none"/>
              </w:rPr>
            </w:pPr>
            <w:r>
              <w:rPr>
                <w:rFonts w:hint="eastAsia"/>
                <w:b w:val="0"/>
                <w:bCs w:val="0"/>
                <w:highlight w:val="none"/>
              </w:rPr>
              <w:t>拆除辅助设备就位后，没有对其机械和安全性能进行检验。</w:t>
            </w:r>
          </w:p>
        </w:tc>
        <w:tc>
          <w:tcPr>
            <w:tcW w:w="640" w:type="pct"/>
            <w:tcBorders>
              <w:tl2br w:val="nil"/>
              <w:tr2bl w:val="nil"/>
            </w:tcBorders>
            <w:vAlign w:val="center"/>
          </w:tcPr>
          <w:p w14:paraId="6F362F0E">
            <w:pPr>
              <w:pStyle w:val="53"/>
              <w:rPr>
                <w:b w:val="0"/>
                <w:bCs w:val="0"/>
                <w:highlight w:val="none"/>
              </w:rPr>
            </w:pPr>
            <w:r>
              <w:rPr>
                <w:rFonts w:hint="eastAsia"/>
                <w:b w:val="0"/>
                <w:bCs w:val="0"/>
                <w:highlight w:val="none"/>
              </w:rPr>
              <w:t>机械伤害</w:t>
            </w:r>
          </w:p>
        </w:tc>
      </w:tr>
      <w:tr w14:paraId="1B0F72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0072FB12">
            <w:pPr>
              <w:pStyle w:val="53"/>
              <w:numPr>
                <w:ilvl w:val="0"/>
                <w:numId w:val="30"/>
              </w:numPr>
              <w:tabs>
                <w:tab w:val="clear" w:pos="0"/>
              </w:tabs>
              <w:rPr>
                <w:highlight w:val="none"/>
              </w:rPr>
            </w:pPr>
          </w:p>
        </w:tc>
        <w:tc>
          <w:tcPr>
            <w:tcW w:w="504" w:type="pct"/>
            <w:vMerge w:val="continue"/>
            <w:tcBorders>
              <w:tl2br w:val="nil"/>
              <w:tr2bl w:val="nil"/>
            </w:tcBorders>
            <w:vAlign w:val="center"/>
          </w:tcPr>
          <w:p w14:paraId="4D0117CA">
            <w:pPr>
              <w:pStyle w:val="53"/>
              <w:rPr>
                <w:b w:val="0"/>
                <w:bCs w:val="0"/>
                <w:highlight w:val="none"/>
              </w:rPr>
            </w:pPr>
          </w:p>
        </w:tc>
        <w:tc>
          <w:tcPr>
            <w:tcW w:w="3596" w:type="pct"/>
            <w:tcBorders>
              <w:tl2br w:val="nil"/>
              <w:tr2bl w:val="nil"/>
            </w:tcBorders>
            <w:vAlign w:val="center"/>
          </w:tcPr>
          <w:p w14:paraId="2F5B7F46">
            <w:pPr>
              <w:pStyle w:val="53"/>
              <w:rPr>
                <w:b w:val="0"/>
                <w:bCs w:val="0"/>
                <w:highlight w:val="none"/>
              </w:rPr>
            </w:pPr>
            <w:r>
              <w:rPr>
                <w:rFonts w:hint="eastAsia"/>
                <w:b w:val="0"/>
                <w:bCs w:val="0"/>
                <w:highlight w:val="none"/>
              </w:rPr>
              <w:t>雨雪、浓雾天气没有停止拆除作业。</w:t>
            </w:r>
          </w:p>
        </w:tc>
        <w:tc>
          <w:tcPr>
            <w:tcW w:w="640" w:type="pct"/>
            <w:tcBorders>
              <w:tl2br w:val="nil"/>
              <w:tr2bl w:val="nil"/>
            </w:tcBorders>
            <w:vAlign w:val="center"/>
          </w:tcPr>
          <w:p w14:paraId="443818A8">
            <w:pPr>
              <w:pStyle w:val="53"/>
              <w:rPr>
                <w:b w:val="0"/>
                <w:bCs w:val="0"/>
                <w:highlight w:val="none"/>
              </w:rPr>
            </w:pPr>
            <w:r>
              <w:rPr>
                <w:rFonts w:hint="eastAsia"/>
                <w:b w:val="0"/>
                <w:bCs w:val="0"/>
                <w:highlight w:val="none"/>
              </w:rPr>
              <w:t>起重伤害</w:t>
            </w:r>
          </w:p>
        </w:tc>
      </w:tr>
      <w:tr w14:paraId="26750F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65CEDCE0">
            <w:pPr>
              <w:pStyle w:val="53"/>
              <w:numPr>
                <w:ilvl w:val="0"/>
                <w:numId w:val="30"/>
              </w:numPr>
              <w:tabs>
                <w:tab w:val="clear" w:pos="0"/>
              </w:tabs>
              <w:rPr>
                <w:highlight w:val="none"/>
              </w:rPr>
            </w:pPr>
          </w:p>
        </w:tc>
        <w:tc>
          <w:tcPr>
            <w:tcW w:w="504" w:type="pct"/>
            <w:vMerge w:val="continue"/>
            <w:tcBorders>
              <w:tl2br w:val="nil"/>
              <w:tr2bl w:val="nil"/>
            </w:tcBorders>
            <w:vAlign w:val="center"/>
          </w:tcPr>
          <w:p w14:paraId="75751D52">
            <w:pPr>
              <w:pStyle w:val="53"/>
              <w:rPr>
                <w:b w:val="0"/>
                <w:bCs w:val="0"/>
                <w:highlight w:val="none"/>
              </w:rPr>
            </w:pPr>
          </w:p>
        </w:tc>
        <w:tc>
          <w:tcPr>
            <w:tcW w:w="3596" w:type="pct"/>
            <w:tcBorders>
              <w:tl2br w:val="nil"/>
              <w:tr2bl w:val="nil"/>
            </w:tcBorders>
            <w:vAlign w:val="center"/>
          </w:tcPr>
          <w:p w14:paraId="269722C4">
            <w:pPr>
              <w:pStyle w:val="53"/>
              <w:rPr>
                <w:b w:val="0"/>
                <w:bCs w:val="0"/>
                <w:highlight w:val="none"/>
              </w:rPr>
            </w:pPr>
            <w:r>
              <w:rPr>
                <w:rFonts w:hint="eastAsia"/>
                <w:b w:val="0"/>
                <w:bCs w:val="0"/>
                <w:highlight w:val="none"/>
              </w:rPr>
              <w:t>当遇特殊情况拆除作业不能连续进行时，没有将已安装的部位固定牢靠并达到安全状态。</w:t>
            </w:r>
          </w:p>
        </w:tc>
        <w:tc>
          <w:tcPr>
            <w:tcW w:w="640" w:type="pct"/>
            <w:tcBorders>
              <w:tl2br w:val="nil"/>
              <w:tr2bl w:val="nil"/>
            </w:tcBorders>
            <w:vAlign w:val="center"/>
          </w:tcPr>
          <w:p w14:paraId="2CBE326C">
            <w:pPr>
              <w:pStyle w:val="53"/>
              <w:rPr>
                <w:b w:val="0"/>
                <w:bCs w:val="0"/>
                <w:highlight w:val="none"/>
              </w:rPr>
            </w:pPr>
            <w:r>
              <w:rPr>
                <w:rFonts w:hint="eastAsia"/>
                <w:b w:val="0"/>
                <w:bCs w:val="0"/>
                <w:highlight w:val="none"/>
              </w:rPr>
              <w:t>物体打击</w:t>
            </w:r>
          </w:p>
        </w:tc>
      </w:tr>
      <w:tr w14:paraId="0B6DCF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2D6A761">
            <w:pPr>
              <w:pStyle w:val="53"/>
              <w:numPr>
                <w:ilvl w:val="0"/>
                <w:numId w:val="30"/>
              </w:numPr>
              <w:tabs>
                <w:tab w:val="clear" w:pos="0"/>
              </w:tabs>
              <w:rPr>
                <w:highlight w:val="none"/>
              </w:rPr>
            </w:pPr>
          </w:p>
        </w:tc>
        <w:tc>
          <w:tcPr>
            <w:tcW w:w="504" w:type="pct"/>
            <w:tcBorders>
              <w:tl2br w:val="nil"/>
              <w:tr2bl w:val="nil"/>
            </w:tcBorders>
            <w:vAlign w:val="center"/>
          </w:tcPr>
          <w:p w14:paraId="021811B9">
            <w:pPr>
              <w:pStyle w:val="53"/>
              <w:rPr>
                <w:b w:val="0"/>
                <w:bCs w:val="0"/>
                <w:highlight w:val="none"/>
              </w:rPr>
            </w:pPr>
            <w:r>
              <w:rPr>
                <w:rFonts w:hint="eastAsia"/>
                <w:b w:val="0"/>
                <w:bCs w:val="0"/>
                <w:highlight w:val="none"/>
              </w:rPr>
              <w:t>设备部件及构配件</w:t>
            </w:r>
          </w:p>
        </w:tc>
        <w:tc>
          <w:tcPr>
            <w:tcW w:w="3596" w:type="pct"/>
            <w:tcBorders>
              <w:tl2br w:val="nil"/>
              <w:tr2bl w:val="nil"/>
            </w:tcBorders>
            <w:vAlign w:val="center"/>
          </w:tcPr>
          <w:p w14:paraId="5E412EC0">
            <w:pPr>
              <w:pStyle w:val="53"/>
              <w:rPr>
                <w:b w:val="0"/>
                <w:bCs w:val="0"/>
                <w:highlight w:val="none"/>
              </w:rPr>
            </w:pPr>
            <w:r>
              <w:rPr>
                <w:rFonts w:hint="eastAsia"/>
                <w:b w:val="0"/>
                <w:bCs w:val="0"/>
                <w:highlight w:val="none"/>
              </w:rPr>
              <w:t>施工所用设备部件及构配件使用前，未进行质量检查验收及安全评估，材料混用</w:t>
            </w:r>
          </w:p>
        </w:tc>
        <w:tc>
          <w:tcPr>
            <w:tcW w:w="640" w:type="pct"/>
            <w:tcBorders>
              <w:tl2br w:val="nil"/>
              <w:tr2bl w:val="nil"/>
            </w:tcBorders>
            <w:vAlign w:val="center"/>
          </w:tcPr>
          <w:p w14:paraId="14D1F518">
            <w:pPr>
              <w:pStyle w:val="53"/>
              <w:rPr>
                <w:b w:val="0"/>
                <w:bCs w:val="0"/>
                <w:highlight w:val="none"/>
              </w:rPr>
            </w:pPr>
            <w:r>
              <w:rPr>
                <w:rFonts w:hint="eastAsia"/>
                <w:b w:val="0"/>
                <w:bCs w:val="0"/>
                <w:highlight w:val="none"/>
              </w:rPr>
              <w:t>坍塌</w:t>
            </w:r>
          </w:p>
        </w:tc>
      </w:tr>
      <w:tr w14:paraId="12B35A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45D49B3B">
            <w:pPr>
              <w:pStyle w:val="53"/>
              <w:numPr>
                <w:ilvl w:val="0"/>
                <w:numId w:val="30"/>
              </w:numPr>
              <w:tabs>
                <w:tab w:val="clear" w:pos="0"/>
              </w:tabs>
              <w:rPr>
                <w:highlight w:val="none"/>
              </w:rPr>
            </w:pPr>
          </w:p>
        </w:tc>
        <w:tc>
          <w:tcPr>
            <w:tcW w:w="504" w:type="pct"/>
            <w:vMerge w:val="restart"/>
            <w:tcBorders>
              <w:tl2br w:val="nil"/>
              <w:tr2bl w:val="nil"/>
            </w:tcBorders>
            <w:vAlign w:val="center"/>
          </w:tcPr>
          <w:p w14:paraId="72FCA3A7">
            <w:pPr>
              <w:pStyle w:val="53"/>
              <w:rPr>
                <w:b w:val="0"/>
                <w:bCs w:val="0"/>
                <w:highlight w:val="none"/>
              </w:rPr>
            </w:pPr>
            <w:r>
              <w:rPr>
                <w:rFonts w:hint="eastAsia"/>
                <w:b w:val="0"/>
                <w:bCs w:val="0"/>
                <w:highlight w:val="none"/>
              </w:rPr>
              <w:t>吊索具</w:t>
            </w:r>
          </w:p>
        </w:tc>
        <w:tc>
          <w:tcPr>
            <w:tcW w:w="3596" w:type="pct"/>
            <w:tcBorders>
              <w:tl2br w:val="nil"/>
              <w:tr2bl w:val="nil"/>
            </w:tcBorders>
            <w:vAlign w:val="center"/>
          </w:tcPr>
          <w:p w14:paraId="430E229A">
            <w:pPr>
              <w:pStyle w:val="53"/>
              <w:rPr>
                <w:b w:val="0"/>
                <w:bCs w:val="0"/>
                <w:highlight w:val="none"/>
              </w:rPr>
            </w:pPr>
            <w:r>
              <w:rPr>
                <w:rFonts w:hint="eastAsia"/>
                <w:b w:val="0"/>
                <w:bCs w:val="0"/>
                <w:highlight w:val="none"/>
              </w:rPr>
              <w:t>吊具与索具系结物品，及其连接在起重机械上的方法不可靠</w:t>
            </w:r>
          </w:p>
        </w:tc>
        <w:tc>
          <w:tcPr>
            <w:tcW w:w="640" w:type="pct"/>
            <w:tcBorders>
              <w:tl2br w:val="nil"/>
              <w:tr2bl w:val="nil"/>
            </w:tcBorders>
            <w:vAlign w:val="center"/>
          </w:tcPr>
          <w:p w14:paraId="1C4F31FE">
            <w:pPr>
              <w:pStyle w:val="53"/>
              <w:rPr>
                <w:b w:val="0"/>
                <w:bCs w:val="0"/>
                <w:highlight w:val="none"/>
              </w:rPr>
            </w:pPr>
            <w:r>
              <w:rPr>
                <w:rFonts w:hint="eastAsia"/>
                <w:b w:val="0"/>
                <w:bCs w:val="0"/>
                <w:highlight w:val="none"/>
              </w:rPr>
              <w:t>起重伤害</w:t>
            </w:r>
          </w:p>
        </w:tc>
      </w:tr>
      <w:tr w14:paraId="469A84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3B14EA6F">
            <w:pPr>
              <w:pStyle w:val="53"/>
              <w:numPr>
                <w:ilvl w:val="0"/>
                <w:numId w:val="30"/>
              </w:numPr>
              <w:tabs>
                <w:tab w:val="clear" w:pos="0"/>
              </w:tabs>
              <w:rPr>
                <w:highlight w:val="none"/>
              </w:rPr>
            </w:pPr>
          </w:p>
        </w:tc>
        <w:tc>
          <w:tcPr>
            <w:tcW w:w="504" w:type="pct"/>
            <w:vMerge w:val="continue"/>
            <w:tcBorders>
              <w:tl2br w:val="nil"/>
              <w:tr2bl w:val="nil"/>
            </w:tcBorders>
            <w:vAlign w:val="center"/>
          </w:tcPr>
          <w:p w14:paraId="7604D33F">
            <w:pPr>
              <w:pStyle w:val="53"/>
              <w:rPr>
                <w:b w:val="0"/>
                <w:bCs w:val="0"/>
                <w:highlight w:val="none"/>
              </w:rPr>
            </w:pPr>
          </w:p>
        </w:tc>
        <w:tc>
          <w:tcPr>
            <w:tcW w:w="3596" w:type="pct"/>
            <w:tcBorders>
              <w:tl2br w:val="nil"/>
              <w:tr2bl w:val="nil"/>
            </w:tcBorders>
            <w:vAlign w:val="center"/>
          </w:tcPr>
          <w:p w14:paraId="0B84C72E">
            <w:pPr>
              <w:pStyle w:val="53"/>
              <w:rPr>
                <w:b w:val="0"/>
                <w:bCs w:val="0"/>
                <w:highlight w:val="none"/>
              </w:rPr>
            </w:pPr>
            <w:r>
              <w:rPr>
                <w:rFonts w:hint="eastAsia"/>
                <w:b w:val="0"/>
                <w:bCs w:val="0"/>
                <w:highlight w:val="none"/>
              </w:rPr>
              <w:t>未按照规定设置防脱钩装置，或者防脱钩装置失效。</w:t>
            </w:r>
          </w:p>
        </w:tc>
        <w:tc>
          <w:tcPr>
            <w:tcW w:w="640" w:type="pct"/>
            <w:tcBorders>
              <w:tl2br w:val="nil"/>
              <w:tr2bl w:val="nil"/>
            </w:tcBorders>
            <w:vAlign w:val="center"/>
          </w:tcPr>
          <w:p w14:paraId="51D9BFC5">
            <w:pPr>
              <w:pStyle w:val="53"/>
              <w:rPr>
                <w:b w:val="0"/>
                <w:bCs w:val="0"/>
                <w:highlight w:val="none"/>
              </w:rPr>
            </w:pPr>
            <w:r>
              <w:rPr>
                <w:rFonts w:hint="eastAsia"/>
                <w:b w:val="0"/>
                <w:bCs w:val="0"/>
                <w:highlight w:val="none"/>
              </w:rPr>
              <w:t>起重伤害</w:t>
            </w:r>
          </w:p>
        </w:tc>
      </w:tr>
      <w:tr w14:paraId="4E6680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0AEE7C8">
            <w:pPr>
              <w:pStyle w:val="53"/>
              <w:numPr>
                <w:ilvl w:val="0"/>
                <w:numId w:val="30"/>
              </w:numPr>
              <w:tabs>
                <w:tab w:val="clear" w:pos="0"/>
              </w:tabs>
              <w:rPr>
                <w:highlight w:val="none"/>
              </w:rPr>
            </w:pPr>
          </w:p>
        </w:tc>
        <w:tc>
          <w:tcPr>
            <w:tcW w:w="504" w:type="pct"/>
            <w:vMerge w:val="continue"/>
            <w:tcBorders>
              <w:tl2br w:val="nil"/>
              <w:tr2bl w:val="nil"/>
            </w:tcBorders>
            <w:vAlign w:val="center"/>
          </w:tcPr>
          <w:p w14:paraId="161D77B3">
            <w:pPr>
              <w:pStyle w:val="53"/>
              <w:rPr>
                <w:b w:val="0"/>
                <w:bCs w:val="0"/>
                <w:highlight w:val="none"/>
              </w:rPr>
            </w:pPr>
          </w:p>
        </w:tc>
        <w:tc>
          <w:tcPr>
            <w:tcW w:w="3596" w:type="pct"/>
            <w:tcBorders>
              <w:tl2br w:val="nil"/>
              <w:tr2bl w:val="nil"/>
            </w:tcBorders>
            <w:vAlign w:val="center"/>
          </w:tcPr>
          <w:p w14:paraId="4E61B82A">
            <w:pPr>
              <w:pStyle w:val="53"/>
              <w:rPr>
                <w:b w:val="0"/>
                <w:bCs w:val="0"/>
                <w:highlight w:val="none"/>
              </w:rPr>
            </w:pPr>
            <w:r>
              <w:rPr>
                <w:rFonts w:hint="eastAsia"/>
                <w:b w:val="0"/>
                <w:bCs w:val="0"/>
                <w:highlight w:val="none"/>
              </w:rPr>
              <w:t>吊具悬挂不牢固可靠。</w:t>
            </w:r>
          </w:p>
        </w:tc>
        <w:tc>
          <w:tcPr>
            <w:tcW w:w="640" w:type="pct"/>
            <w:tcBorders>
              <w:tl2br w:val="nil"/>
              <w:tr2bl w:val="nil"/>
            </w:tcBorders>
            <w:vAlign w:val="center"/>
          </w:tcPr>
          <w:p w14:paraId="69943A2D">
            <w:pPr>
              <w:pStyle w:val="53"/>
              <w:rPr>
                <w:b w:val="0"/>
                <w:bCs w:val="0"/>
                <w:highlight w:val="none"/>
              </w:rPr>
            </w:pPr>
            <w:r>
              <w:rPr>
                <w:rFonts w:hint="eastAsia"/>
                <w:b w:val="0"/>
                <w:bCs w:val="0"/>
                <w:highlight w:val="none"/>
              </w:rPr>
              <w:t>起重伤害</w:t>
            </w:r>
          </w:p>
        </w:tc>
      </w:tr>
      <w:tr w14:paraId="67F69E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58189BE4">
            <w:pPr>
              <w:pStyle w:val="53"/>
              <w:numPr>
                <w:ilvl w:val="0"/>
                <w:numId w:val="30"/>
              </w:numPr>
              <w:tabs>
                <w:tab w:val="clear" w:pos="0"/>
              </w:tabs>
              <w:rPr>
                <w:highlight w:val="none"/>
              </w:rPr>
            </w:pPr>
          </w:p>
        </w:tc>
        <w:tc>
          <w:tcPr>
            <w:tcW w:w="504" w:type="pct"/>
            <w:vMerge w:val="continue"/>
            <w:tcBorders>
              <w:tl2br w:val="nil"/>
              <w:tr2bl w:val="nil"/>
            </w:tcBorders>
            <w:vAlign w:val="center"/>
          </w:tcPr>
          <w:p w14:paraId="1C769255">
            <w:pPr>
              <w:pStyle w:val="53"/>
              <w:rPr>
                <w:b w:val="0"/>
                <w:bCs w:val="0"/>
                <w:highlight w:val="none"/>
              </w:rPr>
            </w:pPr>
          </w:p>
        </w:tc>
        <w:tc>
          <w:tcPr>
            <w:tcW w:w="3596" w:type="pct"/>
            <w:tcBorders>
              <w:tl2br w:val="nil"/>
              <w:tr2bl w:val="nil"/>
            </w:tcBorders>
            <w:vAlign w:val="center"/>
          </w:tcPr>
          <w:p w14:paraId="42882E01">
            <w:pPr>
              <w:pStyle w:val="53"/>
              <w:rPr>
                <w:b w:val="0"/>
                <w:bCs w:val="0"/>
                <w:highlight w:val="none"/>
              </w:rPr>
            </w:pPr>
            <w:r>
              <w:rPr>
                <w:rFonts w:hint="eastAsia"/>
                <w:b w:val="0"/>
                <w:bCs w:val="0"/>
                <w:highlight w:val="none"/>
              </w:rPr>
              <w:t>吊耳、耳轴或耳轴套，磨损减少原尺寸5％。</w:t>
            </w:r>
          </w:p>
        </w:tc>
        <w:tc>
          <w:tcPr>
            <w:tcW w:w="640" w:type="pct"/>
            <w:tcBorders>
              <w:tl2br w:val="nil"/>
              <w:tr2bl w:val="nil"/>
            </w:tcBorders>
            <w:vAlign w:val="center"/>
          </w:tcPr>
          <w:p w14:paraId="4DBB1451">
            <w:pPr>
              <w:pStyle w:val="53"/>
              <w:rPr>
                <w:b w:val="0"/>
                <w:bCs w:val="0"/>
                <w:highlight w:val="none"/>
              </w:rPr>
            </w:pPr>
            <w:r>
              <w:rPr>
                <w:rFonts w:hint="eastAsia"/>
                <w:b w:val="0"/>
                <w:bCs w:val="0"/>
                <w:highlight w:val="none"/>
              </w:rPr>
              <w:t>起重伤害</w:t>
            </w:r>
          </w:p>
        </w:tc>
      </w:tr>
      <w:tr w14:paraId="134337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61F580BB">
            <w:pPr>
              <w:pStyle w:val="53"/>
              <w:numPr>
                <w:ilvl w:val="0"/>
                <w:numId w:val="30"/>
              </w:numPr>
              <w:tabs>
                <w:tab w:val="clear" w:pos="0"/>
              </w:tabs>
              <w:rPr>
                <w:highlight w:val="none"/>
              </w:rPr>
            </w:pPr>
          </w:p>
        </w:tc>
        <w:tc>
          <w:tcPr>
            <w:tcW w:w="504" w:type="pct"/>
            <w:vMerge w:val="restart"/>
            <w:tcBorders>
              <w:tl2br w:val="nil"/>
              <w:tr2bl w:val="nil"/>
            </w:tcBorders>
            <w:vAlign w:val="center"/>
          </w:tcPr>
          <w:p w14:paraId="3E959A8B">
            <w:pPr>
              <w:pStyle w:val="53"/>
              <w:rPr>
                <w:b w:val="0"/>
                <w:bCs w:val="0"/>
                <w:highlight w:val="none"/>
              </w:rPr>
            </w:pPr>
            <w:r>
              <w:rPr>
                <w:rFonts w:hint="eastAsia"/>
                <w:b w:val="0"/>
                <w:bCs w:val="0"/>
                <w:highlight w:val="none"/>
              </w:rPr>
              <w:t>操作错误，忽视安全，忽视警告</w:t>
            </w:r>
          </w:p>
        </w:tc>
        <w:tc>
          <w:tcPr>
            <w:tcW w:w="3596" w:type="pct"/>
            <w:tcBorders>
              <w:tl2br w:val="nil"/>
              <w:tr2bl w:val="nil"/>
            </w:tcBorders>
            <w:vAlign w:val="center"/>
          </w:tcPr>
          <w:p w14:paraId="4BB6D589">
            <w:pPr>
              <w:pStyle w:val="53"/>
              <w:rPr>
                <w:b w:val="0"/>
                <w:bCs w:val="0"/>
                <w:highlight w:val="none"/>
              </w:rPr>
            </w:pPr>
            <w:r>
              <w:rPr>
                <w:rFonts w:hint="eastAsia"/>
                <w:b w:val="0"/>
                <w:bCs w:val="0"/>
                <w:highlight w:val="none"/>
              </w:rPr>
              <w:t>未经许可开动、关停、移动机器</w:t>
            </w:r>
          </w:p>
        </w:tc>
        <w:tc>
          <w:tcPr>
            <w:tcW w:w="640" w:type="pct"/>
            <w:tcBorders>
              <w:tl2br w:val="nil"/>
              <w:tr2bl w:val="nil"/>
            </w:tcBorders>
            <w:vAlign w:val="center"/>
          </w:tcPr>
          <w:p w14:paraId="4A416E15">
            <w:pPr>
              <w:pStyle w:val="53"/>
              <w:rPr>
                <w:b w:val="0"/>
                <w:bCs w:val="0"/>
                <w:highlight w:val="none"/>
              </w:rPr>
            </w:pPr>
            <w:r>
              <w:rPr>
                <w:rFonts w:hint="eastAsia"/>
                <w:b w:val="0"/>
                <w:bCs w:val="0"/>
                <w:highlight w:val="none"/>
              </w:rPr>
              <w:t>机械伤害</w:t>
            </w:r>
          </w:p>
        </w:tc>
      </w:tr>
      <w:tr w14:paraId="7D2CEB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6AA9E43">
            <w:pPr>
              <w:pStyle w:val="53"/>
              <w:numPr>
                <w:ilvl w:val="0"/>
                <w:numId w:val="30"/>
              </w:numPr>
              <w:tabs>
                <w:tab w:val="clear" w:pos="0"/>
              </w:tabs>
              <w:rPr>
                <w:highlight w:val="none"/>
              </w:rPr>
            </w:pPr>
          </w:p>
        </w:tc>
        <w:tc>
          <w:tcPr>
            <w:tcW w:w="504" w:type="pct"/>
            <w:vMerge w:val="continue"/>
            <w:tcBorders>
              <w:tl2br w:val="nil"/>
              <w:tr2bl w:val="nil"/>
            </w:tcBorders>
            <w:vAlign w:val="center"/>
          </w:tcPr>
          <w:p w14:paraId="795007D2">
            <w:pPr>
              <w:pStyle w:val="53"/>
              <w:rPr>
                <w:b w:val="0"/>
                <w:bCs w:val="0"/>
                <w:highlight w:val="none"/>
              </w:rPr>
            </w:pPr>
          </w:p>
        </w:tc>
        <w:tc>
          <w:tcPr>
            <w:tcW w:w="3596" w:type="pct"/>
            <w:tcBorders>
              <w:tl2br w:val="nil"/>
              <w:tr2bl w:val="nil"/>
            </w:tcBorders>
            <w:vAlign w:val="center"/>
          </w:tcPr>
          <w:p w14:paraId="39A8B731">
            <w:pPr>
              <w:pStyle w:val="53"/>
              <w:rPr>
                <w:b w:val="0"/>
                <w:bCs w:val="0"/>
                <w:highlight w:val="none"/>
              </w:rPr>
            </w:pPr>
            <w:r>
              <w:rPr>
                <w:rFonts w:hint="eastAsia"/>
                <w:b w:val="0"/>
                <w:bCs w:val="0"/>
                <w:highlight w:val="none"/>
              </w:rPr>
              <w:t>开动、关停机器时未给信号</w:t>
            </w:r>
          </w:p>
        </w:tc>
        <w:tc>
          <w:tcPr>
            <w:tcW w:w="640" w:type="pct"/>
            <w:tcBorders>
              <w:tl2br w:val="nil"/>
              <w:tr2bl w:val="nil"/>
            </w:tcBorders>
            <w:vAlign w:val="center"/>
          </w:tcPr>
          <w:p w14:paraId="2287932D">
            <w:pPr>
              <w:pStyle w:val="53"/>
              <w:rPr>
                <w:b w:val="0"/>
                <w:bCs w:val="0"/>
                <w:highlight w:val="none"/>
              </w:rPr>
            </w:pPr>
            <w:r>
              <w:rPr>
                <w:rFonts w:hint="eastAsia"/>
                <w:b w:val="0"/>
                <w:bCs w:val="0"/>
                <w:highlight w:val="none"/>
              </w:rPr>
              <w:t>机械伤害</w:t>
            </w:r>
          </w:p>
        </w:tc>
      </w:tr>
      <w:tr w14:paraId="42ACAA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38BEED49">
            <w:pPr>
              <w:pStyle w:val="53"/>
              <w:numPr>
                <w:ilvl w:val="0"/>
                <w:numId w:val="30"/>
              </w:numPr>
              <w:tabs>
                <w:tab w:val="clear" w:pos="0"/>
              </w:tabs>
              <w:rPr>
                <w:highlight w:val="none"/>
              </w:rPr>
            </w:pPr>
          </w:p>
        </w:tc>
        <w:tc>
          <w:tcPr>
            <w:tcW w:w="504" w:type="pct"/>
            <w:vMerge w:val="continue"/>
            <w:tcBorders>
              <w:tl2br w:val="nil"/>
              <w:tr2bl w:val="nil"/>
            </w:tcBorders>
            <w:vAlign w:val="center"/>
          </w:tcPr>
          <w:p w14:paraId="77344095">
            <w:pPr>
              <w:pStyle w:val="53"/>
              <w:rPr>
                <w:b w:val="0"/>
                <w:bCs w:val="0"/>
                <w:highlight w:val="none"/>
              </w:rPr>
            </w:pPr>
          </w:p>
        </w:tc>
        <w:tc>
          <w:tcPr>
            <w:tcW w:w="3596" w:type="pct"/>
            <w:tcBorders>
              <w:tl2br w:val="nil"/>
              <w:tr2bl w:val="nil"/>
            </w:tcBorders>
            <w:vAlign w:val="center"/>
          </w:tcPr>
          <w:p w14:paraId="2629BB81">
            <w:pPr>
              <w:pStyle w:val="53"/>
              <w:rPr>
                <w:b w:val="0"/>
                <w:bCs w:val="0"/>
                <w:highlight w:val="none"/>
              </w:rPr>
            </w:pPr>
            <w:r>
              <w:rPr>
                <w:rFonts w:hint="eastAsia"/>
                <w:b w:val="0"/>
                <w:bCs w:val="0"/>
                <w:highlight w:val="none"/>
              </w:rPr>
              <w:t>操作错误（指按钮、阀门、搬手、把柄等的操作）</w:t>
            </w:r>
          </w:p>
        </w:tc>
        <w:tc>
          <w:tcPr>
            <w:tcW w:w="640" w:type="pct"/>
            <w:tcBorders>
              <w:tl2br w:val="nil"/>
              <w:tr2bl w:val="nil"/>
            </w:tcBorders>
            <w:vAlign w:val="center"/>
          </w:tcPr>
          <w:p w14:paraId="7584FE16">
            <w:pPr>
              <w:pStyle w:val="53"/>
              <w:rPr>
                <w:b w:val="0"/>
                <w:bCs w:val="0"/>
                <w:highlight w:val="none"/>
              </w:rPr>
            </w:pPr>
            <w:r>
              <w:rPr>
                <w:rFonts w:hint="eastAsia"/>
                <w:b w:val="0"/>
                <w:bCs w:val="0"/>
                <w:highlight w:val="none"/>
              </w:rPr>
              <w:t>机械伤害</w:t>
            </w:r>
          </w:p>
        </w:tc>
      </w:tr>
      <w:tr w14:paraId="4E2500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E809A33">
            <w:pPr>
              <w:pStyle w:val="53"/>
              <w:numPr>
                <w:ilvl w:val="0"/>
                <w:numId w:val="30"/>
              </w:numPr>
              <w:tabs>
                <w:tab w:val="clear" w:pos="0"/>
              </w:tabs>
              <w:rPr>
                <w:highlight w:val="none"/>
              </w:rPr>
            </w:pPr>
          </w:p>
        </w:tc>
        <w:tc>
          <w:tcPr>
            <w:tcW w:w="504" w:type="pct"/>
            <w:vMerge w:val="restart"/>
            <w:tcBorders>
              <w:tl2br w:val="nil"/>
              <w:tr2bl w:val="nil"/>
            </w:tcBorders>
            <w:vAlign w:val="center"/>
          </w:tcPr>
          <w:p w14:paraId="3C87C486">
            <w:pPr>
              <w:pStyle w:val="53"/>
              <w:rPr>
                <w:b w:val="0"/>
                <w:bCs w:val="0"/>
                <w:highlight w:val="none"/>
              </w:rPr>
            </w:pPr>
            <w:r>
              <w:rPr>
                <w:rFonts w:hint="eastAsia"/>
                <w:b w:val="0"/>
                <w:bCs w:val="0"/>
                <w:highlight w:val="none"/>
              </w:rPr>
              <w:t>作业现场环境</w:t>
            </w:r>
          </w:p>
        </w:tc>
        <w:tc>
          <w:tcPr>
            <w:tcW w:w="3596" w:type="pct"/>
            <w:tcBorders>
              <w:tl2br w:val="nil"/>
              <w:tr2bl w:val="nil"/>
            </w:tcBorders>
            <w:vAlign w:val="center"/>
          </w:tcPr>
          <w:p w14:paraId="7189A8BC">
            <w:pPr>
              <w:pStyle w:val="53"/>
              <w:rPr>
                <w:b w:val="0"/>
                <w:bCs w:val="0"/>
                <w:highlight w:val="none"/>
              </w:rPr>
            </w:pPr>
            <w:r>
              <w:rPr>
                <w:rFonts w:hint="eastAsia"/>
                <w:b w:val="0"/>
                <w:bCs w:val="0"/>
                <w:highlight w:val="none"/>
              </w:rPr>
              <w:t>起重机械运动部分与建筑物、设施、输电线的安全距离不够。</w:t>
            </w:r>
          </w:p>
        </w:tc>
        <w:tc>
          <w:tcPr>
            <w:tcW w:w="640" w:type="pct"/>
            <w:tcBorders>
              <w:tl2br w:val="nil"/>
              <w:tr2bl w:val="nil"/>
            </w:tcBorders>
            <w:vAlign w:val="center"/>
          </w:tcPr>
          <w:p w14:paraId="0133EDD3">
            <w:pPr>
              <w:pStyle w:val="53"/>
              <w:rPr>
                <w:b w:val="0"/>
                <w:bCs w:val="0"/>
                <w:highlight w:val="none"/>
              </w:rPr>
            </w:pPr>
            <w:r>
              <w:rPr>
                <w:rFonts w:hint="eastAsia"/>
                <w:b w:val="0"/>
                <w:bCs w:val="0"/>
                <w:highlight w:val="none"/>
              </w:rPr>
              <w:t>起重伤害</w:t>
            </w:r>
          </w:p>
        </w:tc>
      </w:tr>
      <w:tr w14:paraId="7FFC26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1CAB4576">
            <w:pPr>
              <w:pStyle w:val="53"/>
              <w:numPr>
                <w:ilvl w:val="0"/>
                <w:numId w:val="30"/>
              </w:numPr>
              <w:tabs>
                <w:tab w:val="clear" w:pos="0"/>
              </w:tabs>
              <w:rPr>
                <w:highlight w:val="none"/>
              </w:rPr>
            </w:pPr>
          </w:p>
        </w:tc>
        <w:tc>
          <w:tcPr>
            <w:tcW w:w="504" w:type="pct"/>
            <w:vMerge w:val="continue"/>
            <w:tcBorders>
              <w:tl2br w:val="nil"/>
              <w:tr2bl w:val="nil"/>
            </w:tcBorders>
            <w:vAlign w:val="center"/>
          </w:tcPr>
          <w:p w14:paraId="4428DD76">
            <w:pPr>
              <w:pStyle w:val="53"/>
              <w:rPr>
                <w:b w:val="0"/>
                <w:bCs w:val="0"/>
                <w:highlight w:val="none"/>
              </w:rPr>
            </w:pPr>
          </w:p>
        </w:tc>
        <w:tc>
          <w:tcPr>
            <w:tcW w:w="3596" w:type="pct"/>
            <w:tcBorders>
              <w:tl2br w:val="nil"/>
              <w:tr2bl w:val="nil"/>
            </w:tcBorders>
            <w:vAlign w:val="center"/>
          </w:tcPr>
          <w:p w14:paraId="456F968B">
            <w:pPr>
              <w:pStyle w:val="53"/>
              <w:rPr>
                <w:b w:val="0"/>
                <w:bCs w:val="0"/>
                <w:highlight w:val="none"/>
              </w:rPr>
            </w:pPr>
            <w:r>
              <w:rPr>
                <w:rFonts w:hint="eastAsia"/>
                <w:b w:val="0"/>
                <w:bCs w:val="0"/>
                <w:highlight w:val="none"/>
              </w:rPr>
              <w:t>作业前，未检查起重吊装所使用的起重机滑轮、吊索、卡环和地锚等。</w:t>
            </w:r>
          </w:p>
        </w:tc>
        <w:tc>
          <w:tcPr>
            <w:tcW w:w="640" w:type="pct"/>
            <w:tcBorders>
              <w:tl2br w:val="nil"/>
              <w:tr2bl w:val="nil"/>
            </w:tcBorders>
            <w:vAlign w:val="center"/>
          </w:tcPr>
          <w:p w14:paraId="2F009316">
            <w:pPr>
              <w:pStyle w:val="53"/>
              <w:rPr>
                <w:b w:val="0"/>
                <w:bCs w:val="0"/>
                <w:highlight w:val="none"/>
              </w:rPr>
            </w:pPr>
            <w:r>
              <w:rPr>
                <w:rFonts w:hint="eastAsia"/>
                <w:b w:val="0"/>
                <w:bCs w:val="0"/>
                <w:highlight w:val="none"/>
              </w:rPr>
              <w:t>起重伤害</w:t>
            </w:r>
          </w:p>
        </w:tc>
      </w:tr>
      <w:tr w14:paraId="39A039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23CEF894">
            <w:pPr>
              <w:pStyle w:val="53"/>
              <w:numPr>
                <w:ilvl w:val="0"/>
                <w:numId w:val="30"/>
              </w:numPr>
              <w:tabs>
                <w:tab w:val="clear" w:pos="0"/>
              </w:tabs>
              <w:rPr>
                <w:highlight w:val="none"/>
              </w:rPr>
            </w:pPr>
          </w:p>
        </w:tc>
        <w:tc>
          <w:tcPr>
            <w:tcW w:w="504" w:type="pct"/>
            <w:vMerge w:val="continue"/>
            <w:tcBorders>
              <w:tl2br w:val="nil"/>
              <w:tr2bl w:val="nil"/>
            </w:tcBorders>
            <w:vAlign w:val="center"/>
          </w:tcPr>
          <w:p w14:paraId="52D0F38D">
            <w:pPr>
              <w:pStyle w:val="53"/>
              <w:rPr>
                <w:b w:val="0"/>
                <w:bCs w:val="0"/>
                <w:highlight w:val="none"/>
              </w:rPr>
            </w:pPr>
          </w:p>
        </w:tc>
        <w:tc>
          <w:tcPr>
            <w:tcW w:w="3596" w:type="pct"/>
            <w:tcBorders>
              <w:tl2br w:val="nil"/>
              <w:tr2bl w:val="nil"/>
            </w:tcBorders>
            <w:vAlign w:val="center"/>
          </w:tcPr>
          <w:p w14:paraId="7AA41EAB">
            <w:pPr>
              <w:pStyle w:val="53"/>
              <w:rPr>
                <w:b w:val="0"/>
                <w:bCs w:val="0"/>
                <w:highlight w:val="none"/>
              </w:rPr>
            </w:pPr>
            <w:r>
              <w:rPr>
                <w:rFonts w:hint="eastAsia"/>
                <w:b w:val="0"/>
                <w:bCs w:val="0"/>
                <w:highlight w:val="none"/>
              </w:rPr>
              <w:t>吊装业作区四周未设置明显标志或警戒区；夜间施工没有足够的照明。</w:t>
            </w:r>
          </w:p>
        </w:tc>
        <w:tc>
          <w:tcPr>
            <w:tcW w:w="640" w:type="pct"/>
            <w:tcBorders>
              <w:tl2br w:val="nil"/>
              <w:tr2bl w:val="nil"/>
            </w:tcBorders>
            <w:vAlign w:val="center"/>
          </w:tcPr>
          <w:p w14:paraId="1C20EC8D">
            <w:pPr>
              <w:pStyle w:val="53"/>
              <w:rPr>
                <w:b w:val="0"/>
                <w:bCs w:val="0"/>
                <w:highlight w:val="none"/>
              </w:rPr>
            </w:pPr>
            <w:r>
              <w:rPr>
                <w:rFonts w:hint="eastAsia"/>
                <w:b w:val="0"/>
                <w:bCs w:val="0"/>
                <w:highlight w:val="none"/>
              </w:rPr>
              <w:t>起重伤害</w:t>
            </w:r>
          </w:p>
        </w:tc>
      </w:tr>
      <w:tr w14:paraId="0CDCF4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04BB2343">
            <w:pPr>
              <w:pStyle w:val="53"/>
              <w:numPr>
                <w:ilvl w:val="0"/>
                <w:numId w:val="30"/>
              </w:numPr>
              <w:tabs>
                <w:tab w:val="clear" w:pos="0"/>
              </w:tabs>
              <w:rPr>
                <w:highlight w:val="none"/>
              </w:rPr>
            </w:pPr>
          </w:p>
        </w:tc>
        <w:tc>
          <w:tcPr>
            <w:tcW w:w="504" w:type="pct"/>
            <w:vMerge w:val="continue"/>
            <w:tcBorders>
              <w:tl2br w:val="nil"/>
              <w:tr2bl w:val="nil"/>
            </w:tcBorders>
            <w:vAlign w:val="center"/>
          </w:tcPr>
          <w:p w14:paraId="77828B1B">
            <w:pPr>
              <w:pStyle w:val="53"/>
              <w:rPr>
                <w:b w:val="0"/>
                <w:bCs w:val="0"/>
                <w:highlight w:val="none"/>
              </w:rPr>
            </w:pPr>
          </w:p>
        </w:tc>
        <w:tc>
          <w:tcPr>
            <w:tcW w:w="3596" w:type="pct"/>
            <w:tcBorders>
              <w:tl2br w:val="nil"/>
              <w:tr2bl w:val="nil"/>
            </w:tcBorders>
            <w:vAlign w:val="center"/>
          </w:tcPr>
          <w:p w14:paraId="107536CF">
            <w:pPr>
              <w:pStyle w:val="53"/>
              <w:rPr>
                <w:b w:val="0"/>
                <w:bCs w:val="0"/>
                <w:highlight w:val="none"/>
              </w:rPr>
            </w:pPr>
            <w:r>
              <w:rPr>
                <w:rFonts w:hint="eastAsia"/>
                <w:b w:val="0"/>
                <w:bCs w:val="0"/>
                <w:highlight w:val="none"/>
              </w:rPr>
              <w:t>起重设备通行道路不平整、坚实</w:t>
            </w:r>
          </w:p>
        </w:tc>
        <w:tc>
          <w:tcPr>
            <w:tcW w:w="640" w:type="pct"/>
            <w:tcBorders>
              <w:tl2br w:val="nil"/>
              <w:tr2bl w:val="nil"/>
            </w:tcBorders>
            <w:vAlign w:val="center"/>
          </w:tcPr>
          <w:p w14:paraId="5FEFBCD9">
            <w:pPr>
              <w:pStyle w:val="53"/>
              <w:rPr>
                <w:b w:val="0"/>
                <w:bCs w:val="0"/>
                <w:highlight w:val="none"/>
              </w:rPr>
            </w:pPr>
            <w:r>
              <w:rPr>
                <w:rFonts w:hint="eastAsia"/>
                <w:b w:val="0"/>
                <w:bCs w:val="0"/>
                <w:highlight w:val="none"/>
              </w:rPr>
              <w:t>机械伤害</w:t>
            </w:r>
          </w:p>
        </w:tc>
      </w:tr>
      <w:tr w14:paraId="6A8F6C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20" w:hRule="atLeast"/>
          <w:jc w:val="center"/>
        </w:trPr>
        <w:tc>
          <w:tcPr>
            <w:tcW w:w="258" w:type="pct"/>
            <w:tcBorders>
              <w:tl2br w:val="nil"/>
              <w:tr2bl w:val="nil"/>
            </w:tcBorders>
            <w:vAlign w:val="center"/>
          </w:tcPr>
          <w:p w14:paraId="7FE4A944">
            <w:pPr>
              <w:pStyle w:val="53"/>
              <w:numPr>
                <w:ilvl w:val="0"/>
                <w:numId w:val="30"/>
              </w:numPr>
              <w:tabs>
                <w:tab w:val="clear" w:pos="0"/>
              </w:tabs>
              <w:rPr>
                <w:highlight w:val="none"/>
              </w:rPr>
            </w:pPr>
          </w:p>
        </w:tc>
        <w:tc>
          <w:tcPr>
            <w:tcW w:w="504" w:type="pct"/>
            <w:vMerge w:val="restart"/>
            <w:tcBorders>
              <w:tl2br w:val="nil"/>
              <w:tr2bl w:val="nil"/>
            </w:tcBorders>
            <w:vAlign w:val="center"/>
          </w:tcPr>
          <w:p w14:paraId="75ACF2CC">
            <w:pPr>
              <w:pStyle w:val="53"/>
              <w:rPr>
                <w:b w:val="0"/>
                <w:bCs w:val="0"/>
                <w:highlight w:val="none"/>
              </w:rPr>
            </w:pPr>
            <w:r>
              <w:rPr>
                <w:rFonts w:hint="eastAsia"/>
                <w:b w:val="0"/>
                <w:bCs w:val="0"/>
                <w:highlight w:val="none"/>
              </w:rPr>
              <w:t>起重</w:t>
            </w:r>
          </w:p>
          <w:p w14:paraId="32928A0C">
            <w:pPr>
              <w:pStyle w:val="53"/>
              <w:rPr>
                <w:b w:val="0"/>
                <w:bCs w:val="0"/>
                <w:highlight w:val="none"/>
              </w:rPr>
            </w:pPr>
            <w:r>
              <w:rPr>
                <w:rFonts w:hint="eastAsia"/>
                <w:b w:val="0"/>
                <w:bCs w:val="0"/>
                <w:highlight w:val="none"/>
              </w:rPr>
              <w:t>作业</w:t>
            </w:r>
          </w:p>
        </w:tc>
        <w:tc>
          <w:tcPr>
            <w:tcW w:w="3596" w:type="pct"/>
            <w:tcBorders>
              <w:tl2br w:val="nil"/>
              <w:tr2bl w:val="nil"/>
            </w:tcBorders>
            <w:vAlign w:val="center"/>
          </w:tcPr>
          <w:p w14:paraId="279DD113">
            <w:pPr>
              <w:pStyle w:val="53"/>
              <w:rPr>
                <w:b w:val="0"/>
                <w:bCs w:val="0"/>
                <w:highlight w:val="none"/>
              </w:rPr>
            </w:pPr>
            <w:r>
              <w:rPr>
                <w:rFonts w:hint="eastAsia"/>
                <w:b w:val="0"/>
                <w:bCs w:val="0"/>
                <w:highlight w:val="none"/>
              </w:rPr>
              <w:t>吊装长大物件时，没有于物件两端绑扎溜绳，并且由操作人员控制物件的平衡和稳定</w:t>
            </w:r>
          </w:p>
        </w:tc>
        <w:tc>
          <w:tcPr>
            <w:tcW w:w="640" w:type="pct"/>
            <w:tcBorders>
              <w:tl2br w:val="nil"/>
              <w:tr2bl w:val="nil"/>
            </w:tcBorders>
            <w:vAlign w:val="center"/>
          </w:tcPr>
          <w:p w14:paraId="18B3F3FB">
            <w:pPr>
              <w:pStyle w:val="53"/>
              <w:rPr>
                <w:b w:val="0"/>
                <w:bCs w:val="0"/>
                <w:highlight w:val="none"/>
              </w:rPr>
            </w:pPr>
            <w:r>
              <w:rPr>
                <w:rFonts w:hint="eastAsia"/>
                <w:b w:val="0"/>
                <w:bCs w:val="0"/>
                <w:highlight w:val="none"/>
              </w:rPr>
              <w:t>起重伤害</w:t>
            </w:r>
          </w:p>
        </w:tc>
      </w:tr>
      <w:tr w14:paraId="7EDF51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016EF643">
            <w:pPr>
              <w:pStyle w:val="53"/>
              <w:numPr>
                <w:ilvl w:val="0"/>
                <w:numId w:val="30"/>
              </w:numPr>
              <w:tabs>
                <w:tab w:val="clear" w:pos="0"/>
              </w:tabs>
              <w:rPr>
                <w:highlight w:val="none"/>
              </w:rPr>
            </w:pPr>
          </w:p>
        </w:tc>
        <w:tc>
          <w:tcPr>
            <w:tcW w:w="504" w:type="pct"/>
            <w:vMerge w:val="continue"/>
            <w:tcBorders>
              <w:tl2br w:val="nil"/>
              <w:tr2bl w:val="nil"/>
            </w:tcBorders>
            <w:vAlign w:val="center"/>
          </w:tcPr>
          <w:p w14:paraId="5F830E38">
            <w:pPr>
              <w:pStyle w:val="53"/>
              <w:rPr>
                <w:b w:val="0"/>
                <w:bCs w:val="0"/>
                <w:highlight w:val="none"/>
              </w:rPr>
            </w:pPr>
          </w:p>
        </w:tc>
        <w:tc>
          <w:tcPr>
            <w:tcW w:w="3596" w:type="pct"/>
            <w:tcBorders>
              <w:tl2br w:val="nil"/>
              <w:tr2bl w:val="nil"/>
            </w:tcBorders>
            <w:vAlign w:val="center"/>
          </w:tcPr>
          <w:p w14:paraId="312732F2">
            <w:pPr>
              <w:pStyle w:val="53"/>
              <w:rPr>
                <w:b w:val="0"/>
                <w:bCs w:val="0"/>
                <w:highlight w:val="none"/>
              </w:rPr>
            </w:pPr>
            <w:r>
              <w:rPr>
                <w:rFonts w:hint="eastAsia"/>
                <w:b w:val="0"/>
                <w:bCs w:val="0"/>
                <w:highlight w:val="none"/>
              </w:rPr>
              <w:t>构件吊装和翻身扶直时的吊点不符合设计规定，构件起吊不平稳。</w:t>
            </w:r>
          </w:p>
        </w:tc>
        <w:tc>
          <w:tcPr>
            <w:tcW w:w="640" w:type="pct"/>
            <w:tcBorders>
              <w:tl2br w:val="nil"/>
              <w:tr2bl w:val="nil"/>
            </w:tcBorders>
            <w:vAlign w:val="center"/>
          </w:tcPr>
          <w:p w14:paraId="3555C4A2">
            <w:pPr>
              <w:pStyle w:val="53"/>
              <w:rPr>
                <w:b w:val="0"/>
                <w:bCs w:val="0"/>
                <w:highlight w:val="none"/>
              </w:rPr>
            </w:pPr>
            <w:r>
              <w:rPr>
                <w:rFonts w:hint="eastAsia"/>
                <w:b w:val="0"/>
                <w:bCs w:val="0"/>
                <w:highlight w:val="none"/>
              </w:rPr>
              <w:t>起重伤害</w:t>
            </w:r>
          </w:p>
        </w:tc>
      </w:tr>
      <w:tr w14:paraId="506228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68DAF91F">
            <w:pPr>
              <w:pStyle w:val="53"/>
              <w:numPr>
                <w:ilvl w:val="0"/>
                <w:numId w:val="30"/>
              </w:numPr>
              <w:tabs>
                <w:tab w:val="clear" w:pos="0"/>
              </w:tabs>
              <w:rPr>
                <w:highlight w:val="none"/>
              </w:rPr>
            </w:pPr>
          </w:p>
        </w:tc>
        <w:tc>
          <w:tcPr>
            <w:tcW w:w="504" w:type="pct"/>
            <w:vMerge w:val="continue"/>
            <w:tcBorders>
              <w:tl2br w:val="nil"/>
              <w:tr2bl w:val="nil"/>
            </w:tcBorders>
            <w:vAlign w:val="center"/>
          </w:tcPr>
          <w:p w14:paraId="5AD1A2EC">
            <w:pPr>
              <w:pStyle w:val="53"/>
              <w:rPr>
                <w:b w:val="0"/>
                <w:bCs w:val="0"/>
                <w:highlight w:val="none"/>
              </w:rPr>
            </w:pPr>
          </w:p>
        </w:tc>
        <w:tc>
          <w:tcPr>
            <w:tcW w:w="3596" w:type="pct"/>
            <w:tcBorders>
              <w:tl2br w:val="nil"/>
              <w:tr2bl w:val="nil"/>
            </w:tcBorders>
            <w:vAlign w:val="center"/>
          </w:tcPr>
          <w:p w14:paraId="2B858868">
            <w:pPr>
              <w:pStyle w:val="53"/>
              <w:rPr>
                <w:b w:val="0"/>
                <w:bCs w:val="0"/>
                <w:highlight w:val="none"/>
              </w:rPr>
            </w:pPr>
            <w:r>
              <w:rPr>
                <w:rFonts w:hint="eastAsia"/>
                <w:b w:val="0"/>
                <w:bCs w:val="0"/>
                <w:highlight w:val="none"/>
              </w:rPr>
              <w:t>吊装大、重构件和采用新的吊装工艺时，未进行试吊。</w:t>
            </w:r>
          </w:p>
        </w:tc>
        <w:tc>
          <w:tcPr>
            <w:tcW w:w="640" w:type="pct"/>
            <w:tcBorders>
              <w:tl2br w:val="nil"/>
              <w:tr2bl w:val="nil"/>
            </w:tcBorders>
            <w:vAlign w:val="center"/>
          </w:tcPr>
          <w:p w14:paraId="35EA9D52">
            <w:pPr>
              <w:pStyle w:val="53"/>
              <w:rPr>
                <w:b w:val="0"/>
                <w:bCs w:val="0"/>
                <w:highlight w:val="none"/>
              </w:rPr>
            </w:pPr>
            <w:r>
              <w:rPr>
                <w:rFonts w:hint="eastAsia"/>
                <w:b w:val="0"/>
                <w:bCs w:val="0"/>
                <w:highlight w:val="none"/>
              </w:rPr>
              <w:t>起重伤害</w:t>
            </w:r>
          </w:p>
        </w:tc>
      </w:tr>
      <w:tr w14:paraId="712092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32ECBCAC">
            <w:pPr>
              <w:pStyle w:val="53"/>
              <w:numPr>
                <w:ilvl w:val="0"/>
                <w:numId w:val="30"/>
              </w:numPr>
              <w:tabs>
                <w:tab w:val="clear" w:pos="0"/>
              </w:tabs>
              <w:rPr>
                <w:highlight w:val="none"/>
              </w:rPr>
            </w:pPr>
          </w:p>
        </w:tc>
        <w:tc>
          <w:tcPr>
            <w:tcW w:w="504" w:type="pct"/>
            <w:vMerge w:val="continue"/>
            <w:tcBorders>
              <w:tl2br w:val="nil"/>
              <w:tr2bl w:val="nil"/>
            </w:tcBorders>
            <w:vAlign w:val="center"/>
          </w:tcPr>
          <w:p w14:paraId="3AA3E611">
            <w:pPr>
              <w:pStyle w:val="53"/>
              <w:rPr>
                <w:b w:val="0"/>
                <w:bCs w:val="0"/>
                <w:highlight w:val="none"/>
              </w:rPr>
            </w:pPr>
          </w:p>
        </w:tc>
        <w:tc>
          <w:tcPr>
            <w:tcW w:w="3596" w:type="pct"/>
            <w:tcBorders>
              <w:tl2br w:val="nil"/>
              <w:tr2bl w:val="nil"/>
            </w:tcBorders>
            <w:vAlign w:val="center"/>
          </w:tcPr>
          <w:p w14:paraId="06B1DFDC">
            <w:pPr>
              <w:pStyle w:val="53"/>
              <w:rPr>
                <w:b w:val="0"/>
                <w:bCs w:val="0"/>
                <w:highlight w:val="none"/>
              </w:rPr>
            </w:pPr>
            <w:r>
              <w:rPr>
                <w:rFonts w:hint="eastAsia"/>
                <w:b w:val="0"/>
                <w:bCs w:val="0"/>
                <w:highlight w:val="none"/>
              </w:rPr>
              <w:t>大雨、雾、大雪及六级以上大风等恶劣天气进行吊装作业。</w:t>
            </w:r>
          </w:p>
        </w:tc>
        <w:tc>
          <w:tcPr>
            <w:tcW w:w="640" w:type="pct"/>
            <w:tcBorders>
              <w:tl2br w:val="nil"/>
              <w:tr2bl w:val="nil"/>
            </w:tcBorders>
            <w:vAlign w:val="center"/>
          </w:tcPr>
          <w:p w14:paraId="1CB1D987">
            <w:pPr>
              <w:pStyle w:val="53"/>
              <w:rPr>
                <w:b w:val="0"/>
                <w:bCs w:val="0"/>
                <w:highlight w:val="none"/>
              </w:rPr>
            </w:pPr>
            <w:r>
              <w:rPr>
                <w:rFonts w:hint="eastAsia"/>
                <w:b w:val="0"/>
                <w:bCs w:val="0"/>
                <w:highlight w:val="none"/>
              </w:rPr>
              <w:t>起重伤害</w:t>
            </w:r>
          </w:p>
        </w:tc>
      </w:tr>
      <w:tr w14:paraId="5A0608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635E58D3">
            <w:pPr>
              <w:pStyle w:val="53"/>
              <w:numPr>
                <w:ilvl w:val="0"/>
                <w:numId w:val="30"/>
              </w:numPr>
              <w:tabs>
                <w:tab w:val="clear" w:pos="0"/>
              </w:tabs>
              <w:rPr>
                <w:highlight w:val="none"/>
              </w:rPr>
            </w:pPr>
          </w:p>
        </w:tc>
        <w:tc>
          <w:tcPr>
            <w:tcW w:w="504" w:type="pct"/>
            <w:vMerge w:val="continue"/>
            <w:tcBorders>
              <w:tl2br w:val="nil"/>
              <w:tr2bl w:val="nil"/>
            </w:tcBorders>
            <w:vAlign w:val="center"/>
          </w:tcPr>
          <w:p w14:paraId="53782DD4">
            <w:pPr>
              <w:pStyle w:val="53"/>
              <w:rPr>
                <w:b w:val="0"/>
                <w:bCs w:val="0"/>
                <w:highlight w:val="none"/>
              </w:rPr>
            </w:pPr>
          </w:p>
        </w:tc>
        <w:tc>
          <w:tcPr>
            <w:tcW w:w="3596" w:type="pct"/>
            <w:tcBorders>
              <w:tl2br w:val="nil"/>
              <w:tr2bl w:val="nil"/>
            </w:tcBorders>
            <w:vAlign w:val="center"/>
          </w:tcPr>
          <w:p w14:paraId="3C214364">
            <w:pPr>
              <w:pStyle w:val="53"/>
              <w:rPr>
                <w:b w:val="0"/>
                <w:bCs w:val="0"/>
                <w:highlight w:val="none"/>
              </w:rPr>
            </w:pPr>
            <w:r>
              <w:rPr>
                <w:rFonts w:hint="eastAsia"/>
                <w:b w:val="0"/>
                <w:bCs w:val="0"/>
                <w:highlight w:val="none"/>
              </w:rPr>
              <w:t>采用了斜拉、斜吊，或者起吊埋于地下或粘结在地面上的构件。</w:t>
            </w:r>
          </w:p>
        </w:tc>
        <w:tc>
          <w:tcPr>
            <w:tcW w:w="640" w:type="pct"/>
            <w:tcBorders>
              <w:tl2br w:val="nil"/>
              <w:tr2bl w:val="nil"/>
            </w:tcBorders>
            <w:vAlign w:val="center"/>
          </w:tcPr>
          <w:p w14:paraId="590FF108">
            <w:pPr>
              <w:pStyle w:val="53"/>
              <w:rPr>
                <w:b w:val="0"/>
                <w:bCs w:val="0"/>
                <w:highlight w:val="none"/>
              </w:rPr>
            </w:pPr>
            <w:r>
              <w:rPr>
                <w:rFonts w:hint="eastAsia"/>
                <w:b w:val="0"/>
                <w:bCs w:val="0"/>
                <w:highlight w:val="none"/>
              </w:rPr>
              <w:t>起重伤害</w:t>
            </w:r>
          </w:p>
        </w:tc>
      </w:tr>
      <w:tr w14:paraId="7B6E60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5F3BECDD">
            <w:pPr>
              <w:pStyle w:val="53"/>
              <w:numPr>
                <w:ilvl w:val="0"/>
                <w:numId w:val="30"/>
              </w:numPr>
              <w:tabs>
                <w:tab w:val="clear" w:pos="0"/>
              </w:tabs>
              <w:rPr>
                <w:highlight w:val="none"/>
              </w:rPr>
            </w:pPr>
          </w:p>
        </w:tc>
        <w:tc>
          <w:tcPr>
            <w:tcW w:w="504" w:type="pct"/>
            <w:vMerge w:val="continue"/>
            <w:tcBorders>
              <w:tl2br w:val="nil"/>
              <w:tr2bl w:val="nil"/>
            </w:tcBorders>
            <w:vAlign w:val="center"/>
          </w:tcPr>
          <w:p w14:paraId="496E0A7D">
            <w:pPr>
              <w:pStyle w:val="53"/>
              <w:rPr>
                <w:b w:val="0"/>
                <w:bCs w:val="0"/>
                <w:highlight w:val="none"/>
              </w:rPr>
            </w:pPr>
          </w:p>
        </w:tc>
        <w:tc>
          <w:tcPr>
            <w:tcW w:w="3596" w:type="pct"/>
            <w:tcBorders>
              <w:tl2br w:val="nil"/>
              <w:tr2bl w:val="nil"/>
            </w:tcBorders>
            <w:vAlign w:val="center"/>
          </w:tcPr>
          <w:p w14:paraId="33350703">
            <w:pPr>
              <w:pStyle w:val="53"/>
              <w:rPr>
                <w:b w:val="0"/>
                <w:bCs w:val="0"/>
                <w:highlight w:val="none"/>
              </w:rPr>
            </w:pPr>
            <w:r>
              <w:rPr>
                <w:rFonts w:hint="eastAsia"/>
                <w:b w:val="0"/>
                <w:bCs w:val="0"/>
                <w:highlight w:val="none"/>
              </w:rPr>
              <w:t>超载吊装和起吊重量不明的重大构件和设备</w:t>
            </w:r>
          </w:p>
        </w:tc>
        <w:tc>
          <w:tcPr>
            <w:tcW w:w="640" w:type="pct"/>
            <w:tcBorders>
              <w:tl2br w:val="nil"/>
              <w:tr2bl w:val="nil"/>
            </w:tcBorders>
            <w:vAlign w:val="center"/>
          </w:tcPr>
          <w:p w14:paraId="3E14DE67">
            <w:pPr>
              <w:pStyle w:val="53"/>
              <w:rPr>
                <w:b w:val="0"/>
                <w:bCs w:val="0"/>
                <w:highlight w:val="none"/>
              </w:rPr>
            </w:pPr>
            <w:r>
              <w:rPr>
                <w:rFonts w:hint="eastAsia"/>
                <w:b w:val="0"/>
                <w:bCs w:val="0"/>
                <w:highlight w:val="none"/>
              </w:rPr>
              <w:t>起重伤害</w:t>
            </w:r>
          </w:p>
        </w:tc>
      </w:tr>
      <w:tr w14:paraId="5657D7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3B335BA2">
            <w:pPr>
              <w:pStyle w:val="53"/>
              <w:numPr>
                <w:ilvl w:val="0"/>
                <w:numId w:val="30"/>
              </w:numPr>
              <w:tabs>
                <w:tab w:val="clear" w:pos="0"/>
              </w:tabs>
              <w:rPr>
                <w:highlight w:val="none"/>
              </w:rPr>
            </w:pPr>
          </w:p>
        </w:tc>
        <w:tc>
          <w:tcPr>
            <w:tcW w:w="504" w:type="pct"/>
            <w:vMerge w:val="continue"/>
            <w:tcBorders>
              <w:tl2br w:val="nil"/>
              <w:tr2bl w:val="nil"/>
            </w:tcBorders>
            <w:vAlign w:val="center"/>
          </w:tcPr>
          <w:p w14:paraId="771814E9">
            <w:pPr>
              <w:pStyle w:val="53"/>
              <w:rPr>
                <w:b w:val="0"/>
                <w:bCs w:val="0"/>
                <w:highlight w:val="none"/>
              </w:rPr>
            </w:pPr>
          </w:p>
        </w:tc>
        <w:tc>
          <w:tcPr>
            <w:tcW w:w="3596" w:type="pct"/>
            <w:tcBorders>
              <w:tl2br w:val="nil"/>
              <w:tr2bl w:val="nil"/>
            </w:tcBorders>
            <w:vAlign w:val="center"/>
          </w:tcPr>
          <w:p w14:paraId="5188FE8A">
            <w:pPr>
              <w:pStyle w:val="53"/>
              <w:rPr>
                <w:b w:val="0"/>
                <w:bCs w:val="0"/>
                <w:highlight w:val="none"/>
              </w:rPr>
            </w:pPr>
            <w:r>
              <w:rPr>
                <w:rFonts w:hint="eastAsia"/>
                <w:b w:val="0"/>
                <w:bCs w:val="0"/>
                <w:highlight w:val="none"/>
              </w:rPr>
              <w:t>在吊起的构件上行走或站立，或者用起重机载运人员、在构件上堆放或悬挂零星物件。</w:t>
            </w:r>
          </w:p>
        </w:tc>
        <w:tc>
          <w:tcPr>
            <w:tcW w:w="640" w:type="pct"/>
            <w:tcBorders>
              <w:tl2br w:val="nil"/>
              <w:tr2bl w:val="nil"/>
            </w:tcBorders>
            <w:vAlign w:val="center"/>
          </w:tcPr>
          <w:p w14:paraId="62268644">
            <w:pPr>
              <w:pStyle w:val="53"/>
              <w:rPr>
                <w:b w:val="0"/>
                <w:bCs w:val="0"/>
                <w:highlight w:val="none"/>
              </w:rPr>
            </w:pPr>
            <w:r>
              <w:rPr>
                <w:rFonts w:hint="eastAsia"/>
                <w:b w:val="0"/>
                <w:bCs w:val="0"/>
                <w:highlight w:val="none"/>
              </w:rPr>
              <w:t>起重伤害</w:t>
            </w:r>
          </w:p>
        </w:tc>
      </w:tr>
      <w:tr w14:paraId="63A76F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38FC3646">
            <w:pPr>
              <w:pStyle w:val="53"/>
              <w:numPr>
                <w:ilvl w:val="0"/>
                <w:numId w:val="30"/>
              </w:numPr>
              <w:tabs>
                <w:tab w:val="clear" w:pos="0"/>
              </w:tabs>
              <w:rPr>
                <w:highlight w:val="none"/>
              </w:rPr>
            </w:pPr>
          </w:p>
        </w:tc>
        <w:tc>
          <w:tcPr>
            <w:tcW w:w="504" w:type="pct"/>
            <w:vMerge w:val="restart"/>
            <w:tcBorders>
              <w:tl2br w:val="nil"/>
              <w:tr2bl w:val="nil"/>
            </w:tcBorders>
            <w:vAlign w:val="center"/>
          </w:tcPr>
          <w:p w14:paraId="04A5E16A">
            <w:pPr>
              <w:pStyle w:val="53"/>
              <w:rPr>
                <w:b w:val="0"/>
                <w:bCs w:val="0"/>
                <w:highlight w:val="none"/>
              </w:rPr>
            </w:pPr>
            <w:r>
              <w:rPr>
                <w:rFonts w:hint="eastAsia"/>
                <w:b w:val="0"/>
                <w:bCs w:val="0"/>
                <w:highlight w:val="none"/>
              </w:rPr>
              <w:t>作业前安全条件确认</w:t>
            </w:r>
          </w:p>
        </w:tc>
        <w:tc>
          <w:tcPr>
            <w:tcW w:w="3596" w:type="pct"/>
            <w:tcBorders>
              <w:tl2br w:val="nil"/>
              <w:tr2bl w:val="nil"/>
            </w:tcBorders>
            <w:vAlign w:val="center"/>
          </w:tcPr>
          <w:p w14:paraId="68D9A535">
            <w:pPr>
              <w:pStyle w:val="53"/>
              <w:rPr>
                <w:b w:val="0"/>
                <w:bCs w:val="0"/>
                <w:highlight w:val="none"/>
              </w:rPr>
            </w:pPr>
            <w:r>
              <w:rPr>
                <w:rFonts w:hint="eastAsia"/>
                <w:b w:val="0"/>
                <w:bCs w:val="0"/>
                <w:highlight w:val="none"/>
              </w:rPr>
              <w:t>高处作业前，没有对安全防护设施进行检查、验收</w:t>
            </w:r>
          </w:p>
        </w:tc>
        <w:tc>
          <w:tcPr>
            <w:tcW w:w="640" w:type="pct"/>
            <w:tcBorders>
              <w:tl2br w:val="nil"/>
              <w:tr2bl w:val="nil"/>
            </w:tcBorders>
            <w:vAlign w:val="center"/>
          </w:tcPr>
          <w:p w14:paraId="33E3687B">
            <w:pPr>
              <w:pStyle w:val="53"/>
              <w:rPr>
                <w:b w:val="0"/>
                <w:bCs w:val="0"/>
                <w:highlight w:val="none"/>
              </w:rPr>
            </w:pPr>
            <w:r>
              <w:rPr>
                <w:rFonts w:hint="eastAsia"/>
                <w:b w:val="0"/>
                <w:bCs w:val="0"/>
                <w:highlight w:val="none"/>
              </w:rPr>
              <w:t>高处坠落</w:t>
            </w:r>
          </w:p>
        </w:tc>
      </w:tr>
      <w:tr w14:paraId="4A1BFD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63F9F10E">
            <w:pPr>
              <w:pStyle w:val="53"/>
              <w:numPr>
                <w:ilvl w:val="0"/>
                <w:numId w:val="30"/>
              </w:numPr>
              <w:tabs>
                <w:tab w:val="clear" w:pos="0"/>
              </w:tabs>
              <w:rPr>
                <w:highlight w:val="none"/>
              </w:rPr>
            </w:pPr>
          </w:p>
        </w:tc>
        <w:tc>
          <w:tcPr>
            <w:tcW w:w="504" w:type="pct"/>
            <w:vMerge w:val="continue"/>
            <w:tcBorders>
              <w:tl2br w:val="nil"/>
              <w:tr2bl w:val="nil"/>
            </w:tcBorders>
            <w:vAlign w:val="center"/>
          </w:tcPr>
          <w:p w14:paraId="3203806D">
            <w:pPr>
              <w:pStyle w:val="53"/>
              <w:rPr>
                <w:b w:val="0"/>
                <w:bCs w:val="0"/>
                <w:highlight w:val="none"/>
              </w:rPr>
            </w:pPr>
          </w:p>
        </w:tc>
        <w:tc>
          <w:tcPr>
            <w:tcW w:w="3596" w:type="pct"/>
            <w:tcBorders>
              <w:tl2br w:val="nil"/>
              <w:tr2bl w:val="nil"/>
            </w:tcBorders>
            <w:vAlign w:val="center"/>
          </w:tcPr>
          <w:p w14:paraId="043AD0DE">
            <w:pPr>
              <w:pStyle w:val="53"/>
              <w:rPr>
                <w:b w:val="0"/>
                <w:bCs w:val="0"/>
                <w:highlight w:val="none"/>
              </w:rPr>
            </w:pPr>
            <w:r>
              <w:rPr>
                <w:rFonts w:hint="eastAsia"/>
                <w:b w:val="0"/>
                <w:bCs w:val="0"/>
                <w:highlight w:val="none"/>
              </w:rPr>
              <w:t>高处作业施工没有对作业人员进行安全教育和交底</w:t>
            </w:r>
          </w:p>
        </w:tc>
        <w:tc>
          <w:tcPr>
            <w:tcW w:w="640" w:type="pct"/>
            <w:tcBorders>
              <w:tl2br w:val="nil"/>
              <w:tr2bl w:val="nil"/>
            </w:tcBorders>
            <w:vAlign w:val="center"/>
          </w:tcPr>
          <w:p w14:paraId="76335C54">
            <w:pPr>
              <w:pStyle w:val="53"/>
              <w:rPr>
                <w:b w:val="0"/>
                <w:bCs w:val="0"/>
                <w:highlight w:val="none"/>
              </w:rPr>
            </w:pPr>
            <w:r>
              <w:rPr>
                <w:rFonts w:hint="eastAsia"/>
                <w:b w:val="0"/>
                <w:bCs w:val="0"/>
                <w:highlight w:val="none"/>
              </w:rPr>
              <w:t>高处坠落</w:t>
            </w:r>
          </w:p>
        </w:tc>
      </w:tr>
      <w:tr w14:paraId="04ACA2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41D062F9">
            <w:pPr>
              <w:pStyle w:val="53"/>
              <w:numPr>
                <w:ilvl w:val="0"/>
                <w:numId w:val="30"/>
              </w:numPr>
              <w:tabs>
                <w:tab w:val="clear" w:pos="0"/>
              </w:tabs>
              <w:rPr>
                <w:highlight w:val="none"/>
              </w:rPr>
            </w:pPr>
          </w:p>
        </w:tc>
        <w:tc>
          <w:tcPr>
            <w:tcW w:w="504" w:type="pct"/>
            <w:vMerge w:val="restart"/>
            <w:tcBorders>
              <w:tl2br w:val="nil"/>
              <w:tr2bl w:val="nil"/>
            </w:tcBorders>
            <w:vAlign w:val="center"/>
          </w:tcPr>
          <w:p w14:paraId="0D3A96CA">
            <w:pPr>
              <w:pStyle w:val="53"/>
              <w:rPr>
                <w:b w:val="0"/>
                <w:bCs w:val="0"/>
                <w:highlight w:val="none"/>
              </w:rPr>
            </w:pPr>
            <w:r>
              <w:rPr>
                <w:rFonts w:hint="eastAsia"/>
                <w:b w:val="0"/>
                <w:bCs w:val="0"/>
                <w:highlight w:val="none"/>
              </w:rPr>
              <w:t>攀登作业</w:t>
            </w:r>
          </w:p>
        </w:tc>
        <w:tc>
          <w:tcPr>
            <w:tcW w:w="3596" w:type="pct"/>
            <w:tcBorders>
              <w:tl2br w:val="nil"/>
              <w:tr2bl w:val="nil"/>
            </w:tcBorders>
            <w:vAlign w:val="center"/>
          </w:tcPr>
          <w:p w14:paraId="00BE46C8">
            <w:pPr>
              <w:pStyle w:val="53"/>
              <w:rPr>
                <w:b w:val="0"/>
                <w:bCs w:val="0"/>
                <w:highlight w:val="none"/>
              </w:rPr>
            </w:pPr>
            <w:r>
              <w:rPr>
                <w:rFonts w:hint="eastAsia"/>
                <w:b w:val="0"/>
                <w:bCs w:val="0"/>
                <w:highlight w:val="none"/>
              </w:rPr>
              <w:t>人员登高无施工通道、梯子及其它攀登设施和用具</w:t>
            </w:r>
          </w:p>
        </w:tc>
        <w:tc>
          <w:tcPr>
            <w:tcW w:w="640" w:type="pct"/>
            <w:tcBorders>
              <w:tl2br w:val="nil"/>
              <w:tr2bl w:val="nil"/>
            </w:tcBorders>
            <w:vAlign w:val="center"/>
          </w:tcPr>
          <w:p w14:paraId="0D8EDF49">
            <w:pPr>
              <w:pStyle w:val="53"/>
              <w:rPr>
                <w:b w:val="0"/>
                <w:bCs w:val="0"/>
                <w:highlight w:val="none"/>
              </w:rPr>
            </w:pPr>
            <w:r>
              <w:rPr>
                <w:rFonts w:hint="eastAsia"/>
                <w:b w:val="0"/>
                <w:bCs w:val="0"/>
                <w:highlight w:val="none"/>
              </w:rPr>
              <w:t>高处坠落</w:t>
            </w:r>
          </w:p>
        </w:tc>
      </w:tr>
      <w:tr w14:paraId="5B8955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47D4EA8">
            <w:pPr>
              <w:pStyle w:val="53"/>
              <w:numPr>
                <w:ilvl w:val="0"/>
                <w:numId w:val="30"/>
              </w:numPr>
              <w:tabs>
                <w:tab w:val="clear" w:pos="0"/>
              </w:tabs>
              <w:rPr>
                <w:highlight w:val="none"/>
              </w:rPr>
            </w:pPr>
          </w:p>
        </w:tc>
        <w:tc>
          <w:tcPr>
            <w:tcW w:w="504" w:type="pct"/>
            <w:vMerge w:val="continue"/>
            <w:tcBorders>
              <w:tl2br w:val="nil"/>
              <w:tr2bl w:val="nil"/>
            </w:tcBorders>
            <w:vAlign w:val="center"/>
          </w:tcPr>
          <w:p w14:paraId="67B3934A">
            <w:pPr>
              <w:pStyle w:val="53"/>
              <w:rPr>
                <w:b w:val="0"/>
                <w:bCs w:val="0"/>
                <w:highlight w:val="none"/>
              </w:rPr>
            </w:pPr>
          </w:p>
        </w:tc>
        <w:tc>
          <w:tcPr>
            <w:tcW w:w="3596" w:type="pct"/>
            <w:tcBorders>
              <w:tl2br w:val="nil"/>
              <w:tr2bl w:val="nil"/>
            </w:tcBorders>
            <w:vAlign w:val="center"/>
          </w:tcPr>
          <w:p w14:paraId="6108D492">
            <w:pPr>
              <w:pStyle w:val="53"/>
              <w:rPr>
                <w:b w:val="0"/>
                <w:bCs w:val="0"/>
                <w:highlight w:val="none"/>
              </w:rPr>
            </w:pPr>
            <w:r>
              <w:rPr>
                <w:rFonts w:hint="eastAsia"/>
                <w:b w:val="0"/>
                <w:bCs w:val="0"/>
                <w:highlight w:val="none"/>
              </w:rPr>
              <w:t>高处作业人员正确佩戴安全带，未高挂低用</w:t>
            </w:r>
          </w:p>
        </w:tc>
        <w:tc>
          <w:tcPr>
            <w:tcW w:w="640" w:type="pct"/>
            <w:tcBorders>
              <w:tl2br w:val="nil"/>
              <w:tr2bl w:val="nil"/>
            </w:tcBorders>
            <w:vAlign w:val="center"/>
          </w:tcPr>
          <w:p w14:paraId="4CC9AC0E">
            <w:pPr>
              <w:pStyle w:val="53"/>
              <w:rPr>
                <w:b w:val="0"/>
                <w:bCs w:val="0"/>
                <w:highlight w:val="none"/>
              </w:rPr>
            </w:pPr>
            <w:r>
              <w:rPr>
                <w:rFonts w:hint="eastAsia"/>
                <w:b w:val="0"/>
                <w:bCs w:val="0"/>
                <w:highlight w:val="none"/>
              </w:rPr>
              <w:t>高处坠落</w:t>
            </w:r>
          </w:p>
        </w:tc>
      </w:tr>
      <w:tr w14:paraId="129487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1BFAC089">
            <w:pPr>
              <w:pStyle w:val="53"/>
              <w:numPr>
                <w:ilvl w:val="0"/>
                <w:numId w:val="30"/>
              </w:numPr>
              <w:tabs>
                <w:tab w:val="clear" w:pos="0"/>
              </w:tabs>
              <w:rPr>
                <w:highlight w:val="none"/>
              </w:rPr>
            </w:pPr>
          </w:p>
        </w:tc>
        <w:tc>
          <w:tcPr>
            <w:tcW w:w="504" w:type="pct"/>
            <w:vMerge w:val="continue"/>
            <w:tcBorders>
              <w:tl2br w:val="nil"/>
              <w:tr2bl w:val="nil"/>
            </w:tcBorders>
            <w:vAlign w:val="center"/>
          </w:tcPr>
          <w:p w14:paraId="09758E00">
            <w:pPr>
              <w:pStyle w:val="53"/>
              <w:rPr>
                <w:b w:val="0"/>
                <w:bCs w:val="0"/>
                <w:highlight w:val="none"/>
              </w:rPr>
            </w:pPr>
          </w:p>
        </w:tc>
        <w:tc>
          <w:tcPr>
            <w:tcW w:w="3596" w:type="pct"/>
            <w:tcBorders>
              <w:tl2br w:val="nil"/>
              <w:tr2bl w:val="nil"/>
            </w:tcBorders>
            <w:vAlign w:val="center"/>
          </w:tcPr>
          <w:p w14:paraId="383CF8C8">
            <w:pPr>
              <w:pStyle w:val="53"/>
              <w:rPr>
                <w:b w:val="0"/>
                <w:bCs w:val="0"/>
                <w:highlight w:val="none"/>
              </w:rPr>
            </w:pPr>
            <w:r>
              <w:rPr>
                <w:rFonts w:hint="eastAsia"/>
                <w:b w:val="0"/>
                <w:bCs w:val="0"/>
                <w:highlight w:val="none"/>
              </w:rPr>
              <w:t>工具（扳手、手锤等）未系安全绳或未放专用工具背包</w:t>
            </w:r>
          </w:p>
        </w:tc>
        <w:tc>
          <w:tcPr>
            <w:tcW w:w="640" w:type="pct"/>
            <w:tcBorders>
              <w:tl2br w:val="nil"/>
              <w:tr2bl w:val="nil"/>
            </w:tcBorders>
            <w:vAlign w:val="center"/>
          </w:tcPr>
          <w:p w14:paraId="51181B1C">
            <w:pPr>
              <w:pStyle w:val="53"/>
              <w:rPr>
                <w:b w:val="0"/>
                <w:bCs w:val="0"/>
                <w:highlight w:val="none"/>
              </w:rPr>
            </w:pPr>
            <w:r>
              <w:rPr>
                <w:rFonts w:hint="eastAsia"/>
                <w:b w:val="0"/>
                <w:bCs w:val="0"/>
                <w:highlight w:val="none"/>
              </w:rPr>
              <w:t>物体打击</w:t>
            </w:r>
          </w:p>
        </w:tc>
      </w:tr>
      <w:tr w14:paraId="270488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6741ADA3">
            <w:pPr>
              <w:pStyle w:val="53"/>
              <w:numPr>
                <w:ilvl w:val="0"/>
                <w:numId w:val="30"/>
              </w:numPr>
              <w:tabs>
                <w:tab w:val="clear" w:pos="0"/>
              </w:tabs>
              <w:rPr>
                <w:highlight w:val="none"/>
              </w:rPr>
            </w:pPr>
          </w:p>
        </w:tc>
        <w:tc>
          <w:tcPr>
            <w:tcW w:w="504" w:type="pct"/>
            <w:vMerge w:val="continue"/>
            <w:tcBorders>
              <w:tl2br w:val="nil"/>
              <w:tr2bl w:val="nil"/>
            </w:tcBorders>
            <w:vAlign w:val="center"/>
          </w:tcPr>
          <w:p w14:paraId="54B108DE">
            <w:pPr>
              <w:pStyle w:val="53"/>
              <w:rPr>
                <w:b w:val="0"/>
                <w:bCs w:val="0"/>
                <w:highlight w:val="none"/>
              </w:rPr>
            </w:pPr>
          </w:p>
        </w:tc>
        <w:tc>
          <w:tcPr>
            <w:tcW w:w="3596" w:type="pct"/>
            <w:tcBorders>
              <w:tl2br w:val="nil"/>
              <w:tr2bl w:val="nil"/>
            </w:tcBorders>
            <w:vAlign w:val="center"/>
          </w:tcPr>
          <w:p w14:paraId="67DDB47B">
            <w:pPr>
              <w:pStyle w:val="53"/>
              <w:rPr>
                <w:b w:val="0"/>
                <w:bCs w:val="0"/>
                <w:highlight w:val="none"/>
              </w:rPr>
            </w:pPr>
            <w:r>
              <w:rPr>
                <w:rFonts w:hint="eastAsia"/>
                <w:b w:val="0"/>
                <w:bCs w:val="0"/>
                <w:highlight w:val="none"/>
              </w:rPr>
              <w:t>攀登作业所用设施和用具的结构构造不牢固可靠</w:t>
            </w:r>
          </w:p>
        </w:tc>
        <w:tc>
          <w:tcPr>
            <w:tcW w:w="640" w:type="pct"/>
            <w:tcBorders>
              <w:tl2br w:val="nil"/>
              <w:tr2bl w:val="nil"/>
            </w:tcBorders>
            <w:vAlign w:val="center"/>
          </w:tcPr>
          <w:p w14:paraId="002BBB68">
            <w:pPr>
              <w:pStyle w:val="53"/>
              <w:rPr>
                <w:b w:val="0"/>
                <w:bCs w:val="0"/>
                <w:highlight w:val="none"/>
              </w:rPr>
            </w:pPr>
            <w:r>
              <w:rPr>
                <w:rFonts w:hint="eastAsia"/>
                <w:b w:val="0"/>
                <w:bCs w:val="0"/>
                <w:highlight w:val="none"/>
              </w:rPr>
              <w:t>高处坠落</w:t>
            </w:r>
          </w:p>
        </w:tc>
      </w:tr>
      <w:tr w14:paraId="3C6958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635E074">
            <w:pPr>
              <w:pStyle w:val="53"/>
              <w:numPr>
                <w:ilvl w:val="0"/>
                <w:numId w:val="30"/>
              </w:numPr>
              <w:tabs>
                <w:tab w:val="clear" w:pos="0"/>
              </w:tabs>
              <w:rPr>
                <w:highlight w:val="none"/>
              </w:rPr>
            </w:pPr>
          </w:p>
        </w:tc>
        <w:tc>
          <w:tcPr>
            <w:tcW w:w="504" w:type="pct"/>
            <w:tcBorders>
              <w:tl2br w:val="nil"/>
              <w:tr2bl w:val="nil"/>
            </w:tcBorders>
            <w:vAlign w:val="center"/>
          </w:tcPr>
          <w:p w14:paraId="7C4956D6">
            <w:pPr>
              <w:pStyle w:val="53"/>
              <w:rPr>
                <w:b w:val="0"/>
                <w:bCs w:val="0"/>
                <w:highlight w:val="none"/>
              </w:rPr>
            </w:pPr>
            <w:r>
              <w:rPr>
                <w:rFonts w:hint="eastAsia"/>
                <w:b w:val="0"/>
                <w:bCs w:val="0"/>
                <w:highlight w:val="none"/>
              </w:rPr>
              <w:t>保护接零</w:t>
            </w:r>
          </w:p>
        </w:tc>
        <w:tc>
          <w:tcPr>
            <w:tcW w:w="3596" w:type="pct"/>
            <w:tcBorders>
              <w:tl2br w:val="nil"/>
              <w:tr2bl w:val="nil"/>
            </w:tcBorders>
            <w:vAlign w:val="center"/>
          </w:tcPr>
          <w:p w14:paraId="46F2D95E">
            <w:pPr>
              <w:pStyle w:val="53"/>
              <w:rPr>
                <w:b w:val="0"/>
                <w:bCs w:val="0"/>
                <w:highlight w:val="none"/>
              </w:rPr>
            </w:pPr>
            <w:r>
              <w:rPr>
                <w:rFonts w:hint="eastAsia"/>
                <w:b w:val="0"/>
                <w:bCs w:val="0"/>
                <w:highlight w:val="none"/>
              </w:rPr>
              <w:t>防雷接地装置损坏或不合规，或者未进行接地电阻值的检测</w:t>
            </w:r>
          </w:p>
        </w:tc>
        <w:tc>
          <w:tcPr>
            <w:tcW w:w="640" w:type="pct"/>
            <w:tcBorders>
              <w:tl2br w:val="nil"/>
              <w:tr2bl w:val="nil"/>
            </w:tcBorders>
            <w:vAlign w:val="center"/>
          </w:tcPr>
          <w:p w14:paraId="0B43EFD3">
            <w:pPr>
              <w:pStyle w:val="53"/>
              <w:rPr>
                <w:b w:val="0"/>
                <w:bCs w:val="0"/>
                <w:highlight w:val="none"/>
              </w:rPr>
            </w:pPr>
            <w:r>
              <w:rPr>
                <w:rFonts w:hint="eastAsia"/>
                <w:b w:val="0"/>
                <w:bCs w:val="0"/>
                <w:highlight w:val="none"/>
              </w:rPr>
              <w:t>触电</w:t>
            </w:r>
          </w:p>
        </w:tc>
      </w:tr>
      <w:tr w14:paraId="71D7EB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23EAC404">
            <w:pPr>
              <w:pStyle w:val="53"/>
              <w:numPr>
                <w:ilvl w:val="0"/>
                <w:numId w:val="30"/>
              </w:numPr>
              <w:tabs>
                <w:tab w:val="clear" w:pos="0"/>
              </w:tabs>
              <w:rPr>
                <w:highlight w:val="none"/>
              </w:rPr>
            </w:pPr>
          </w:p>
        </w:tc>
        <w:tc>
          <w:tcPr>
            <w:tcW w:w="504" w:type="pct"/>
            <w:tcBorders>
              <w:tl2br w:val="nil"/>
              <w:tr2bl w:val="nil"/>
            </w:tcBorders>
            <w:vAlign w:val="center"/>
          </w:tcPr>
          <w:p w14:paraId="643E87FD">
            <w:pPr>
              <w:pStyle w:val="53"/>
              <w:rPr>
                <w:b w:val="0"/>
                <w:bCs w:val="0"/>
                <w:highlight w:val="none"/>
              </w:rPr>
            </w:pPr>
            <w:r>
              <w:rPr>
                <w:rFonts w:hint="eastAsia"/>
                <w:b w:val="0"/>
                <w:bCs w:val="0"/>
                <w:highlight w:val="none"/>
              </w:rPr>
              <w:t>其他</w:t>
            </w:r>
          </w:p>
        </w:tc>
        <w:tc>
          <w:tcPr>
            <w:tcW w:w="3596" w:type="pct"/>
            <w:tcBorders>
              <w:tl2br w:val="nil"/>
              <w:tr2bl w:val="nil"/>
            </w:tcBorders>
            <w:vAlign w:val="center"/>
          </w:tcPr>
          <w:p w14:paraId="0F1D5F77">
            <w:pPr>
              <w:pStyle w:val="53"/>
              <w:rPr>
                <w:b w:val="0"/>
                <w:bCs w:val="0"/>
                <w:highlight w:val="none"/>
              </w:rPr>
            </w:pPr>
            <w:r>
              <w:rPr>
                <w:rFonts w:hint="eastAsia"/>
                <w:b w:val="0"/>
                <w:bCs w:val="0"/>
                <w:highlight w:val="none"/>
              </w:rPr>
              <w:t>塔身的电缆线未固定牢固，塔式起重机开关箱未单独设置或离塔身大于3米</w:t>
            </w:r>
          </w:p>
        </w:tc>
        <w:tc>
          <w:tcPr>
            <w:tcW w:w="640" w:type="pct"/>
            <w:tcBorders>
              <w:tl2br w:val="nil"/>
              <w:tr2bl w:val="nil"/>
            </w:tcBorders>
            <w:vAlign w:val="center"/>
          </w:tcPr>
          <w:p w14:paraId="34C5EC9B">
            <w:pPr>
              <w:pStyle w:val="53"/>
              <w:rPr>
                <w:b w:val="0"/>
                <w:bCs w:val="0"/>
                <w:highlight w:val="none"/>
              </w:rPr>
            </w:pPr>
            <w:r>
              <w:rPr>
                <w:rFonts w:hint="eastAsia"/>
                <w:b w:val="0"/>
                <w:bCs w:val="0"/>
                <w:highlight w:val="none"/>
              </w:rPr>
              <w:t>触电</w:t>
            </w:r>
          </w:p>
        </w:tc>
      </w:tr>
      <w:tr w14:paraId="5D4BC3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4888872B">
            <w:pPr>
              <w:pStyle w:val="53"/>
              <w:numPr>
                <w:ilvl w:val="0"/>
                <w:numId w:val="30"/>
              </w:numPr>
              <w:tabs>
                <w:tab w:val="clear" w:pos="0"/>
              </w:tabs>
              <w:rPr>
                <w:highlight w:val="none"/>
              </w:rPr>
            </w:pPr>
          </w:p>
        </w:tc>
        <w:tc>
          <w:tcPr>
            <w:tcW w:w="504" w:type="pct"/>
            <w:tcBorders>
              <w:tl2br w:val="nil"/>
              <w:tr2bl w:val="nil"/>
            </w:tcBorders>
            <w:vAlign w:val="center"/>
          </w:tcPr>
          <w:p w14:paraId="5F0FC3D5">
            <w:pPr>
              <w:pStyle w:val="53"/>
              <w:rPr>
                <w:b w:val="0"/>
                <w:bCs w:val="0"/>
                <w:highlight w:val="none"/>
              </w:rPr>
            </w:pPr>
            <w:r>
              <w:rPr>
                <w:rFonts w:hint="eastAsia"/>
                <w:b w:val="0"/>
                <w:bCs w:val="0"/>
                <w:highlight w:val="none"/>
              </w:rPr>
              <w:t>绝缘保护</w:t>
            </w:r>
          </w:p>
        </w:tc>
        <w:tc>
          <w:tcPr>
            <w:tcW w:w="3596" w:type="pct"/>
            <w:tcBorders>
              <w:tl2br w:val="nil"/>
              <w:tr2bl w:val="nil"/>
            </w:tcBorders>
            <w:vAlign w:val="center"/>
          </w:tcPr>
          <w:p w14:paraId="579C2AA7">
            <w:pPr>
              <w:pStyle w:val="53"/>
              <w:rPr>
                <w:b w:val="0"/>
                <w:bCs w:val="0"/>
                <w:highlight w:val="none"/>
              </w:rPr>
            </w:pPr>
            <w:r>
              <w:rPr>
                <w:rFonts w:hint="eastAsia"/>
                <w:b w:val="0"/>
                <w:bCs w:val="0"/>
                <w:highlight w:val="none"/>
              </w:rPr>
              <w:t>外露线路未进行绝缘保护</w:t>
            </w:r>
          </w:p>
        </w:tc>
        <w:tc>
          <w:tcPr>
            <w:tcW w:w="640" w:type="pct"/>
            <w:tcBorders>
              <w:tl2br w:val="nil"/>
              <w:tr2bl w:val="nil"/>
            </w:tcBorders>
            <w:vAlign w:val="center"/>
          </w:tcPr>
          <w:p w14:paraId="54BD389C">
            <w:pPr>
              <w:pStyle w:val="53"/>
              <w:rPr>
                <w:b w:val="0"/>
                <w:bCs w:val="0"/>
                <w:highlight w:val="none"/>
              </w:rPr>
            </w:pPr>
            <w:r>
              <w:rPr>
                <w:rFonts w:hint="eastAsia"/>
                <w:b w:val="0"/>
                <w:bCs w:val="0"/>
                <w:highlight w:val="none"/>
              </w:rPr>
              <w:t>触电</w:t>
            </w:r>
          </w:p>
        </w:tc>
      </w:tr>
      <w:tr w14:paraId="52CE98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4DA91721">
            <w:pPr>
              <w:pStyle w:val="53"/>
              <w:numPr>
                <w:ilvl w:val="0"/>
                <w:numId w:val="30"/>
              </w:numPr>
              <w:tabs>
                <w:tab w:val="clear" w:pos="0"/>
              </w:tabs>
              <w:rPr>
                <w:highlight w:val="none"/>
              </w:rPr>
            </w:pPr>
          </w:p>
        </w:tc>
        <w:tc>
          <w:tcPr>
            <w:tcW w:w="504" w:type="pct"/>
            <w:vMerge w:val="restart"/>
            <w:tcBorders>
              <w:tl2br w:val="nil"/>
              <w:tr2bl w:val="nil"/>
            </w:tcBorders>
            <w:vAlign w:val="center"/>
          </w:tcPr>
          <w:p w14:paraId="42F8D987">
            <w:pPr>
              <w:pStyle w:val="53"/>
              <w:rPr>
                <w:b w:val="0"/>
                <w:bCs w:val="0"/>
                <w:highlight w:val="none"/>
              </w:rPr>
            </w:pPr>
            <w:r>
              <w:rPr>
                <w:rFonts w:hint="eastAsia"/>
                <w:b w:val="0"/>
                <w:bCs w:val="0"/>
                <w:highlight w:val="none"/>
              </w:rPr>
              <w:t>焊接切割</w:t>
            </w:r>
          </w:p>
        </w:tc>
        <w:tc>
          <w:tcPr>
            <w:tcW w:w="3596" w:type="pct"/>
            <w:tcBorders>
              <w:tl2br w:val="nil"/>
              <w:tr2bl w:val="nil"/>
            </w:tcBorders>
            <w:vAlign w:val="center"/>
          </w:tcPr>
          <w:p w14:paraId="42DB49C5">
            <w:pPr>
              <w:pStyle w:val="53"/>
              <w:rPr>
                <w:b w:val="0"/>
                <w:bCs w:val="0"/>
                <w:highlight w:val="none"/>
              </w:rPr>
            </w:pPr>
            <w:r>
              <w:rPr>
                <w:rFonts w:hint="eastAsia"/>
                <w:b w:val="0"/>
                <w:bCs w:val="0"/>
                <w:highlight w:val="none"/>
              </w:rPr>
              <w:t>焊接和切割未采用不可燃或耐火屏板(或屏罩)加以隔离保护</w:t>
            </w:r>
          </w:p>
        </w:tc>
        <w:tc>
          <w:tcPr>
            <w:tcW w:w="640" w:type="pct"/>
            <w:tcBorders>
              <w:tl2br w:val="nil"/>
              <w:tr2bl w:val="nil"/>
            </w:tcBorders>
            <w:vAlign w:val="center"/>
          </w:tcPr>
          <w:p w14:paraId="53F1075E">
            <w:pPr>
              <w:pStyle w:val="53"/>
              <w:rPr>
                <w:b w:val="0"/>
                <w:bCs w:val="0"/>
                <w:highlight w:val="none"/>
              </w:rPr>
            </w:pPr>
            <w:r>
              <w:rPr>
                <w:rFonts w:hint="eastAsia"/>
                <w:b w:val="0"/>
                <w:bCs w:val="0"/>
                <w:highlight w:val="none"/>
              </w:rPr>
              <w:t>火灾</w:t>
            </w:r>
          </w:p>
        </w:tc>
      </w:tr>
      <w:tr w14:paraId="63C305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01D4E43E">
            <w:pPr>
              <w:pStyle w:val="53"/>
              <w:numPr>
                <w:ilvl w:val="0"/>
                <w:numId w:val="30"/>
              </w:numPr>
              <w:tabs>
                <w:tab w:val="clear" w:pos="0"/>
              </w:tabs>
              <w:rPr>
                <w:highlight w:val="none"/>
              </w:rPr>
            </w:pPr>
          </w:p>
        </w:tc>
        <w:tc>
          <w:tcPr>
            <w:tcW w:w="504" w:type="pct"/>
            <w:vMerge w:val="continue"/>
            <w:tcBorders>
              <w:tl2br w:val="nil"/>
              <w:tr2bl w:val="nil"/>
            </w:tcBorders>
            <w:vAlign w:val="center"/>
          </w:tcPr>
          <w:p w14:paraId="1C098A52">
            <w:pPr>
              <w:pStyle w:val="53"/>
              <w:rPr>
                <w:b w:val="0"/>
                <w:bCs w:val="0"/>
                <w:highlight w:val="none"/>
              </w:rPr>
            </w:pPr>
          </w:p>
        </w:tc>
        <w:tc>
          <w:tcPr>
            <w:tcW w:w="3596" w:type="pct"/>
            <w:tcBorders>
              <w:tl2br w:val="nil"/>
              <w:tr2bl w:val="nil"/>
            </w:tcBorders>
            <w:vAlign w:val="center"/>
          </w:tcPr>
          <w:p w14:paraId="2982C8B8">
            <w:pPr>
              <w:pStyle w:val="53"/>
              <w:rPr>
                <w:b w:val="0"/>
                <w:bCs w:val="0"/>
                <w:highlight w:val="none"/>
              </w:rPr>
            </w:pPr>
            <w:r>
              <w:rPr>
                <w:rFonts w:hint="eastAsia"/>
                <w:b w:val="0"/>
                <w:bCs w:val="0"/>
                <w:highlight w:val="none"/>
              </w:rPr>
              <w:t>电焊机未配置防触电保护器，外壳未接零或接地保护</w:t>
            </w:r>
          </w:p>
        </w:tc>
        <w:tc>
          <w:tcPr>
            <w:tcW w:w="640" w:type="pct"/>
            <w:tcBorders>
              <w:tl2br w:val="nil"/>
              <w:tr2bl w:val="nil"/>
            </w:tcBorders>
            <w:vAlign w:val="center"/>
          </w:tcPr>
          <w:p w14:paraId="0EA2B8E5">
            <w:pPr>
              <w:pStyle w:val="53"/>
              <w:rPr>
                <w:b w:val="0"/>
                <w:bCs w:val="0"/>
                <w:highlight w:val="none"/>
              </w:rPr>
            </w:pPr>
            <w:r>
              <w:rPr>
                <w:rFonts w:hint="eastAsia"/>
                <w:b w:val="0"/>
                <w:bCs w:val="0"/>
                <w:highlight w:val="none"/>
              </w:rPr>
              <w:t>触电</w:t>
            </w:r>
          </w:p>
        </w:tc>
      </w:tr>
      <w:tr w14:paraId="24F2FA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07B8D3C5">
            <w:pPr>
              <w:pStyle w:val="53"/>
              <w:numPr>
                <w:ilvl w:val="0"/>
                <w:numId w:val="30"/>
              </w:numPr>
              <w:tabs>
                <w:tab w:val="clear" w:pos="0"/>
              </w:tabs>
              <w:rPr>
                <w:highlight w:val="none"/>
              </w:rPr>
            </w:pPr>
          </w:p>
        </w:tc>
        <w:tc>
          <w:tcPr>
            <w:tcW w:w="504" w:type="pct"/>
            <w:vMerge w:val="continue"/>
            <w:tcBorders>
              <w:tl2br w:val="nil"/>
              <w:tr2bl w:val="nil"/>
            </w:tcBorders>
            <w:vAlign w:val="center"/>
          </w:tcPr>
          <w:p w14:paraId="07A2FA6F">
            <w:pPr>
              <w:pStyle w:val="53"/>
              <w:rPr>
                <w:b w:val="0"/>
                <w:bCs w:val="0"/>
                <w:highlight w:val="none"/>
              </w:rPr>
            </w:pPr>
          </w:p>
        </w:tc>
        <w:tc>
          <w:tcPr>
            <w:tcW w:w="3596" w:type="pct"/>
            <w:tcBorders>
              <w:tl2br w:val="nil"/>
              <w:tr2bl w:val="nil"/>
            </w:tcBorders>
            <w:vAlign w:val="center"/>
          </w:tcPr>
          <w:p w14:paraId="300A01EC">
            <w:pPr>
              <w:pStyle w:val="53"/>
              <w:rPr>
                <w:b w:val="0"/>
                <w:bCs w:val="0"/>
                <w:highlight w:val="none"/>
              </w:rPr>
            </w:pPr>
            <w:r>
              <w:rPr>
                <w:rFonts w:hint="eastAsia"/>
                <w:b w:val="0"/>
                <w:bCs w:val="0"/>
                <w:highlight w:val="none"/>
              </w:rPr>
              <w:t>焊接作业场地周围未清除易燃易爆物品或未进行覆盖、隔离</w:t>
            </w:r>
          </w:p>
        </w:tc>
        <w:tc>
          <w:tcPr>
            <w:tcW w:w="640" w:type="pct"/>
            <w:tcBorders>
              <w:tl2br w:val="nil"/>
              <w:tr2bl w:val="nil"/>
            </w:tcBorders>
            <w:vAlign w:val="center"/>
          </w:tcPr>
          <w:p w14:paraId="6DB3558A">
            <w:pPr>
              <w:pStyle w:val="53"/>
              <w:rPr>
                <w:b w:val="0"/>
                <w:bCs w:val="0"/>
                <w:highlight w:val="none"/>
              </w:rPr>
            </w:pPr>
            <w:r>
              <w:rPr>
                <w:rFonts w:hint="eastAsia"/>
                <w:b w:val="0"/>
                <w:bCs w:val="0"/>
                <w:highlight w:val="none"/>
              </w:rPr>
              <w:t>触电</w:t>
            </w:r>
          </w:p>
        </w:tc>
      </w:tr>
      <w:tr w14:paraId="05413C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238B2D37">
            <w:pPr>
              <w:pStyle w:val="53"/>
              <w:numPr>
                <w:ilvl w:val="0"/>
                <w:numId w:val="30"/>
              </w:numPr>
              <w:tabs>
                <w:tab w:val="clear" w:pos="0"/>
              </w:tabs>
              <w:rPr>
                <w:highlight w:val="none"/>
              </w:rPr>
            </w:pPr>
          </w:p>
        </w:tc>
        <w:tc>
          <w:tcPr>
            <w:tcW w:w="504" w:type="pct"/>
            <w:vMerge w:val="continue"/>
            <w:tcBorders>
              <w:tl2br w:val="nil"/>
              <w:tr2bl w:val="nil"/>
            </w:tcBorders>
            <w:vAlign w:val="center"/>
          </w:tcPr>
          <w:p w14:paraId="7B771F89">
            <w:pPr>
              <w:pStyle w:val="53"/>
              <w:rPr>
                <w:b w:val="0"/>
                <w:bCs w:val="0"/>
                <w:highlight w:val="none"/>
              </w:rPr>
            </w:pPr>
          </w:p>
        </w:tc>
        <w:tc>
          <w:tcPr>
            <w:tcW w:w="3596" w:type="pct"/>
            <w:tcBorders>
              <w:tl2br w:val="nil"/>
              <w:tr2bl w:val="nil"/>
            </w:tcBorders>
            <w:vAlign w:val="center"/>
          </w:tcPr>
          <w:p w14:paraId="70AC648B">
            <w:pPr>
              <w:pStyle w:val="53"/>
              <w:rPr>
                <w:b w:val="0"/>
                <w:bCs w:val="0"/>
                <w:highlight w:val="none"/>
              </w:rPr>
            </w:pPr>
            <w:r>
              <w:rPr>
                <w:rFonts w:hint="eastAsia"/>
                <w:b w:val="0"/>
                <w:bCs w:val="0"/>
                <w:highlight w:val="none"/>
              </w:rPr>
              <w:t>电焊机未按照“一机一闸”的原则设置开关箱</w:t>
            </w:r>
          </w:p>
        </w:tc>
        <w:tc>
          <w:tcPr>
            <w:tcW w:w="640" w:type="pct"/>
            <w:tcBorders>
              <w:tl2br w:val="nil"/>
              <w:tr2bl w:val="nil"/>
            </w:tcBorders>
            <w:vAlign w:val="center"/>
          </w:tcPr>
          <w:p w14:paraId="20857860">
            <w:pPr>
              <w:pStyle w:val="53"/>
              <w:rPr>
                <w:b w:val="0"/>
                <w:bCs w:val="0"/>
                <w:highlight w:val="none"/>
              </w:rPr>
            </w:pPr>
            <w:r>
              <w:rPr>
                <w:rFonts w:hint="eastAsia"/>
                <w:b w:val="0"/>
                <w:bCs w:val="0"/>
                <w:highlight w:val="none"/>
              </w:rPr>
              <w:t>触电</w:t>
            </w:r>
          </w:p>
        </w:tc>
      </w:tr>
      <w:tr w14:paraId="0CEDBF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69DDC1D">
            <w:pPr>
              <w:pStyle w:val="53"/>
              <w:numPr>
                <w:ilvl w:val="0"/>
                <w:numId w:val="30"/>
              </w:numPr>
              <w:tabs>
                <w:tab w:val="clear" w:pos="0"/>
              </w:tabs>
              <w:rPr>
                <w:highlight w:val="none"/>
              </w:rPr>
            </w:pPr>
          </w:p>
        </w:tc>
        <w:tc>
          <w:tcPr>
            <w:tcW w:w="504" w:type="pct"/>
            <w:vMerge w:val="continue"/>
            <w:tcBorders>
              <w:tl2br w:val="nil"/>
              <w:tr2bl w:val="nil"/>
            </w:tcBorders>
            <w:vAlign w:val="center"/>
          </w:tcPr>
          <w:p w14:paraId="0E3BF41E">
            <w:pPr>
              <w:pStyle w:val="53"/>
              <w:rPr>
                <w:b w:val="0"/>
                <w:bCs w:val="0"/>
                <w:highlight w:val="none"/>
              </w:rPr>
            </w:pPr>
          </w:p>
        </w:tc>
        <w:tc>
          <w:tcPr>
            <w:tcW w:w="3596" w:type="pct"/>
            <w:tcBorders>
              <w:tl2br w:val="nil"/>
              <w:tr2bl w:val="nil"/>
            </w:tcBorders>
            <w:vAlign w:val="center"/>
          </w:tcPr>
          <w:p w14:paraId="1071DA0D">
            <w:pPr>
              <w:pStyle w:val="53"/>
              <w:rPr>
                <w:b w:val="0"/>
                <w:bCs w:val="0"/>
                <w:highlight w:val="none"/>
              </w:rPr>
            </w:pPr>
            <w:r>
              <w:rPr>
                <w:rFonts w:hint="eastAsia"/>
                <w:b w:val="0"/>
                <w:bCs w:val="0"/>
                <w:highlight w:val="none"/>
              </w:rPr>
              <w:t>氧气瓶、气瓶阀、接头、减压阀、软管及设备没有与油、脂及其它可燃物或爆炸物相隔离</w:t>
            </w:r>
          </w:p>
        </w:tc>
        <w:tc>
          <w:tcPr>
            <w:tcW w:w="640" w:type="pct"/>
            <w:tcBorders>
              <w:tl2br w:val="nil"/>
              <w:tr2bl w:val="nil"/>
            </w:tcBorders>
            <w:vAlign w:val="center"/>
          </w:tcPr>
          <w:p w14:paraId="31666C7E">
            <w:pPr>
              <w:pStyle w:val="53"/>
              <w:rPr>
                <w:b w:val="0"/>
                <w:bCs w:val="0"/>
                <w:highlight w:val="none"/>
              </w:rPr>
            </w:pPr>
            <w:r>
              <w:rPr>
                <w:rFonts w:hint="eastAsia"/>
                <w:b w:val="0"/>
                <w:bCs w:val="0"/>
                <w:highlight w:val="none"/>
              </w:rPr>
              <w:t>火灾等</w:t>
            </w:r>
          </w:p>
        </w:tc>
      </w:tr>
      <w:tr w14:paraId="2DDDCF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35C99E14">
            <w:pPr>
              <w:pStyle w:val="53"/>
              <w:numPr>
                <w:ilvl w:val="0"/>
                <w:numId w:val="30"/>
              </w:numPr>
              <w:tabs>
                <w:tab w:val="clear" w:pos="0"/>
              </w:tabs>
              <w:rPr>
                <w:highlight w:val="none"/>
              </w:rPr>
            </w:pPr>
          </w:p>
        </w:tc>
        <w:tc>
          <w:tcPr>
            <w:tcW w:w="504" w:type="pct"/>
            <w:vMerge w:val="continue"/>
            <w:tcBorders>
              <w:tl2br w:val="nil"/>
              <w:tr2bl w:val="nil"/>
            </w:tcBorders>
            <w:vAlign w:val="center"/>
          </w:tcPr>
          <w:p w14:paraId="6FA0917A">
            <w:pPr>
              <w:pStyle w:val="53"/>
              <w:rPr>
                <w:b w:val="0"/>
                <w:bCs w:val="0"/>
                <w:highlight w:val="none"/>
              </w:rPr>
            </w:pPr>
          </w:p>
        </w:tc>
        <w:tc>
          <w:tcPr>
            <w:tcW w:w="3596" w:type="pct"/>
            <w:tcBorders>
              <w:tl2br w:val="nil"/>
              <w:tr2bl w:val="nil"/>
            </w:tcBorders>
            <w:vAlign w:val="center"/>
          </w:tcPr>
          <w:p w14:paraId="66670992">
            <w:pPr>
              <w:pStyle w:val="53"/>
              <w:rPr>
                <w:b w:val="0"/>
                <w:bCs w:val="0"/>
                <w:highlight w:val="none"/>
              </w:rPr>
            </w:pPr>
            <w:r>
              <w:rPr>
                <w:rFonts w:hint="eastAsia"/>
                <w:b w:val="0"/>
                <w:bCs w:val="0"/>
                <w:highlight w:val="none"/>
              </w:rPr>
              <w:t>气瓶未直立安放牢固（乙炔瓶禁止卧放或倾倒）。</w:t>
            </w:r>
          </w:p>
        </w:tc>
        <w:tc>
          <w:tcPr>
            <w:tcW w:w="640" w:type="pct"/>
            <w:tcBorders>
              <w:tl2br w:val="nil"/>
              <w:tr2bl w:val="nil"/>
            </w:tcBorders>
            <w:vAlign w:val="center"/>
          </w:tcPr>
          <w:p w14:paraId="26DE2001">
            <w:pPr>
              <w:pStyle w:val="53"/>
              <w:rPr>
                <w:b w:val="0"/>
                <w:bCs w:val="0"/>
                <w:highlight w:val="none"/>
              </w:rPr>
            </w:pPr>
            <w:r>
              <w:rPr>
                <w:rFonts w:hint="eastAsia"/>
                <w:b w:val="0"/>
                <w:bCs w:val="0"/>
                <w:highlight w:val="none"/>
              </w:rPr>
              <w:t>容器爆炸</w:t>
            </w:r>
          </w:p>
        </w:tc>
      </w:tr>
      <w:tr w14:paraId="0AF83F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3577D328">
            <w:pPr>
              <w:pStyle w:val="53"/>
              <w:numPr>
                <w:ilvl w:val="0"/>
                <w:numId w:val="30"/>
              </w:numPr>
              <w:tabs>
                <w:tab w:val="clear" w:pos="0"/>
              </w:tabs>
              <w:rPr>
                <w:highlight w:val="none"/>
              </w:rPr>
            </w:pPr>
          </w:p>
        </w:tc>
        <w:tc>
          <w:tcPr>
            <w:tcW w:w="504" w:type="pct"/>
            <w:vMerge w:val="continue"/>
            <w:tcBorders>
              <w:tl2br w:val="nil"/>
              <w:tr2bl w:val="nil"/>
            </w:tcBorders>
            <w:vAlign w:val="center"/>
          </w:tcPr>
          <w:p w14:paraId="1B59624D">
            <w:pPr>
              <w:pStyle w:val="53"/>
              <w:rPr>
                <w:b w:val="0"/>
                <w:bCs w:val="0"/>
                <w:highlight w:val="none"/>
              </w:rPr>
            </w:pPr>
          </w:p>
        </w:tc>
        <w:tc>
          <w:tcPr>
            <w:tcW w:w="3596" w:type="pct"/>
            <w:tcBorders>
              <w:tl2br w:val="nil"/>
              <w:tr2bl w:val="nil"/>
            </w:tcBorders>
            <w:vAlign w:val="center"/>
          </w:tcPr>
          <w:p w14:paraId="7E5043F0">
            <w:pPr>
              <w:pStyle w:val="53"/>
              <w:rPr>
                <w:b w:val="0"/>
                <w:bCs w:val="0"/>
                <w:highlight w:val="none"/>
              </w:rPr>
            </w:pPr>
            <w:r>
              <w:rPr>
                <w:rFonts w:hint="eastAsia"/>
                <w:b w:val="0"/>
                <w:bCs w:val="0"/>
                <w:highlight w:val="none"/>
              </w:rPr>
              <w:t>氧气瓶、乙炔瓶未分开存放</w:t>
            </w:r>
          </w:p>
        </w:tc>
        <w:tc>
          <w:tcPr>
            <w:tcW w:w="640" w:type="pct"/>
            <w:tcBorders>
              <w:tl2br w:val="nil"/>
              <w:tr2bl w:val="nil"/>
            </w:tcBorders>
            <w:vAlign w:val="center"/>
          </w:tcPr>
          <w:p w14:paraId="3238E6E1">
            <w:pPr>
              <w:pStyle w:val="53"/>
              <w:rPr>
                <w:b w:val="0"/>
                <w:bCs w:val="0"/>
                <w:highlight w:val="none"/>
              </w:rPr>
            </w:pPr>
            <w:r>
              <w:rPr>
                <w:rFonts w:hint="eastAsia"/>
                <w:b w:val="0"/>
                <w:bCs w:val="0"/>
                <w:highlight w:val="none"/>
              </w:rPr>
              <w:t>火灾</w:t>
            </w:r>
          </w:p>
        </w:tc>
      </w:tr>
      <w:tr w14:paraId="71FCF4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005DEFBF">
            <w:pPr>
              <w:pStyle w:val="53"/>
              <w:numPr>
                <w:ilvl w:val="0"/>
                <w:numId w:val="30"/>
              </w:numPr>
              <w:tabs>
                <w:tab w:val="clear" w:pos="0"/>
              </w:tabs>
              <w:rPr>
                <w:highlight w:val="none"/>
              </w:rPr>
            </w:pPr>
          </w:p>
        </w:tc>
        <w:tc>
          <w:tcPr>
            <w:tcW w:w="504" w:type="pct"/>
            <w:vMerge w:val="continue"/>
            <w:tcBorders>
              <w:tl2br w:val="nil"/>
              <w:tr2bl w:val="nil"/>
            </w:tcBorders>
            <w:vAlign w:val="center"/>
          </w:tcPr>
          <w:p w14:paraId="325FCC9B">
            <w:pPr>
              <w:pStyle w:val="53"/>
              <w:rPr>
                <w:b w:val="0"/>
                <w:bCs w:val="0"/>
                <w:highlight w:val="none"/>
              </w:rPr>
            </w:pPr>
          </w:p>
        </w:tc>
        <w:tc>
          <w:tcPr>
            <w:tcW w:w="3596" w:type="pct"/>
            <w:tcBorders>
              <w:tl2br w:val="nil"/>
              <w:tr2bl w:val="nil"/>
            </w:tcBorders>
            <w:vAlign w:val="center"/>
          </w:tcPr>
          <w:p w14:paraId="45976167">
            <w:pPr>
              <w:pStyle w:val="53"/>
              <w:rPr>
                <w:b w:val="0"/>
                <w:bCs w:val="0"/>
                <w:highlight w:val="none"/>
              </w:rPr>
            </w:pPr>
            <w:r>
              <w:rPr>
                <w:rFonts w:hint="eastAsia"/>
                <w:b w:val="0"/>
                <w:bCs w:val="0"/>
                <w:highlight w:val="none"/>
              </w:rPr>
              <w:t>氧气瓶、乙炔瓶存放处无禁火标志，未配备消防器材。</w:t>
            </w:r>
          </w:p>
        </w:tc>
        <w:tc>
          <w:tcPr>
            <w:tcW w:w="640" w:type="pct"/>
            <w:tcBorders>
              <w:tl2br w:val="nil"/>
              <w:tr2bl w:val="nil"/>
            </w:tcBorders>
            <w:vAlign w:val="center"/>
          </w:tcPr>
          <w:p w14:paraId="50C17CC1">
            <w:pPr>
              <w:pStyle w:val="53"/>
              <w:rPr>
                <w:b w:val="0"/>
                <w:bCs w:val="0"/>
                <w:highlight w:val="none"/>
              </w:rPr>
            </w:pPr>
            <w:r>
              <w:rPr>
                <w:rFonts w:hint="eastAsia"/>
                <w:b w:val="0"/>
                <w:bCs w:val="0"/>
                <w:highlight w:val="none"/>
              </w:rPr>
              <w:t>火灾</w:t>
            </w:r>
          </w:p>
        </w:tc>
      </w:tr>
      <w:tr w14:paraId="0637EE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76812056">
            <w:pPr>
              <w:pStyle w:val="53"/>
              <w:numPr>
                <w:ilvl w:val="0"/>
                <w:numId w:val="30"/>
              </w:numPr>
              <w:tabs>
                <w:tab w:val="clear" w:pos="0"/>
              </w:tabs>
              <w:rPr>
                <w:highlight w:val="none"/>
              </w:rPr>
            </w:pPr>
          </w:p>
        </w:tc>
        <w:tc>
          <w:tcPr>
            <w:tcW w:w="504" w:type="pct"/>
            <w:tcBorders>
              <w:tl2br w:val="nil"/>
              <w:tr2bl w:val="nil"/>
            </w:tcBorders>
            <w:vAlign w:val="center"/>
          </w:tcPr>
          <w:p w14:paraId="633F8EE5">
            <w:pPr>
              <w:pStyle w:val="53"/>
              <w:rPr>
                <w:b w:val="0"/>
                <w:bCs w:val="0"/>
                <w:highlight w:val="none"/>
              </w:rPr>
            </w:pPr>
            <w:r>
              <w:rPr>
                <w:rFonts w:hint="eastAsia"/>
                <w:b w:val="0"/>
                <w:bCs w:val="0"/>
                <w:highlight w:val="none"/>
              </w:rPr>
              <w:t>电焊</w:t>
            </w:r>
          </w:p>
        </w:tc>
        <w:tc>
          <w:tcPr>
            <w:tcW w:w="3596" w:type="pct"/>
            <w:tcBorders>
              <w:tl2br w:val="nil"/>
              <w:tr2bl w:val="nil"/>
            </w:tcBorders>
            <w:vAlign w:val="center"/>
          </w:tcPr>
          <w:p w14:paraId="1BEB274A">
            <w:pPr>
              <w:pStyle w:val="53"/>
              <w:rPr>
                <w:b w:val="0"/>
                <w:bCs w:val="0"/>
                <w:highlight w:val="none"/>
              </w:rPr>
            </w:pPr>
            <w:r>
              <w:rPr>
                <w:rFonts w:hint="eastAsia"/>
                <w:b w:val="0"/>
                <w:bCs w:val="0"/>
                <w:highlight w:val="none"/>
              </w:rPr>
              <w:t>未佩戴面罩或护目镜</w:t>
            </w:r>
          </w:p>
        </w:tc>
        <w:tc>
          <w:tcPr>
            <w:tcW w:w="640" w:type="pct"/>
            <w:tcBorders>
              <w:tl2br w:val="nil"/>
              <w:tr2bl w:val="nil"/>
            </w:tcBorders>
            <w:vAlign w:val="center"/>
          </w:tcPr>
          <w:p w14:paraId="700D1493">
            <w:pPr>
              <w:pStyle w:val="53"/>
              <w:rPr>
                <w:b w:val="0"/>
                <w:bCs w:val="0"/>
                <w:highlight w:val="none"/>
              </w:rPr>
            </w:pPr>
            <w:r>
              <w:rPr>
                <w:rFonts w:hint="eastAsia"/>
                <w:b w:val="0"/>
                <w:bCs w:val="0"/>
                <w:highlight w:val="none"/>
              </w:rPr>
              <w:t>其他</w:t>
            </w:r>
          </w:p>
        </w:tc>
      </w:tr>
      <w:tr w14:paraId="1F7533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8" w:type="pct"/>
            <w:tcBorders>
              <w:tl2br w:val="nil"/>
              <w:tr2bl w:val="nil"/>
            </w:tcBorders>
            <w:vAlign w:val="center"/>
          </w:tcPr>
          <w:p w14:paraId="41ADC179">
            <w:pPr>
              <w:pStyle w:val="53"/>
              <w:numPr>
                <w:ilvl w:val="0"/>
                <w:numId w:val="30"/>
              </w:numPr>
              <w:tabs>
                <w:tab w:val="clear" w:pos="0"/>
              </w:tabs>
              <w:rPr>
                <w:highlight w:val="none"/>
              </w:rPr>
            </w:pPr>
          </w:p>
        </w:tc>
        <w:tc>
          <w:tcPr>
            <w:tcW w:w="504" w:type="pct"/>
            <w:tcBorders>
              <w:tl2br w:val="nil"/>
              <w:tr2bl w:val="nil"/>
            </w:tcBorders>
            <w:vAlign w:val="center"/>
          </w:tcPr>
          <w:p w14:paraId="1DDD56F3">
            <w:pPr>
              <w:pStyle w:val="53"/>
              <w:rPr>
                <w:b w:val="0"/>
                <w:bCs w:val="0"/>
                <w:highlight w:val="none"/>
              </w:rPr>
            </w:pPr>
            <w:r>
              <w:rPr>
                <w:rFonts w:hint="eastAsia"/>
                <w:b w:val="0"/>
                <w:bCs w:val="0"/>
                <w:highlight w:val="none"/>
              </w:rPr>
              <w:t>劳保</w:t>
            </w:r>
          </w:p>
        </w:tc>
        <w:tc>
          <w:tcPr>
            <w:tcW w:w="3596" w:type="pct"/>
            <w:tcBorders>
              <w:tl2br w:val="nil"/>
              <w:tr2bl w:val="nil"/>
            </w:tcBorders>
            <w:vAlign w:val="center"/>
          </w:tcPr>
          <w:p w14:paraId="52D174DF">
            <w:pPr>
              <w:pStyle w:val="53"/>
              <w:rPr>
                <w:b w:val="0"/>
                <w:bCs w:val="0"/>
                <w:highlight w:val="none"/>
              </w:rPr>
            </w:pPr>
            <w:r>
              <w:rPr>
                <w:rFonts w:hint="eastAsia"/>
                <w:b w:val="0"/>
                <w:bCs w:val="0"/>
                <w:highlight w:val="none"/>
              </w:rPr>
              <w:t>攀登作业未穿防滑鞋</w:t>
            </w:r>
          </w:p>
        </w:tc>
        <w:tc>
          <w:tcPr>
            <w:tcW w:w="640" w:type="pct"/>
            <w:tcBorders>
              <w:tl2br w:val="nil"/>
              <w:tr2bl w:val="nil"/>
            </w:tcBorders>
            <w:vAlign w:val="center"/>
          </w:tcPr>
          <w:p w14:paraId="7402A7DA">
            <w:pPr>
              <w:pStyle w:val="53"/>
              <w:rPr>
                <w:b w:val="0"/>
                <w:bCs w:val="0"/>
                <w:highlight w:val="none"/>
              </w:rPr>
            </w:pPr>
            <w:r>
              <w:rPr>
                <w:rFonts w:hint="eastAsia"/>
                <w:b w:val="0"/>
                <w:bCs w:val="0"/>
                <w:highlight w:val="none"/>
              </w:rPr>
              <w:t>其他</w:t>
            </w:r>
          </w:p>
        </w:tc>
      </w:tr>
    </w:tbl>
    <w:p w14:paraId="484371F8">
      <w:pPr>
        <w:rPr>
          <w:highlight w:val="none"/>
        </w:rPr>
      </w:pPr>
    </w:p>
    <w:p w14:paraId="7F361304">
      <w:pPr>
        <w:pStyle w:val="5"/>
        <w:bidi w:val="0"/>
        <w:ind w:left="0" w:leftChars="0" w:firstLine="0" w:firstLineChars="0"/>
        <w:rPr>
          <w:rFonts w:hint="eastAsia"/>
          <w:highlight w:val="none"/>
          <w:lang w:val="en-US" w:eastAsia="zh-CN"/>
        </w:rPr>
      </w:pPr>
      <w:r>
        <w:rPr>
          <w:rFonts w:hint="eastAsia"/>
          <w:highlight w:val="none"/>
          <w:lang w:val="en-US" w:eastAsia="zh-CN"/>
        </w:rPr>
        <w:t>风险分析结论</w:t>
      </w:r>
    </w:p>
    <w:p w14:paraId="10174EB8">
      <w:pPr>
        <w:rPr>
          <w:rFonts w:hint="eastAsia" w:eastAsia="宋体"/>
          <w:highlight w:val="none"/>
          <w:lang w:val="en-US" w:eastAsia="zh-CN"/>
        </w:rPr>
      </w:pPr>
      <w:r>
        <w:rPr>
          <w:rFonts w:hint="eastAsia"/>
          <w:highlight w:val="none"/>
        </w:rPr>
        <w:t>根据风险因素分析、识别表，显著危险的有</w:t>
      </w:r>
      <w:r>
        <w:rPr>
          <w:rFonts w:hint="eastAsia"/>
          <w:highlight w:val="none"/>
          <w:lang w:val="en-US" w:eastAsia="zh-CN"/>
        </w:rPr>
        <w:t>76</w:t>
      </w:r>
      <w:r>
        <w:rPr>
          <w:rFonts w:hint="eastAsia"/>
          <w:highlight w:val="none"/>
        </w:rPr>
        <w:t>项：包括高处坠落、起重伤害、物体打击、触电、机械伤害、火灾、坍塌和容器爆炸，需要制定针对性安全措施，具体措施详见6</w:t>
      </w:r>
      <w:r>
        <w:rPr>
          <w:highlight w:val="none"/>
        </w:rPr>
        <w:t>.3</w:t>
      </w:r>
      <w:r>
        <w:rPr>
          <w:rFonts w:hint="eastAsia"/>
          <w:highlight w:val="none"/>
        </w:rPr>
        <w:t>节</w:t>
      </w:r>
      <w:r>
        <w:rPr>
          <w:rFonts w:hint="eastAsia"/>
          <w:highlight w:val="none"/>
          <w:lang w:eastAsia="zh-CN"/>
        </w:rPr>
        <w:t>。</w:t>
      </w:r>
    </w:p>
    <w:p w14:paraId="76A7C39F">
      <w:pPr>
        <w:pStyle w:val="4"/>
        <w:bidi w:val="0"/>
        <w:ind w:left="0" w:leftChars="0" w:firstLine="0" w:firstLineChars="0"/>
        <w:rPr>
          <w:highlight w:val="none"/>
        </w:rPr>
      </w:pPr>
      <w:bookmarkStart w:id="75" w:name="_Toc16125"/>
      <w:r>
        <w:rPr>
          <w:highlight w:val="none"/>
        </w:rPr>
        <w:t>组织保障措施</w:t>
      </w:r>
      <w:bookmarkEnd w:id="73"/>
      <w:bookmarkEnd w:id="75"/>
    </w:p>
    <w:p w14:paraId="1093991A">
      <w:pPr>
        <w:pStyle w:val="5"/>
        <w:bidi w:val="0"/>
        <w:ind w:left="0" w:leftChars="0" w:firstLine="0" w:firstLineChars="0"/>
        <w:rPr>
          <w:highlight w:val="none"/>
        </w:rPr>
      </w:pPr>
      <w:bookmarkStart w:id="76" w:name="_Toc48"/>
      <w:bookmarkStart w:id="77" w:name="_Toc499850192"/>
      <w:bookmarkStart w:id="78" w:name="_Toc25817"/>
      <w:bookmarkStart w:id="79" w:name="_Toc9269"/>
      <w:bookmarkStart w:id="80" w:name="_Toc25637"/>
      <w:bookmarkStart w:id="81" w:name="_Toc18608"/>
      <w:bookmarkStart w:id="82" w:name="_Toc8188"/>
      <w:bookmarkStart w:id="83" w:name="_Toc499370314"/>
      <w:bookmarkStart w:id="84" w:name="_Toc27838935"/>
      <w:r>
        <w:rPr>
          <w:rFonts w:hint="eastAsia"/>
          <w:highlight w:val="none"/>
        </w:rPr>
        <w:t>安全</w:t>
      </w:r>
      <w:bookmarkEnd w:id="76"/>
      <w:r>
        <w:rPr>
          <w:rFonts w:hint="eastAsia"/>
          <w:highlight w:val="none"/>
        </w:rPr>
        <w:t>生产组织机构</w:t>
      </w:r>
      <w:bookmarkEnd w:id="77"/>
      <w:bookmarkEnd w:id="78"/>
      <w:bookmarkEnd w:id="79"/>
      <w:bookmarkEnd w:id="80"/>
      <w:bookmarkEnd w:id="81"/>
      <w:bookmarkEnd w:id="82"/>
      <w:bookmarkEnd w:id="83"/>
      <w:bookmarkEnd w:id="84"/>
    </w:p>
    <w:p w14:paraId="30C3E2C6">
      <w:pPr>
        <w:ind w:firstLine="480" w:firstLineChars="0"/>
        <w:rPr>
          <w:bCs/>
          <w:kern w:val="0"/>
          <w:szCs w:val="22"/>
          <w:highlight w:val="none"/>
          <w:lang w:bidi="en-US"/>
        </w:rPr>
      </w:pPr>
      <w:r>
        <w:rPr>
          <w:bCs/>
          <w:kern w:val="0"/>
          <w:szCs w:val="22"/>
          <w:highlight w:val="none"/>
          <w:lang w:bidi="en-US"/>
        </w:rPr>
        <w:t>设置以</w:t>
      </w:r>
      <w:r>
        <w:rPr>
          <w:rFonts w:hint="eastAsia"/>
          <w:bCs/>
          <w:kern w:val="0"/>
          <w:szCs w:val="22"/>
          <w:highlight w:val="none"/>
          <w:lang w:val="en-US" w:eastAsia="zh-CN" w:bidi="en-US"/>
        </w:rPr>
        <w:t>专职安全员</w:t>
      </w:r>
      <w:r>
        <w:rPr>
          <w:bCs/>
          <w:kern w:val="0"/>
          <w:szCs w:val="22"/>
          <w:highlight w:val="none"/>
          <w:lang w:bidi="en-US"/>
        </w:rPr>
        <w:t>为第一安全责任人的安全生产管理机构，建立由</w:t>
      </w:r>
      <w:r>
        <w:rPr>
          <w:rFonts w:hint="eastAsia"/>
          <w:bCs/>
          <w:kern w:val="0"/>
          <w:szCs w:val="22"/>
          <w:highlight w:val="none"/>
          <w:lang w:val="en-US" w:eastAsia="zh-CN" w:bidi="en-US"/>
        </w:rPr>
        <w:t>安全员</w:t>
      </w:r>
      <w:r>
        <w:rPr>
          <w:bCs/>
          <w:kern w:val="0"/>
          <w:szCs w:val="22"/>
          <w:highlight w:val="none"/>
          <w:lang w:bidi="en-US"/>
        </w:rPr>
        <w:t>任组长、其</w:t>
      </w:r>
      <w:r>
        <w:rPr>
          <w:rFonts w:hint="eastAsia"/>
          <w:bCs/>
          <w:kern w:val="0"/>
          <w:szCs w:val="22"/>
          <w:highlight w:val="none"/>
          <w:lang w:val="en-US" w:eastAsia="zh-CN" w:bidi="en-US"/>
        </w:rPr>
        <w:t>技术负责人、项目负责人</w:t>
      </w:r>
      <w:r>
        <w:rPr>
          <w:bCs/>
          <w:kern w:val="0"/>
          <w:szCs w:val="22"/>
          <w:highlight w:val="none"/>
          <w:lang w:bidi="en-US"/>
        </w:rPr>
        <w:t>任副组长，由</w:t>
      </w:r>
      <w:r>
        <w:rPr>
          <w:rFonts w:hint="eastAsia"/>
          <w:bCs/>
          <w:kern w:val="0"/>
          <w:szCs w:val="22"/>
          <w:highlight w:val="none"/>
          <w:lang w:val="en-US" w:eastAsia="zh-CN" w:bidi="en-US"/>
        </w:rPr>
        <w:t>现场负责人</w:t>
      </w:r>
      <w:r>
        <w:rPr>
          <w:bCs/>
          <w:kern w:val="0"/>
          <w:szCs w:val="22"/>
          <w:highlight w:val="none"/>
          <w:lang w:bidi="en-US"/>
        </w:rPr>
        <w:t>牵头</w:t>
      </w:r>
      <w:r>
        <w:rPr>
          <w:rFonts w:hint="eastAsia"/>
          <w:bCs/>
          <w:kern w:val="0"/>
          <w:szCs w:val="22"/>
          <w:highlight w:val="none"/>
          <w:lang w:eastAsia="zh-CN" w:bidi="en-US"/>
        </w:rPr>
        <w:t>、</w:t>
      </w:r>
      <w:r>
        <w:rPr>
          <w:rFonts w:hint="eastAsia"/>
          <w:bCs/>
          <w:kern w:val="0"/>
          <w:szCs w:val="22"/>
          <w:highlight w:val="none"/>
          <w:lang w:val="en-US" w:eastAsia="zh-CN" w:bidi="en-US"/>
        </w:rPr>
        <w:t>塔机安拆工、电工</w:t>
      </w:r>
      <w:r>
        <w:rPr>
          <w:bCs/>
          <w:kern w:val="0"/>
          <w:szCs w:val="22"/>
          <w:highlight w:val="none"/>
          <w:lang w:bidi="en-US"/>
        </w:rPr>
        <w:t>为成员的安全生产领导小组。项目安全管理组织机构图见下图。</w:t>
      </w:r>
    </w:p>
    <w:p w14:paraId="29F5BBB6">
      <w:pPr>
        <w:pStyle w:val="16"/>
        <w:ind w:firstLine="480"/>
        <w:rPr>
          <w:highlight w:val="none"/>
        </w:rPr>
      </w:pPr>
      <w:r>
        <w:rPr>
          <w:rFonts w:hint="eastAsia"/>
          <w:highlight w:val="none"/>
        </w:rPr>
        <w:t>根据本施工工程成立安全管理组织机构，其人员组成、工作职责详见表6.</w:t>
      </w:r>
      <w:r>
        <w:rPr>
          <w:rFonts w:hint="eastAsia"/>
          <w:highlight w:val="none"/>
          <w:lang w:val="en-US" w:eastAsia="zh-CN"/>
        </w:rPr>
        <w:t>2</w:t>
      </w:r>
      <w:r>
        <w:rPr>
          <w:rFonts w:hint="eastAsia"/>
          <w:highlight w:val="none"/>
        </w:rPr>
        <w:t>.1-1。</w:t>
      </w:r>
    </w:p>
    <w:p w14:paraId="16803EB6">
      <w:pPr>
        <w:pStyle w:val="163"/>
        <w:rPr>
          <w:highlight w:val="none"/>
        </w:rPr>
      </w:pPr>
      <w:r>
        <w:rPr>
          <w:rFonts w:hint="eastAsia"/>
          <w:highlight w:val="none"/>
        </w:rPr>
        <w:t>表6.</w:t>
      </w:r>
      <w:r>
        <w:rPr>
          <w:rFonts w:hint="eastAsia"/>
          <w:highlight w:val="none"/>
          <w:lang w:val="en-US" w:eastAsia="zh-CN"/>
        </w:rPr>
        <w:t>2</w:t>
      </w:r>
      <w:r>
        <w:rPr>
          <w:rFonts w:hint="eastAsia"/>
          <w:highlight w:val="none"/>
        </w:rPr>
        <w:t>.1-1安全管理组织机构表</w:t>
      </w:r>
    </w:p>
    <w:tbl>
      <w:tblPr>
        <w:tblStyle w:val="3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01"/>
        <w:gridCol w:w="2150"/>
        <w:gridCol w:w="890"/>
        <w:gridCol w:w="4476"/>
        <w:gridCol w:w="505"/>
      </w:tblGrid>
      <w:tr w14:paraId="04B1E4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294" w:type="pct"/>
            <w:shd w:val="clear" w:color="auto" w:fill="auto"/>
            <w:vAlign w:val="center"/>
          </w:tcPr>
          <w:p w14:paraId="6346B097">
            <w:pPr>
              <w:spacing w:line="240" w:lineRule="auto"/>
              <w:ind w:firstLine="0" w:firstLineChars="0"/>
              <w:jc w:val="center"/>
              <w:rPr>
                <w:b/>
                <w:sz w:val="21"/>
                <w:highlight w:val="none"/>
              </w:rPr>
            </w:pPr>
            <w:r>
              <w:rPr>
                <w:rFonts w:hint="eastAsia"/>
                <w:b/>
                <w:sz w:val="21"/>
                <w:highlight w:val="none"/>
              </w:rPr>
              <w:t>序号</w:t>
            </w:r>
          </w:p>
        </w:tc>
        <w:tc>
          <w:tcPr>
            <w:tcW w:w="1261" w:type="pct"/>
            <w:shd w:val="clear" w:color="auto" w:fill="auto"/>
            <w:vAlign w:val="center"/>
          </w:tcPr>
          <w:p w14:paraId="4732739F">
            <w:pPr>
              <w:spacing w:line="240" w:lineRule="auto"/>
              <w:ind w:firstLine="0" w:firstLineChars="0"/>
              <w:jc w:val="center"/>
              <w:rPr>
                <w:b/>
                <w:bCs/>
                <w:sz w:val="21"/>
                <w:highlight w:val="none"/>
              </w:rPr>
            </w:pPr>
            <w:r>
              <w:rPr>
                <w:rFonts w:hint="eastAsia"/>
                <w:b/>
                <w:bCs/>
                <w:sz w:val="21"/>
                <w:highlight w:val="none"/>
              </w:rPr>
              <w:t>岗位</w:t>
            </w:r>
          </w:p>
        </w:tc>
        <w:tc>
          <w:tcPr>
            <w:tcW w:w="522" w:type="pct"/>
            <w:shd w:val="clear" w:color="auto" w:fill="auto"/>
            <w:vAlign w:val="center"/>
          </w:tcPr>
          <w:p w14:paraId="6E348E70">
            <w:pPr>
              <w:spacing w:line="240" w:lineRule="auto"/>
              <w:ind w:firstLine="0" w:firstLineChars="0"/>
              <w:jc w:val="center"/>
              <w:rPr>
                <w:b/>
                <w:sz w:val="21"/>
                <w:highlight w:val="none"/>
              </w:rPr>
            </w:pPr>
            <w:r>
              <w:rPr>
                <w:rFonts w:hint="eastAsia"/>
                <w:b/>
                <w:bCs/>
                <w:sz w:val="21"/>
                <w:highlight w:val="none"/>
              </w:rPr>
              <w:t>姓名</w:t>
            </w:r>
          </w:p>
        </w:tc>
        <w:tc>
          <w:tcPr>
            <w:tcW w:w="2625" w:type="pct"/>
            <w:shd w:val="clear" w:color="auto" w:fill="auto"/>
            <w:vAlign w:val="center"/>
          </w:tcPr>
          <w:p w14:paraId="1BCA61DA">
            <w:pPr>
              <w:spacing w:line="240" w:lineRule="auto"/>
              <w:ind w:firstLine="0" w:firstLineChars="0"/>
              <w:jc w:val="center"/>
              <w:rPr>
                <w:b/>
                <w:sz w:val="21"/>
                <w:highlight w:val="none"/>
              </w:rPr>
            </w:pPr>
            <w:r>
              <w:rPr>
                <w:rFonts w:hint="eastAsia"/>
                <w:b/>
                <w:sz w:val="21"/>
                <w:highlight w:val="none"/>
              </w:rPr>
              <w:t>工作职责</w:t>
            </w:r>
          </w:p>
        </w:tc>
        <w:tc>
          <w:tcPr>
            <w:tcW w:w="296" w:type="pct"/>
            <w:shd w:val="clear" w:color="auto" w:fill="auto"/>
            <w:vAlign w:val="center"/>
          </w:tcPr>
          <w:p w14:paraId="5D53BD70">
            <w:pPr>
              <w:spacing w:line="240" w:lineRule="auto"/>
              <w:ind w:firstLine="0" w:firstLineChars="0"/>
              <w:jc w:val="center"/>
              <w:rPr>
                <w:b/>
                <w:sz w:val="21"/>
                <w:highlight w:val="none"/>
              </w:rPr>
            </w:pPr>
            <w:r>
              <w:rPr>
                <w:rFonts w:hint="eastAsia"/>
                <w:b/>
                <w:sz w:val="21"/>
                <w:highlight w:val="none"/>
              </w:rPr>
              <w:t>备注</w:t>
            </w:r>
          </w:p>
        </w:tc>
      </w:tr>
      <w:tr w14:paraId="5E31FB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5227D219">
            <w:pPr>
              <w:numPr>
                <w:ilvl w:val="0"/>
                <w:numId w:val="31"/>
              </w:numPr>
              <w:spacing w:line="240" w:lineRule="auto"/>
              <w:ind w:firstLineChars="0"/>
              <w:jc w:val="center"/>
              <w:rPr>
                <w:sz w:val="21"/>
                <w:highlight w:val="none"/>
              </w:rPr>
            </w:pPr>
          </w:p>
        </w:tc>
        <w:tc>
          <w:tcPr>
            <w:tcW w:w="1261" w:type="pct"/>
            <w:shd w:val="clear" w:color="auto" w:fill="auto"/>
            <w:vAlign w:val="center"/>
          </w:tcPr>
          <w:p w14:paraId="7E46E051">
            <w:pPr>
              <w:pStyle w:val="53"/>
              <w:rPr>
                <w:b w:val="0"/>
                <w:highlight w:val="none"/>
              </w:rPr>
            </w:pPr>
            <w:r>
              <w:rPr>
                <w:rFonts w:hint="eastAsia"/>
                <w:b w:val="0"/>
                <w:highlight w:val="none"/>
              </w:rPr>
              <w:t>技术负责人</w:t>
            </w:r>
          </w:p>
        </w:tc>
        <w:tc>
          <w:tcPr>
            <w:tcW w:w="522" w:type="pct"/>
            <w:shd w:val="clear" w:color="auto" w:fill="auto"/>
            <w:vAlign w:val="center"/>
          </w:tcPr>
          <w:p w14:paraId="212BC0B3">
            <w:pPr>
              <w:pStyle w:val="53"/>
              <w:rPr>
                <w:b w:val="0"/>
                <w:highlight w:val="none"/>
              </w:rPr>
            </w:pPr>
            <w:r>
              <w:rPr>
                <w:rFonts w:hint="eastAsia"/>
                <w:b w:val="0"/>
                <w:highlight w:val="none"/>
              </w:rPr>
              <w:t>温涛</w:t>
            </w:r>
          </w:p>
        </w:tc>
        <w:tc>
          <w:tcPr>
            <w:tcW w:w="2625" w:type="pct"/>
            <w:shd w:val="clear" w:color="auto" w:fill="auto"/>
            <w:vAlign w:val="center"/>
          </w:tcPr>
          <w:p w14:paraId="0228C097">
            <w:pPr>
              <w:pStyle w:val="53"/>
              <w:snapToGrid w:val="0"/>
              <w:rPr>
                <w:b w:val="0"/>
                <w:highlight w:val="none"/>
              </w:rPr>
            </w:pPr>
            <w:r>
              <w:rPr>
                <w:rStyle w:val="220"/>
                <w:rFonts w:hint="eastAsia" w:cstheme="minorBidi"/>
                <w:b w:val="0"/>
                <w:color w:val="000000"/>
                <w:highlight w:val="none"/>
              </w:rPr>
              <w:t>技术负责人负责制定塔吊安装方案的技术细节，包括安装流程、技术参数、安全技术措施等内容；同时，在安装过程中提供技术指导，解决各类技术问题，监督技术方案执行情况并及时调整优化。</w:t>
            </w:r>
          </w:p>
        </w:tc>
        <w:tc>
          <w:tcPr>
            <w:tcW w:w="296" w:type="pct"/>
            <w:shd w:val="clear" w:color="auto" w:fill="auto"/>
            <w:vAlign w:val="center"/>
          </w:tcPr>
          <w:p w14:paraId="170E059E">
            <w:pPr>
              <w:spacing w:line="240" w:lineRule="auto"/>
              <w:ind w:firstLine="0" w:firstLineChars="0"/>
              <w:jc w:val="center"/>
              <w:rPr>
                <w:sz w:val="21"/>
                <w:highlight w:val="none"/>
              </w:rPr>
            </w:pPr>
          </w:p>
        </w:tc>
      </w:tr>
      <w:tr w14:paraId="310257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0B196660">
            <w:pPr>
              <w:numPr>
                <w:ilvl w:val="0"/>
                <w:numId w:val="31"/>
              </w:numPr>
              <w:spacing w:line="240" w:lineRule="auto"/>
              <w:ind w:firstLineChars="0"/>
              <w:jc w:val="center"/>
              <w:rPr>
                <w:sz w:val="21"/>
                <w:highlight w:val="none"/>
              </w:rPr>
            </w:pPr>
          </w:p>
        </w:tc>
        <w:tc>
          <w:tcPr>
            <w:tcW w:w="1261" w:type="pct"/>
            <w:shd w:val="clear" w:color="auto" w:fill="auto"/>
            <w:vAlign w:val="center"/>
          </w:tcPr>
          <w:p w14:paraId="51625B29">
            <w:pPr>
              <w:pStyle w:val="53"/>
              <w:rPr>
                <w:b w:val="0"/>
                <w:highlight w:val="none"/>
              </w:rPr>
            </w:pPr>
            <w:r>
              <w:rPr>
                <w:rFonts w:hint="eastAsia"/>
                <w:b w:val="0"/>
                <w:highlight w:val="none"/>
              </w:rPr>
              <w:t>项目负责人</w:t>
            </w:r>
          </w:p>
        </w:tc>
        <w:tc>
          <w:tcPr>
            <w:tcW w:w="522" w:type="pct"/>
            <w:shd w:val="clear" w:color="auto" w:fill="auto"/>
            <w:vAlign w:val="center"/>
          </w:tcPr>
          <w:p w14:paraId="0E2EAE02">
            <w:pPr>
              <w:pStyle w:val="53"/>
              <w:rPr>
                <w:b w:val="0"/>
                <w:highlight w:val="none"/>
              </w:rPr>
            </w:pPr>
            <w:r>
              <w:rPr>
                <w:rFonts w:hint="eastAsia"/>
                <w:b w:val="0"/>
                <w:highlight w:val="none"/>
              </w:rPr>
              <w:t>吕仕昌</w:t>
            </w:r>
          </w:p>
        </w:tc>
        <w:tc>
          <w:tcPr>
            <w:tcW w:w="2625" w:type="pct"/>
            <w:shd w:val="clear" w:color="auto" w:fill="auto"/>
            <w:vAlign w:val="center"/>
          </w:tcPr>
          <w:p w14:paraId="7C697EA9">
            <w:pPr>
              <w:pStyle w:val="53"/>
              <w:snapToGrid w:val="0"/>
              <w:rPr>
                <w:b w:val="0"/>
                <w:highlight w:val="none"/>
              </w:rPr>
            </w:pPr>
            <w:r>
              <w:rPr>
                <w:rFonts w:hint="eastAsia"/>
                <w:b w:val="0"/>
                <w:highlight w:val="none"/>
              </w:rPr>
              <w:t>负责现场安拆指导及安全管理</w:t>
            </w:r>
          </w:p>
        </w:tc>
        <w:tc>
          <w:tcPr>
            <w:tcW w:w="296" w:type="pct"/>
            <w:shd w:val="clear" w:color="auto" w:fill="auto"/>
            <w:vAlign w:val="center"/>
          </w:tcPr>
          <w:p w14:paraId="3B7335AC">
            <w:pPr>
              <w:spacing w:line="240" w:lineRule="auto"/>
              <w:ind w:firstLine="0" w:firstLineChars="0"/>
              <w:jc w:val="center"/>
              <w:rPr>
                <w:sz w:val="21"/>
                <w:highlight w:val="none"/>
              </w:rPr>
            </w:pPr>
          </w:p>
        </w:tc>
      </w:tr>
      <w:tr w14:paraId="4633CB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498E83E3">
            <w:pPr>
              <w:numPr>
                <w:ilvl w:val="0"/>
                <w:numId w:val="31"/>
              </w:numPr>
              <w:spacing w:line="240" w:lineRule="auto"/>
              <w:ind w:firstLineChars="0"/>
              <w:jc w:val="center"/>
              <w:rPr>
                <w:sz w:val="21"/>
                <w:highlight w:val="none"/>
              </w:rPr>
            </w:pPr>
          </w:p>
        </w:tc>
        <w:tc>
          <w:tcPr>
            <w:tcW w:w="1261" w:type="pct"/>
            <w:shd w:val="clear" w:color="auto" w:fill="auto"/>
            <w:vAlign w:val="center"/>
          </w:tcPr>
          <w:p w14:paraId="1DAF3F3C">
            <w:pPr>
              <w:pStyle w:val="53"/>
              <w:rPr>
                <w:b w:val="0"/>
                <w:highlight w:val="none"/>
              </w:rPr>
            </w:pPr>
            <w:r>
              <w:rPr>
                <w:rFonts w:hint="eastAsia"/>
                <w:b w:val="0"/>
                <w:highlight w:val="none"/>
              </w:rPr>
              <w:t>现场负责人</w:t>
            </w:r>
          </w:p>
        </w:tc>
        <w:tc>
          <w:tcPr>
            <w:tcW w:w="522" w:type="pct"/>
            <w:shd w:val="clear" w:color="auto" w:fill="auto"/>
            <w:vAlign w:val="center"/>
          </w:tcPr>
          <w:p w14:paraId="72816E42">
            <w:pPr>
              <w:pStyle w:val="53"/>
              <w:rPr>
                <w:b w:val="0"/>
                <w:highlight w:val="none"/>
              </w:rPr>
            </w:pPr>
            <w:r>
              <w:rPr>
                <w:rFonts w:hint="eastAsia"/>
                <w:b w:val="0"/>
                <w:highlight w:val="none"/>
              </w:rPr>
              <w:t>罗乾龙</w:t>
            </w:r>
          </w:p>
        </w:tc>
        <w:tc>
          <w:tcPr>
            <w:tcW w:w="2625" w:type="pct"/>
            <w:shd w:val="clear" w:color="auto" w:fill="auto"/>
            <w:vAlign w:val="center"/>
          </w:tcPr>
          <w:p w14:paraId="02CDBA42">
            <w:pPr>
              <w:pStyle w:val="53"/>
              <w:snapToGrid w:val="0"/>
              <w:rPr>
                <w:b w:val="0"/>
                <w:highlight w:val="none"/>
              </w:rPr>
            </w:pPr>
            <w:r>
              <w:rPr>
                <w:rFonts w:hint="eastAsia"/>
                <w:b w:val="0"/>
                <w:highlight w:val="none"/>
              </w:rPr>
              <w:t>负责组织人员按安装工艺规程及塔吊使用说明书要求进行作业，负责每日的工作安排，安全交底、工作记录，制止任何违章作业。</w:t>
            </w:r>
          </w:p>
        </w:tc>
        <w:tc>
          <w:tcPr>
            <w:tcW w:w="296" w:type="pct"/>
            <w:shd w:val="clear" w:color="auto" w:fill="auto"/>
            <w:vAlign w:val="center"/>
          </w:tcPr>
          <w:p w14:paraId="7C1A9D27">
            <w:pPr>
              <w:spacing w:line="240" w:lineRule="auto"/>
              <w:ind w:firstLine="0" w:firstLineChars="0"/>
              <w:jc w:val="center"/>
              <w:rPr>
                <w:sz w:val="21"/>
                <w:highlight w:val="none"/>
              </w:rPr>
            </w:pPr>
          </w:p>
        </w:tc>
      </w:tr>
      <w:tr w14:paraId="4CA95A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499BBACB">
            <w:pPr>
              <w:numPr>
                <w:ilvl w:val="0"/>
                <w:numId w:val="31"/>
              </w:numPr>
              <w:spacing w:line="240" w:lineRule="auto"/>
              <w:ind w:firstLineChars="0"/>
              <w:jc w:val="center"/>
              <w:rPr>
                <w:sz w:val="21"/>
                <w:highlight w:val="none"/>
              </w:rPr>
            </w:pPr>
          </w:p>
        </w:tc>
        <w:tc>
          <w:tcPr>
            <w:tcW w:w="1261" w:type="pct"/>
            <w:shd w:val="clear" w:color="auto" w:fill="auto"/>
            <w:vAlign w:val="center"/>
          </w:tcPr>
          <w:p w14:paraId="527369E7">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22" w:type="pct"/>
            <w:shd w:val="clear" w:color="auto" w:fill="auto"/>
            <w:vAlign w:val="center"/>
          </w:tcPr>
          <w:p w14:paraId="28488D65">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胡杰</w:t>
            </w:r>
          </w:p>
        </w:tc>
        <w:tc>
          <w:tcPr>
            <w:tcW w:w="2625" w:type="pct"/>
            <w:shd w:val="clear" w:color="auto" w:fill="auto"/>
            <w:vAlign w:val="center"/>
          </w:tcPr>
          <w:p w14:paraId="0CD58EF8">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负责设备安拆调试及维保</w:t>
            </w:r>
          </w:p>
        </w:tc>
        <w:tc>
          <w:tcPr>
            <w:tcW w:w="296" w:type="pct"/>
            <w:shd w:val="clear" w:color="auto" w:fill="auto"/>
            <w:vAlign w:val="center"/>
          </w:tcPr>
          <w:p w14:paraId="4FD01DE3">
            <w:pPr>
              <w:spacing w:line="240" w:lineRule="auto"/>
              <w:ind w:firstLine="0" w:firstLineChars="0"/>
              <w:jc w:val="center"/>
              <w:rPr>
                <w:sz w:val="21"/>
                <w:highlight w:val="none"/>
              </w:rPr>
            </w:pPr>
          </w:p>
        </w:tc>
      </w:tr>
      <w:tr w14:paraId="5FF386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79262A0E">
            <w:pPr>
              <w:numPr>
                <w:ilvl w:val="0"/>
                <w:numId w:val="31"/>
              </w:numPr>
              <w:spacing w:line="240" w:lineRule="auto"/>
              <w:ind w:firstLineChars="0"/>
              <w:jc w:val="center"/>
              <w:rPr>
                <w:sz w:val="21"/>
                <w:highlight w:val="none"/>
              </w:rPr>
            </w:pPr>
          </w:p>
        </w:tc>
        <w:tc>
          <w:tcPr>
            <w:tcW w:w="1261" w:type="pct"/>
            <w:shd w:val="clear" w:color="auto" w:fill="auto"/>
            <w:vAlign w:val="center"/>
          </w:tcPr>
          <w:p w14:paraId="025DBE10">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22" w:type="pct"/>
            <w:shd w:val="clear" w:color="auto" w:fill="auto"/>
            <w:vAlign w:val="center"/>
          </w:tcPr>
          <w:p w14:paraId="35FDF365">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何小兵</w:t>
            </w:r>
          </w:p>
        </w:tc>
        <w:tc>
          <w:tcPr>
            <w:tcW w:w="2625" w:type="pct"/>
            <w:shd w:val="clear" w:color="auto" w:fill="auto"/>
            <w:vAlign w:val="center"/>
          </w:tcPr>
          <w:p w14:paraId="18189E5D">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负责设备安拆调试及维保</w:t>
            </w:r>
          </w:p>
        </w:tc>
        <w:tc>
          <w:tcPr>
            <w:tcW w:w="296" w:type="pct"/>
            <w:shd w:val="clear" w:color="auto" w:fill="auto"/>
            <w:vAlign w:val="center"/>
          </w:tcPr>
          <w:p w14:paraId="7E2A67CB">
            <w:pPr>
              <w:spacing w:line="240" w:lineRule="auto"/>
              <w:ind w:firstLine="0" w:firstLineChars="0"/>
              <w:jc w:val="center"/>
              <w:rPr>
                <w:sz w:val="21"/>
                <w:highlight w:val="none"/>
              </w:rPr>
            </w:pPr>
          </w:p>
        </w:tc>
      </w:tr>
      <w:tr w14:paraId="23B43C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64FA98D6">
            <w:pPr>
              <w:numPr>
                <w:ilvl w:val="0"/>
                <w:numId w:val="31"/>
              </w:numPr>
              <w:spacing w:line="240" w:lineRule="auto"/>
              <w:ind w:firstLineChars="0"/>
              <w:jc w:val="center"/>
              <w:rPr>
                <w:sz w:val="21"/>
                <w:highlight w:val="none"/>
              </w:rPr>
            </w:pPr>
          </w:p>
        </w:tc>
        <w:tc>
          <w:tcPr>
            <w:tcW w:w="1261" w:type="pct"/>
            <w:shd w:val="clear" w:color="auto" w:fill="auto"/>
            <w:vAlign w:val="center"/>
          </w:tcPr>
          <w:p w14:paraId="06958B5D">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22" w:type="pct"/>
            <w:shd w:val="clear" w:color="auto" w:fill="auto"/>
            <w:vAlign w:val="center"/>
          </w:tcPr>
          <w:p w14:paraId="6068DE49">
            <w:pPr>
              <w:snapToGrid w:val="0"/>
              <w:spacing w:line="240" w:lineRule="auto"/>
              <w:ind w:firstLine="0" w:firstLineChars="0"/>
              <w:jc w:val="center"/>
              <w:rPr>
                <w:rFonts w:hint="eastAsia" w:eastAsia="宋体"/>
                <w:bCs/>
                <w:color w:val="000000" w:themeColor="text1"/>
                <w:sz w:val="21"/>
                <w:highlight w:val="none"/>
                <w:lang w:eastAsia="zh-CN"/>
                <w14:textFill>
                  <w14:solidFill>
                    <w14:schemeClr w14:val="tx1"/>
                  </w14:solidFill>
                </w14:textFill>
              </w:rPr>
            </w:pPr>
            <w:r>
              <w:rPr>
                <w:rFonts w:hint="eastAsia"/>
                <w:bCs/>
                <w:color w:val="000000" w:themeColor="text1"/>
                <w:sz w:val="21"/>
                <w:highlight w:val="none"/>
                <w:lang w:eastAsia="zh-CN"/>
                <w14:textFill>
                  <w14:solidFill>
                    <w14:schemeClr w14:val="tx1"/>
                  </w14:solidFill>
                </w14:textFill>
              </w:rPr>
              <w:t>李国林</w:t>
            </w:r>
          </w:p>
        </w:tc>
        <w:tc>
          <w:tcPr>
            <w:tcW w:w="2625" w:type="pct"/>
            <w:shd w:val="clear" w:color="auto" w:fill="auto"/>
            <w:vAlign w:val="center"/>
          </w:tcPr>
          <w:p w14:paraId="025041BB">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负责设备安拆调试及维保</w:t>
            </w:r>
          </w:p>
        </w:tc>
        <w:tc>
          <w:tcPr>
            <w:tcW w:w="296" w:type="pct"/>
            <w:shd w:val="clear" w:color="auto" w:fill="auto"/>
            <w:vAlign w:val="center"/>
          </w:tcPr>
          <w:p w14:paraId="14BF504B">
            <w:pPr>
              <w:spacing w:line="240" w:lineRule="auto"/>
              <w:ind w:firstLine="0" w:firstLineChars="0"/>
              <w:jc w:val="center"/>
              <w:rPr>
                <w:sz w:val="21"/>
                <w:highlight w:val="none"/>
              </w:rPr>
            </w:pPr>
          </w:p>
        </w:tc>
      </w:tr>
      <w:tr w14:paraId="2A9BD1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17DE0D08">
            <w:pPr>
              <w:numPr>
                <w:ilvl w:val="0"/>
                <w:numId w:val="31"/>
              </w:numPr>
              <w:spacing w:line="240" w:lineRule="auto"/>
              <w:ind w:firstLineChars="0"/>
              <w:jc w:val="center"/>
              <w:rPr>
                <w:sz w:val="21"/>
                <w:highlight w:val="none"/>
              </w:rPr>
            </w:pPr>
          </w:p>
        </w:tc>
        <w:tc>
          <w:tcPr>
            <w:tcW w:w="1261" w:type="pct"/>
            <w:shd w:val="clear" w:color="auto" w:fill="auto"/>
            <w:vAlign w:val="center"/>
          </w:tcPr>
          <w:p w14:paraId="4CEDD3B9">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22" w:type="pct"/>
            <w:shd w:val="clear" w:color="auto" w:fill="auto"/>
            <w:vAlign w:val="center"/>
          </w:tcPr>
          <w:p w14:paraId="7A8871BC">
            <w:pPr>
              <w:snapToGrid w:val="0"/>
              <w:spacing w:line="240" w:lineRule="auto"/>
              <w:ind w:firstLine="0" w:firstLineChars="0"/>
              <w:jc w:val="center"/>
              <w:rPr>
                <w:rFonts w:hint="eastAsia" w:eastAsia="宋体"/>
                <w:bCs/>
                <w:color w:val="000000" w:themeColor="text1"/>
                <w:sz w:val="21"/>
                <w:highlight w:val="none"/>
                <w:lang w:eastAsia="zh-CN"/>
                <w14:textFill>
                  <w14:solidFill>
                    <w14:schemeClr w14:val="tx1"/>
                  </w14:solidFill>
                </w14:textFill>
              </w:rPr>
            </w:pPr>
            <w:r>
              <w:rPr>
                <w:rFonts w:hint="eastAsia"/>
                <w:bCs/>
                <w:color w:val="000000" w:themeColor="text1"/>
                <w:sz w:val="21"/>
                <w:highlight w:val="none"/>
                <w:lang w:val="en-US" w:eastAsia="zh-CN"/>
                <w14:textFill>
                  <w14:solidFill>
                    <w14:schemeClr w14:val="tx1"/>
                  </w14:solidFill>
                </w14:textFill>
              </w:rPr>
              <w:t>薛强</w:t>
            </w:r>
          </w:p>
        </w:tc>
        <w:tc>
          <w:tcPr>
            <w:tcW w:w="2625" w:type="pct"/>
            <w:shd w:val="clear" w:color="auto" w:fill="auto"/>
            <w:vAlign w:val="center"/>
          </w:tcPr>
          <w:p w14:paraId="33B5F8B8">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负责设备安拆调试及维保</w:t>
            </w:r>
          </w:p>
        </w:tc>
        <w:tc>
          <w:tcPr>
            <w:tcW w:w="296" w:type="pct"/>
            <w:shd w:val="clear" w:color="auto" w:fill="auto"/>
            <w:vAlign w:val="center"/>
          </w:tcPr>
          <w:p w14:paraId="16877849">
            <w:pPr>
              <w:spacing w:line="240" w:lineRule="auto"/>
              <w:ind w:firstLine="0" w:firstLineChars="0"/>
              <w:jc w:val="center"/>
              <w:rPr>
                <w:sz w:val="21"/>
                <w:highlight w:val="none"/>
              </w:rPr>
            </w:pPr>
          </w:p>
        </w:tc>
      </w:tr>
      <w:tr w14:paraId="377556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166B9C61">
            <w:pPr>
              <w:numPr>
                <w:ilvl w:val="0"/>
                <w:numId w:val="31"/>
              </w:numPr>
              <w:spacing w:line="240" w:lineRule="auto"/>
              <w:ind w:firstLineChars="0"/>
              <w:jc w:val="center"/>
              <w:rPr>
                <w:sz w:val="21"/>
                <w:highlight w:val="none"/>
              </w:rPr>
            </w:pPr>
          </w:p>
        </w:tc>
        <w:tc>
          <w:tcPr>
            <w:tcW w:w="1261" w:type="pct"/>
            <w:shd w:val="clear" w:color="auto" w:fill="auto"/>
            <w:vAlign w:val="center"/>
          </w:tcPr>
          <w:p w14:paraId="6CC3411B">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建筑电工（维保人员）</w:t>
            </w:r>
          </w:p>
        </w:tc>
        <w:tc>
          <w:tcPr>
            <w:tcW w:w="522" w:type="pct"/>
            <w:shd w:val="clear" w:color="auto" w:fill="auto"/>
            <w:vAlign w:val="center"/>
          </w:tcPr>
          <w:p w14:paraId="79E5BA64">
            <w:pPr>
              <w:snapToGrid w:val="0"/>
              <w:spacing w:line="240" w:lineRule="auto"/>
              <w:ind w:firstLine="0" w:firstLineChars="0"/>
              <w:jc w:val="center"/>
              <w:rPr>
                <w:rFonts w:hint="eastAsia" w:eastAsia="宋体"/>
                <w:bCs/>
                <w:color w:val="000000" w:themeColor="text1"/>
                <w:sz w:val="21"/>
                <w:highlight w:val="none"/>
                <w:lang w:eastAsia="zh-CN"/>
                <w14:textFill>
                  <w14:solidFill>
                    <w14:schemeClr w14:val="tx1"/>
                  </w14:solidFill>
                </w14:textFill>
              </w:rPr>
            </w:pPr>
            <w:r>
              <w:rPr>
                <w:rFonts w:hint="eastAsia"/>
                <w:bCs/>
                <w:color w:val="000000" w:themeColor="text1"/>
                <w:sz w:val="21"/>
                <w:highlight w:val="none"/>
                <w:lang w:eastAsia="zh-CN"/>
                <w14:textFill>
                  <w14:solidFill>
                    <w14:schemeClr w14:val="tx1"/>
                  </w14:solidFill>
                </w14:textFill>
              </w:rPr>
              <w:t>冯昌苹</w:t>
            </w:r>
          </w:p>
        </w:tc>
        <w:tc>
          <w:tcPr>
            <w:tcW w:w="2625" w:type="pct"/>
            <w:shd w:val="clear" w:color="auto" w:fill="auto"/>
            <w:vAlign w:val="center"/>
          </w:tcPr>
          <w:p w14:paraId="78A56768">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负责设备安拆电气调试及维保</w:t>
            </w:r>
          </w:p>
        </w:tc>
        <w:tc>
          <w:tcPr>
            <w:tcW w:w="296" w:type="pct"/>
            <w:shd w:val="clear" w:color="auto" w:fill="auto"/>
            <w:vAlign w:val="center"/>
          </w:tcPr>
          <w:p w14:paraId="7EBFD05D">
            <w:pPr>
              <w:spacing w:line="240" w:lineRule="auto"/>
              <w:ind w:firstLine="0" w:firstLineChars="0"/>
              <w:jc w:val="center"/>
              <w:rPr>
                <w:sz w:val="21"/>
                <w:highlight w:val="none"/>
              </w:rPr>
            </w:pPr>
          </w:p>
        </w:tc>
      </w:tr>
    </w:tbl>
    <w:p w14:paraId="1EFF01CB">
      <w:pPr>
        <w:ind w:firstLine="480" w:firstLineChars="0"/>
        <w:jc w:val="center"/>
        <w:rPr>
          <w:bCs/>
          <w:kern w:val="0"/>
          <w:szCs w:val="22"/>
          <w:highlight w:val="none"/>
          <w:lang w:bidi="en-US"/>
        </w:rPr>
      </w:pPr>
    </w:p>
    <w:p w14:paraId="4A657A50">
      <w:pPr>
        <w:pStyle w:val="5"/>
        <w:bidi w:val="0"/>
        <w:ind w:left="0" w:leftChars="0" w:firstLine="0" w:firstLineChars="0"/>
        <w:rPr>
          <w:highlight w:val="none"/>
        </w:rPr>
      </w:pPr>
      <w:bookmarkStart w:id="85" w:name="_Toc33269603"/>
      <w:bookmarkStart w:id="86" w:name="_Toc3616"/>
      <w:bookmarkStart w:id="87" w:name="_Toc1909"/>
      <w:bookmarkStart w:id="88" w:name="_Toc30291"/>
      <w:r>
        <w:rPr>
          <w:rFonts w:hint="eastAsia"/>
          <w:highlight w:val="none"/>
        </w:rPr>
        <w:t>安全保证体系</w:t>
      </w:r>
      <w:bookmarkEnd w:id="85"/>
      <w:bookmarkEnd w:id="86"/>
      <w:bookmarkEnd w:id="87"/>
      <w:bookmarkEnd w:id="88"/>
    </w:p>
    <w:p w14:paraId="50FC3AB5">
      <w:pPr>
        <w:ind w:firstLine="480" w:firstLineChars="0"/>
        <w:rPr>
          <w:kern w:val="0"/>
          <w:highlight w:val="none"/>
        </w:rPr>
      </w:pPr>
      <w:bookmarkStart w:id="89" w:name="_Toc27838938"/>
      <w:r>
        <w:rPr>
          <w:kern w:val="0"/>
          <w:highlight w:val="none"/>
        </w:rPr>
        <w:t>坚持“安全第一、预防为主、综合治理”的方针，根据项目特点，从思想、组织、制度、技术、资源、过程等方面入手建立健全安全生产保证体系，全面落实各项安全措施到施工过程中，确保安全生产目标的实现。安全保证体系见下图。</w:t>
      </w:r>
    </w:p>
    <w:p w14:paraId="5980DD89">
      <w:pPr>
        <w:keepNext/>
        <w:ind w:firstLine="0" w:firstLineChars="0"/>
        <w:rPr>
          <w:rFonts w:eastAsia="仿宋"/>
          <w:szCs w:val="22"/>
          <w:highlight w:val="none"/>
        </w:rPr>
      </w:pPr>
      <w:r>
        <w:rPr>
          <w:rFonts w:eastAsia="仿宋"/>
          <w:szCs w:val="22"/>
          <w:highlight w:val="none"/>
        </w:rPr>
        <w:object>
          <v:shape id="_x0000_i1027" o:spt="75" type="#_x0000_t75" style="height:378pt;width:420pt;" o:ole="t" filled="f" o:preferrelative="t" stroked="f" coordsize="21600,21600">
            <v:path/>
            <v:fill on="f" focussize="0,0"/>
            <v:stroke on="f" joinstyle="miter"/>
            <v:imagedata r:id="rId137" o:title=""/>
            <o:lock v:ext="edit" aspectratio="t"/>
            <w10:wrap type="none"/>
            <w10:anchorlock/>
          </v:shape>
          <o:OLEObject Type="Embed" ProgID="Visio.Drawing.11" ShapeID="_x0000_i1027" DrawAspect="Content" ObjectID="_1468075727" r:id="rId136">
            <o:LockedField>false</o:LockedField>
          </o:OLEObject>
        </w:object>
      </w:r>
    </w:p>
    <w:p w14:paraId="079CFFAF">
      <w:pPr>
        <w:ind w:firstLine="480" w:firstLineChars="0"/>
        <w:jc w:val="center"/>
        <w:rPr>
          <w:bCs/>
          <w:kern w:val="0"/>
          <w:szCs w:val="22"/>
          <w:highlight w:val="none"/>
          <w:lang w:bidi="en-US"/>
        </w:rPr>
      </w:pPr>
      <w:r>
        <w:rPr>
          <w:bCs/>
          <w:kern w:val="0"/>
          <w:szCs w:val="22"/>
          <w:highlight w:val="none"/>
          <w:lang w:bidi="en-US"/>
        </w:rPr>
        <w:t xml:space="preserve">图 </w:t>
      </w:r>
      <w:r>
        <w:rPr>
          <w:bCs/>
          <w:kern w:val="0"/>
          <w:szCs w:val="22"/>
          <w:highlight w:val="none"/>
          <w:lang w:bidi="en-US"/>
        </w:rPr>
        <w:fldChar w:fldCharType="begin"/>
      </w:r>
      <w:r>
        <w:rPr>
          <w:bCs/>
          <w:kern w:val="0"/>
          <w:szCs w:val="22"/>
          <w:highlight w:val="none"/>
          <w:lang w:bidi="en-US"/>
        </w:rPr>
        <w:instrText xml:space="preserve"> STYLEREF 2 \s </w:instrText>
      </w:r>
      <w:r>
        <w:rPr>
          <w:bCs/>
          <w:kern w:val="0"/>
          <w:szCs w:val="22"/>
          <w:highlight w:val="none"/>
          <w:lang w:bidi="en-US"/>
        </w:rPr>
        <w:fldChar w:fldCharType="separate"/>
      </w:r>
      <w:r>
        <w:rPr>
          <w:bCs/>
          <w:kern w:val="0"/>
          <w:szCs w:val="22"/>
          <w:highlight w:val="none"/>
          <w:lang w:bidi="en-US"/>
        </w:rPr>
        <w:t>6.</w:t>
      </w:r>
      <w:r>
        <w:rPr>
          <w:rFonts w:hint="eastAsia"/>
          <w:bCs/>
          <w:kern w:val="0"/>
          <w:szCs w:val="22"/>
          <w:highlight w:val="none"/>
          <w:lang w:val="en-US" w:eastAsia="zh-CN" w:bidi="en-US"/>
        </w:rPr>
        <w:t>2</w:t>
      </w:r>
      <w:r>
        <w:rPr>
          <w:rFonts w:hint="eastAsia"/>
          <w:bCs/>
          <w:kern w:val="0"/>
          <w:szCs w:val="22"/>
          <w:highlight w:val="none"/>
          <w:lang w:bidi="en-US"/>
        </w:rPr>
        <w:t>.</w:t>
      </w:r>
      <w:r>
        <w:rPr>
          <w:bCs/>
          <w:kern w:val="0"/>
          <w:szCs w:val="22"/>
          <w:highlight w:val="none"/>
          <w:lang w:bidi="en-US"/>
        </w:rPr>
        <w:t>2</w:t>
      </w:r>
      <w:r>
        <w:rPr>
          <w:bCs/>
          <w:kern w:val="0"/>
          <w:szCs w:val="22"/>
          <w:highlight w:val="none"/>
          <w:lang w:bidi="en-US"/>
        </w:rPr>
        <w:fldChar w:fldCharType="end"/>
      </w:r>
      <w:r>
        <w:rPr>
          <w:bCs/>
          <w:kern w:val="0"/>
          <w:szCs w:val="22"/>
          <w:highlight w:val="none"/>
          <w:lang w:bidi="en-US"/>
        </w:rPr>
        <w:noBreakHyphen/>
      </w:r>
      <w:r>
        <w:rPr>
          <w:rFonts w:hint="eastAsia"/>
          <w:bCs/>
          <w:kern w:val="0"/>
          <w:szCs w:val="22"/>
          <w:highlight w:val="none"/>
          <w:lang w:val="en-US" w:eastAsia="zh-CN" w:bidi="en-US"/>
        </w:rPr>
        <w:t>1</w:t>
      </w:r>
      <w:r>
        <w:rPr>
          <w:bCs/>
          <w:kern w:val="0"/>
          <w:szCs w:val="22"/>
          <w:highlight w:val="none"/>
          <w:lang w:bidi="en-US"/>
        </w:rPr>
        <w:t xml:space="preserve">  安全保证体系框图</w:t>
      </w:r>
    </w:p>
    <w:p w14:paraId="3A349870">
      <w:pPr>
        <w:pStyle w:val="5"/>
        <w:bidi w:val="0"/>
        <w:ind w:left="0" w:leftChars="0" w:firstLine="0" w:firstLineChars="0"/>
        <w:rPr>
          <w:highlight w:val="none"/>
        </w:rPr>
      </w:pPr>
      <w:r>
        <w:rPr>
          <w:rFonts w:hint="eastAsia"/>
          <w:highlight w:val="none"/>
        </w:rPr>
        <w:t>安全生产职责</w:t>
      </w:r>
    </w:p>
    <w:p w14:paraId="63B71F39">
      <w:pPr>
        <w:pStyle w:val="133"/>
        <w:ind w:firstLine="480"/>
        <w:rPr>
          <w:rFonts w:cs="Times New Roman"/>
          <w:highlight w:val="none"/>
        </w:rPr>
      </w:pPr>
      <w:r>
        <w:rPr>
          <w:rFonts w:cs="Times New Roman"/>
          <w:highlight w:val="none"/>
        </w:rPr>
        <w:t>项目部严格落实安全生产责任制，各岗位或部门安全生产职责详见下表。</w:t>
      </w:r>
    </w:p>
    <w:p w14:paraId="687B5024">
      <w:pPr>
        <w:ind w:firstLine="480" w:firstLineChars="0"/>
        <w:jc w:val="center"/>
        <w:rPr>
          <w:bCs/>
          <w:kern w:val="0"/>
          <w:szCs w:val="22"/>
          <w:highlight w:val="none"/>
          <w:lang w:bidi="en-US"/>
        </w:rPr>
      </w:pPr>
      <w:r>
        <w:rPr>
          <w:bCs/>
          <w:kern w:val="0"/>
          <w:szCs w:val="22"/>
          <w:highlight w:val="none"/>
          <w:lang w:bidi="en-US"/>
        </w:rPr>
        <w:t xml:space="preserve">表 </w:t>
      </w:r>
      <w:r>
        <w:rPr>
          <w:bCs/>
          <w:kern w:val="0"/>
          <w:szCs w:val="22"/>
          <w:highlight w:val="none"/>
          <w:lang w:bidi="en-US"/>
        </w:rPr>
        <w:fldChar w:fldCharType="begin"/>
      </w:r>
      <w:r>
        <w:rPr>
          <w:bCs/>
          <w:kern w:val="0"/>
          <w:szCs w:val="22"/>
          <w:highlight w:val="none"/>
          <w:lang w:bidi="en-US"/>
        </w:rPr>
        <w:instrText xml:space="preserve"> STYLEREF 2 \s </w:instrText>
      </w:r>
      <w:r>
        <w:rPr>
          <w:bCs/>
          <w:kern w:val="0"/>
          <w:szCs w:val="22"/>
          <w:highlight w:val="none"/>
          <w:lang w:bidi="en-US"/>
        </w:rPr>
        <w:fldChar w:fldCharType="separate"/>
      </w:r>
      <w:r>
        <w:rPr>
          <w:bCs/>
          <w:kern w:val="0"/>
          <w:szCs w:val="22"/>
          <w:highlight w:val="none"/>
          <w:lang w:bidi="en-US"/>
        </w:rPr>
        <w:t>6.</w:t>
      </w:r>
      <w:r>
        <w:rPr>
          <w:rFonts w:hint="eastAsia"/>
          <w:bCs/>
          <w:kern w:val="0"/>
          <w:szCs w:val="22"/>
          <w:highlight w:val="none"/>
          <w:lang w:val="en-US" w:eastAsia="zh-CN" w:bidi="en-US"/>
        </w:rPr>
        <w:t>2</w:t>
      </w:r>
      <w:r>
        <w:rPr>
          <w:bCs/>
          <w:kern w:val="0"/>
          <w:szCs w:val="22"/>
          <w:highlight w:val="none"/>
          <w:lang w:bidi="en-US"/>
        </w:rPr>
        <w:fldChar w:fldCharType="end"/>
      </w:r>
      <w:r>
        <w:rPr>
          <w:rFonts w:hint="eastAsia"/>
          <w:bCs/>
          <w:kern w:val="0"/>
          <w:szCs w:val="22"/>
          <w:highlight w:val="none"/>
          <w:lang w:bidi="en-US"/>
        </w:rPr>
        <w:t>.3</w:t>
      </w:r>
      <w:r>
        <w:rPr>
          <w:bCs/>
          <w:kern w:val="0"/>
          <w:szCs w:val="22"/>
          <w:highlight w:val="none"/>
          <w:lang w:bidi="en-US"/>
        </w:rPr>
        <w:noBreakHyphen/>
      </w:r>
      <w:r>
        <w:rPr>
          <w:bCs/>
          <w:kern w:val="0"/>
          <w:szCs w:val="22"/>
          <w:highlight w:val="none"/>
          <w:lang w:bidi="en-US"/>
        </w:rPr>
        <w:fldChar w:fldCharType="begin"/>
      </w:r>
      <w:r>
        <w:rPr>
          <w:bCs/>
          <w:kern w:val="0"/>
          <w:szCs w:val="22"/>
          <w:highlight w:val="none"/>
          <w:lang w:bidi="en-US"/>
        </w:rPr>
        <w:instrText xml:space="preserve"> SEQ 表 \* ARABIC \s 2 </w:instrText>
      </w:r>
      <w:r>
        <w:rPr>
          <w:bCs/>
          <w:kern w:val="0"/>
          <w:szCs w:val="22"/>
          <w:highlight w:val="none"/>
          <w:lang w:bidi="en-US"/>
        </w:rPr>
        <w:fldChar w:fldCharType="separate"/>
      </w:r>
      <w:r>
        <w:rPr>
          <w:bCs/>
          <w:kern w:val="0"/>
          <w:szCs w:val="22"/>
          <w:highlight w:val="none"/>
          <w:lang w:bidi="en-US"/>
        </w:rPr>
        <w:t>1</w:t>
      </w:r>
      <w:r>
        <w:rPr>
          <w:bCs/>
          <w:kern w:val="0"/>
          <w:szCs w:val="22"/>
          <w:highlight w:val="none"/>
          <w:lang w:bidi="en-US"/>
        </w:rPr>
        <w:fldChar w:fldCharType="end"/>
      </w:r>
      <w:r>
        <w:rPr>
          <w:bCs/>
          <w:kern w:val="0"/>
          <w:szCs w:val="22"/>
          <w:highlight w:val="none"/>
          <w:lang w:bidi="en-US"/>
        </w:rPr>
        <w:t xml:space="preserve">  各岗位或部门安全生产职责表</w:t>
      </w:r>
    </w:p>
    <w:tbl>
      <w:tblPr>
        <w:tblStyle w:val="392"/>
        <w:tblW w:w="4998" w:type="pct"/>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1"/>
        <w:gridCol w:w="1358"/>
        <w:gridCol w:w="6360"/>
      </w:tblGrid>
      <w:tr w14:paraId="49A8C02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470" w:type="pct"/>
            <w:tcBorders>
              <w:top w:val="single" w:color="000000" w:sz="12" w:space="0"/>
              <w:left w:val="single" w:color="000000" w:sz="12" w:space="0"/>
              <w:bottom w:val="single" w:color="000000" w:sz="4" w:space="0"/>
              <w:right w:val="single" w:color="000000" w:sz="4" w:space="0"/>
              <w:tl2br w:val="nil"/>
              <w:tr2bl w:val="nil"/>
            </w:tcBorders>
            <w:shd w:val="clear" w:color="auto" w:fill="FFFFFF"/>
            <w:vAlign w:val="center"/>
          </w:tcPr>
          <w:p w14:paraId="5CA2712B">
            <w:pPr>
              <w:spacing w:line="240" w:lineRule="auto"/>
              <w:ind w:firstLine="0" w:firstLineChars="0"/>
              <w:rPr>
                <w:rFonts w:ascii="Calibri" w:hAnsi="Calibri" w:eastAsia="Times New Roman"/>
                <w:b/>
                <w:bCs/>
                <w:color w:val="000000"/>
                <w:sz w:val="21"/>
                <w:szCs w:val="22"/>
                <w:highlight w:val="none"/>
              </w:rPr>
            </w:pPr>
            <w:r>
              <w:rPr>
                <w:rFonts w:ascii="Calibri" w:hAnsi="Calibri" w:eastAsia="Times New Roman"/>
                <w:b/>
                <w:bCs/>
                <w:color w:val="000000"/>
                <w:sz w:val="21"/>
                <w:szCs w:val="22"/>
                <w:highlight w:val="none"/>
              </w:rPr>
              <w:t>序号</w:t>
            </w:r>
          </w:p>
        </w:tc>
        <w:tc>
          <w:tcPr>
            <w:tcW w:w="797" w:type="pct"/>
            <w:tcBorders>
              <w:top w:val="single" w:color="000000" w:sz="12" w:space="0"/>
              <w:left w:val="single" w:color="000000" w:sz="4" w:space="0"/>
              <w:bottom w:val="single" w:color="000000" w:sz="4" w:space="0"/>
              <w:right w:val="single" w:color="000000" w:sz="4" w:space="0"/>
              <w:tl2br w:val="nil"/>
              <w:tr2bl w:val="nil"/>
            </w:tcBorders>
            <w:shd w:val="clear" w:color="auto" w:fill="FFFFFF"/>
            <w:vAlign w:val="center"/>
          </w:tcPr>
          <w:p w14:paraId="03F538B8">
            <w:pPr>
              <w:spacing w:line="240" w:lineRule="auto"/>
              <w:ind w:firstLine="0" w:firstLineChars="0"/>
              <w:rPr>
                <w:rFonts w:ascii="Calibri" w:hAnsi="Calibri" w:eastAsia="Times New Roman"/>
                <w:b/>
                <w:bCs/>
                <w:color w:val="000000"/>
                <w:sz w:val="21"/>
                <w:szCs w:val="22"/>
                <w:highlight w:val="none"/>
              </w:rPr>
            </w:pPr>
            <w:r>
              <w:rPr>
                <w:rFonts w:ascii="Calibri" w:hAnsi="Calibri" w:eastAsia="Times New Roman"/>
                <w:b/>
                <w:bCs/>
                <w:color w:val="000000"/>
                <w:sz w:val="21"/>
                <w:szCs w:val="22"/>
                <w:highlight w:val="none"/>
              </w:rPr>
              <w:t>岗位/部门</w:t>
            </w:r>
          </w:p>
        </w:tc>
        <w:tc>
          <w:tcPr>
            <w:tcW w:w="3732" w:type="pct"/>
            <w:tcBorders>
              <w:top w:val="single" w:color="000000" w:sz="12" w:space="0"/>
              <w:left w:val="single" w:color="000000" w:sz="4" w:space="0"/>
              <w:bottom w:val="single" w:color="000000" w:sz="4" w:space="0"/>
              <w:right w:val="single" w:color="000000" w:sz="12" w:space="0"/>
              <w:tl2br w:val="nil"/>
              <w:tr2bl w:val="nil"/>
            </w:tcBorders>
            <w:shd w:val="clear" w:color="auto" w:fill="FFFFFF"/>
            <w:vAlign w:val="center"/>
          </w:tcPr>
          <w:p w14:paraId="1C387D44">
            <w:pPr>
              <w:ind w:firstLine="422"/>
              <w:jc w:val="center"/>
              <w:rPr>
                <w:rFonts w:ascii="Calibri" w:hAnsi="Calibri" w:eastAsia="Times New Roman"/>
                <w:b/>
                <w:bCs/>
                <w:color w:val="000000"/>
                <w:sz w:val="21"/>
                <w:szCs w:val="22"/>
                <w:highlight w:val="none"/>
              </w:rPr>
            </w:pPr>
            <w:r>
              <w:rPr>
                <w:rFonts w:ascii="Calibri" w:hAnsi="Calibri" w:eastAsia="Times New Roman"/>
                <w:b/>
                <w:bCs/>
                <w:color w:val="000000"/>
                <w:sz w:val="21"/>
                <w:szCs w:val="22"/>
                <w:highlight w:val="none"/>
              </w:rPr>
              <w:t>安全生产职责</w:t>
            </w:r>
          </w:p>
        </w:tc>
      </w:tr>
      <w:tr w14:paraId="20E96BD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tcBorders>
              <w:top w:val="single" w:color="000000" w:sz="4" w:space="0"/>
              <w:left w:val="single" w:color="000000" w:sz="12" w:space="0"/>
              <w:bottom w:val="single" w:color="000000" w:sz="4" w:space="0"/>
              <w:right w:val="single" w:color="000000" w:sz="4" w:space="0"/>
              <w:tl2br w:val="nil"/>
              <w:tr2bl w:val="nil"/>
            </w:tcBorders>
            <w:shd w:val="clear" w:color="auto" w:fill="FFFFFF"/>
            <w:vAlign w:val="center"/>
          </w:tcPr>
          <w:p w14:paraId="0E28B86C">
            <w:pPr>
              <w:numPr>
                <w:ilvl w:val="0"/>
                <w:numId w:val="32"/>
              </w:numPr>
              <w:spacing w:line="240" w:lineRule="auto"/>
              <w:ind w:left="240" w:leftChars="0" w:hanging="240" w:firstLineChars="0"/>
              <w:jc w:val="center"/>
              <w:rPr>
                <w:rFonts w:ascii="Calibri" w:hAnsi="Calibri" w:eastAsia="Times New Roman"/>
                <w:color w:val="000000"/>
                <w:sz w:val="21"/>
                <w:szCs w:val="22"/>
                <w:highlight w:val="none"/>
              </w:rPr>
            </w:pPr>
          </w:p>
        </w:tc>
        <w:tc>
          <w:tcPr>
            <w:tcW w:w="797" w:type="pct"/>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5A2F9B9F">
            <w:pPr>
              <w:pStyle w:val="53"/>
              <w:ind w:firstLine="0" w:firstLineChars="0"/>
              <w:rPr>
                <w:rFonts w:ascii="Calibri" w:hAnsi="Calibri" w:eastAsia="Times New Roman"/>
                <w:color w:val="000000"/>
                <w:sz w:val="21"/>
                <w:szCs w:val="22"/>
                <w:highlight w:val="none"/>
              </w:rPr>
            </w:pP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技术负责人</w:t>
            </w:r>
          </w:p>
        </w:tc>
        <w:tc>
          <w:tcPr>
            <w:tcW w:w="3732" w:type="pct"/>
            <w:tcBorders>
              <w:top w:val="single" w:color="000000" w:sz="4" w:space="0"/>
              <w:left w:val="single" w:color="000000" w:sz="4" w:space="0"/>
              <w:bottom w:val="single" w:color="000000" w:sz="4" w:space="0"/>
              <w:right w:val="single" w:color="000000" w:sz="12" w:space="0"/>
              <w:tl2br w:val="nil"/>
              <w:tr2bl w:val="nil"/>
            </w:tcBorders>
            <w:shd w:val="clear" w:color="auto" w:fill="FFFFFF"/>
            <w:vAlign w:val="center"/>
          </w:tcPr>
          <w:p w14:paraId="3DF385DA">
            <w:pPr>
              <w:pStyle w:val="53"/>
              <w:keepNext w:val="0"/>
              <w:keepLines w:val="0"/>
              <w:pageBreakBefore w:val="0"/>
              <w:widowControl w:val="0"/>
              <w:kinsoku/>
              <w:wordWrap/>
              <w:overflowPunct/>
              <w:topLinePunct w:val="0"/>
              <w:autoSpaceDE/>
              <w:autoSpaceDN/>
              <w:bidi w:val="0"/>
              <w:adjustRightInd/>
              <w:snapToGrid w:val="0"/>
              <w:ind w:left="0" w:leftChars="0" w:firstLine="0" w:firstLineChars="0"/>
              <w:textAlignment w:val="auto"/>
              <w:rPr>
                <w:rFonts w:ascii="Calibri" w:hAnsi="Calibri" w:eastAsia="Times New Roman"/>
                <w:color w:val="000000"/>
                <w:sz w:val="21"/>
                <w:szCs w:val="22"/>
                <w:highlight w:val="none"/>
              </w:rPr>
            </w:pPr>
            <w:r>
              <w:rPr>
                <w:rStyle w:val="220"/>
                <w:rFonts w:hint="eastAsia" w:ascii="Times New Roman" w:hAnsi="Times New Roman" w:eastAsia="宋体" w:cstheme="minorBidi"/>
                <w:b w:val="0"/>
                <w:i w:val="0"/>
                <w:color w:val="000000"/>
                <w:kern w:val="2"/>
                <w:szCs w:val="21"/>
                <w:highlight w:val="none"/>
                <w:lang w:val="en-US" w:eastAsia="zh-CN" w:bidi="ar-SA"/>
              </w:rPr>
              <w:t>技术负责人负责制定塔吊安装方案的技术细节，包括安装流程、技术参数、安全技术措施等内容；同时，在安装过程中提供技术指导，解决各类技术问题，监督技术方案执行情况并及时调整优化。</w:t>
            </w:r>
          </w:p>
        </w:tc>
      </w:tr>
      <w:tr w14:paraId="2275B2E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tcBorders>
              <w:top w:val="single" w:color="000000" w:sz="4" w:space="0"/>
              <w:left w:val="single" w:color="000000" w:sz="12" w:space="0"/>
              <w:bottom w:val="single" w:color="000000" w:sz="4" w:space="0"/>
              <w:right w:val="single" w:color="000000" w:sz="4" w:space="0"/>
              <w:tl2br w:val="nil"/>
              <w:tr2bl w:val="nil"/>
            </w:tcBorders>
            <w:shd w:val="clear" w:color="auto" w:fill="FFFFFF"/>
            <w:vAlign w:val="center"/>
          </w:tcPr>
          <w:p w14:paraId="09B26183">
            <w:pPr>
              <w:numPr>
                <w:ilvl w:val="0"/>
                <w:numId w:val="32"/>
              </w:numPr>
              <w:spacing w:line="240" w:lineRule="auto"/>
              <w:ind w:left="240" w:leftChars="0" w:hanging="240" w:firstLineChars="0"/>
              <w:jc w:val="center"/>
              <w:rPr>
                <w:rFonts w:ascii="Calibri" w:hAnsi="Calibri" w:eastAsia="Times New Roman"/>
                <w:color w:val="000000"/>
                <w:sz w:val="21"/>
                <w:szCs w:val="22"/>
                <w:highlight w:val="none"/>
              </w:rPr>
            </w:pPr>
          </w:p>
        </w:tc>
        <w:tc>
          <w:tcPr>
            <w:tcW w:w="797" w:type="pct"/>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4A16B822">
            <w:pPr>
              <w:pStyle w:val="53"/>
              <w:ind w:firstLine="0" w:firstLineChars="0"/>
              <w:rPr>
                <w:rFonts w:ascii="Calibri" w:hAnsi="Calibri" w:eastAsia="Times New Roman"/>
                <w:color w:val="000000"/>
                <w:sz w:val="21"/>
                <w:szCs w:val="22"/>
                <w:highlight w:val="none"/>
              </w:rPr>
            </w:pP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项目负责人</w:t>
            </w:r>
          </w:p>
        </w:tc>
        <w:tc>
          <w:tcPr>
            <w:tcW w:w="3732" w:type="pct"/>
            <w:tcBorders>
              <w:top w:val="single" w:color="000000" w:sz="4" w:space="0"/>
              <w:left w:val="single" w:color="000000" w:sz="4" w:space="0"/>
              <w:bottom w:val="single" w:color="000000" w:sz="4" w:space="0"/>
              <w:right w:val="single" w:color="000000" w:sz="12" w:space="0"/>
              <w:tl2br w:val="nil"/>
              <w:tr2bl w:val="nil"/>
            </w:tcBorders>
            <w:shd w:val="clear" w:color="auto" w:fill="FFFFFF"/>
            <w:vAlign w:val="center"/>
          </w:tcPr>
          <w:p w14:paraId="12EE8F93">
            <w:pPr>
              <w:pStyle w:val="53"/>
              <w:keepNext w:val="0"/>
              <w:keepLines w:val="0"/>
              <w:pageBreakBefore w:val="0"/>
              <w:widowControl w:val="0"/>
              <w:kinsoku/>
              <w:wordWrap/>
              <w:overflowPunct/>
              <w:topLinePunct w:val="0"/>
              <w:autoSpaceDE/>
              <w:autoSpaceDN/>
              <w:bidi w:val="0"/>
              <w:adjustRightInd/>
              <w:snapToGrid w:val="0"/>
              <w:ind w:left="0" w:leftChars="0" w:firstLine="0" w:firstLineChars="0"/>
              <w:textAlignment w:val="auto"/>
              <w:rPr>
                <w:rFonts w:ascii="Calibri" w:hAnsi="Calibri" w:eastAsia="Times New Roman"/>
                <w:color w:val="000000"/>
                <w:sz w:val="21"/>
                <w:szCs w:val="22"/>
                <w:highlight w:val="none"/>
              </w:rPr>
            </w:pP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负责现场安拆指导及安全管理</w:t>
            </w:r>
          </w:p>
        </w:tc>
      </w:tr>
      <w:tr w14:paraId="07F35A5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0" w:type="pct"/>
            <w:tcBorders>
              <w:top w:val="single" w:color="000000" w:sz="4" w:space="0"/>
              <w:left w:val="single" w:color="000000" w:sz="12" w:space="0"/>
              <w:bottom w:val="single" w:color="000000" w:sz="4" w:space="0"/>
              <w:right w:val="single" w:color="000000" w:sz="4" w:space="0"/>
              <w:tl2br w:val="nil"/>
              <w:tr2bl w:val="nil"/>
            </w:tcBorders>
            <w:shd w:val="clear" w:color="auto" w:fill="FFFFFF"/>
            <w:vAlign w:val="center"/>
          </w:tcPr>
          <w:p w14:paraId="6B1E6745">
            <w:pPr>
              <w:numPr>
                <w:ilvl w:val="0"/>
                <w:numId w:val="32"/>
              </w:numPr>
              <w:spacing w:line="240" w:lineRule="auto"/>
              <w:ind w:left="240" w:leftChars="0" w:hanging="240" w:firstLineChars="0"/>
              <w:jc w:val="center"/>
              <w:rPr>
                <w:rFonts w:ascii="Calibri" w:hAnsi="Calibri" w:eastAsia="Times New Roman"/>
                <w:color w:val="000000"/>
                <w:sz w:val="21"/>
                <w:szCs w:val="22"/>
                <w:highlight w:val="none"/>
              </w:rPr>
            </w:pPr>
          </w:p>
        </w:tc>
        <w:tc>
          <w:tcPr>
            <w:tcW w:w="797" w:type="pct"/>
            <w:tcBorders>
              <w:top w:val="single" w:color="000000" w:sz="4" w:space="0"/>
              <w:left w:val="single" w:color="000000" w:sz="4" w:space="0"/>
              <w:bottom w:val="single" w:color="000000" w:sz="4" w:space="0"/>
              <w:right w:val="single" w:color="000000" w:sz="4" w:space="0"/>
              <w:tl2br w:val="nil"/>
              <w:tr2bl w:val="nil"/>
            </w:tcBorders>
            <w:shd w:val="clear" w:color="auto" w:fill="FFFFFF"/>
            <w:vAlign w:val="center"/>
          </w:tcPr>
          <w:p w14:paraId="4E8F0730">
            <w:pPr>
              <w:pStyle w:val="53"/>
              <w:ind w:firstLine="0" w:firstLineChars="0"/>
              <w:rPr>
                <w:rFonts w:ascii="Calibri" w:hAnsi="Calibri" w:eastAsia="Times New Roman"/>
                <w:color w:val="000000"/>
                <w:sz w:val="21"/>
                <w:szCs w:val="22"/>
                <w:highlight w:val="none"/>
              </w:rPr>
            </w:pP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现场负责人</w:t>
            </w:r>
          </w:p>
        </w:tc>
        <w:tc>
          <w:tcPr>
            <w:tcW w:w="3732" w:type="pct"/>
            <w:tcBorders>
              <w:top w:val="single" w:color="000000" w:sz="4" w:space="0"/>
              <w:left w:val="single" w:color="000000" w:sz="4" w:space="0"/>
              <w:bottom w:val="single" w:color="000000" w:sz="4" w:space="0"/>
              <w:right w:val="single" w:color="000000" w:sz="12" w:space="0"/>
              <w:tl2br w:val="nil"/>
              <w:tr2bl w:val="nil"/>
            </w:tcBorders>
            <w:shd w:val="clear" w:color="auto" w:fill="FFFFFF"/>
            <w:vAlign w:val="center"/>
          </w:tcPr>
          <w:p w14:paraId="5D3C80FC">
            <w:pPr>
              <w:pStyle w:val="53"/>
              <w:keepNext w:val="0"/>
              <w:keepLines w:val="0"/>
              <w:pageBreakBefore w:val="0"/>
              <w:widowControl w:val="0"/>
              <w:kinsoku/>
              <w:wordWrap/>
              <w:overflowPunct/>
              <w:topLinePunct w:val="0"/>
              <w:autoSpaceDE/>
              <w:autoSpaceDN/>
              <w:bidi w:val="0"/>
              <w:adjustRightInd/>
              <w:snapToGrid w:val="0"/>
              <w:ind w:left="0" w:leftChars="0" w:firstLine="0" w:firstLineChars="0"/>
              <w:textAlignment w:val="auto"/>
              <w:rPr>
                <w:rFonts w:ascii="Calibri" w:hAnsi="Calibri" w:eastAsia="Times New Roman"/>
                <w:color w:val="000000"/>
                <w:sz w:val="21"/>
                <w:szCs w:val="22"/>
                <w:highlight w:val="none"/>
              </w:rPr>
            </w:pP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负责组织人员按安装工艺规程及塔吊使用说明书要求进行作业，负责每日的工作安排，安全交底、工作记录，制止任何违章作业。</w:t>
            </w:r>
          </w:p>
        </w:tc>
      </w:tr>
    </w:tbl>
    <w:p w14:paraId="577D6479">
      <w:pPr>
        <w:pStyle w:val="16"/>
        <w:ind w:left="0" w:leftChars="0" w:firstLine="0" w:firstLineChars="0"/>
        <w:rPr>
          <w:highlight w:val="none"/>
        </w:rPr>
      </w:pPr>
    </w:p>
    <w:p w14:paraId="40885624">
      <w:pPr>
        <w:pStyle w:val="5"/>
        <w:bidi w:val="0"/>
        <w:ind w:left="0" w:leftChars="0" w:firstLine="0" w:firstLineChars="0"/>
        <w:rPr>
          <w:highlight w:val="none"/>
        </w:rPr>
      </w:pPr>
      <w:r>
        <w:rPr>
          <w:rFonts w:hint="eastAsia"/>
          <w:highlight w:val="none"/>
        </w:rPr>
        <w:t>制度保证措施</w:t>
      </w:r>
      <w:bookmarkEnd w:id="89"/>
    </w:p>
    <w:p w14:paraId="5AE79F27">
      <w:pPr>
        <w:pStyle w:val="133"/>
        <w:ind w:firstLine="480"/>
        <w:rPr>
          <w:rFonts w:cs="Times New Roman"/>
          <w:highlight w:val="none"/>
        </w:rPr>
      </w:pPr>
      <w:bookmarkStart w:id="90" w:name="_Toc27838939"/>
      <w:bookmarkStart w:id="91" w:name="_Toc23891"/>
      <w:r>
        <w:rPr>
          <w:rFonts w:cs="Times New Roman"/>
          <w:highlight w:val="none"/>
        </w:rPr>
        <w:t>（1）严格执行安全生产教育与培训制度，分项工程开工前，对参建人员进行岗前安全教育培训，经培训考试合格后方可上岗。</w:t>
      </w:r>
    </w:p>
    <w:p w14:paraId="465F764A">
      <w:pPr>
        <w:pStyle w:val="133"/>
        <w:ind w:firstLine="480"/>
        <w:rPr>
          <w:rFonts w:cs="Times New Roman"/>
          <w:highlight w:val="none"/>
        </w:rPr>
      </w:pPr>
      <w:r>
        <w:rPr>
          <w:rFonts w:cs="Times New Roman"/>
          <w:highlight w:val="none"/>
        </w:rPr>
        <w:t>（2）严格执行特殊工种持证上岗制度，分项工程开工前，对特种作业人员进行专业安全培训，取得相应资格证书后，持证上岗。</w:t>
      </w:r>
    </w:p>
    <w:p w14:paraId="4B27A0F5">
      <w:pPr>
        <w:pStyle w:val="133"/>
        <w:ind w:firstLine="480"/>
        <w:rPr>
          <w:rFonts w:cs="Times New Roman"/>
          <w:highlight w:val="none"/>
        </w:rPr>
      </w:pPr>
      <w:r>
        <w:rPr>
          <w:rFonts w:cs="Times New Roman"/>
          <w:highlight w:val="none"/>
        </w:rPr>
        <w:t>（3）严格执行安全技术交底制度，使作业人员能了解作业过程中可能存在的事故隐患，交底采用书面安全技术交底和现场安全技术交底相结合的方式。</w:t>
      </w:r>
    </w:p>
    <w:p w14:paraId="44D4657E">
      <w:pPr>
        <w:pStyle w:val="133"/>
        <w:ind w:firstLine="480"/>
        <w:rPr>
          <w:rFonts w:cs="Times New Roman"/>
          <w:highlight w:val="none"/>
        </w:rPr>
      </w:pPr>
      <w:r>
        <w:rPr>
          <w:rFonts w:cs="Times New Roman"/>
          <w:highlight w:val="none"/>
        </w:rPr>
        <w:t>（4）落实安全生产责任制，项目部以安全总监主管安全生产工作，专职安全员负责日常安全管理工作，班组设兼职安全员，进行现场安全管理、指导、监督、制止违章，在危险时采取紧急措施。专职安全员持证上岗，在现场均配戴好工作标志。</w:t>
      </w:r>
    </w:p>
    <w:p w14:paraId="5715A49E">
      <w:pPr>
        <w:pStyle w:val="133"/>
        <w:ind w:firstLine="480"/>
        <w:rPr>
          <w:rFonts w:cs="Times New Roman"/>
          <w:highlight w:val="none"/>
        </w:rPr>
      </w:pPr>
      <w:r>
        <w:rPr>
          <w:rFonts w:cs="Times New Roman"/>
          <w:highlight w:val="none"/>
        </w:rPr>
        <w:t>（5）执行施工许可制度，分项工程开工前，针对工程实际编制切实可行的安全措施计划，并限期实施，没有安全保障措施时工程不得开工。</w:t>
      </w:r>
    </w:p>
    <w:p w14:paraId="738A5A14">
      <w:pPr>
        <w:pStyle w:val="133"/>
        <w:ind w:firstLine="480"/>
        <w:rPr>
          <w:rFonts w:cs="Times New Roman"/>
          <w:highlight w:val="none"/>
        </w:rPr>
      </w:pPr>
      <w:r>
        <w:rPr>
          <w:rFonts w:cs="Times New Roman"/>
          <w:highlight w:val="none"/>
        </w:rPr>
        <w:t>（6）实行安全例会制度，每周召开一次安全会议，决定安全生产的重大事项；每周进行一次安全检查，并随时召开部门安全会议，检查总结一周的安全工作，贯彻安全领导小组的决定，落实整改措施。</w:t>
      </w:r>
    </w:p>
    <w:p w14:paraId="35F19710">
      <w:pPr>
        <w:ind w:firstLine="480" w:firstLineChars="0"/>
        <w:rPr>
          <w:szCs w:val="22"/>
          <w:highlight w:val="none"/>
        </w:rPr>
      </w:pPr>
      <w:r>
        <w:rPr>
          <w:szCs w:val="22"/>
          <w:highlight w:val="none"/>
        </w:rPr>
        <w:t>（7）完善并执行安全目标管理制度，其中包括：禁酒令、安全生产带班管理制度、安全生产教育培训制度、施工起重机械使用登记制度、机械设备安全操作规程、安全用电制度、特种作业人员持证上岗制度、安全检查制度、“三同时”制度、生产安全事故报告和调查处理制度、安全预评价制度、工伤和意外伤害保险制度、高处作业十项禁令等。</w:t>
      </w:r>
    </w:p>
    <w:p w14:paraId="07BB4A9A">
      <w:pPr>
        <w:pStyle w:val="133"/>
        <w:ind w:firstLine="480"/>
        <w:rPr>
          <w:rFonts w:cs="Times New Roman"/>
          <w:highlight w:val="none"/>
        </w:rPr>
      </w:pPr>
      <w:r>
        <w:rPr>
          <w:rFonts w:cs="Times New Roman"/>
          <w:highlight w:val="none"/>
        </w:rPr>
        <w:t>（8）实行安全目标管理，层层分解落实安全指标，严格执行与经济挂钩的奖惩制度，坚决实施安全一票否决权制度。</w:t>
      </w:r>
    </w:p>
    <w:p w14:paraId="41404391">
      <w:pPr>
        <w:pStyle w:val="133"/>
        <w:ind w:firstLine="480"/>
        <w:rPr>
          <w:rFonts w:cs="Times New Roman"/>
          <w:highlight w:val="none"/>
        </w:rPr>
      </w:pPr>
      <w:r>
        <w:rPr>
          <w:rFonts w:cs="Times New Roman"/>
          <w:highlight w:val="none"/>
        </w:rPr>
        <w:t>（9）严格执行危险作业许可证制度，以控制和消除各类危险作业的风险，保障危险作业的安全进行。</w:t>
      </w:r>
    </w:p>
    <w:p w14:paraId="7289127C">
      <w:pPr>
        <w:pStyle w:val="5"/>
        <w:bidi w:val="0"/>
        <w:ind w:left="0" w:leftChars="0" w:firstLine="0" w:firstLineChars="0"/>
        <w:rPr>
          <w:highlight w:val="none"/>
        </w:rPr>
      </w:pPr>
      <w:r>
        <w:rPr>
          <w:rFonts w:hint="eastAsia"/>
          <w:highlight w:val="none"/>
        </w:rPr>
        <w:t>思想保证措施</w:t>
      </w:r>
      <w:bookmarkEnd w:id="90"/>
      <w:bookmarkEnd w:id="91"/>
    </w:p>
    <w:p w14:paraId="7CDAB0E2">
      <w:pPr>
        <w:pStyle w:val="389"/>
        <w:ind w:firstLine="480"/>
        <w:rPr>
          <w:rFonts w:cs="Times New Roman"/>
          <w:highlight w:val="none"/>
        </w:rPr>
      </w:pPr>
      <w:r>
        <w:rPr>
          <w:rFonts w:cs="Times New Roman"/>
          <w:highlight w:val="none"/>
        </w:rPr>
        <w:t>（1）全体参建人员严格执行党和国家有关安全生产法律、法规和安全生产规程，自觉遵守国家、行业、地方及业主的有关安全生产管理规定。</w:t>
      </w:r>
    </w:p>
    <w:p w14:paraId="7466F764">
      <w:pPr>
        <w:pStyle w:val="389"/>
        <w:ind w:firstLine="480"/>
        <w:rPr>
          <w:rFonts w:cs="Times New Roman"/>
          <w:highlight w:val="none"/>
        </w:rPr>
      </w:pPr>
      <w:r>
        <w:rPr>
          <w:rFonts w:cs="Times New Roman"/>
          <w:highlight w:val="none"/>
        </w:rPr>
        <w:t>（2）认真贯彻执行“安全第一、预防为主、综合治理”的方针，增强全员安全意识，使全员都能明确自己的安全目标和职责，达到全员参加，全员实施的目的，体现“安全生产、人人有责”的原则。</w:t>
      </w:r>
    </w:p>
    <w:p w14:paraId="04B750C9">
      <w:pPr>
        <w:pStyle w:val="389"/>
        <w:ind w:firstLine="480"/>
        <w:rPr>
          <w:rFonts w:cs="Times New Roman"/>
          <w:highlight w:val="none"/>
        </w:rPr>
      </w:pPr>
      <w:r>
        <w:rPr>
          <w:rFonts w:cs="Times New Roman"/>
          <w:highlight w:val="none"/>
        </w:rPr>
        <w:t>（3）分项工程开工前，对所有上岗人员进行安全教育培训，使全员都能遵守生产必须安全，安全才能生产的原则，严格执行安全操作规程，持证上岗。</w:t>
      </w:r>
    </w:p>
    <w:p w14:paraId="0B7D8AAF">
      <w:pPr>
        <w:pStyle w:val="389"/>
        <w:ind w:firstLine="480"/>
        <w:rPr>
          <w:rFonts w:cs="Times New Roman"/>
          <w:highlight w:val="none"/>
        </w:rPr>
      </w:pPr>
      <w:r>
        <w:rPr>
          <w:rFonts w:cs="Times New Roman"/>
          <w:highlight w:val="none"/>
        </w:rPr>
        <w:t>（4）随时接受业主及监理单位对安全生产的督促、检查、考评，对提出的问题，立即落实方案组织实施，确保安全生产。</w:t>
      </w:r>
    </w:p>
    <w:p w14:paraId="624D6605">
      <w:pPr>
        <w:pStyle w:val="4"/>
        <w:bidi w:val="0"/>
        <w:ind w:left="0" w:leftChars="0" w:firstLine="0" w:firstLineChars="0"/>
        <w:rPr>
          <w:highlight w:val="none"/>
        </w:rPr>
      </w:pPr>
      <w:bookmarkStart w:id="92" w:name="_Toc11521"/>
      <w:r>
        <w:rPr>
          <w:rFonts w:hint="eastAsia"/>
          <w:highlight w:val="none"/>
        </w:rPr>
        <w:t>施工安全技术措施</w:t>
      </w:r>
      <w:bookmarkEnd w:id="92"/>
    </w:p>
    <w:p w14:paraId="3C1BB45E">
      <w:pPr>
        <w:pStyle w:val="5"/>
        <w:bidi w:val="0"/>
        <w:ind w:left="0" w:leftChars="0" w:firstLine="0" w:firstLineChars="0"/>
        <w:rPr>
          <w:highlight w:val="none"/>
        </w:rPr>
      </w:pPr>
      <w:r>
        <w:rPr>
          <w:rFonts w:hint="eastAsia"/>
          <w:highlight w:val="none"/>
        </w:rPr>
        <w:t>安全方针及基本要求</w:t>
      </w:r>
    </w:p>
    <w:p w14:paraId="7B8FE0AC">
      <w:pPr>
        <w:ind w:firstLine="480"/>
        <w:rPr>
          <w:highlight w:val="none"/>
        </w:rPr>
      </w:pPr>
      <w:r>
        <w:rPr>
          <w:rFonts w:hint="eastAsia"/>
          <w:highlight w:val="none"/>
        </w:rPr>
        <w:t>1）认真贯彻执行、落实国家“安全第一、预防为主、综合治理”的方针，严格执行国家、地方及企业安全技术规范、规章、制度，牢固树立“安全第一”的思想，坚持预防为主的方针，落实安全生产责任制。</w:t>
      </w:r>
    </w:p>
    <w:p w14:paraId="2D64C5D7">
      <w:pPr>
        <w:ind w:firstLine="480"/>
        <w:rPr>
          <w:highlight w:val="none"/>
        </w:rPr>
      </w:pPr>
      <w:r>
        <w:rPr>
          <w:rFonts w:hint="eastAsia"/>
          <w:highlight w:val="none"/>
        </w:rPr>
        <w:t>2）建立落实安全技术交底制度，各级交底必须履行签字手续。认真做好安全检查，做到有制度，有记录。</w:t>
      </w:r>
    </w:p>
    <w:p w14:paraId="10FA8201">
      <w:pPr>
        <w:ind w:firstLine="480"/>
        <w:rPr>
          <w:highlight w:val="none"/>
        </w:rPr>
      </w:pPr>
      <w:r>
        <w:rPr>
          <w:rFonts w:hint="eastAsia"/>
          <w:highlight w:val="none"/>
        </w:rPr>
        <w:t>3）安装作业人员必须持证上岗。</w:t>
      </w:r>
    </w:p>
    <w:p w14:paraId="69B92453">
      <w:pPr>
        <w:ind w:firstLine="480"/>
        <w:rPr>
          <w:highlight w:val="none"/>
        </w:rPr>
      </w:pPr>
      <w:r>
        <w:rPr>
          <w:rFonts w:hint="eastAsia"/>
          <w:highlight w:val="none"/>
        </w:rPr>
        <w:t>4）安装施工区域必须有安全距离，并设安全警示标志，专人负责危险区域警戒告示。</w:t>
      </w:r>
    </w:p>
    <w:p w14:paraId="6E37807A">
      <w:pPr>
        <w:ind w:firstLine="480"/>
        <w:rPr>
          <w:highlight w:val="none"/>
        </w:rPr>
      </w:pPr>
      <w:r>
        <w:rPr>
          <w:rFonts w:hint="eastAsia"/>
          <w:highlight w:val="none"/>
        </w:rPr>
        <w:t>5）确保文明施工，实行统一领导，分工责任，做到现场文明施工。</w:t>
      </w:r>
    </w:p>
    <w:p w14:paraId="6BC51A28">
      <w:pPr>
        <w:ind w:firstLine="480"/>
        <w:rPr>
          <w:highlight w:val="none"/>
        </w:rPr>
      </w:pPr>
      <w:bookmarkStart w:id="93" w:name="_Toc530055690"/>
      <w:r>
        <w:rPr>
          <w:rFonts w:hint="eastAsia"/>
          <w:highlight w:val="none"/>
        </w:rPr>
        <w:t>作业安全规定</w:t>
      </w:r>
    </w:p>
    <w:bookmarkEnd w:id="93"/>
    <w:p w14:paraId="43B5B2AA">
      <w:pPr>
        <w:ind w:firstLine="480"/>
        <w:rPr>
          <w:color w:val="000000" w:themeColor="text1"/>
          <w:highlight w:val="none"/>
          <w14:textFill>
            <w14:solidFill>
              <w14:schemeClr w14:val="tx1"/>
            </w14:solidFill>
          </w14:textFill>
        </w:rPr>
      </w:pPr>
      <w:r>
        <w:rPr>
          <w:rFonts w:hint="eastAsia"/>
          <w:highlight w:val="none"/>
        </w:rPr>
        <w:t>1）患高血压、心脏病、贫血病、癫痫病以及其它不适于高空作业的不得从事高空</w:t>
      </w:r>
      <w:r>
        <w:rPr>
          <w:rFonts w:hint="eastAsia"/>
          <w:color w:val="000000" w:themeColor="text1"/>
          <w:highlight w:val="none"/>
          <w14:textFill>
            <w14:solidFill>
              <w14:schemeClr w14:val="tx1"/>
            </w14:solidFill>
          </w14:textFill>
        </w:rPr>
        <w:t>作业；</w:t>
      </w:r>
    </w:p>
    <w:p w14:paraId="3B7D3DC4">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2）高空作业衣着要灵便，禁止穿硬底和带钉易滑的鞋。衣服袖口、裤脚口要扎紧。</w:t>
      </w:r>
    </w:p>
    <w:p w14:paraId="5DA396C7">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3）在2m以上登高作业时，应使用安全带拴牢在固定物上，使用安全带前必须仔细检查绳带是否够力，带环是否牢固。</w:t>
      </w:r>
    </w:p>
    <w:p w14:paraId="2478B7BC">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4）登高作业注意力要集中，不得开玩笑，不得快跑急跳，以防失足，从高空中滑落。</w:t>
      </w:r>
    </w:p>
    <w:p w14:paraId="5B14EF25">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5）有雷雨、暴雨和风速超过4级风时，不允许进行安装工作。</w:t>
      </w:r>
    </w:p>
    <w:p w14:paraId="13B0BFC3">
      <w:pPr>
        <w:ind w:firstLine="480"/>
        <w:rPr>
          <w:highlight w:val="none"/>
        </w:rPr>
      </w:pPr>
      <w:r>
        <w:rPr>
          <w:rFonts w:hint="eastAsia"/>
          <w:color w:val="000000" w:themeColor="text1"/>
          <w:highlight w:val="none"/>
          <w14:textFill>
            <w14:solidFill>
              <w14:schemeClr w14:val="tx1"/>
            </w14:solidFill>
          </w14:textFill>
        </w:rPr>
        <w:t>6）高空作业用材料要堆放平稳，工具应随手放入工</w:t>
      </w:r>
      <w:r>
        <w:rPr>
          <w:rFonts w:hint="eastAsia"/>
          <w:highlight w:val="none"/>
        </w:rPr>
        <w:t>具袋内，同时用细绳联接工具与作业人员，上下递物件禁止抛掷。螺栓等各种小件物品放入小铁桶。</w:t>
      </w:r>
    </w:p>
    <w:p w14:paraId="364F5152">
      <w:pPr>
        <w:pStyle w:val="5"/>
        <w:bidi w:val="0"/>
        <w:ind w:left="0" w:leftChars="0" w:firstLine="0" w:firstLineChars="0"/>
        <w:rPr>
          <w:highlight w:val="none"/>
        </w:rPr>
      </w:pPr>
      <w:r>
        <w:rPr>
          <w:rFonts w:hint="eastAsia"/>
          <w:highlight w:val="none"/>
        </w:rPr>
        <w:t>塔吊安拆作业班组安全教育培训计划</w:t>
      </w:r>
    </w:p>
    <w:p w14:paraId="131A2E4D">
      <w:pPr>
        <w:pStyle w:val="18"/>
        <w:rPr>
          <w:highlight w:val="none"/>
        </w:rPr>
      </w:pPr>
      <w:r>
        <w:rPr>
          <w:rFonts w:hint="eastAsia"/>
          <w:highlight w:val="none"/>
        </w:rPr>
        <w:t xml:space="preserve">表 </w:t>
      </w:r>
      <w:r>
        <w:rPr>
          <w:highlight w:val="none"/>
        </w:rPr>
        <w:fldChar w:fldCharType="begin"/>
      </w:r>
      <w:r>
        <w:rPr>
          <w:highlight w:val="none"/>
        </w:rPr>
        <w:instrText xml:space="preserve"> </w:instrText>
      </w:r>
      <w:r>
        <w:rPr>
          <w:rFonts w:hint="eastAsia"/>
          <w:highlight w:val="none"/>
        </w:rPr>
        <w:instrText xml:space="preserve">STYLEREF 3 \s</w:instrText>
      </w:r>
      <w:r>
        <w:rPr>
          <w:highlight w:val="none"/>
        </w:rPr>
        <w:instrText xml:space="preserve"> </w:instrText>
      </w:r>
      <w:r>
        <w:rPr>
          <w:highlight w:val="none"/>
        </w:rPr>
        <w:fldChar w:fldCharType="separate"/>
      </w:r>
      <w:r>
        <w:rPr>
          <w:highlight w:val="none"/>
        </w:rPr>
        <w:t>6.</w:t>
      </w:r>
      <w:r>
        <w:rPr>
          <w:rFonts w:hint="eastAsia"/>
          <w:highlight w:val="none"/>
          <w:lang w:val="en-US" w:eastAsia="zh-CN"/>
        </w:rPr>
        <w:t>3</w:t>
      </w:r>
      <w:r>
        <w:rPr>
          <w:highlight w:val="none"/>
        </w:rPr>
        <w:t>.2</w:t>
      </w:r>
      <w:r>
        <w:rPr>
          <w:highlight w:val="none"/>
        </w:rPr>
        <w:fldChar w:fldCharType="end"/>
      </w:r>
      <w:r>
        <w:rPr>
          <w:highlight w:val="none"/>
        </w:rPr>
        <w:noBreakHyphen/>
      </w:r>
      <w:r>
        <w:rPr>
          <w:highlight w:val="none"/>
        </w:rPr>
        <w:fldChar w:fldCharType="begin"/>
      </w:r>
      <w:r>
        <w:rPr>
          <w:highlight w:val="none"/>
        </w:rPr>
        <w:instrText xml:space="preserve"> </w:instrText>
      </w:r>
      <w:r>
        <w:rPr>
          <w:rFonts w:hint="eastAsia"/>
          <w:highlight w:val="none"/>
        </w:rPr>
        <w:instrText xml:space="preserve">SEQ 表 \* ARABIC \s 3</w:instrText>
      </w:r>
      <w:r>
        <w:rPr>
          <w:highlight w:val="none"/>
        </w:rPr>
        <w:instrText xml:space="preserve"> </w:instrText>
      </w:r>
      <w:r>
        <w:rPr>
          <w:highlight w:val="none"/>
        </w:rPr>
        <w:fldChar w:fldCharType="separate"/>
      </w:r>
      <w:r>
        <w:rPr>
          <w:highlight w:val="none"/>
        </w:rPr>
        <w:t>1</w:t>
      </w:r>
      <w:r>
        <w:rPr>
          <w:highlight w:val="none"/>
        </w:rPr>
        <w:fldChar w:fldCharType="end"/>
      </w:r>
      <w:r>
        <w:rPr>
          <w:rFonts w:hint="eastAsia"/>
          <w:highlight w:val="none"/>
        </w:rPr>
        <w:t>塔吊安拆作业班组安全教育培训计划表</w:t>
      </w:r>
    </w:p>
    <w:tbl>
      <w:tblPr>
        <w:tblStyle w:val="159"/>
        <w:tblW w:w="5000" w:type="pct"/>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02"/>
        <w:gridCol w:w="2962"/>
        <w:gridCol w:w="1479"/>
        <w:gridCol w:w="902"/>
        <w:gridCol w:w="1583"/>
        <w:gridCol w:w="994"/>
      </w:tblGrid>
      <w:tr w14:paraId="1191965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blHeader/>
        </w:trPr>
        <w:tc>
          <w:tcPr>
            <w:tcW w:w="353"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24A7ADAB">
            <w:pPr>
              <w:pStyle w:val="53"/>
              <w:rPr>
                <w:rFonts w:ascii="Times New Roman" w:hAnsi="Times New Roman" w:eastAsia="宋体" w:cstheme="minorBidi"/>
                <w:b/>
                <w:i w:val="0"/>
                <w:highlight w:val="none"/>
              </w:rPr>
            </w:pPr>
            <w:r>
              <w:rPr>
                <w:rFonts w:hint="eastAsia" w:ascii="Times New Roman" w:hAnsi="Times New Roman" w:eastAsia="宋体" w:cstheme="minorBidi"/>
                <w:b/>
                <w:bCs w:val="0"/>
                <w:i w:val="0"/>
                <w:highlight w:val="none"/>
              </w:rPr>
              <w:t>序号</w:t>
            </w:r>
          </w:p>
        </w:tc>
        <w:tc>
          <w:tcPr>
            <w:tcW w:w="1737"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663BA643">
            <w:pPr>
              <w:pStyle w:val="53"/>
              <w:rPr>
                <w:rFonts w:ascii="Times New Roman" w:hAnsi="Times New Roman" w:eastAsia="宋体" w:cstheme="minorBidi"/>
                <w:b w:val="0"/>
                <w:bCs w:val="0"/>
                <w:i w:val="0"/>
                <w:highlight w:val="none"/>
              </w:rPr>
            </w:pPr>
            <w:r>
              <w:rPr>
                <w:rFonts w:hint="eastAsia" w:ascii="Times New Roman" w:hAnsi="Times New Roman" w:eastAsia="宋体" w:cstheme="minorBidi"/>
                <w:b/>
                <w:bCs w:val="0"/>
                <w:i w:val="0"/>
                <w:highlight w:val="none"/>
              </w:rPr>
              <w:t>教育培训</w:t>
            </w:r>
            <w:r>
              <w:rPr>
                <w:rFonts w:ascii="Times New Roman" w:hAnsi="Times New Roman" w:eastAsia="宋体" w:cstheme="minorBidi"/>
                <w:b/>
                <w:bCs w:val="0"/>
                <w:i w:val="0"/>
                <w:highlight w:val="none"/>
              </w:rPr>
              <w:t>名称</w:t>
            </w:r>
          </w:p>
        </w:tc>
        <w:tc>
          <w:tcPr>
            <w:tcW w:w="867"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3DAFF602">
            <w:pPr>
              <w:pStyle w:val="53"/>
              <w:rPr>
                <w:rFonts w:ascii="Times New Roman" w:hAnsi="Times New Roman" w:eastAsia="宋体" w:cstheme="minorBidi"/>
                <w:b w:val="0"/>
                <w:bCs w:val="0"/>
                <w:i w:val="0"/>
                <w:highlight w:val="none"/>
              </w:rPr>
            </w:pPr>
            <w:r>
              <w:rPr>
                <w:rFonts w:ascii="Times New Roman" w:hAnsi="Times New Roman" w:eastAsia="宋体" w:cstheme="minorBidi"/>
                <w:b/>
                <w:bCs w:val="0"/>
                <w:i w:val="0"/>
                <w:highlight w:val="none"/>
              </w:rPr>
              <w:t>类别</w:t>
            </w:r>
          </w:p>
        </w:tc>
        <w:tc>
          <w:tcPr>
            <w:tcW w:w="529"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67020B58">
            <w:pPr>
              <w:pStyle w:val="53"/>
              <w:rPr>
                <w:rFonts w:ascii="Times New Roman" w:hAnsi="Times New Roman" w:eastAsia="宋体" w:cstheme="minorBidi"/>
                <w:b w:val="0"/>
                <w:bCs w:val="0"/>
                <w:i w:val="0"/>
                <w:highlight w:val="none"/>
              </w:rPr>
            </w:pPr>
            <w:r>
              <w:rPr>
                <w:rFonts w:ascii="Times New Roman" w:hAnsi="Times New Roman" w:eastAsia="宋体" w:cstheme="minorBidi"/>
                <w:b/>
                <w:bCs w:val="0"/>
                <w:i w:val="0"/>
                <w:highlight w:val="none"/>
              </w:rPr>
              <w:t>责任部门</w:t>
            </w:r>
          </w:p>
        </w:tc>
        <w:tc>
          <w:tcPr>
            <w:tcW w:w="928"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2C80DFC7">
            <w:pPr>
              <w:pStyle w:val="53"/>
              <w:rPr>
                <w:rFonts w:ascii="Times New Roman" w:hAnsi="Times New Roman" w:eastAsia="宋体" w:cstheme="minorBidi"/>
                <w:b w:val="0"/>
                <w:bCs w:val="0"/>
                <w:i w:val="0"/>
                <w:highlight w:val="none"/>
              </w:rPr>
            </w:pPr>
            <w:r>
              <w:rPr>
                <w:rFonts w:ascii="Times New Roman" w:hAnsi="Times New Roman" w:eastAsia="宋体" w:cstheme="minorBidi"/>
                <w:b/>
                <w:bCs w:val="0"/>
                <w:i w:val="0"/>
                <w:highlight w:val="none"/>
              </w:rPr>
              <w:t>协助部门</w:t>
            </w:r>
          </w:p>
        </w:tc>
        <w:tc>
          <w:tcPr>
            <w:tcW w:w="583"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411B2821">
            <w:pPr>
              <w:pStyle w:val="53"/>
              <w:rPr>
                <w:rFonts w:ascii="Times New Roman" w:hAnsi="Times New Roman" w:eastAsia="宋体" w:cstheme="minorBidi"/>
                <w:b w:val="0"/>
                <w:bCs w:val="0"/>
                <w:i w:val="0"/>
                <w:highlight w:val="none"/>
              </w:rPr>
            </w:pPr>
            <w:r>
              <w:rPr>
                <w:rFonts w:hint="eastAsia" w:ascii="Times New Roman" w:hAnsi="Times New Roman" w:eastAsia="宋体" w:cstheme="minorBidi"/>
                <w:b/>
                <w:bCs w:val="0"/>
                <w:i w:val="0"/>
                <w:highlight w:val="none"/>
              </w:rPr>
              <w:t>计划时间</w:t>
            </w:r>
          </w:p>
        </w:tc>
      </w:tr>
      <w:tr w14:paraId="184F352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5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0C870D6">
            <w:pPr>
              <w:pStyle w:val="53"/>
              <w:rPr>
                <w:rFonts w:ascii="Times New Roman" w:hAnsi="Times New Roman" w:eastAsia="宋体" w:cstheme="minorBidi"/>
                <w:b w:val="0"/>
                <w:i w:val="0"/>
                <w:highlight w:val="none"/>
              </w:rPr>
            </w:pPr>
            <w:r>
              <w:rPr>
                <w:rFonts w:ascii="Times New Roman" w:hAnsi="Times New Roman" w:eastAsia="宋体" w:cstheme="minorBidi"/>
                <w:b w:val="0"/>
                <w:i w:val="0"/>
                <w:highlight w:val="none"/>
              </w:rPr>
              <w:t>1</w:t>
            </w:r>
          </w:p>
        </w:tc>
        <w:tc>
          <w:tcPr>
            <w:tcW w:w="17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1D7291">
            <w:pPr>
              <w:pStyle w:val="53"/>
              <w:rPr>
                <w:rFonts w:cstheme="minorBidi"/>
                <w:b w:val="0"/>
                <w:highlight w:val="none"/>
              </w:rPr>
            </w:pPr>
            <w:r>
              <w:rPr>
                <w:rFonts w:hint="eastAsia" w:cstheme="minorBidi"/>
                <w:b w:val="0"/>
                <w:highlight w:val="none"/>
              </w:rPr>
              <w:t>塔吊安装班组进场安全教育培训</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9A461F">
            <w:pPr>
              <w:pStyle w:val="53"/>
              <w:rPr>
                <w:rFonts w:cstheme="minorBidi"/>
                <w:b w:val="0"/>
                <w:highlight w:val="none"/>
              </w:rPr>
            </w:pPr>
            <w:r>
              <w:rPr>
                <w:rFonts w:hint="eastAsia" w:cstheme="minorBidi"/>
                <w:b w:val="0"/>
                <w:highlight w:val="none"/>
              </w:rPr>
              <w:t>三级安全教育</w:t>
            </w:r>
          </w:p>
        </w:tc>
        <w:tc>
          <w:tcPr>
            <w:tcW w:w="5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F889C0">
            <w:pPr>
              <w:pStyle w:val="53"/>
              <w:rPr>
                <w:rFonts w:cstheme="minorBidi"/>
                <w:b w:val="0"/>
                <w:highlight w:val="none"/>
              </w:rPr>
            </w:pPr>
            <w:r>
              <w:rPr>
                <w:rFonts w:hint="eastAsia" w:cstheme="minorBidi"/>
                <w:b w:val="0"/>
                <w:highlight w:val="none"/>
              </w:rPr>
              <w:t>安监部</w:t>
            </w:r>
          </w:p>
        </w:tc>
        <w:tc>
          <w:tcPr>
            <w:tcW w:w="92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C3FC2A">
            <w:pPr>
              <w:pStyle w:val="53"/>
              <w:rPr>
                <w:rFonts w:cstheme="minorBidi"/>
                <w:b w:val="0"/>
                <w:highlight w:val="none"/>
              </w:rPr>
            </w:pPr>
            <w:r>
              <w:rPr>
                <w:rFonts w:cstheme="minorBidi"/>
                <w:b w:val="0"/>
                <w:highlight w:val="none"/>
              </w:rPr>
              <w:t>设备部</w:t>
            </w:r>
            <w:r>
              <w:rPr>
                <w:rFonts w:hint="eastAsia" w:cstheme="minorBidi"/>
                <w:b w:val="0"/>
                <w:highlight w:val="none"/>
              </w:rPr>
              <w:t>、工程部</w:t>
            </w:r>
          </w:p>
        </w:tc>
        <w:tc>
          <w:tcPr>
            <w:tcW w:w="5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02E69732">
            <w:pPr>
              <w:pStyle w:val="53"/>
              <w:rPr>
                <w:rFonts w:cstheme="minorBidi"/>
                <w:b w:val="0"/>
                <w:highlight w:val="none"/>
              </w:rPr>
            </w:pPr>
            <w:r>
              <w:rPr>
                <w:rFonts w:hint="eastAsia" w:cstheme="minorBidi"/>
                <w:b w:val="0"/>
                <w:highlight w:val="none"/>
              </w:rPr>
              <w:t>进场前</w:t>
            </w:r>
          </w:p>
        </w:tc>
      </w:tr>
      <w:tr w14:paraId="424C305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5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5715DAE">
            <w:pPr>
              <w:pStyle w:val="53"/>
              <w:rPr>
                <w:rFonts w:ascii="Times New Roman" w:hAnsi="Times New Roman" w:eastAsia="宋体" w:cstheme="minorBidi"/>
                <w:b w:val="0"/>
                <w:i w:val="0"/>
                <w:highlight w:val="none"/>
              </w:rPr>
            </w:pPr>
            <w:r>
              <w:rPr>
                <w:rFonts w:ascii="Times New Roman" w:hAnsi="Times New Roman" w:eastAsia="宋体" w:cstheme="minorBidi"/>
                <w:b w:val="0"/>
                <w:i w:val="0"/>
                <w:highlight w:val="none"/>
              </w:rPr>
              <w:t>2</w:t>
            </w:r>
          </w:p>
        </w:tc>
        <w:tc>
          <w:tcPr>
            <w:tcW w:w="17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DAB595">
            <w:pPr>
              <w:pStyle w:val="53"/>
              <w:rPr>
                <w:rFonts w:cstheme="minorBidi"/>
                <w:b w:val="0"/>
                <w:highlight w:val="none"/>
              </w:rPr>
            </w:pPr>
            <w:r>
              <w:rPr>
                <w:rFonts w:hint="eastAsia" w:cstheme="minorBidi"/>
                <w:b w:val="0"/>
                <w:highlight w:val="none"/>
              </w:rPr>
              <w:t>塔吊安装班组专项安全教育</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20F5E5">
            <w:pPr>
              <w:pStyle w:val="53"/>
              <w:rPr>
                <w:rFonts w:cstheme="minorBidi"/>
                <w:b w:val="0"/>
                <w:highlight w:val="none"/>
              </w:rPr>
            </w:pPr>
            <w:r>
              <w:rPr>
                <w:rFonts w:hint="eastAsia" w:cstheme="minorBidi"/>
                <w:b w:val="0"/>
                <w:highlight w:val="none"/>
              </w:rPr>
              <w:t>专项安全教育</w:t>
            </w:r>
          </w:p>
        </w:tc>
        <w:tc>
          <w:tcPr>
            <w:tcW w:w="5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F5BDCB">
            <w:pPr>
              <w:pStyle w:val="53"/>
              <w:rPr>
                <w:rFonts w:cstheme="minorBidi"/>
                <w:b w:val="0"/>
                <w:highlight w:val="none"/>
              </w:rPr>
            </w:pPr>
            <w:r>
              <w:rPr>
                <w:rFonts w:hint="eastAsia" w:cstheme="minorBidi"/>
                <w:b w:val="0"/>
                <w:highlight w:val="none"/>
              </w:rPr>
              <w:t>安监部</w:t>
            </w:r>
          </w:p>
        </w:tc>
        <w:tc>
          <w:tcPr>
            <w:tcW w:w="92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CC1F20">
            <w:pPr>
              <w:pStyle w:val="53"/>
              <w:rPr>
                <w:rFonts w:cstheme="minorBidi"/>
                <w:b w:val="0"/>
                <w:highlight w:val="none"/>
              </w:rPr>
            </w:pPr>
            <w:r>
              <w:rPr>
                <w:rFonts w:hint="eastAsia" w:cstheme="minorBidi"/>
                <w:b w:val="0"/>
                <w:highlight w:val="none"/>
              </w:rPr>
              <w:t>设备部</w:t>
            </w:r>
          </w:p>
        </w:tc>
        <w:tc>
          <w:tcPr>
            <w:tcW w:w="5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C5BA52B">
            <w:pPr>
              <w:pStyle w:val="53"/>
              <w:rPr>
                <w:rFonts w:cstheme="minorBidi"/>
                <w:b w:val="0"/>
                <w:highlight w:val="none"/>
              </w:rPr>
            </w:pPr>
            <w:r>
              <w:rPr>
                <w:rFonts w:hint="eastAsia" w:cstheme="minorBidi"/>
                <w:b w:val="0"/>
                <w:highlight w:val="none"/>
              </w:rPr>
              <w:t>不定期</w:t>
            </w:r>
          </w:p>
        </w:tc>
      </w:tr>
      <w:tr w14:paraId="5BE1421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53"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22D79FF">
            <w:pPr>
              <w:pStyle w:val="53"/>
              <w:rPr>
                <w:rFonts w:ascii="Times New Roman" w:hAnsi="Times New Roman" w:eastAsia="宋体" w:cstheme="minorBidi"/>
                <w:b w:val="0"/>
                <w:i w:val="0"/>
                <w:highlight w:val="none"/>
              </w:rPr>
            </w:pPr>
            <w:r>
              <w:rPr>
                <w:rFonts w:ascii="Times New Roman" w:hAnsi="Times New Roman" w:eastAsia="宋体" w:cstheme="minorBidi"/>
                <w:b w:val="0"/>
                <w:i w:val="0"/>
                <w:highlight w:val="none"/>
              </w:rPr>
              <w:t>3</w:t>
            </w:r>
          </w:p>
        </w:tc>
        <w:tc>
          <w:tcPr>
            <w:tcW w:w="173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0B7693">
            <w:pPr>
              <w:pStyle w:val="53"/>
              <w:rPr>
                <w:rFonts w:cstheme="minorBidi"/>
                <w:b w:val="0"/>
                <w:highlight w:val="none"/>
              </w:rPr>
            </w:pPr>
            <w:r>
              <w:rPr>
                <w:rFonts w:hint="eastAsia" w:cstheme="minorBidi"/>
                <w:b w:val="0"/>
                <w:highlight w:val="none"/>
              </w:rPr>
              <w:t>塔吊安装班组日常安全教育</w:t>
            </w:r>
          </w:p>
        </w:tc>
        <w:tc>
          <w:tcPr>
            <w:tcW w:w="8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3D0746">
            <w:pPr>
              <w:pStyle w:val="53"/>
              <w:rPr>
                <w:rFonts w:cstheme="minorBidi"/>
                <w:b w:val="0"/>
                <w:highlight w:val="none"/>
              </w:rPr>
            </w:pPr>
            <w:r>
              <w:rPr>
                <w:rFonts w:hint="eastAsia" w:cstheme="minorBidi"/>
                <w:b w:val="0"/>
                <w:highlight w:val="none"/>
              </w:rPr>
              <w:t>日常安全教育</w:t>
            </w:r>
          </w:p>
        </w:tc>
        <w:tc>
          <w:tcPr>
            <w:tcW w:w="52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D063C8">
            <w:pPr>
              <w:pStyle w:val="53"/>
              <w:rPr>
                <w:rFonts w:cstheme="minorBidi"/>
                <w:b w:val="0"/>
                <w:highlight w:val="none"/>
              </w:rPr>
            </w:pPr>
            <w:r>
              <w:rPr>
                <w:rFonts w:hint="eastAsia" w:cstheme="minorBidi"/>
                <w:b w:val="0"/>
                <w:highlight w:val="none"/>
              </w:rPr>
              <w:t>安监部</w:t>
            </w:r>
          </w:p>
        </w:tc>
        <w:tc>
          <w:tcPr>
            <w:tcW w:w="92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597AB0">
            <w:pPr>
              <w:pStyle w:val="53"/>
              <w:rPr>
                <w:rFonts w:cstheme="minorBidi"/>
                <w:b w:val="0"/>
                <w:highlight w:val="none"/>
              </w:rPr>
            </w:pPr>
            <w:r>
              <w:rPr>
                <w:rFonts w:hint="eastAsia" w:cstheme="minorBidi"/>
                <w:b w:val="0"/>
                <w:highlight w:val="none"/>
              </w:rPr>
              <w:t>设备部</w:t>
            </w:r>
          </w:p>
        </w:tc>
        <w:tc>
          <w:tcPr>
            <w:tcW w:w="58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1A8AF78">
            <w:pPr>
              <w:pStyle w:val="53"/>
              <w:rPr>
                <w:rFonts w:cstheme="minorBidi"/>
                <w:b w:val="0"/>
                <w:highlight w:val="none"/>
              </w:rPr>
            </w:pPr>
            <w:r>
              <w:rPr>
                <w:rFonts w:hint="eastAsia" w:cstheme="minorBidi"/>
                <w:b w:val="0"/>
                <w:highlight w:val="none"/>
              </w:rPr>
              <w:t>不定期</w:t>
            </w:r>
          </w:p>
        </w:tc>
      </w:tr>
      <w:tr w14:paraId="0E5A87F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53"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2922E91C">
            <w:pPr>
              <w:pStyle w:val="53"/>
              <w:rPr>
                <w:rFonts w:ascii="Times New Roman" w:hAnsi="Times New Roman" w:eastAsia="宋体" w:cstheme="minorBidi"/>
                <w:b w:val="0"/>
                <w:i w:val="0"/>
                <w:highlight w:val="none"/>
              </w:rPr>
            </w:pPr>
            <w:r>
              <w:rPr>
                <w:rFonts w:ascii="Times New Roman" w:hAnsi="Times New Roman" w:eastAsia="宋体" w:cstheme="minorBidi"/>
                <w:b w:val="0"/>
                <w:i w:val="0"/>
                <w:highlight w:val="none"/>
              </w:rPr>
              <w:t>4</w:t>
            </w:r>
          </w:p>
        </w:tc>
        <w:tc>
          <w:tcPr>
            <w:tcW w:w="1737"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2D8E07D4">
            <w:pPr>
              <w:pStyle w:val="53"/>
              <w:rPr>
                <w:rFonts w:cstheme="minorBidi"/>
                <w:b w:val="0"/>
                <w:highlight w:val="none"/>
              </w:rPr>
            </w:pPr>
            <w:r>
              <w:rPr>
                <w:rFonts w:hint="eastAsia" w:cstheme="minorBidi"/>
                <w:b w:val="0"/>
                <w:highlight w:val="none"/>
              </w:rPr>
              <w:t>塔吊拆除班组专项安全教育培训</w:t>
            </w:r>
          </w:p>
        </w:tc>
        <w:tc>
          <w:tcPr>
            <w:tcW w:w="867"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237B1E5F">
            <w:pPr>
              <w:pStyle w:val="53"/>
              <w:rPr>
                <w:rFonts w:cstheme="minorBidi"/>
                <w:b w:val="0"/>
                <w:highlight w:val="none"/>
              </w:rPr>
            </w:pPr>
            <w:r>
              <w:rPr>
                <w:rFonts w:hint="eastAsia" w:cstheme="minorBidi"/>
                <w:b w:val="0"/>
                <w:highlight w:val="none"/>
              </w:rPr>
              <w:t>专项安全教育</w:t>
            </w:r>
          </w:p>
        </w:tc>
        <w:tc>
          <w:tcPr>
            <w:tcW w:w="529"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4F1C2E51">
            <w:pPr>
              <w:pStyle w:val="53"/>
              <w:rPr>
                <w:rFonts w:cstheme="minorBidi"/>
                <w:b w:val="0"/>
                <w:highlight w:val="none"/>
              </w:rPr>
            </w:pPr>
            <w:r>
              <w:rPr>
                <w:rFonts w:hint="eastAsia" w:cstheme="minorBidi"/>
                <w:b w:val="0"/>
                <w:highlight w:val="none"/>
              </w:rPr>
              <w:t>安监部</w:t>
            </w:r>
          </w:p>
        </w:tc>
        <w:tc>
          <w:tcPr>
            <w:tcW w:w="928"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076E353B">
            <w:pPr>
              <w:pStyle w:val="53"/>
              <w:rPr>
                <w:rFonts w:cstheme="minorBidi"/>
                <w:b w:val="0"/>
                <w:highlight w:val="none"/>
              </w:rPr>
            </w:pPr>
            <w:r>
              <w:rPr>
                <w:rFonts w:cstheme="minorBidi"/>
                <w:b w:val="0"/>
                <w:highlight w:val="none"/>
              </w:rPr>
              <w:t>设备部</w:t>
            </w:r>
            <w:r>
              <w:rPr>
                <w:rFonts w:hint="eastAsia" w:cstheme="minorBidi"/>
                <w:b w:val="0"/>
                <w:highlight w:val="none"/>
              </w:rPr>
              <w:t>、工程部</w:t>
            </w:r>
          </w:p>
        </w:tc>
        <w:tc>
          <w:tcPr>
            <w:tcW w:w="583" w:type="pct"/>
            <w:tcBorders>
              <w:top w:val="single" w:color="000000" w:sz="4" w:space="0"/>
              <w:left w:val="single" w:color="000000" w:sz="4" w:space="0"/>
              <w:bottom w:val="single" w:color="000000" w:sz="12" w:space="0"/>
              <w:right w:val="single" w:color="000000" w:sz="12" w:space="0"/>
            </w:tcBorders>
            <w:shd w:val="clear" w:color="auto" w:fill="FFFFFF"/>
            <w:vAlign w:val="center"/>
          </w:tcPr>
          <w:p w14:paraId="0CB7E9C2">
            <w:pPr>
              <w:pStyle w:val="53"/>
              <w:rPr>
                <w:rFonts w:cstheme="minorBidi"/>
                <w:b w:val="0"/>
                <w:highlight w:val="none"/>
              </w:rPr>
            </w:pPr>
            <w:r>
              <w:rPr>
                <w:rFonts w:hint="eastAsia" w:cstheme="minorBidi"/>
                <w:b w:val="0"/>
                <w:highlight w:val="none"/>
              </w:rPr>
              <w:t>拆除前</w:t>
            </w:r>
          </w:p>
        </w:tc>
      </w:tr>
    </w:tbl>
    <w:p w14:paraId="44CBE5D5">
      <w:pPr>
        <w:pStyle w:val="5"/>
        <w:bidi w:val="0"/>
        <w:ind w:left="0" w:leftChars="0" w:firstLine="0" w:firstLineChars="0"/>
        <w:rPr>
          <w:highlight w:val="none"/>
        </w:rPr>
      </w:pPr>
      <w:bookmarkStart w:id="94" w:name="_Toc530055691"/>
      <w:r>
        <w:rPr>
          <w:rFonts w:hint="eastAsia"/>
          <w:highlight w:val="none"/>
        </w:rPr>
        <w:t>塔吊安装作业安全保证措施</w:t>
      </w:r>
    </w:p>
    <w:p w14:paraId="1477F85B">
      <w:pPr>
        <w:ind w:firstLine="480"/>
        <w:rPr>
          <w:highlight w:val="none"/>
        </w:rPr>
      </w:pPr>
      <w:r>
        <w:rPr>
          <w:rFonts w:hint="eastAsia"/>
          <w:highlight w:val="none"/>
        </w:rPr>
        <w:t>（1）安装作业前，组织学习安装安全技术方案，对组织作业人员进行技术方案交底，每天对分项工作内容，技术要求，安全措施以及注意事项进行单独交底。</w:t>
      </w:r>
    </w:p>
    <w:p w14:paraId="537AC64E">
      <w:pPr>
        <w:ind w:firstLine="480"/>
        <w:rPr>
          <w:highlight w:val="none"/>
        </w:rPr>
      </w:pPr>
      <w:r>
        <w:rPr>
          <w:rFonts w:hint="eastAsia"/>
          <w:highlight w:val="none"/>
        </w:rPr>
        <w:t>（2）所有安装人员必须听从现场统一指挥。如发现信号不明或错误时应停止作业，待联络清楚后再进行作业。</w:t>
      </w:r>
    </w:p>
    <w:p w14:paraId="7756C1DE">
      <w:pPr>
        <w:ind w:firstLine="480"/>
        <w:rPr>
          <w:highlight w:val="none"/>
        </w:rPr>
      </w:pPr>
      <w:r>
        <w:rPr>
          <w:rFonts w:hint="eastAsia"/>
          <w:highlight w:val="none"/>
        </w:rPr>
        <w:t>（3）作业人员经过培训考核合格，司机、吊装指挥、电工及检验人员要持证上岗，进入作业现场必须戴安全帽，高空作业时要系安全带，着防滑鞋，冬季、雨季应采取防滑措施。</w:t>
      </w:r>
    </w:p>
    <w:p w14:paraId="1C93D7B6">
      <w:pPr>
        <w:ind w:firstLine="480"/>
        <w:rPr>
          <w:highlight w:val="none"/>
        </w:rPr>
      </w:pPr>
      <w:r>
        <w:rPr>
          <w:rFonts w:hint="eastAsia"/>
          <w:highlight w:val="none"/>
        </w:rPr>
        <w:t>（4）塔吊的安装作业必须在白天进行，如需加快进度，可在具备良好照明条件的夜间做一些拼装工作，不得在大风、浓雾和雨雪天气进行。</w:t>
      </w:r>
    </w:p>
    <w:p w14:paraId="24AA3DAE">
      <w:pPr>
        <w:ind w:firstLine="480"/>
        <w:rPr>
          <w:highlight w:val="none"/>
        </w:rPr>
      </w:pPr>
      <w:r>
        <w:rPr>
          <w:rFonts w:hint="eastAsia"/>
          <w:highlight w:val="none"/>
        </w:rPr>
        <w:t xml:space="preserve">（5）顶部风速大于4级风以上禁止作业。 </w:t>
      </w:r>
    </w:p>
    <w:p w14:paraId="377B6ECB">
      <w:pPr>
        <w:ind w:firstLine="480"/>
        <w:rPr>
          <w:highlight w:val="none"/>
        </w:rPr>
      </w:pPr>
      <w:r>
        <w:rPr>
          <w:rFonts w:hint="eastAsia"/>
          <w:highlight w:val="none"/>
        </w:rPr>
        <w:t>（6）套架上、下支座，前后臂等大件吊装作业前，安全生产负责人必须进行专项安全技术交底。每次起吊离地面20cm左右时必须停机，挂好揽风绳，检查安全平稳性，确认安全可靠方能继续起吊。</w:t>
      </w:r>
    </w:p>
    <w:p w14:paraId="68D3404E">
      <w:pPr>
        <w:ind w:firstLine="480"/>
        <w:rPr>
          <w:highlight w:val="none"/>
        </w:rPr>
      </w:pPr>
      <w:r>
        <w:rPr>
          <w:rFonts w:hint="eastAsia"/>
          <w:highlight w:val="none"/>
        </w:rPr>
        <w:t>（7）安装作业区5米至10米范围内应设警戒线，应由施工现场派专人把守，非作业人员不得进入警戒线。专职安全员应随时检查各岗位人员的安全情况，夜间作业应有良好的照明。</w:t>
      </w:r>
    </w:p>
    <w:p w14:paraId="3C757290">
      <w:pPr>
        <w:ind w:firstLine="480"/>
        <w:rPr>
          <w:highlight w:val="none"/>
        </w:rPr>
      </w:pPr>
      <w:r>
        <w:rPr>
          <w:rFonts w:hint="eastAsia"/>
          <w:highlight w:val="none"/>
        </w:rPr>
        <w:t>（8）安装架设用的钢丝绳及其固定必须符合标准和满足安装上的要求。地锚等临时设施必须构筑牢固。</w:t>
      </w:r>
    </w:p>
    <w:p w14:paraId="56E1D55C">
      <w:pPr>
        <w:ind w:firstLine="480"/>
        <w:rPr>
          <w:highlight w:val="none"/>
        </w:rPr>
      </w:pPr>
      <w:r>
        <w:rPr>
          <w:rFonts w:hint="eastAsia"/>
          <w:highlight w:val="none"/>
        </w:rPr>
        <w:t>（9）在进行逐件组拼或部件安装之前，必须对部件各部分的完好情况、连接情况和钢丝绳穿绕情况、电气线路等进行全面检查。</w:t>
      </w:r>
    </w:p>
    <w:p w14:paraId="31660BCF">
      <w:pPr>
        <w:ind w:firstLine="480"/>
        <w:rPr>
          <w:highlight w:val="none"/>
        </w:rPr>
      </w:pPr>
      <w:r>
        <w:rPr>
          <w:rFonts w:hint="eastAsia"/>
          <w:highlight w:val="none"/>
        </w:rPr>
        <w:t>（10）在架设过程中，结构和钢丝绳的受力以在立塔初始阶段最为不利，随着塔架起升则逐渐减小。</w:t>
      </w:r>
    </w:p>
    <w:p w14:paraId="79848AF4">
      <w:pPr>
        <w:ind w:firstLine="480"/>
        <w:rPr>
          <w:highlight w:val="none"/>
        </w:rPr>
      </w:pPr>
      <w:r>
        <w:rPr>
          <w:rFonts w:hint="eastAsia"/>
          <w:highlight w:val="none"/>
        </w:rPr>
        <w:t>（11）在拆装起重臂和平衡臂时，要始终保持起重机的平衡，严禁只拆装一个臂就中断作业。</w:t>
      </w:r>
    </w:p>
    <w:p w14:paraId="58DE6E10">
      <w:pPr>
        <w:ind w:firstLine="480"/>
        <w:rPr>
          <w:highlight w:val="none"/>
        </w:rPr>
      </w:pPr>
      <w:r>
        <w:rPr>
          <w:rFonts w:hint="eastAsia"/>
          <w:highlight w:val="none"/>
        </w:rPr>
        <w:t>（12）在安装作业过程中，如突然发生停电、机械故障、天气骤变等情况不能继续作业，或作业时间已到需要停休时，必须使起重机已安装的部位达到稳定状态并已锁固牢靠，所有结构件已连接牢固，回转塔身的重心线处于塔底支承四边中心处，再经过检查确认妥善后，方可停止作业。</w:t>
      </w:r>
    </w:p>
    <w:p w14:paraId="4A430098">
      <w:pPr>
        <w:ind w:firstLine="480"/>
        <w:rPr>
          <w:highlight w:val="none"/>
        </w:rPr>
      </w:pPr>
      <w:r>
        <w:rPr>
          <w:rFonts w:hint="eastAsia"/>
          <w:highlight w:val="none"/>
        </w:rPr>
        <w:t>（13）安装时应按安装要求使用规定的螺栓、销轴等连接件，并要有可靠的防松或保护装置。螺栓紧固时应附合规定的预紧力。钢丝绳安装应严格执行《起重机械用钢丝绳检验和报废实用规范》。</w:t>
      </w:r>
    </w:p>
    <w:p w14:paraId="190493C2">
      <w:pPr>
        <w:ind w:firstLine="480"/>
        <w:rPr>
          <w:highlight w:val="none"/>
        </w:rPr>
      </w:pPr>
      <w:r>
        <w:rPr>
          <w:rFonts w:hint="eastAsia"/>
          <w:highlight w:val="none"/>
        </w:rPr>
        <w:t>（14）在安装起重机时，必须将大车行走限位装置和限位器碰块安装牢固可靠。并将各部位的栏杆、平台、护链、扶杆、护圈等安全防护装置装齐。</w:t>
      </w:r>
    </w:p>
    <w:p w14:paraId="32A13B2E">
      <w:pPr>
        <w:ind w:firstLine="480"/>
        <w:rPr>
          <w:highlight w:val="none"/>
        </w:rPr>
      </w:pPr>
      <w:r>
        <w:rPr>
          <w:rFonts w:hint="eastAsia"/>
          <w:highlight w:val="none"/>
        </w:rPr>
        <w:t>（15）安装作业的程序，辅助设备、索具、工具以及地锚构筑等，均应遵照该机使用说明书中的规定或参照标准的安装工艺办理。</w:t>
      </w:r>
    </w:p>
    <w:p w14:paraId="16452C19">
      <w:pPr>
        <w:pStyle w:val="5"/>
        <w:bidi w:val="0"/>
        <w:ind w:left="0" w:leftChars="0" w:firstLine="0" w:firstLineChars="0"/>
        <w:rPr>
          <w:highlight w:val="none"/>
        </w:rPr>
      </w:pPr>
      <w:r>
        <w:rPr>
          <w:rFonts w:hint="eastAsia"/>
          <w:highlight w:val="none"/>
        </w:rPr>
        <w:t>安全防护措施</w:t>
      </w:r>
    </w:p>
    <w:bookmarkEnd w:id="94"/>
    <w:p w14:paraId="09955A77">
      <w:pPr>
        <w:ind w:firstLine="480"/>
        <w:rPr>
          <w:highlight w:val="none"/>
        </w:rPr>
      </w:pPr>
      <w:r>
        <w:rPr>
          <w:rFonts w:hint="eastAsia"/>
          <w:highlight w:val="none"/>
        </w:rPr>
        <w:t>1）吊装工作区内禁止非工作人员进入，起重臂下严禁站人；</w:t>
      </w:r>
    </w:p>
    <w:p w14:paraId="1129B467">
      <w:pPr>
        <w:ind w:firstLine="480"/>
        <w:rPr>
          <w:highlight w:val="none"/>
        </w:rPr>
      </w:pPr>
      <w:r>
        <w:rPr>
          <w:rFonts w:hint="eastAsia"/>
          <w:highlight w:val="none"/>
        </w:rPr>
        <w:t>2）身体不适的工人不能进行高空作业，作业前全体作业人员必须明确重点措施方法，按既定的施工方案进行作业；</w:t>
      </w:r>
    </w:p>
    <w:p w14:paraId="1B7ED5D4">
      <w:pPr>
        <w:ind w:firstLine="480"/>
        <w:rPr>
          <w:highlight w:val="none"/>
        </w:rPr>
      </w:pPr>
      <w:r>
        <w:rPr>
          <w:rFonts w:hint="eastAsia"/>
          <w:highlight w:val="none"/>
        </w:rPr>
        <w:t>3）安装起重机大臂、套架、平衡臂、回转总成及电器系统时，高空作业人员必须带好安全带；</w:t>
      </w:r>
    </w:p>
    <w:p w14:paraId="4422AA52">
      <w:pPr>
        <w:ind w:firstLine="480"/>
        <w:rPr>
          <w:highlight w:val="none"/>
        </w:rPr>
      </w:pPr>
      <w:r>
        <w:rPr>
          <w:rFonts w:hint="eastAsia"/>
          <w:highlight w:val="none"/>
        </w:rPr>
        <w:t>4）不准超负荷吊装，吊装人员必须戴安全帽，穿防滑鞋，带工具袋，不能在工作中嬉闹，必须认真作业；</w:t>
      </w:r>
    </w:p>
    <w:p w14:paraId="599F81B9">
      <w:pPr>
        <w:ind w:firstLine="480"/>
        <w:rPr>
          <w:highlight w:val="none"/>
        </w:rPr>
      </w:pPr>
      <w:r>
        <w:rPr>
          <w:rFonts w:hint="eastAsia"/>
          <w:highlight w:val="none"/>
        </w:rPr>
        <w:t>5）严禁工人站在被吊运的构件上，构件上也不能摆放零星物件；</w:t>
      </w:r>
    </w:p>
    <w:p w14:paraId="58C67AC2">
      <w:pPr>
        <w:ind w:firstLine="480"/>
        <w:rPr>
          <w:highlight w:val="none"/>
        </w:rPr>
      </w:pPr>
      <w:r>
        <w:rPr>
          <w:rFonts w:hint="eastAsia"/>
          <w:highlight w:val="none"/>
        </w:rPr>
        <w:t>6）吊运时，绑扎方法要可靠，以防止中途落下伤人和起重机因失重而倾翻；</w:t>
      </w:r>
    </w:p>
    <w:p w14:paraId="3B64C4ED">
      <w:pPr>
        <w:ind w:firstLine="480"/>
        <w:rPr>
          <w:highlight w:val="none"/>
        </w:rPr>
      </w:pPr>
      <w:r>
        <w:rPr>
          <w:rFonts w:hint="eastAsia"/>
          <w:highlight w:val="none"/>
        </w:rPr>
        <w:t>7）吊装过程应由专人负责指挥，信号要求准确、明确到位；</w:t>
      </w:r>
    </w:p>
    <w:p w14:paraId="3DBDDC73">
      <w:pPr>
        <w:ind w:firstLine="480"/>
        <w:rPr>
          <w:highlight w:val="none"/>
        </w:rPr>
      </w:pPr>
      <w:r>
        <w:rPr>
          <w:rFonts w:hint="eastAsia"/>
          <w:highlight w:val="none"/>
        </w:rPr>
        <w:t>8）电工须穿绝缘鞋，戴好绝缘手套，不违章操作；</w:t>
      </w:r>
    </w:p>
    <w:p w14:paraId="3CEE4FDB">
      <w:pPr>
        <w:ind w:firstLine="480"/>
        <w:rPr>
          <w:highlight w:val="none"/>
        </w:rPr>
      </w:pPr>
      <w:bookmarkStart w:id="95" w:name="_Toc3803_WPSOffice_Level2"/>
      <w:r>
        <w:rPr>
          <w:rFonts w:hint="eastAsia"/>
          <w:highlight w:val="none"/>
        </w:rPr>
        <w:t>9）构件吊装到位后要</w:t>
      </w:r>
      <w:bookmarkEnd w:id="95"/>
      <w:r>
        <w:rPr>
          <w:rFonts w:hint="eastAsia"/>
          <w:highlight w:val="none"/>
        </w:rPr>
        <w:t>求固定可靠，再进入下一步操作，严禁将构件浮放在某一处，以免落下发生意外。</w:t>
      </w:r>
    </w:p>
    <w:p w14:paraId="1FCD1BE7">
      <w:pPr>
        <w:ind w:firstLine="480"/>
        <w:rPr>
          <w:highlight w:val="none"/>
        </w:rPr>
      </w:pPr>
      <w:r>
        <w:rPr>
          <w:rFonts w:hint="eastAsia"/>
          <w:highlight w:val="none"/>
        </w:rPr>
        <w:t>10）设备工具摆放整齐、合理，做到安全、有序；</w:t>
      </w:r>
    </w:p>
    <w:p w14:paraId="2975E835">
      <w:pPr>
        <w:ind w:firstLine="480"/>
        <w:rPr>
          <w:highlight w:val="none"/>
        </w:rPr>
      </w:pPr>
      <w:r>
        <w:rPr>
          <w:rFonts w:hint="eastAsia"/>
          <w:highlight w:val="none"/>
        </w:rPr>
        <w:t>11）安装作业中，应严格按安装顺序进行，作业时严禁抛掷物件；</w:t>
      </w:r>
    </w:p>
    <w:p w14:paraId="5B97C3AA">
      <w:pPr>
        <w:ind w:firstLine="480"/>
        <w:rPr>
          <w:highlight w:val="none"/>
        </w:rPr>
      </w:pPr>
      <w:r>
        <w:rPr>
          <w:rFonts w:hint="eastAsia"/>
          <w:highlight w:val="none"/>
        </w:rPr>
        <w:t>1</w:t>
      </w:r>
      <w:r>
        <w:rPr>
          <w:highlight w:val="none"/>
        </w:rPr>
        <w:t>2</w:t>
      </w:r>
      <w:r>
        <w:rPr>
          <w:rFonts w:hint="eastAsia"/>
          <w:highlight w:val="none"/>
        </w:rPr>
        <w:t>）塔吊基础四周设置围挡，悬挂安全警示标牌。</w:t>
      </w:r>
    </w:p>
    <w:p w14:paraId="2A2ABB15">
      <w:pPr>
        <w:pStyle w:val="5"/>
        <w:bidi w:val="0"/>
        <w:ind w:left="0" w:leftChars="0" w:firstLine="0" w:firstLineChars="0"/>
        <w:rPr>
          <w:highlight w:val="none"/>
        </w:rPr>
      </w:pPr>
      <w:bookmarkStart w:id="96" w:name="_Toc530055692"/>
      <w:r>
        <w:rPr>
          <w:rFonts w:hint="eastAsia"/>
          <w:highlight w:val="none"/>
        </w:rPr>
        <w:t>安装过程注意事项</w:t>
      </w:r>
    </w:p>
    <w:bookmarkEnd w:id="96"/>
    <w:p w14:paraId="352A500E">
      <w:pPr>
        <w:ind w:firstLine="480"/>
        <w:rPr>
          <w:highlight w:val="none"/>
        </w:rPr>
      </w:pPr>
      <w:r>
        <w:rPr>
          <w:rFonts w:hint="eastAsia"/>
          <w:highlight w:val="none"/>
        </w:rPr>
        <w:t>1）保证塔式起重机安装技术措施的合理性及可行性，提高各防护措施的技术参数；</w:t>
      </w:r>
    </w:p>
    <w:p w14:paraId="1CD5E6DB">
      <w:pPr>
        <w:ind w:firstLine="480"/>
        <w:rPr>
          <w:highlight w:val="none"/>
        </w:rPr>
      </w:pPr>
      <w:r>
        <w:rPr>
          <w:rFonts w:hint="eastAsia"/>
          <w:highlight w:val="none"/>
        </w:rPr>
        <w:t>2）安装塔式起重机所用履带式起重机应装有音像清晰的喇叭、电铃或汽笛等信号装置在起重量臂、吊钩、平衡重等转动体上应标以鲜明的色彩标志；</w:t>
      </w:r>
    </w:p>
    <w:p w14:paraId="33D2D6C6">
      <w:pPr>
        <w:ind w:firstLine="480"/>
        <w:rPr>
          <w:highlight w:val="none"/>
        </w:rPr>
      </w:pPr>
      <w:bookmarkStart w:id="97" w:name="_Toc29074_WPSOffice_Level2"/>
      <w:r>
        <w:rPr>
          <w:rFonts w:hint="eastAsia"/>
          <w:highlight w:val="none"/>
        </w:rPr>
        <w:t>3）起重机吊钩上</w:t>
      </w:r>
      <w:bookmarkEnd w:id="97"/>
      <w:r>
        <w:rPr>
          <w:rFonts w:hint="eastAsia"/>
          <w:highlight w:val="none"/>
        </w:rPr>
        <w:t>须持有防脱钩装置；</w:t>
      </w:r>
    </w:p>
    <w:p w14:paraId="1C357759">
      <w:pPr>
        <w:ind w:firstLine="480"/>
        <w:rPr>
          <w:highlight w:val="none"/>
        </w:rPr>
      </w:pPr>
      <w:r>
        <w:rPr>
          <w:rFonts w:hint="eastAsia"/>
          <w:highlight w:val="none"/>
        </w:rPr>
        <w:t>4）起重吊装指挥人员必须持证上岗，作业时应与操作人员密切配合，执行规定的指挥信号。操作人员应按照指挥人员的信号进行作业，当信号不清或错误时操作人员可拒绝执行；</w:t>
      </w:r>
    </w:p>
    <w:p w14:paraId="767D2232">
      <w:pPr>
        <w:ind w:firstLine="480"/>
        <w:rPr>
          <w:highlight w:val="none"/>
        </w:rPr>
      </w:pPr>
      <w:r>
        <w:rPr>
          <w:rFonts w:hint="eastAsia"/>
          <w:highlight w:val="none"/>
        </w:rPr>
        <w:t>5）在六级以上大风或大雨、大雾等恶劣天气时，应停止起重吊装作业，雨雪过后作业前，应先试吊，确认制动器灵敏可靠后方可进行作业；</w:t>
      </w:r>
    </w:p>
    <w:p w14:paraId="0451D3F8">
      <w:pPr>
        <w:ind w:firstLine="480"/>
        <w:rPr>
          <w:highlight w:val="none"/>
        </w:rPr>
      </w:pPr>
      <w:r>
        <w:rPr>
          <w:rFonts w:hint="eastAsia"/>
          <w:highlight w:val="none"/>
        </w:rPr>
        <w:t>6）安装标准节时应先检查焊接支腿是否焊接经过验收，验收合格后才可安装；</w:t>
      </w:r>
    </w:p>
    <w:p w14:paraId="355B5232">
      <w:pPr>
        <w:ind w:firstLine="480"/>
        <w:rPr>
          <w:highlight w:val="none"/>
        </w:rPr>
      </w:pPr>
      <w:r>
        <w:rPr>
          <w:rFonts w:hint="eastAsia"/>
          <w:highlight w:val="none"/>
        </w:rPr>
        <w:t>7）检查各连接部件的螺栓及销轴是否符合图纸设计要求，并每安装一个部件后螺栓销轴都要确定符合要求再安装下一个部件；</w:t>
      </w:r>
    </w:p>
    <w:p w14:paraId="2A70F76A">
      <w:pPr>
        <w:ind w:firstLine="480"/>
        <w:rPr>
          <w:highlight w:val="none"/>
        </w:rPr>
      </w:pPr>
      <w:r>
        <w:rPr>
          <w:rFonts w:hint="eastAsia"/>
          <w:highlight w:val="none"/>
        </w:rPr>
        <w:t>8）重物提升和下降速度应平稳、均匀，不得突然制动，左右回转应平稳，当回转未停稳前不得作反向动作；</w:t>
      </w:r>
    </w:p>
    <w:p w14:paraId="36821472">
      <w:pPr>
        <w:ind w:firstLine="480"/>
        <w:rPr>
          <w:highlight w:val="none"/>
        </w:rPr>
      </w:pPr>
      <w:r>
        <w:rPr>
          <w:rFonts w:hint="eastAsia"/>
          <w:highlight w:val="none"/>
        </w:rPr>
        <w:t>9）作业中所使用钢丝绳应有制造厂签发的产品技术性能和质量合格证明文件，当无证明文件时，必须经过试验合格后方可使用；</w:t>
      </w:r>
    </w:p>
    <w:p w14:paraId="01441D3D">
      <w:pPr>
        <w:ind w:firstLine="480"/>
        <w:rPr>
          <w:highlight w:val="none"/>
        </w:rPr>
      </w:pPr>
      <w:r>
        <w:rPr>
          <w:rFonts w:hint="eastAsia"/>
          <w:highlight w:val="none"/>
        </w:rPr>
        <w:t>10）应根据所吊重物的重量和提升高度，调整起重臂长度和仰角，并应估计吊索和重物本身的高度，留出适当空间；</w:t>
      </w:r>
    </w:p>
    <w:p w14:paraId="5B347B84">
      <w:pPr>
        <w:pStyle w:val="5"/>
        <w:bidi w:val="0"/>
        <w:ind w:left="0" w:leftChars="0" w:firstLine="0" w:firstLineChars="0"/>
        <w:rPr>
          <w:highlight w:val="none"/>
        </w:rPr>
      </w:pPr>
      <w:bookmarkStart w:id="98" w:name="_Toc530055693"/>
      <w:r>
        <w:rPr>
          <w:rFonts w:hint="eastAsia"/>
          <w:highlight w:val="none"/>
        </w:rPr>
        <w:t>电、气焊接作业安全规定</w:t>
      </w:r>
    </w:p>
    <w:bookmarkEnd w:id="98"/>
    <w:p w14:paraId="6A68B1ED">
      <w:pPr>
        <w:ind w:firstLine="480"/>
        <w:rPr>
          <w:highlight w:val="none"/>
        </w:rPr>
      </w:pPr>
      <w:r>
        <w:rPr>
          <w:rFonts w:hint="eastAsia"/>
          <w:highlight w:val="none"/>
        </w:rPr>
        <w:t>严格按有关规定安装线路及设备，用电设备都安装地线，不合格的电气器材严禁使用。安装临时用电工程，必须由电工完成。电工必须持有效证件上岗。</w:t>
      </w:r>
    </w:p>
    <w:p w14:paraId="5FF4B327">
      <w:pPr>
        <w:ind w:firstLine="482"/>
        <w:rPr>
          <w:b/>
          <w:highlight w:val="none"/>
        </w:rPr>
      </w:pPr>
      <w:r>
        <w:rPr>
          <w:rFonts w:hint="eastAsia"/>
          <w:b/>
          <w:highlight w:val="none"/>
        </w:rPr>
        <w:t>（1）配电箱及开关箱的设置</w:t>
      </w:r>
    </w:p>
    <w:p w14:paraId="6383E4EC">
      <w:pPr>
        <w:ind w:firstLine="480"/>
        <w:rPr>
          <w:highlight w:val="none"/>
        </w:rPr>
      </w:pPr>
      <w:r>
        <w:rPr>
          <w:rFonts w:hint="eastAsia"/>
          <w:highlight w:val="none"/>
        </w:rPr>
        <w:t>1）动力配电箱与照明配电箱宜分别设置，如设置在同一配电箱内，动力和照明线路应分路设置。</w:t>
      </w:r>
    </w:p>
    <w:p w14:paraId="0D26476C">
      <w:pPr>
        <w:ind w:firstLine="480"/>
        <w:rPr>
          <w:highlight w:val="none"/>
        </w:rPr>
      </w:pPr>
      <w:r>
        <w:rPr>
          <w:rFonts w:hint="eastAsia"/>
          <w:highlight w:val="none"/>
        </w:rPr>
        <w:t>2）每台电器设备应有各自专用的开关箱，必须实行“一机一闸”制，严禁用同一个电器开关直接控制两台或两台以上的用电设备（含插座）。</w:t>
      </w:r>
    </w:p>
    <w:p w14:paraId="5D4F9AE4">
      <w:pPr>
        <w:ind w:firstLine="480"/>
        <w:rPr>
          <w:highlight w:val="none"/>
        </w:rPr>
      </w:pPr>
      <w:r>
        <w:rPr>
          <w:rFonts w:hint="eastAsia"/>
          <w:highlight w:val="none"/>
        </w:rPr>
        <w:t>3）总配电箱应设在靠近电源的地区。分配电箱应装设在用电设备或负荷相对集中的地区。分配电箱与开关箱的距离不得超过30m。开关箱与其控制的固定式用电设备的水平距离不宜超过3m。</w:t>
      </w:r>
    </w:p>
    <w:p w14:paraId="31E77162">
      <w:pPr>
        <w:ind w:firstLine="480"/>
        <w:rPr>
          <w:color w:val="000000" w:themeColor="text1"/>
          <w:highlight w:val="none"/>
          <w14:textFill>
            <w14:solidFill>
              <w14:schemeClr w14:val="tx1"/>
            </w14:solidFill>
          </w14:textFill>
        </w:rPr>
      </w:pPr>
      <w:r>
        <w:rPr>
          <w:rFonts w:hint="eastAsia"/>
          <w:highlight w:val="none"/>
        </w:rPr>
        <w:t>4）配电箱</w:t>
      </w:r>
      <w:r>
        <w:rPr>
          <w:rFonts w:hint="eastAsia"/>
          <w:color w:val="000000" w:themeColor="text1"/>
          <w:highlight w:val="none"/>
          <w14:textFill>
            <w14:solidFill>
              <w14:schemeClr w14:val="tx1"/>
            </w14:solidFill>
          </w14:textFill>
        </w:rPr>
        <w:t>、开关箱油脂装设在干燥、通风及常温场所；不得装设在有严重损伤作用的瓦斯、烟气、蒸汽、液体及其他有害介质中。不得装设在易受外来固体物撞击、强烈振动，液体浸溅及热源烘烤的场所。否则，须做特殊防护处理。</w:t>
      </w:r>
    </w:p>
    <w:p w14:paraId="04C95ED2">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5）配电箱、开关箱周围应有足够二人同时工作的空间和通道。不得堆放任何妨碍操作、维修的物品；不得有灌木、杂草。</w:t>
      </w:r>
    </w:p>
    <w:p w14:paraId="498E9BD5">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配电箱、开关箱应装设端正、牢固、移动式分配电箱、开关箱应装设在坚固的支架上。固定式分配电箱、开关箱的下底与地面的垂直距离应大于1.3m,小于1.5m;移动式分配电箱、开关箱的下底与地面垂直距离宜大于0.6m,小于1.5m。</w:t>
      </w:r>
    </w:p>
    <w:p w14:paraId="69FC2BAF">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7）配电箱、开关箱内的开关电器（含插座）应按其规定的位置紧固在电器安装板上，不得歪斜和松动。</w:t>
      </w:r>
    </w:p>
    <w:p w14:paraId="21E56887">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8）配电箱、开关箱内的工作零线应通过接线端子板连接，并应与保护零线接线端子板分设。</w:t>
      </w:r>
    </w:p>
    <w:p w14:paraId="6110F05A">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9）配电箱、开关箱内的连接线接头不得松动，不得有外露带电部分。配电箱、开关箱中导线的进线口和出线口应设在箱体下底面，严禁设在箱体的上顶面、侧面、后面或箱门处。</w:t>
      </w:r>
    </w:p>
    <w:p w14:paraId="06C6209F">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10）配电箱和开关箱的金属体、金属电器安装板以及箱内电器</w:t>
      </w:r>
      <w:bookmarkStart w:id="99" w:name="_Toc11882_WPSOffice_Level1"/>
      <w:r>
        <w:rPr>
          <w:rFonts w:hint="eastAsia"/>
          <w:color w:val="000000" w:themeColor="text1"/>
          <w:highlight w:val="none"/>
          <w14:textFill>
            <w14:solidFill>
              <w14:schemeClr w14:val="tx1"/>
            </w14:solidFill>
          </w14:textFill>
        </w:rPr>
        <w:t>的不应带电金属底座、外壳等必须保护接零</w:t>
      </w:r>
      <w:bookmarkEnd w:id="99"/>
      <w:r>
        <w:rPr>
          <w:rFonts w:hint="eastAsia"/>
          <w:color w:val="000000" w:themeColor="text1"/>
          <w:highlight w:val="none"/>
          <w14:textFill>
            <w14:solidFill>
              <w14:schemeClr w14:val="tx1"/>
            </w14:solidFill>
          </w14:textFill>
        </w:rPr>
        <w:t>。</w:t>
      </w:r>
      <w:bookmarkStart w:id="100" w:name="_Toc14617_WPSOffice_Level2"/>
      <w:r>
        <w:rPr>
          <w:rFonts w:hint="eastAsia"/>
          <w:color w:val="000000" w:themeColor="text1"/>
          <w:highlight w:val="none"/>
          <w14:textFill>
            <w14:solidFill>
              <w14:schemeClr w14:val="tx1"/>
            </w14:solidFill>
          </w14:textFill>
        </w:rPr>
        <w:t>保护零线应通过接线端子板</w:t>
      </w:r>
      <w:bookmarkEnd w:id="100"/>
      <w:r>
        <w:rPr>
          <w:rFonts w:hint="eastAsia"/>
          <w:color w:val="000000" w:themeColor="text1"/>
          <w:highlight w:val="none"/>
          <w14:textFill>
            <w14:solidFill>
              <w14:schemeClr w14:val="tx1"/>
            </w14:solidFill>
          </w14:textFill>
        </w:rPr>
        <w:t>连接。</w:t>
      </w:r>
    </w:p>
    <w:p w14:paraId="3CB5F206">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11）配电箱、开关箱必须防雨、防尘，遇到配电箱内存在灰尘、混凝土等杂物，电工必须及时清理。</w:t>
      </w:r>
    </w:p>
    <w:p w14:paraId="429F2E3D">
      <w:pPr>
        <w:ind w:firstLine="480"/>
        <w:rPr>
          <w:highlight w:val="none"/>
        </w:rPr>
      </w:pPr>
      <w:r>
        <w:rPr>
          <w:rFonts w:hint="eastAsia"/>
          <w:highlight w:val="none"/>
        </w:rPr>
        <w:t>12）严禁使用容易引发触电事故的木质配电箱。</w:t>
      </w:r>
    </w:p>
    <w:p w14:paraId="7E119799">
      <w:pPr>
        <w:ind w:firstLine="480"/>
        <w:rPr>
          <w:highlight w:val="none"/>
        </w:rPr>
      </w:pPr>
      <w:r>
        <w:rPr>
          <w:rFonts w:hint="eastAsia"/>
          <w:highlight w:val="none"/>
        </w:rPr>
        <w:t>13）遇到雷电、暴雨等恶劣天气，施工现场作业区域应关闭总供电源。</w:t>
      </w:r>
    </w:p>
    <w:p w14:paraId="6C05C5A4">
      <w:pPr>
        <w:ind w:firstLine="482"/>
        <w:rPr>
          <w:b/>
          <w:highlight w:val="none"/>
        </w:rPr>
      </w:pPr>
      <w:r>
        <w:rPr>
          <w:rFonts w:hint="eastAsia"/>
          <w:b/>
          <w:highlight w:val="none"/>
        </w:rPr>
        <w:t>（2）漏电保护器的设置</w:t>
      </w:r>
    </w:p>
    <w:p w14:paraId="301EFCC9">
      <w:pPr>
        <w:ind w:firstLine="480"/>
        <w:rPr>
          <w:highlight w:val="none"/>
        </w:rPr>
      </w:pPr>
      <w:r>
        <w:rPr>
          <w:rFonts w:hint="eastAsia"/>
          <w:highlight w:val="none"/>
        </w:rPr>
        <w:t>1）施工现场的总配电箱和开关箱应至少设置两级漏电保护器，而且两级漏电保护器的额定漏电动作电流和额定漏电动作时间应合理配合，使之具有分级保护的功能。</w:t>
      </w:r>
    </w:p>
    <w:p w14:paraId="1324C6AB">
      <w:pPr>
        <w:ind w:firstLine="480"/>
        <w:rPr>
          <w:highlight w:val="none"/>
        </w:rPr>
      </w:pPr>
      <w:r>
        <w:rPr>
          <w:rFonts w:hint="eastAsia"/>
          <w:highlight w:val="none"/>
        </w:rPr>
        <w:t>2）开关箱中必须设置漏电保护器，施工现场所有的用电设备，除做保护接零外，必须在设备负荷线的首端处安装漏电保护器。</w:t>
      </w:r>
    </w:p>
    <w:p w14:paraId="523A27C6">
      <w:pPr>
        <w:ind w:firstLine="480"/>
        <w:rPr>
          <w:highlight w:val="none"/>
        </w:rPr>
      </w:pPr>
      <w:r>
        <w:rPr>
          <w:rFonts w:hint="eastAsia"/>
          <w:highlight w:val="none"/>
        </w:rPr>
        <w:t>3）漏电保护器应装设在配电箱电源隔离开关的负荷侧和开关箱电源隔离开关的负荷侧。</w:t>
      </w:r>
    </w:p>
    <w:p w14:paraId="3995A33B">
      <w:pPr>
        <w:ind w:firstLine="480"/>
        <w:rPr>
          <w:color w:val="000000" w:themeColor="text1"/>
          <w:highlight w:val="none"/>
          <w14:textFill>
            <w14:solidFill>
              <w14:schemeClr w14:val="tx1"/>
            </w14:solidFill>
          </w14:textFill>
        </w:rPr>
      </w:pPr>
      <w:r>
        <w:rPr>
          <w:rFonts w:hint="eastAsia"/>
          <w:highlight w:val="none"/>
        </w:rPr>
        <w:t>4）开关箱内的漏电保护器其额定漏电动作电流应不大于30mA，额定漏电动作时间应小于0.1s。潮湿和有腐蚀介质场所的漏电保护器应采用防溅型产品，其额定漏电动</w:t>
      </w:r>
      <w:r>
        <w:rPr>
          <w:rFonts w:hint="eastAsia"/>
          <w:color w:val="000000" w:themeColor="text1"/>
          <w:highlight w:val="none"/>
          <w14:textFill>
            <w14:solidFill>
              <w14:schemeClr w14:val="tx1"/>
            </w14:solidFill>
          </w14:textFill>
        </w:rPr>
        <w:t>作电流应不大于15mA,额定漏电动作时间应小于0.1s。</w:t>
      </w:r>
    </w:p>
    <w:p w14:paraId="7D8719F0">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5）电气焊工应经过安全教育，并检查专业、安全理论和实际训练，经考核合格持有操作证书的人员，方能进行作业。</w:t>
      </w:r>
    </w:p>
    <w:p w14:paraId="50A85049">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6）从事电气焊接的工作人员，应了解所操作焊机的结构和性能，严格按照安全操作规程作业。</w:t>
      </w:r>
    </w:p>
    <w:p w14:paraId="43E475D1">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7）登高切割，应根据作业高度和环境条件，禁止在作业下方危险区存放可燃物、易爆物品和停留人员。</w:t>
      </w:r>
    </w:p>
    <w:p w14:paraId="3B038DF5">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8）氧气瓶、乙炔瓶应保持安全距离5m以上</w:t>
      </w:r>
      <w:bookmarkStart w:id="101" w:name="_Toc17627_WPSOffice_Level1"/>
      <w:r>
        <w:rPr>
          <w:rFonts w:hint="eastAsia"/>
          <w:color w:val="000000" w:themeColor="text1"/>
          <w:highlight w:val="none"/>
          <w14:textFill>
            <w14:solidFill>
              <w14:schemeClr w14:val="tx1"/>
            </w14:solidFill>
          </w14:textFill>
        </w:rPr>
        <w:t>，与明火作业保持1</w:t>
      </w:r>
      <w:bookmarkEnd w:id="101"/>
      <w:r>
        <w:rPr>
          <w:rFonts w:hint="eastAsia"/>
          <w:color w:val="000000" w:themeColor="text1"/>
          <w:highlight w:val="none"/>
          <w14:textFill>
            <w14:solidFill>
              <w14:schemeClr w14:val="tx1"/>
            </w14:solidFill>
          </w14:textFill>
        </w:rPr>
        <w:t>0</w:t>
      </w:r>
      <w:bookmarkStart w:id="102" w:name="_Toc4051_WPSOffice_Level2"/>
      <w:r>
        <w:rPr>
          <w:rFonts w:hint="eastAsia"/>
          <w:color w:val="000000" w:themeColor="text1"/>
          <w:highlight w:val="none"/>
          <w14:textFill>
            <w14:solidFill>
              <w14:schemeClr w14:val="tx1"/>
            </w14:solidFill>
          </w14:textFill>
        </w:rPr>
        <w:t>m以上。</w:t>
      </w:r>
    </w:p>
    <w:p w14:paraId="21A6DD21">
      <w:pPr>
        <w:pStyle w:val="5"/>
        <w:bidi w:val="0"/>
        <w:ind w:left="0" w:leftChars="0" w:firstLine="0" w:firstLineChars="0"/>
        <w:rPr>
          <w:highlight w:val="none"/>
        </w:rPr>
      </w:pPr>
      <w:bookmarkStart w:id="103" w:name="_Toc530055694"/>
      <w:r>
        <w:rPr>
          <w:rFonts w:hint="eastAsia"/>
          <w:highlight w:val="none"/>
        </w:rPr>
        <w:t>起重作业的安全规定</w:t>
      </w:r>
    </w:p>
    <w:bookmarkEnd w:id="102"/>
    <w:bookmarkEnd w:id="103"/>
    <w:p w14:paraId="658C999F">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1）工作前检查起重所用的一切工具、设备、吊索具是否良好，如不符合规定的，必须修理或更换。</w:t>
      </w:r>
    </w:p>
    <w:p w14:paraId="6C424931">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2）起重作业前应了解吊物尺寸、重量和起吊高度等，不得冒险作业和超负荷作业。</w:t>
      </w:r>
    </w:p>
    <w:p w14:paraId="2328643A">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3）起重作业由专业起重作业人员指挥，统一指挥信号和哨声，指挥者站在所有作业人员能看到的位置。同时指挥者本人应清楚地看到重物吊装的全部过程。</w:t>
      </w:r>
    </w:p>
    <w:p w14:paraId="405DF247">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4）起吊前应将吊物上的工具和杂物清除，以免掉下伤人，吊物上禁止站人。</w:t>
      </w:r>
    </w:p>
    <w:p w14:paraId="19ECE575">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5）起重时发现吊物不平衡应放下调整，起吊物及构件在未安装稳前，不得放下吊钩。</w:t>
      </w:r>
    </w:p>
    <w:p w14:paraId="5E8BD4B1">
      <w:pPr>
        <w:ind w:firstLine="480"/>
        <w:rPr>
          <w:highlight w:val="none"/>
        </w:rPr>
      </w:pPr>
      <w:r>
        <w:rPr>
          <w:rFonts w:hint="eastAsia"/>
          <w:highlight w:val="none"/>
        </w:rPr>
        <w:t>6）严格执行“十不吊”要求。</w:t>
      </w:r>
    </w:p>
    <w:p w14:paraId="7359DCBB">
      <w:pPr>
        <w:pStyle w:val="5"/>
        <w:bidi w:val="0"/>
        <w:ind w:left="0" w:leftChars="0" w:firstLine="0" w:firstLineChars="0"/>
        <w:rPr>
          <w:highlight w:val="none"/>
        </w:rPr>
      </w:pPr>
      <w:r>
        <w:rPr>
          <w:rFonts w:hint="eastAsia"/>
          <w:highlight w:val="none"/>
        </w:rPr>
        <w:t>监测监控措施</w:t>
      </w:r>
    </w:p>
    <w:p w14:paraId="4E4CCB48">
      <w:pPr>
        <w:ind w:firstLine="480"/>
        <w:rPr>
          <w:highlight w:val="none"/>
        </w:rPr>
      </w:pPr>
      <w:r>
        <w:rPr>
          <w:rFonts w:hint="eastAsia"/>
          <w:highlight w:val="none"/>
        </w:rPr>
        <w:t>根据本工程特点，塔吊监测的主要内容主要为塔吊塔身垂直度监测、基础沉降监测、 基础位移监测、塔机所有安全装置的监测。</w:t>
      </w:r>
    </w:p>
    <w:p w14:paraId="510F14CC">
      <w:pPr>
        <w:pStyle w:val="7"/>
        <w:bidi w:val="0"/>
        <w:ind w:left="864" w:leftChars="0" w:hanging="864" w:firstLineChars="0"/>
        <w:rPr>
          <w:highlight w:val="none"/>
        </w:rPr>
      </w:pPr>
      <w:r>
        <w:rPr>
          <w:rFonts w:hint="eastAsia"/>
          <w:highlight w:val="none"/>
        </w:rPr>
        <w:t>监控措施</w:t>
      </w:r>
    </w:p>
    <w:p w14:paraId="1B8E07E6">
      <w:pPr>
        <w:ind w:firstLine="480"/>
        <w:rPr>
          <w:highlight w:val="none"/>
        </w:rPr>
      </w:pPr>
      <w:r>
        <w:rPr>
          <w:rFonts w:hint="eastAsia"/>
          <w:highlight w:val="none"/>
        </w:rPr>
        <w:t>施工过程中，安全员必须对工人的施工操作进行监控。整个监控通过现场的指导，定期检查及不定期的检查来执行。</w:t>
      </w:r>
    </w:p>
    <w:p w14:paraId="461BCD27">
      <w:pPr>
        <w:ind w:firstLine="480"/>
        <w:rPr>
          <w:highlight w:val="none"/>
        </w:rPr>
      </w:pPr>
      <w:r>
        <w:rPr>
          <w:rFonts w:hint="eastAsia"/>
          <w:highlight w:val="none"/>
        </w:rPr>
        <w:t>在施工过程中，由安全专项方案作为指导，同时依据相关安全生产规范，在现场指导工人的操作是否规范，有问题的现场要求整改或指导。在生产过程中应组织生产管理相关部门的定期检查，对容易出现问题的工序要加强监控，对不容易出现问题的施工工序也要时有监控。通过加强监控来树立工人对安全生产的意识。安全部也要组织不定期的突击检查，以加强监控力度及覆盖外围。</w:t>
      </w:r>
    </w:p>
    <w:p w14:paraId="4775C6CD">
      <w:pPr>
        <w:pStyle w:val="7"/>
        <w:bidi w:val="0"/>
        <w:ind w:left="864" w:leftChars="0" w:hanging="864" w:firstLineChars="0"/>
        <w:rPr>
          <w:highlight w:val="none"/>
        </w:rPr>
      </w:pPr>
      <w:r>
        <w:rPr>
          <w:rFonts w:hint="eastAsia"/>
          <w:highlight w:val="none"/>
        </w:rPr>
        <w:t>监测措施</w:t>
      </w:r>
    </w:p>
    <w:p w14:paraId="608F64DC">
      <w:pPr>
        <w:pStyle w:val="10"/>
        <w:bidi w:val="0"/>
        <w:ind w:left="1008" w:leftChars="0" w:hanging="1008" w:firstLineChars="0"/>
        <w:rPr>
          <w:highlight w:val="none"/>
        </w:rPr>
      </w:pPr>
      <w:r>
        <w:rPr>
          <w:rFonts w:hint="eastAsia"/>
          <w:highlight w:val="none"/>
        </w:rPr>
        <w:t>监测人员配备</w:t>
      </w:r>
    </w:p>
    <w:p w14:paraId="158E0886">
      <w:pPr>
        <w:pStyle w:val="18"/>
        <w:rPr>
          <w:highlight w:val="none"/>
        </w:rPr>
      </w:pPr>
      <w:r>
        <w:rPr>
          <w:highlight w:val="none"/>
        </w:rPr>
        <w:t xml:space="preserve">表 </w:t>
      </w:r>
      <w:r>
        <w:rPr>
          <w:highlight w:val="none"/>
        </w:rPr>
        <w:fldChar w:fldCharType="begin"/>
      </w:r>
      <w:r>
        <w:rPr>
          <w:highlight w:val="none"/>
        </w:rPr>
        <w:instrText xml:space="preserve"> STYLEREF 2 \s </w:instrText>
      </w:r>
      <w:r>
        <w:rPr>
          <w:highlight w:val="none"/>
        </w:rPr>
        <w:fldChar w:fldCharType="separate"/>
      </w:r>
      <w:r>
        <w:rPr>
          <w:highlight w:val="none"/>
        </w:rPr>
        <w:t>6.</w:t>
      </w:r>
      <w:r>
        <w:rPr>
          <w:rFonts w:hint="eastAsia"/>
          <w:highlight w:val="none"/>
          <w:lang w:val="en-US" w:eastAsia="zh-CN"/>
        </w:rPr>
        <w:t>3</w:t>
      </w:r>
      <w:r>
        <w:rPr>
          <w:rFonts w:hint="eastAsia"/>
          <w:highlight w:val="none"/>
        </w:rPr>
        <w:fldChar w:fldCharType="end"/>
      </w:r>
      <w:r>
        <w:rPr>
          <w:rFonts w:hint="eastAsia"/>
          <w:highlight w:val="none"/>
        </w:rPr>
        <w:t>.8.2.1-</w:t>
      </w:r>
      <w:r>
        <w:rPr>
          <w:highlight w:val="none"/>
        </w:rPr>
        <w:fldChar w:fldCharType="begin"/>
      </w:r>
      <w:r>
        <w:rPr>
          <w:highlight w:val="none"/>
        </w:rPr>
        <w:instrText xml:space="preserve"> SEQ 表 \* ARABIC \s 2 </w:instrText>
      </w:r>
      <w:r>
        <w:rPr>
          <w:highlight w:val="none"/>
        </w:rPr>
        <w:fldChar w:fldCharType="separate"/>
      </w:r>
      <w:r>
        <w:rPr>
          <w:highlight w:val="none"/>
        </w:rPr>
        <w:t>1</w:t>
      </w:r>
      <w:r>
        <w:rPr>
          <w:highlight w:val="none"/>
        </w:rPr>
        <w:fldChar w:fldCharType="end"/>
      </w:r>
      <w:r>
        <w:rPr>
          <w:rFonts w:hint="eastAsia"/>
          <w:highlight w:val="none"/>
        </w:rPr>
        <w:t>监测人员配备表</w:t>
      </w:r>
    </w:p>
    <w:tbl>
      <w:tblPr>
        <w:tblStyle w:val="12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1425"/>
        <w:gridCol w:w="5162"/>
        <w:gridCol w:w="1011"/>
      </w:tblGrid>
      <w:tr w14:paraId="714B42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pct"/>
            <w:tcBorders>
              <w:bottom w:val="single" w:color="000000" w:sz="4" w:space="0"/>
              <w:right w:val="single" w:color="000000" w:sz="4" w:space="0"/>
              <w:tl2br w:val="nil"/>
            </w:tcBorders>
            <w:shd w:val="clear" w:color="auto" w:fill="FFFFFF"/>
            <w:vAlign w:val="center"/>
          </w:tcPr>
          <w:p w14:paraId="7043AC3B">
            <w:pPr>
              <w:pStyle w:val="53"/>
              <w:adjustRightInd w:val="0"/>
              <w:snapToGrid w:val="0"/>
              <w:rPr>
                <w:rFonts w:ascii="Times New Roman" w:hAnsi="Times New Roman" w:eastAsia="宋体" w:cstheme="minorBidi"/>
                <w:b/>
                <w:i w:val="0"/>
                <w:color w:val="000000"/>
                <w:highlight w:val="none"/>
              </w:rPr>
            </w:pPr>
            <w:r>
              <w:rPr>
                <w:rFonts w:hint="eastAsia" w:ascii="Times New Roman" w:hAnsi="Times New Roman" w:eastAsia="宋体" w:cstheme="minorBidi"/>
                <w:b w:val="0"/>
                <w:i w:val="0"/>
                <w:color w:val="000000"/>
                <w:highlight w:val="none"/>
              </w:rPr>
              <w:t>姓名</w:t>
            </w:r>
          </w:p>
        </w:tc>
        <w:tc>
          <w:tcPr>
            <w:tcW w:w="836" w:type="pct"/>
            <w:tcBorders>
              <w:left w:val="single" w:color="000000" w:sz="4" w:space="0"/>
              <w:bottom w:val="single" w:color="000000" w:sz="4" w:space="0"/>
              <w:right w:val="single" w:color="000000" w:sz="4" w:space="0"/>
            </w:tcBorders>
            <w:shd w:val="clear" w:color="auto" w:fill="FFFFFF"/>
            <w:vAlign w:val="center"/>
          </w:tcPr>
          <w:p w14:paraId="5811CAFD">
            <w:pPr>
              <w:pStyle w:val="53"/>
              <w:adjustRightInd w:val="0"/>
              <w:snapToGrid w:val="0"/>
              <w:rPr>
                <w:rFonts w:ascii="Times New Roman" w:hAnsi="Times New Roman" w:eastAsia="宋体" w:cstheme="minorBidi"/>
                <w:b/>
                <w:i w:val="0"/>
                <w:color w:val="000000"/>
                <w:highlight w:val="none"/>
              </w:rPr>
            </w:pPr>
            <w:r>
              <w:rPr>
                <w:rFonts w:hint="eastAsia" w:ascii="Times New Roman" w:hAnsi="Times New Roman" w:eastAsia="宋体" w:cstheme="minorBidi"/>
                <w:b w:val="0"/>
                <w:i w:val="0"/>
                <w:color w:val="000000"/>
                <w:highlight w:val="none"/>
              </w:rPr>
              <w:t>职务</w:t>
            </w:r>
          </w:p>
        </w:tc>
        <w:tc>
          <w:tcPr>
            <w:tcW w:w="3028" w:type="pct"/>
            <w:tcBorders>
              <w:left w:val="single" w:color="000000" w:sz="4" w:space="0"/>
              <w:bottom w:val="single" w:color="000000" w:sz="4" w:space="0"/>
              <w:right w:val="single" w:color="000000" w:sz="4" w:space="0"/>
            </w:tcBorders>
            <w:shd w:val="clear" w:color="auto" w:fill="FFFFFF"/>
            <w:vAlign w:val="center"/>
          </w:tcPr>
          <w:p w14:paraId="641C8EEF">
            <w:pPr>
              <w:pStyle w:val="53"/>
              <w:adjustRightInd w:val="0"/>
              <w:snapToGrid w:val="0"/>
              <w:rPr>
                <w:rFonts w:ascii="Times New Roman" w:hAnsi="Times New Roman" w:eastAsia="宋体" w:cstheme="minorBidi"/>
                <w:b/>
                <w:i w:val="0"/>
                <w:color w:val="000000"/>
                <w:highlight w:val="none"/>
              </w:rPr>
            </w:pPr>
            <w:r>
              <w:rPr>
                <w:rFonts w:hint="eastAsia" w:ascii="Times New Roman" w:hAnsi="Times New Roman" w:eastAsia="宋体" w:cstheme="minorBidi"/>
                <w:b w:val="0"/>
                <w:i w:val="0"/>
                <w:color w:val="000000"/>
                <w:highlight w:val="none"/>
              </w:rPr>
              <w:t>工作内容</w:t>
            </w:r>
          </w:p>
        </w:tc>
        <w:tc>
          <w:tcPr>
            <w:tcW w:w="593" w:type="pct"/>
            <w:tcBorders>
              <w:left w:val="single" w:color="000000" w:sz="4" w:space="0"/>
              <w:bottom w:val="single" w:color="000000" w:sz="4" w:space="0"/>
            </w:tcBorders>
            <w:shd w:val="clear" w:color="auto" w:fill="FFFFFF"/>
            <w:vAlign w:val="center"/>
          </w:tcPr>
          <w:p w14:paraId="0ACC52CE">
            <w:pPr>
              <w:pStyle w:val="53"/>
              <w:adjustRightInd w:val="0"/>
              <w:snapToGrid w:val="0"/>
              <w:rPr>
                <w:rFonts w:ascii="Times New Roman" w:hAnsi="Times New Roman" w:eastAsia="宋体" w:cstheme="minorBidi"/>
                <w:b/>
                <w:i w:val="0"/>
                <w:color w:val="000000"/>
                <w:highlight w:val="none"/>
              </w:rPr>
            </w:pPr>
            <w:r>
              <w:rPr>
                <w:rFonts w:hint="eastAsia" w:ascii="Times New Roman" w:hAnsi="Times New Roman" w:eastAsia="宋体" w:cstheme="minorBidi"/>
                <w:b w:val="0"/>
                <w:i w:val="0"/>
                <w:color w:val="000000"/>
                <w:highlight w:val="none"/>
              </w:rPr>
              <w:t>备注</w:t>
            </w:r>
          </w:p>
        </w:tc>
      </w:tr>
      <w:tr w14:paraId="6F1412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pct"/>
            <w:tcBorders>
              <w:top w:val="single" w:color="000000" w:sz="4" w:space="0"/>
              <w:bottom w:val="single" w:color="000000" w:sz="4" w:space="0"/>
              <w:right w:val="single" w:color="000000" w:sz="4" w:space="0"/>
            </w:tcBorders>
            <w:shd w:val="clear" w:color="auto" w:fill="FFFFFF"/>
            <w:vAlign w:val="center"/>
          </w:tcPr>
          <w:p w14:paraId="6D799BB5">
            <w:pPr>
              <w:pStyle w:val="53"/>
              <w:adjustRightInd w:val="0"/>
              <w:snapToGrid w:val="0"/>
              <w:rPr>
                <w:rFonts w:cstheme="minorBidi"/>
                <w:b w:val="0"/>
                <w:color w:val="000000"/>
                <w:highlight w:val="none"/>
              </w:rPr>
            </w:pPr>
          </w:p>
        </w:tc>
        <w:tc>
          <w:tcPr>
            <w:tcW w:w="8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CD56C1">
            <w:pPr>
              <w:pStyle w:val="53"/>
              <w:adjustRightInd w:val="0"/>
              <w:snapToGrid w:val="0"/>
              <w:rPr>
                <w:rFonts w:cstheme="minorBidi"/>
                <w:b w:val="0"/>
                <w:color w:val="000000"/>
                <w:highlight w:val="none"/>
              </w:rPr>
            </w:pPr>
          </w:p>
        </w:tc>
        <w:tc>
          <w:tcPr>
            <w:tcW w:w="302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4C0BB6">
            <w:pPr>
              <w:pStyle w:val="53"/>
              <w:adjustRightInd w:val="0"/>
              <w:snapToGrid w:val="0"/>
              <w:rPr>
                <w:rFonts w:cstheme="minorBidi"/>
                <w:b w:val="0"/>
                <w:color w:val="000000"/>
                <w:highlight w:val="none"/>
              </w:rPr>
            </w:pPr>
            <w:r>
              <w:rPr>
                <w:rFonts w:hint="eastAsia" w:cstheme="minorBidi"/>
                <w:b w:val="0"/>
                <w:color w:val="000000"/>
                <w:highlight w:val="none"/>
              </w:rPr>
              <w:t>负责协调工作、监管测量员与安装单位对塔吊安装前、中、</w:t>
            </w:r>
          </w:p>
          <w:p w14:paraId="1ADEBA46">
            <w:pPr>
              <w:pStyle w:val="53"/>
              <w:adjustRightInd w:val="0"/>
              <w:snapToGrid w:val="0"/>
              <w:rPr>
                <w:rFonts w:cstheme="minorBidi"/>
                <w:b w:val="0"/>
                <w:color w:val="000000"/>
                <w:highlight w:val="none"/>
              </w:rPr>
            </w:pPr>
            <w:r>
              <w:rPr>
                <w:rFonts w:hint="eastAsia" w:cstheme="minorBidi"/>
                <w:b w:val="0"/>
                <w:color w:val="000000"/>
                <w:highlight w:val="none"/>
              </w:rPr>
              <w:t>后的相关数据进行测量，并制作测量表格，收集监测资料。</w:t>
            </w:r>
          </w:p>
        </w:tc>
        <w:tc>
          <w:tcPr>
            <w:tcW w:w="593" w:type="pct"/>
            <w:tcBorders>
              <w:top w:val="single" w:color="000000" w:sz="4" w:space="0"/>
              <w:left w:val="single" w:color="000000" w:sz="4" w:space="0"/>
              <w:bottom w:val="single" w:color="000000" w:sz="4" w:space="0"/>
            </w:tcBorders>
            <w:shd w:val="clear" w:color="auto" w:fill="FFFFFF"/>
            <w:vAlign w:val="center"/>
          </w:tcPr>
          <w:p w14:paraId="78A82CE8">
            <w:pPr>
              <w:pStyle w:val="53"/>
              <w:adjustRightInd w:val="0"/>
              <w:snapToGrid w:val="0"/>
              <w:rPr>
                <w:rFonts w:cstheme="minorBidi"/>
                <w:b w:val="0"/>
                <w:color w:val="000000"/>
                <w:highlight w:val="none"/>
              </w:rPr>
            </w:pPr>
          </w:p>
        </w:tc>
      </w:tr>
      <w:tr w14:paraId="304D23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pct"/>
            <w:tcBorders>
              <w:top w:val="single" w:color="000000" w:sz="4" w:space="0"/>
              <w:bottom w:val="single" w:color="000000" w:sz="4" w:space="0"/>
              <w:right w:val="single" w:color="000000" w:sz="4" w:space="0"/>
            </w:tcBorders>
            <w:shd w:val="clear" w:color="auto" w:fill="FFFFFF"/>
            <w:vAlign w:val="center"/>
          </w:tcPr>
          <w:p w14:paraId="0482BCC3">
            <w:pPr>
              <w:pStyle w:val="53"/>
              <w:adjustRightInd w:val="0"/>
              <w:snapToGrid w:val="0"/>
              <w:rPr>
                <w:rFonts w:cstheme="minorBidi"/>
                <w:b w:val="0"/>
                <w:color w:val="000000"/>
                <w:highlight w:val="none"/>
              </w:rPr>
            </w:pPr>
          </w:p>
        </w:tc>
        <w:tc>
          <w:tcPr>
            <w:tcW w:w="8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D71B3D">
            <w:pPr>
              <w:pStyle w:val="53"/>
              <w:adjustRightInd w:val="0"/>
              <w:snapToGrid w:val="0"/>
              <w:rPr>
                <w:rFonts w:cstheme="minorBidi"/>
                <w:b w:val="0"/>
                <w:color w:val="000000"/>
                <w:highlight w:val="none"/>
              </w:rPr>
            </w:pPr>
          </w:p>
        </w:tc>
        <w:tc>
          <w:tcPr>
            <w:tcW w:w="302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5E1E95">
            <w:pPr>
              <w:pStyle w:val="53"/>
              <w:adjustRightInd w:val="0"/>
              <w:snapToGrid w:val="0"/>
              <w:rPr>
                <w:rFonts w:cstheme="minorBidi"/>
                <w:b w:val="0"/>
                <w:color w:val="000000"/>
                <w:highlight w:val="none"/>
              </w:rPr>
            </w:pPr>
            <w:r>
              <w:rPr>
                <w:rFonts w:hint="eastAsia" w:cstheme="minorBidi"/>
                <w:b w:val="0"/>
                <w:color w:val="000000"/>
                <w:highlight w:val="none"/>
              </w:rPr>
              <w:t>负责塔吊安装过程中的安全监管</w:t>
            </w:r>
          </w:p>
        </w:tc>
        <w:tc>
          <w:tcPr>
            <w:tcW w:w="593" w:type="pct"/>
            <w:tcBorders>
              <w:top w:val="single" w:color="000000" w:sz="4" w:space="0"/>
              <w:left w:val="single" w:color="000000" w:sz="4" w:space="0"/>
              <w:bottom w:val="single" w:color="000000" w:sz="4" w:space="0"/>
            </w:tcBorders>
            <w:shd w:val="clear" w:color="auto" w:fill="FFFFFF"/>
            <w:vAlign w:val="center"/>
          </w:tcPr>
          <w:p w14:paraId="73239404">
            <w:pPr>
              <w:pStyle w:val="53"/>
              <w:adjustRightInd w:val="0"/>
              <w:snapToGrid w:val="0"/>
              <w:rPr>
                <w:rFonts w:cstheme="minorBidi"/>
                <w:b w:val="0"/>
                <w:color w:val="000000"/>
                <w:highlight w:val="none"/>
              </w:rPr>
            </w:pPr>
          </w:p>
        </w:tc>
      </w:tr>
      <w:tr w14:paraId="0CD95B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2" w:type="pct"/>
            <w:tcBorders>
              <w:top w:val="single" w:color="000000" w:sz="4" w:space="0"/>
              <w:right w:val="single" w:color="000000" w:sz="4" w:space="0"/>
            </w:tcBorders>
            <w:shd w:val="clear" w:color="auto" w:fill="FFFFFF"/>
            <w:vAlign w:val="center"/>
          </w:tcPr>
          <w:p w14:paraId="1BCEC2E3">
            <w:pPr>
              <w:pStyle w:val="53"/>
              <w:adjustRightInd w:val="0"/>
              <w:snapToGrid w:val="0"/>
              <w:rPr>
                <w:rFonts w:cstheme="minorBidi"/>
                <w:b w:val="0"/>
                <w:color w:val="000000"/>
                <w:highlight w:val="none"/>
              </w:rPr>
            </w:pPr>
          </w:p>
        </w:tc>
        <w:tc>
          <w:tcPr>
            <w:tcW w:w="836" w:type="pct"/>
            <w:tcBorders>
              <w:top w:val="single" w:color="000000" w:sz="4" w:space="0"/>
              <w:left w:val="single" w:color="000000" w:sz="4" w:space="0"/>
              <w:right w:val="single" w:color="000000" w:sz="4" w:space="0"/>
            </w:tcBorders>
            <w:shd w:val="clear" w:color="auto" w:fill="FFFFFF"/>
            <w:vAlign w:val="center"/>
          </w:tcPr>
          <w:p w14:paraId="2768F435">
            <w:pPr>
              <w:pStyle w:val="53"/>
              <w:adjustRightInd w:val="0"/>
              <w:snapToGrid w:val="0"/>
              <w:rPr>
                <w:rFonts w:cstheme="minorBidi"/>
                <w:b w:val="0"/>
                <w:color w:val="000000"/>
                <w:highlight w:val="none"/>
              </w:rPr>
            </w:pPr>
          </w:p>
        </w:tc>
        <w:tc>
          <w:tcPr>
            <w:tcW w:w="3028" w:type="pct"/>
            <w:tcBorders>
              <w:top w:val="single" w:color="000000" w:sz="4" w:space="0"/>
              <w:left w:val="single" w:color="000000" w:sz="4" w:space="0"/>
              <w:right w:val="single" w:color="000000" w:sz="4" w:space="0"/>
            </w:tcBorders>
            <w:shd w:val="clear" w:color="auto" w:fill="FFFFFF"/>
            <w:vAlign w:val="center"/>
          </w:tcPr>
          <w:p w14:paraId="255A5C95">
            <w:pPr>
              <w:pStyle w:val="53"/>
              <w:adjustRightInd w:val="0"/>
              <w:snapToGrid w:val="0"/>
              <w:rPr>
                <w:rFonts w:cstheme="minorBidi"/>
                <w:b w:val="0"/>
                <w:color w:val="000000"/>
                <w:highlight w:val="none"/>
              </w:rPr>
            </w:pPr>
            <w:r>
              <w:rPr>
                <w:rFonts w:hint="eastAsia" w:cstheme="minorBidi"/>
                <w:b w:val="0"/>
                <w:color w:val="000000"/>
                <w:highlight w:val="none"/>
              </w:rPr>
              <w:t>负责编制塔吊方案中的检测数据</w:t>
            </w:r>
          </w:p>
        </w:tc>
        <w:tc>
          <w:tcPr>
            <w:tcW w:w="593" w:type="pct"/>
            <w:tcBorders>
              <w:top w:val="single" w:color="000000" w:sz="4" w:space="0"/>
              <w:left w:val="single" w:color="000000" w:sz="4" w:space="0"/>
            </w:tcBorders>
            <w:shd w:val="clear" w:color="auto" w:fill="FFFFFF"/>
            <w:vAlign w:val="center"/>
          </w:tcPr>
          <w:p w14:paraId="7F5F3568">
            <w:pPr>
              <w:pStyle w:val="53"/>
              <w:adjustRightInd w:val="0"/>
              <w:snapToGrid w:val="0"/>
              <w:rPr>
                <w:rFonts w:cstheme="minorBidi"/>
                <w:b w:val="0"/>
                <w:color w:val="000000"/>
                <w:highlight w:val="none"/>
              </w:rPr>
            </w:pPr>
          </w:p>
        </w:tc>
      </w:tr>
    </w:tbl>
    <w:p w14:paraId="135AC8C3">
      <w:pPr>
        <w:ind w:firstLine="480"/>
        <w:rPr>
          <w:highlight w:val="none"/>
        </w:rPr>
      </w:pPr>
    </w:p>
    <w:p w14:paraId="24CCCBC9">
      <w:pPr>
        <w:pStyle w:val="10"/>
        <w:bidi w:val="0"/>
        <w:ind w:left="1008" w:leftChars="0" w:hanging="1008" w:firstLineChars="0"/>
        <w:rPr>
          <w:highlight w:val="none"/>
        </w:rPr>
      </w:pPr>
      <w:r>
        <w:rPr>
          <w:rFonts w:hint="eastAsia"/>
          <w:highlight w:val="none"/>
        </w:rPr>
        <w:t>监测监管要求</w:t>
      </w:r>
    </w:p>
    <w:p w14:paraId="0ACAA0E0">
      <w:pPr>
        <w:ind w:firstLine="480"/>
        <w:rPr>
          <w:highlight w:val="none"/>
        </w:rPr>
      </w:pPr>
      <w:r>
        <w:rPr>
          <w:rFonts w:hint="eastAsia"/>
          <w:highlight w:val="none"/>
        </w:rPr>
        <w:t>前期准备：必须将所需监测资料收集齐全，所需测量数据制定成表格，并将控制要求负责表格后面；</w:t>
      </w:r>
    </w:p>
    <w:p w14:paraId="7B7D8A24">
      <w:pPr>
        <w:ind w:firstLine="480"/>
        <w:rPr>
          <w:highlight w:val="none"/>
        </w:rPr>
      </w:pPr>
      <w:r>
        <w:rPr>
          <w:rFonts w:hint="eastAsia"/>
          <w:highlight w:val="none"/>
        </w:rPr>
        <w:t>现场测量：保证测量人员固定，设备固定、观测线路固定的三固定原则，保证测 量仪器工作正常，现场测量员技术过关，注意施工安全；</w:t>
      </w:r>
    </w:p>
    <w:p w14:paraId="0293EA3A">
      <w:pPr>
        <w:ind w:firstLine="480"/>
        <w:rPr>
          <w:highlight w:val="none"/>
        </w:rPr>
      </w:pPr>
      <w:r>
        <w:rPr>
          <w:rFonts w:hint="eastAsia"/>
          <w:highlight w:val="none"/>
        </w:rPr>
        <w:t>数据处理：现场测量数据必须形成档案，以便存储。同时将测量数据及时反馈给 安拆工长，安拆工长根据反馈数据确定是否需要采取相应处理措施；</w:t>
      </w:r>
    </w:p>
    <w:p w14:paraId="62A27C60">
      <w:pPr>
        <w:ind w:firstLine="480"/>
        <w:rPr>
          <w:highlight w:val="none"/>
        </w:rPr>
      </w:pPr>
      <w:r>
        <w:rPr>
          <w:rFonts w:hint="eastAsia"/>
          <w:highlight w:val="none"/>
        </w:rPr>
        <w:t>档案归档：塔吊安装完成，检测合格后，保证所有监测资料能够快速查阅，资料 控制、保护措施全面；</w:t>
      </w:r>
    </w:p>
    <w:p w14:paraId="06DA73F3">
      <w:pPr>
        <w:pStyle w:val="10"/>
        <w:bidi w:val="0"/>
        <w:ind w:left="1008" w:leftChars="0" w:hanging="1008" w:firstLineChars="0"/>
        <w:rPr>
          <w:highlight w:val="none"/>
        </w:rPr>
      </w:pPr>
      <w:r>
        <w:rPr>
          <w:rFonts w:hint="eastAsia"/>
          <w:highlight w:val="none"/>
        </w:rPr>
        <w:t>监测方法</w:t>
      </w:r>
    </w:p>
    <w:p w14:paraId="52F9DA7A">
      <w:pPr>
        <w:ind w:firstLine="480"/>
        <w:rPr>
          <w:highlight w:val="none"/>
        </w:rPr>
      </w:pPr>
      <w:r>
        <w:rPr>
          <w:rFonts w:hint="eastAsia"/>
          <w:highlight w:val="none"/>
        </w:rPr>
        <w:t>1）安装时每安装一节塔身节即对塔吊垂直度进行测量，满足要求后方可进行下道工序施工。</w:t>
      </w:r>
    </w:p>
    <w:p w14:paraId="485D0CB4">
      <w:pPr>
        <w:ind w:firstLine="480"/>
        <w:rPr>
          <w:highlight w:val="none"/>
        </w:rPr>
      </w:pPr>
      <w:r>
        <w:rPr>
          <w:rFonts w:hint="eastAsia"/>
          <w:highlight w:val="none"/>
        </w:rPr>
        <w:t>安装完成每周对塔吊的垂直度进行监测，当倾斜度超过4/1000时或者倾斜速率连续三日大于5mm/d时，应立即停止塔吊的使用，查明相关原因。</w:t>
      </w:r>
    </w:p>
    <w:p w14:paraId="254EB245">
      <w:pPr>
        <w:ind w:firstLine="480"/>
        <w:rPr>
          <w:highlight w:val="none"/>
        </w:rPr>
      </w:pPr>
      <w:r>
        <w:rPr>
          <w:rFonts w:hint="eastAsia"/>
          <w:highlight w:val="none"/>
        </w:rPr>
        <w:t>2）在塔吊上安装塔吊监控监控系统，确保塔吊作业安全，监控项目主要包括群塔防碰撞、空间限位保护、超载保护、人机管理、远程监控等方面。</w:t>
      </w:r>
    </w:p>
    <w:p w14:paraId="226659A9">
      <w:pPr>
        <w:ind w:firstLine="480"/>
        <w:rPr>
          <w:highlight w:val="none"/>
        </w:rPr>
      </w:pPr>
      <w:r>
        <w:rPr>
          <w:rFonts w:hint="eastAsia"/>
          <w:highlight w:val="none"/>
        </w:rPr>
        <w:t>3）塔吊安装与使用期间安装风速仪对现场风速进行监测，当现场风速达到6级风时需停止塔吊安装与使用。</w:t>
      </w:r>
    </w:p>
    <w:p w14:paraId="4B7A60C2">
      <w:pPr>
        <w:ind w:firstLine="480"/>
        <w:rPr>
          <w:highlight w:val="none"/>
        </w:rPr>
      </w:pPr>
      <w:r>
        <w:rPr>
          <w:rFonts w:hint="eastAsia"/>
          <w:highlight w:val="none"/>
        </w:rPr>
        <w:t>大风天气时，将塔吊回转机构的制动器完全松开，起重臂应能随风转动，塔吊控制器挂零档，吊钩应收起，靠塔身放置，当气象播报风力可达10级及以上时应在大风天气来临前降低塔吊高度。</w:t>
      </w:r>
    </w:p>
    <w:p w14:paraId="77750336">
      <w:pPr>
        <w:ind w:firstLine="480"/>
        <w:rPr>
          <w:highlight w:val="none"/>
        </w:rPr>
      </w:pPr>
      <w:r>
        <w:rPr>
          <w:rFonts w:hint="eastAsia"/>
          <w:highlight w:val="none"/>
        </w:rPr>
        <w:t>4)塔吊限位装置、钢丝绳检测，定期对塔吊限位装置、钢丝绳进行检查，发现问题立即进行更换。</w:t>
      </w:r>
    </w:p>
    <w:p w14:paraId="505BA409">
      <w:pPr>
        <w:ind w:firstLine="480"/>
        <w:rPr>
          <w:highlight w:val="none"/>
        </w:rPr>
      </w:pPr>
      <w:r>
        <w:rPr>
          <w:rFonts w:hint="eastAsia"/>
          <w:highlight w:val="none"/>
        </w:rPr>
        <w:t>5）用经纬仪定期测量塔吊垂直度确保塔吊使用过程的安全稳定，独立高度下或最上层附着框以上塔身轴线对支承面垂直度不得大于 4/ 1000。</w:t>
      </w:r>
    </w:p>
    <w:p w14:paraId="0D990FBD">
      <w:pPr>
        <w:pStyle w:val="10"/>
        <w:bidi w:val="0"/>
        <w:ind w:left="1008" w:leftChars="0" w:hanging="1008" w:firstLineChars="0"/>
        <w:rPr>
          <w:highlight w:val="none"/>
        </w:rPr>
      </w:pPr>
      <w:r>
        <w:rPr>
          <w:rFonts w:hint="eastAsia"/>
          <w:highlight w:val="none"/>
        </w:rPr>
        <w:t>主要监测内容</w:t>
      </w:r>
    </w:p>
    <w:p w14:paraId="04916C55">
      <w:pPr>
        <w:pStyle w:val="18"/>
        <w:rPr>
          <w:highlight w:val="none"/>
        </w:rPr>
      </w:pPr>
      <w:r>
        <w:rPr>
          <w:rFonts w:hint="eastAsia"/>
          <w:highlight w:val="none"/>
        </w:rPr>
        <w:t xml:space="preserve">表 </w:t>
      </w:r>
      <w:r>
        <w:rPr>
          <w:highlight w:val="none"/>
        </w:rPr>
        <w:fldChar w:fldCharType="begin"/>
      </w:r>
      <w:r>
        <w:rPr>
          <w:highlight w:val="none"/>
        </w:rPr>
        <w:instrText xml:space="preserve"> </w:instrText>
      </w:r>
      <w:r>
        <w:rPr>
          <w:rFonts w:hint="eastAsia"/>
          <w:highlight w:val="none"/>
        </w:rPr>
        <w:instrText xml:space="preserve">STYLEREF 3 \s</w:instrText>
      </w:r>
      <w:r>
        <w:rPr>
          <w:highlight w:val="none"/>
        </w:rPr>
        <w:instrText xml:space="preserve"> </w:instrText>
      </w:r>
      <w:r>
        <w:rPr>
          <w:highlight w:val="none"/>
        </w:rPr>
        <w:fldChar w:fldCharType="separate"/>
      </w:r>
      <w:r>
        <w:rPr>
          <w:highlight w:val="none"/>
        </w:rPr>
        <w:t>6.</w:t>
      </w:r>
      <w:r>
        <w:rPr>
          <w:rFonts w:hint="eastAsia"/>
          <w:highlight w:val="none"/>
          <w:lang w:val="en-US" w:eastAsia="zh-CN"/>
        </w:rPr>
        <w:t>3</w:t>
      </w:r>
      <w:r>
        <w:rPr>
          <w:highlight w:val="none"/>
        </w:rPr>
        <w:t>.8</w:t>
      </w:r>
      <w:r>
        <w:rPr>
          <w:highlight w:val="none"/>
        </w:rPr>
        <w:fldChar w:fldCharType="end"/>
      </w:r>
      <w:r>
        <w:rPr>
          <w:rFonts w:hint="eastAsia"/>
          <w:highlight w:val="none"/>
        </w:rPr>
        <w:t>.2.4</w:t>
      </w:r>
      <w:r>
        <w:rPr>
          <w:highlight w:val="none"/>
        </w:rPr>
        <w:noBreakHyphen/>
      </w:r>
      <w:r>
        <w:rPr>
          <w:rFonts w:hint="eastAsia"/>
          <w:highlight w:val="none"/>
        </w:rPr>
        <w:t>1主要监测内容明细表</w:t>
      </w:r>
    </w:p>
    <w:tbl>
      <w:tblPr>
        <w:tblStyle w:val="125"/>
        <w:tblW w:w="4998" w:type="pct"/>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8"/>
        <w:gridCol w:w="525"/>
        <w:gridCol w:w="1459"/>
        <w:gridCol w:w="673"/>
        <w:gridCol w:w="20"/>
        <w:gridCol w:w="520"/>
        <w:gridCol w:w="1999"/>
        <w:gridCol w:w="128"/>
        <w:gridCol w:w="20"/>
        <w:gridCol w:w="907"/>
        <w:gridCol w:w="1198"/>
        <w:gridCol w:w="22"/>
      </w:tblGrid>
      <w:tr w14:paraId="622C26C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pct"/>
          <w:trHeight w:val="23" w:hRule="atLeast"/>
          <w:tblHeader/>
          <w:jc w:val="center"/>
        </w:trPr>
        <w:tc>
          <w:tcPr>
            <w:tcW w:w="615"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7BAC6B3A">
            <w:pPr>
              <w:pStyle w:val="53"/>
              <w:adjustRightInd w:val="0"/>
              <w:snapToGrid w:val="0"/>
              <w:rPr>
                <w:rFonts w:ascii="Times New Roman" w:hAnsi="Times New Roman" w:eastAsia="宋体" w:cstheme="minorBidi"/>
                <w:b w:val="0"/>
                <w:bCs w:val="0"/>
                <w:i w:val="0"/>
                <w:highlight w:val="none"/>
              </w:rPr>
            </w:pPr>
            <w:r>
              <w:rPr>
                <w:rFonts w:hint="eastAsia" w:ascii="Times New Roman" w:hAnsi="Times New Roman" w:eastAsia="宋体" w:cstheme="minorBidi"/>
                <w:b/>
                <w:bCs w:val="0"/>
                <w:i w:val="0"/>
                <w:highlight w:val="none"/>
              </w:rPr>
              <w:t>施工</w:t>
            </w:r>
            <w:r>
              <w:rPr>
                <w:rFonts w:hint="eastAsia" w:ascii="Times New Roman" w:hAnsi="Times New Roman" w:eastAsia="宋体" w:cstheme="minorBidi"/>
                <w:b/>
                <w:bCs w:val="0"/>
                <w:i w:val="0"/>
                <w:spacing w:val="7"/>
                <w:highlight w:val="none"/>
              </w:rPr>
              <w:t>单位</w:t>
            </w:r>
          </w:p>
        </w:tc>
        <w:tc>
          <w:tcPr>
            <w:tcW w:w="1164" w:type="pct"/>
            <w:gridSpan w:val="2"/>
            <w:tcBorders>
              <w:top w:val="single" w:color="000000" w:sz="12" w:space="0"/>
              <w:left w:val="single" w:color="000000" w:sz="4" w:space="0"/>
              <w:bottom w:val="single" w:color="000000" w:sz="4" w:space="0"/>
              <w:right w:val="single" w:color="000000" w:sz="4" w:space="0"/>
            </w:tcBorders>
            <w:shd w:val="clear" w:color="auto" w:fill="FFFFFF"/>
            <w:vAlign w:val="center"/>
          </w:tcPr>
          <w:p w14:paraId="7BF00E39">
            <w:pPr>
              <w:pStyle w:val="53"/>
              <w:adjustRightInd w:val="0"/>
              <w:snapToGrid w:val="0"/>
              <w:rPr>
                <w:rFonts w:ascii="Times New Roman" w:hAnsi="Times New Roman" w:eastAsia="宋体" w:cstheme="minorBidi"/>
                <w:b w:val="0"/>
                <w:bCs w:val="0"/>
                <w:i w:val="0"/>
                <w:highlight w:val="none"/>
              </w:rPr>
            </w:pPr>
          </w:p>
        </w:tc>
        <w:tc>
          <w:tcPr>
            <w:tcW w:w="712" w:type="pct"/>
            <w:gridSpan w:val="3"/>
            <w:tcBorders>
              <w:top w:val="single" w:color="000000" w:sz="12" w:space="0"/>
              <w:left w:val="single" w:color="000000" w:sz="4" w:space="0"/>
              <w:bottom w:val="single" w:color="000000" w:sz="4" w:space="0"/>
              <w:right w:val="single" w:color="000000" w:sz="4" w:space="0"/>
            </w:tcBorders>
            <w:shd w:val="clear" w:color="auto" w:fill="FFFFFF"/>
            <w:vAlign w:val="center"/>
          </w:tcPr>
          <w:p w14:paraId="34CFA0A3">
            <w:pPr>
              <w:pStyle w:val="53"/>
              <w:adjustRightInd w:val="0"/>
              <w:snapToGrid w:val="0"/>
              <w:rPr>
                <w:rFonts w:ascii="Times New Roman" w:hAnsi="Times New Roman" w:eastAsia="宋体" w:cstheme="minorBidi"/>
                <w:b w:val="0"/>
                <w:bCs w:val="0"/>
                <w:i w:val="0"/>
                <w:highlight w:val="none"/>
              </w:rPr>
            </w:pPr>
            <w:r>
              <w:rPr>
                <w:rFonts w:hint="eastAsia" w:ascii="Times New Roman" w:hAnsi="Times New Roman" w:eastAsia="宋体" w:cstheme="minorBidi"/>
                <w:b/>
                <w:bCs w:val="0"/>
                <w:i w:val="0"/>
                <w:spacing w:val="7"/>
                <w:highlight w:val="none"/>
              </w:rPr>
              <w:t>工程名</w:t>
            </w:r>
            <w:r>
              <w:rPr>
                <w:rFonts w:hint="eastAsia" w:ascii="Times New Roman" w:hAnsi="Times New Roman" w:eastAsia="宋体" w:cstheme="minorBidi"/>
                <w:b/>
                <w:bCs w:val="0"/>
                <w:i w:val="0"/>
                <w:spacing w:val="6"/>
                <w:highlight w:val="none"/>
              </w:rPr>
              <w:t>称</w:t>
            </w:r>
          </w:p>
        </w:tc>
        <w:tc>
          <w:tcPr>
            <w:tcW w:w="1173"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1E4F78E0">
            <w:pPr>
              <w:pStyle w:val="53"/>
              <w:adjustRightInd w:val="0"/>
              <w:snapToGrid w:val="0"/>
              <w:rPr>
                <w:rFonts w:ascii="Times New Roman" w:hAnsi="Times New Roman" w:eastAsia="宋体" w:cstheme="minorBidi"/>
                <w:b w:val="0"/>
                <w:bCs w:val="0"/>
                <w:i w:val="0"/>
                <w:highlight w:val="none"/>
              </w:rPr>
            </w:pPr>
          </w:p>
        </w:tc>
        <w:tc>
          <w:tcPr>
            <w:tcW w:w="619" w:type="pct"/>
            <w:gridSpan w:val="3"/>
            <w:tcBorders>
              <w:top w:val="single" w:color="000000" w:sz="12" w:space="0"/>
              <w:left w:val="single" w:color="000000" w:sz="12" w:space="0"/>
              <w:bottom w:val="single" w:color="000000" w:sz="4" w:space="0"/>
              <w:right w:val="single" w:color="000000" w:sz="4" w:space="0"/>
            </w:tcBorders>
            <w:shd w:val="clear" w:color="auto" w:fill="FFFFFF"/>
            <w:vAlign w:val="center"/>
          </w:tcPr>
          <w:p w14:paraId="21E35BA4">
            <w:pPr>
              <w:pStyle w:val="53"/>
              <w:adjustRightInd w:val="0"/>
              <w:snapToGrid w:val="0"/>
              <w:rPr>
                <w:rFonts w:ascii="Times New Roman" w:hAnsi="Times New Roman" w:eastAsia="宋体" w:cstheme="minorBidi"/>
                <w:b w:val="0"/>
                <w:bCs w:val="0"/>
                <w:i w:val="0"/>
                <w:highlight w:val="none"/>
              </w:rPr>
            </w:pPr>
            <w:r>
              <w:rPr>
                <w:rFonts w:hint="eastAsia" w:ascii="Times New Roman" w:hAnsi="Times New Roman" w:eastAsia="宋体" w:cstheme="minorBidi"/>
                <w:b/>
                <w:bCs w:val="0"/>
                <w:i w:val="0"/>
                <w:spacing w:val="7"/>
                <w:highlight w:val="none"/>
              </w:rPr>
              <w:t>工程地</w:t>
            </w:r>
            <w:r>
              <w:rPr>
                <w:rFonts w:hint="eastAsia" w:ascii="Times New Roman" w:hAnsi="Times New Roman" w:eastAsia="宋体" w:cstheme="minorBidi"/>
                <w:b/>
                <w:bCs w:val="0"/>
                <w:i w:val="0"/>
                <w:spacing w:val="6"/>
                <w:highlight w:val="none"/>
              </w:rPr>
              <w:t>址</w:t>
            </w:r>
          </w:p>
        </w:tc>
        <w:tc>
          <w:tcPr>
            <w:tcW w:w="701"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15E3892C">
            <w:pPr>
              <w:pStyle w:val="53"/>
              <w:adjustRightInd w:val="0"/>
              <w:snapToGrid w:val="0"/>
              <w:rPr>
                <w:rFonts w:ascii="Times New Roman" w:hAnsi="Times New Roman" w:eastAsia="宋体" w:cstheme="minorBidi"/>
                <w:b w:val="0"/>
                <w:bCs w:val="0"/>
                <w:i w:val="0"/>
                <w:highlight w:val="none"/>
              </w:rPr>
            </w:pPr>
          </w:p>
        </w:tc>
      </w:tr>
      <w:tr w14:paraId="2D5B62C6">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pct"/>
          <w:trHeight w:val="23" w:hRule="atLeast"/>
          <w:tblHeader/>
          <w:jc w:val="center"/>
        </w:trPr>
        <w:tc>
          <w:tcPr>
            <w:tcW w:w="615"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58145CF">
            <w:pPr>
              <w:pStyle w:val="53"/>
              <w:adjustRightInd w:val="0"/>
              <w:snapToGrid w:val="0"/>
              <w:rPr>
                <w:rFonts w:ascii="Times New Roman" w:hAnsi="Times New Roman" w:eastAsia="宋体" w:cstheme="minorBidi"/>
                <w:b w:val="0"/>
                <w:bCs w:val="0"/>
                <w:i w:val="0"/>
                <w:highlight w:val="none"/>
              </w:rPr>
            </w:pPr>
            <w:r>
              <w:rPr>
                <w:rFonts w:hint="eastAsia" w:ascii="Times New Roman" w:hAnsi="Times New Roman" w:eastAsia="宋体" w:cstheme="minorBidi"/>
                <w:b/>
                <w:bCs w:val="0"/>
                <w:i w:val="0"/>
                <w:spacing w:val="7"/>
                <w:highlight w:val="none"/>
              </w:rPr>
              <w:t>生产厂</w:t>
            </w:r>
            <w:r>
              <w:rPr>
                <w:rFonts w:hint="eastAsia" w:ascii="Times New Roman" w:hAnsi="Times New Roman" w:eastAsia="宋体" w:cstheme="minorBidi"/>
                <w:b/>
                <w:bCs w:val="0"/>
                <w:i w:val="0"/>
                <w:spacing w:val="6"/>
                <w:highlight w:val="none"/>
              </w:rPr>
              <w:t>家</w:t>
            </w:r>
          </w:p>
        </w:tc>
        <w:tc>
          <w:tcPr>
            <w:tcW w:w="1164"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6DF89AA">
            <w:pPr>
              <w:pStyle w:val="53"/>
              <w:adjustRightInd w:val="0"/>
              <w:snapToGrid w:val="0"/>
              <w:rPr>
                <w:rFonts w:ascii="Times New Roman" w:hAnsi="Times New Roman" w:eastAsia="宋体" w:cstheme="minorBidi"/>
                <w:b w:val="0"/>
                <w:bCs w:val="0"/>
                <w:i w:val="0"/>
                <w:highlight w:val="none"/>
              </w:rPr>
            </w:pPr>
          </w:p>
        </w:tc>
        <w:tc>
          <w:tcPr>
            <w:tcW w:w="712"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4F43011B">
            <w:pPr>
              <w:pStyle w:val="53"/>
              <w:adjustRightInd w:val="0"/>
              <w:snapToGrid w:val="0"/>
              <w:rPr>
                <w:rFonts w:ascii="Times New Roman" w:hAnsi="Times New Roman" w:eastAsia="宋体" w:cstheme="minorBidi"/>
                <w:b w:val="0"/>
                <w:bCs w:val="0"/>
                <w:i w:val="0"/>
                <w:highlight w:val="none"/>
              </w:rPr>
            </w:pPr>
            <w:r>
              <w:rPr>
                <w:rFonts w:hint="eastAsia" w:ascii="Times New Roman" w:hAnsi="Times New Roman" w:eastAsia="宋体" w:cstheme="minorBidi"/>
                <w:b/>
                <w:bCs w:val="0"/>
                <w:i w:val="0"/>
                <w:spacing w:val="7"/>
                <w:highlight w:val="none"/>
              </w:rPr>
              <w:t>安</w:t>
            </w:r>
            <w:r>
              <w:rPr>
                <w:rFonts w:hint="eastAsia" w:ascii="Times New Roman" w:hAnsi="Times New Roman" w:eastAsia="宋体" w:cstheme="minorBidi"/>
                <w:b/>
                <w:bCs w:val="0"/>
                <w:i w:val="0"/>
                <w:spacing w:val="6"/>
                <w:highlight w:val="none"/>
              </w:rPr>
              <w:t>装单位</w:t>
            </w:r>
          </w:p>
        </w:tc>
        <w:tc>
          <w:tcPr>
            <w:tcW w:w="1173"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5D54032A">
            <w:pPr>
              <w:pStyle w:val="53"/>
              <w:adjustRightInd w:val="0"/>
              <w:snapToGrid w:val="0"/>
              <w:rPr>
                <w:rFonts w:ascii="Times New Roman" w:hAnsi="Times New Roman" w:eastAsia="宋体" w:cstheme="minorBidi"/>
                <w:b w:val="0"/>
                <w:bCs w:val="0"/>
                <w:i w:val="0"/>
                <w:highlight w:val="none"/>
              </w:rPr>
            </w:pPr>
          </w:p>
        </w:tc>
        <w:tc>
          <w:tcPr>
            <w:tcW w:w="619" w:type="pct"/>
            <w:gridSpan w:val="3"/>
            <w:tcBorders>
              <w:top w:val="single" w:color="000000" w:sz="4" w:space="0"/>
              <w:left w:val="single" w:color="000000" w:sz="12" w:space="0"/>
              <w:bottom w:val="single" w:color="000000" w:sz="4" w:space="0"/>
              <w:right w:val="single" w:color="000000" w:sz="4" w:space="0"/>
            </w:tcBorders>
            <w:shd w:val="clear" w:color="auto" w:fill="FFFFFF"/>
            <w:vAlign w:val="center"/>
          </w:tcPr>
          <w:p w14:paraId="62371DFA">
            <w:pPr>
              <w:pStyle w:val="53"/>
              <w:adjustRightInd w:val="0"/>
              <w:snapToGrid w:val="0"/>
              <w:rPr>
                <w:rFonts w:ascii="Times New Roman" w:hAnsi="Times New Roman" w:eastAsia="宋体" w:cstheme="minorBidi"/>
                <w:b w:val="0"/>
                <w:bCs w:val="0"/>
                <w:i w:val="0"/>
                <w:highlight w:val="none"/>
              </w:rPr>
            </w:pPr>
            <w:r>
              <w:rPr>
                <w:rFonts w:hint="eastAsia" w:ascii="Times New Roman" w:hAnsi="Times New Roman" w:eastAsia="宋体" w:cstheme="minorBidi"/>
                <w:b/>
                <w:bCs w:val="0"/>
                <w:i w:val="0"/>
                <w:spacing w:val="7"/>
                <w:highlight w:val="none"/>
              </w:rPr>
              <w:t>规格型号</w:t>
            </w:r>
          </w:p>
        </w:tc>
        <w:tc>
          <w:tcPr>
            <w:tcW w:w="70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F61701">
            <w:pPr>
              <w:pStyle w:val="53"/>
              <w:adjustRightInd w:val="0"/>
              <w:snapToGrid w:val="0"/>
              <w:rPr>
                <w:rFonts w:ascii="Times New Roman" w:hAnsi="Times New Roman" w:eastAsia="宋体" w:cstheme="minorBidi"/>
                <w:b w:val="0"/>
                <w:bCs w:val="0"/>
                <w:i w:val="0"/>
                <w:highlight w:val="none"/>
              </w:rPr>
            </w:pPr>
          </w:p>
        </w:tc>
      </w:tr>
      <w:tr w14:paraId="7751DBF5">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pct"/>
          <w:trHeight w:val="23" w:hRule="atLeast"/>
          <w:jc w:val="center"/>
        </w:trPr>
        <w:tc>
          <w:tcPr>
            <w:tcW w:w="923" w:type="pct"/>
            <w:gridSpan w:val="2"/>
            <w:tcBorders>
              <w:top w:val="single" w:color="000000" w:sz="4" w:space="0"/>
              <w:left w:val="single" w:color="000000" w:sz="12" w:space="0"/>
              <w:bottom w:val="single" w:color="000000" w:sz="4" w:space="0"/>
              <w:right w:val="single" w:color="000000" w:sz="4" w:space="0"/>
            </w:tcBorders>
            <w:shd w:val="clear" w:color="auto" w:fill="FFFFFF"/>
            <w:vAlign w:val="center"/>
          </w:tcPr>
          <w:p w14:paraId="6BD264A7">
            <w:pPr>
              <w:pStyle w:val="53"/>
              <w:adjustRightInd w:val="0"/>
              <w:snapToGrid w:val="0"/>
              <w:rPr>
                <w:rFonts w:cstheme="minorBidi"/>
                <w:b w:val="0"/>
                <w:highlight w:val="none"/>
              </w:rPr>
            </w:pPr>
            <w:r>
              <w:rPr>
                <w:rFonts w:hint="eastAsia" w:cstheme="minorBidi"/>
                <w:b w:val="0"/>
                <w:spacing w:val="7"/>
                <w:highlight w:val="none"/>
              </w:rPr>
              <w:t>监测项目</w:t>
            </w:r>
          </w:p>
        </w:tc>
        <w:tc>
          <w:tcPr>
            <w:tcW w:w="125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077A78A0">
            <w:pPr>
              <w:pStyle w:val="53"/>
              <w:adjustRightInd w:val="0"/>
              <w:snapToGrid w:val="0"/>
              <w:rPr>
                <w:rFonts w:cstheme="minorBidi"/>
                <w:b w:val="0"/>
                <w:highlight w:val="none"/>
              </w:rPr>
            </w:pPr>
            <w:r>
              <w:rPr>
                <w:rFonts w:hint="eastAsia" w:cstheme="minorBidi"/>
                <w:b w:val="0"/>
                <w:spacing w:val="7"/>
                <w:highlight w:val="none"/>
              </w:rPr>
              <w:t>技术要求</w:t>
            </w:r>
          </w:p>
        </w:tc>
        <w:tc>
          <w:tcPr>
            <w:tcW w:w="1565" w:type="pct"/>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7C43E961">
            <w:pPr>
              <w:pStyle w:val="53"/>
              <w:adjustRightInd w:val="0"/>
              <w:snapToGrid w:val="0"/>
              <w:rPr>
                <w:rFonts w:cstheme="minorBidi"/>
                <w:b w:val="0"/>
                <w:highlight w:val="none"/>
              </w:rPr>
            </w:pPr>
            <w:r>
              <w:rPr>
                <w:rFonts w:hint="eastAsia" w:cstheme="minorBidi"/>
                <w:b w:val="0"/>
                <w:spacing w:val="9"/>
                <w:highlight w:val="none"/>
              </w:rPr>
              <w:t>监</w:t>
            </w:r>
            <w:r>
              <w:rPr>
                <w:rFonts w:hint="eastAsia" w:cstheme="minorBidi"/>
                <w:b w:val="0"/>
                <w:highlight w:val="none"/>
              </w:rPr>
              <w:t>测方法</w:t>
            </w:r>
            <w:r>
              <w:rPr>
                <w:rFonts w:hint="eastAsia" w:cstheme="minorBidi"/>
                <w:b w:val="0"/>
                <w:spacing w:val="10"/>
                <w:highlight w:val="none"/>
              </w:rPr>
              <w:t>、</w:t>
            </w:r>
            <w:r>
              <w:rPr>
                <w:rFonts w:hint="eastAsia" w:cstheme="minorBidi"/>
                <w:b w:val="0"/>
                <w:highlight w:val="none"/>
              </w:rPr>
              <w:t>仪器</w:t>
            </w:r>
          </w:p>
        </w:tc>
        <w:tc>
          <w:tcPr>
            <w:tcW w:w="1247" w:type="pct"/>
            <w:gridSpan w:val="3"/>
            <w:tcBorders>
              <w:top w:val="single" w:color="000000" w:sz="4" w:space="0"/>
              <w:left w:val="single" w:color="000000" w:sz="4" w:space="0"/>
              <w:bottom w:val="single" w:color="000000" w:sz="4" w:space="0"/>
              <w:right w:val="single" w:color="000000" w:sz="12" w:space="0"/>
            </w:tcBorders>
            <w:shd w:val="clear" w:color="auto" w:fill="FFFFFF"/>
            <w:vAlign w:val="center"/>
          </w:tcPr>
          <w:p w14:paraId="63393C57">
            <w:pPr>
              <w:pStyle w:val="53"/>
              <w:adjustRightInd w:val="0"/>
              <w:snapToGrid w:val="0"/>
              <w:rPr>
                <w:rFonts w:cstheme="minorBidi"/>
                <w:b w:val="0"/>
                <w:highlight w:val="none"/>
              </w:rPr>
            </w:pPr>
            <w:r>
              <w:rPr>
                <w:rFonts w:hint="eastAsia" w:cstheme="minorBidi"/>
                <w:b w:val="0"/>
                <w:spacing w:val="9"/>
                <w:highlight w:val="none"/>
              </w:rPr>
              <w:t>监测</w:t>
            </w:r>
            <w:r>
              <w:rPr>
                <w:rFonts w:hint="eastAsia" w:cstheme="minorBidi"/>
                <w:b w:val="0"/>
                <w:highlight w:val="none"/>
              </w:rPr>
              <w:t>周期</w:t>
            </w:r>
            <w:r>
              <w:rPr>
                <w:rFonts w:hint="eastAsia" w:cstheme="minorBidi"/>
                <w:b w:val="0"/>
                <w:spacing w:val="4"/>
                <w:highlight w:val="none"/>
              </w:rPr>
              <w:t>/</w:t>
            </w:r>
            <w:r>
              <w:rPr>
                <w:rFonts w:hint="eastAsia" w:cstheme="minorBidi"/>
                <w:b w:val="0"/>
                <w:highlight w:val="none"/>
              </w:rPr>
              <w:t>频率</w:t>
            </w:r>
          </w:p>
        </w:tc>
      </w:tr>
      <w:tr w14:paraId="2541825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pct"/>
          <w:trHeight w:val="23" w:hRule="atLeast"/>
          <w:jc w:val="center"/>
        </w:trPr>
        <w:tc>
          <w:tcPr>
            <w:tcW w:w="923" w:type="pct"/>
            <w:gridSpan w:val="2"/>
            <w:tcBorders>
              <w:top w:val="single" w:color="000000" w:sz="4" w:space="0"/>
              <w:left w:val="single" w:color="000000" w:sz="12" w:space="0"/>
              <w:bottom w:val="single" w:color="000000" w:sz="4" w:space="0"/>
              <w:right w:val="single" w:color="000000" w:sz="4" w:space="0"/>
            </w:tcBorders>
            <w:shd w:val="clear" w:color="auto" w:fill="FFFFFF"/>
            <w:vAlign w:val="center"/>
          </w:tcPr>
          <w:p w14:paraId="322E627B">
            <w:pPr>
              <w:pStyle w:val="53"/>
              <w:adjustRightInd w:val="0"/>
              <w:snapToGrid w:val="0"/>
              <w:rPr>
                <w:rFonts w:cstheme="minorBidi"/>
                <w:b w:val="0"/>
                <w:highlight w:val="none"/>
              </w:rPr>
            </w:pPr>
            <w:r>
              <w:rPr>
                <w:rFonts w:hint="eastAsia" w:cstheme="minorBidi"/>
                <w:b w:val="0"/>
                <w:highlight w:val="none"/>
              </w:rPr>
              <w:t>埋件预埋质量</w:t>
            </w:r>
          </w:p>
        </w:tc>
        <w:tc>
          <w:tcPr>
            <w:tcW w:w="125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B956074">
            <w:pPr>
              <w:pStyle w:val="53"/>
              <w:adjustRightInd w:val="0"/>
              <w:snapToGrid w:val="0"/>
              <w:rPr>
                <w:rFonts w:cstheme="minorBidi"/>
                <w:b w:val="0"/>
                <w:highlight w:val="none"/>
              </w:rPr>
            </w:pPr>
            <w:r>
              <w:rPr>
                <w:rFonts w:hint="eastAsia" w:cstheme="minorBidi"/>
                <w:b w:val="0"/>
                <w:spacing w:val="9"/>
                <w:position w:val="23"/>
                <w:highlight w:val="none"/>
              </w:rPr>
              <w:t>严格按照图纸要求</w:t>
            </w:r>
            <w:r>
              <w:rPr>
                <w:rFonts w:hint="eastAsia" w:cstheme="minorBidi"/>
                <w:b w:val="0"/>
                <w:spacing w:val="7"/>
                <w:position w:val="23"/>
                <w:highlight w:val="none"/>
              </w:rPr>
              <w:t>的</w:t>
            </w:r>
          </w:p>
          <w:p w14:paraId="04F612BE">
            <w:pPr>
              <w:pStyle w:val="53"/>
              <w:adjustRightInd w:val="0"/>
              <w:snapToGrid w:val="0"/>
              <w:rPr>
                <w:rFonts w:cstheme="minorBidi"/>
                <w:b w:val="0"/>
                <w:highlight w:val="none"/>
              </w:rPr>
            </w:pPr>
            <w:r>
              <w:rPr>
                <w:rFonts w:hint="eastAsia" w:cstheme="minorBidi"/>
                <w:b w:val="0"/>
                <w:spacing w:val="7"/>
                <w:highlight w:val="none"/>
              </w:rPr>
              <w:t>定位于精度预</w:t>
            </w:r>
            <w:r>
              <w:rPr>
                <w:rFonts w:hint="eastAsia" w:cstheme="minorBidi"/>
                <w:b w:val="0"/>
                <w:spacing w:val="6"/>
                <w:highlight w:val="none"/>
              </w:rPr>
              <w:t>埋</w:t>
            </w:r>
            <w:r>
              <w:rPr>
                <w:rFonts w:hint="eastAsia" w:cstheme="minorBidi"/>
                <w:b w:val="0"/>
                <w:highlight w:val="none"/>
              </w:rPr>
              <w:t>。</w:t>
            </w:r>
          </w:p>
        </w:tc>
        <w:tc>
          <w:tcPr>
            <w:tcW w:w="1565" w:type="pct"/>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2DF62400">
            <w:pPr>
              <w:pStyle w:val="53"/>
              <w:adjustRightInd w:val="0"/>
              <w:snapToGrid w:val="0"/>
              <w:rPr>
                <w:rFonts w:cstheme="minorBidi"/>
                <w:b w:val="0"/>
                <w:highlight w:val="none"/>
              </w:rPr>
            </w:pPr>
            <w:r>
              <w:rPr>
                <w:rFonts w:hint="eastAsia" w:cstheme="minorBidi"/>
                <w:b w:val="0"/>
                <w:spacing w:val="9"/>
                <w:position w:val="23"/>
                <w:highlight w:val="none"/>
              </w:rPr>
              <w:t>使用经纬仪定位基准线</w:t>
            </w:r>
            <w:r>
              <w:rPr>
                <w:rFonts w:hint="eastAsia" w:cstheme="minorBidi"/>
                <w:b w:val="0"/>
                <w:spacing w:val="10"/>
                <w:position w:val="23"/>
                <w:highlight w:val="none"/>
              </w:rPr>
              <w:t>，</w:t>
            </w:r>
            <w:r>
              <w:rPr>
                <w:rFonts w:hint="eastAsia" w:cstheme="minorBidi"/>
                <w:b w:val="0"/>
                <w:spacing w:val="9"/>
                <w:position w:val="23"/>
                <w:highlight w:val="none"/>
              </w:rPr>
              <w:t>卷</w:t>
            </w:r>
          </w:p>
          <w:p w14:paraId="382CA4B1">
            <w:pPr>
              <w:pStyle w:val="53"/>
              <w:adjustRightInd w:val="0"/>
              <w:snapToGrid w:val="0"/>
              <w:rPr>
                <w:rFonts w:cstheme="minorBidi"/>
                <w:b w:val="0"/>
                <w:highlight w:val="none"/>
              </w:rPr>
            </w:pPr>
            <w:r>
              <w:rPr>
                <w:rFonts w:hint="eastAsia" w:cstheme="minorBidi"/>
                <w:b w:val="0"/>
                <w:highlight w:val="none"/>
              </w:rPr>
              <w:t>尺测量预</w:t>
            </w:r>
            <w:r>
              <w:rPr>
                <w:rFonts w:hint="eastAsia" w:cstheme="minorBidi"/>
                <w:b w:val="0"/>
                <w:spacing w:val="7"/>
                <w:highlight w:val="none"/>
              </w:rPr>
              <w:t>埋误差</w:t>
            </w:r>
            <w:r>
              <w:rPr>
                <w:rFonts w:hint="eastAsia" w:cstheme="minorBidi"/>
                <w:b w:val="0"/>
                <w:spacing w:val="9"/>
                <w:highlight w:val="none"/>
              </w:rPr>
              <w:t>。</w:t>
            </w:r>
          </w:p>
        </w:tc>
        <w:tc>
          <w:tcPr>
            <w:tcW w:w="1247" w:type="pct"/>
            <w:gridSpan w:val="3"/>
            <w:tcBorders>
              <w:top w:val="single" w:color="000000" w:sz="4" w:space="0"/>
              <w:left w:val="single" w:color="000000" w:sz="4" w:space="0"/>
              <w:bottom w:val="single" w:color="000000" w:sz="4" w:space="0"/>
              <w:right w:val="single" w:color="000000" w:sz="12" w:space="0"/>
            </w:tcBorders>
            <w:shd w:val="clear" w:color="auto" w:fill="FFFFFF"/>
            <w:vAlign w:val="center"/>
          </w:tcPr>
          <w:p w14:paraId="281E5D07">
            <w:pPr>
              <w:pStyle w:val="53"/>
              <w:adjustRightInd w:val="0"/>
              <w:snapToGrid w:val="0"/>
              <w:rPr>
                <w:rFonts w:cstheme="minorBidi"/>
                <w:b w:val="0"/>
                <w:highlight w:val="none"/>
              </w:rPr>
            </w:pPr>
            <w:r>
              <w:rPr>
                <w:rFonts w:hint="eastAsia" w:cstheme="minorBidi"/>
                <w:b w:val="0"/>
                <w:spacing w:val="9"/>
                <w:highlight w:val="none"/>
              </w:rPr>
              <w:t>塔</w:t>
            </w:r>
            <w:r>
              <w:rPr>
                <w:rFonts w:hint="eastAsia" w:cstheme="minorBidi"/>
                <w:b w:val="0"/>
                <w:highlight w:val="none"/>
              </w:rPr>
              <w:t>吊安装之前</w:t>
            </w:r>
          </w:p>
        </w:tc>
      </w:tr>
      <w:tr w14:paraId="6F0C970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pct"/>
          <w:trHeight w:val="23" w:hRule="atLeast"/>
          <w:jc w:val="center"/>
        </w:trPr>
        <w:tc>
          <w:tcPr>
            <w:tcW w:w="923" w:type="pct"/>
            <w:gridSpan w:val="2"/>
            <w:tcBorders>
              <w:top w:val="single" w:color="000000" w:sz="4" w:space="0"/>
              <w:left w:val="single" w:color="000000" w:sz="12" w:space="0"/>
              <w:bottom w:val="single" w:color="000000" w:sz="4" w:space="0"/>
              <w:right w:val="single" w:color="000000" w:sz="4" w:space="0"/>
            </w:tcBorders>
            <w:shd w:val="clear" w:color="auto" w:fill="FFFFFF"/>
            <w:vAlign w:val="center"/>
          </w:tcPr>
          <w:p w14:paraId="0DC918DA">
            <w:pPr>
              <w:pStyle w:val="53"/>
              <w:adjustRightInd w:val="0"/>
              <w:snapToGrid w:val="0"/>
              <w:rPr>
                <w:rFonts w:cstheme="minorBidi"/>
                <w:b w:val="0"/>
                <w:highlight w:val="none"/>
              </w:rPr>
            </w:pPr>
            <w:r>
              <w:rPr>
                <w:rFonts w:hint="eastAsia" w:cstheme="minorBidi"/>
                <w:b w:val="0"/>
                <w:spacing w:val="5"/>
                <w:highlight w:val="none"/>
              </w:rPr>
              <w:t>顶</w:t>
            </w:r>
            <w:r>
              <w:rPr>
                <w:rFonts w:hint="eastAsia" w:cstheme="minorBidi"/>
                <w:b w:val="0"/>
                <w:spacing w:val="4"/>
                <w:highlight w:val="none"/>
              </w:rPr>
              <w:t>升</w:t>
            </w:r>
          </w:p>
        </w:tc>
        <w:tc>
          <w:tcPr>
            <w:tcW w:w="125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DFAAFAA">
            <w:pPr>
              <w:pStyle w:val="53"/>
              <w:adjustRightInd w:val="0"/>
              <w:snapToGrid w:val="0"/>
              <w:rPr>
                <w:rFonts w:cstheme="minorBidi"/>
                <w:b w:val="0"/>
                <w:highlight w:val="none"/>
              </w:rPr>
            </w:pPr>
            <w:r>
              <w:rPr>
                <w:rFonts w:hint="eastAsia" w:cstheme="minorBidi"/>
                <w:b w:val="0"/>
                <w:spacing w:val="9"/>
                <w:highlight w:val="none"/>
              </w:rPr>
              <w:t>按顶升</w:t>
            </w:r>
            <w:r>
              <w:rPr>
                <w:rFonts w:hint="eastAsia" w:cstheme="minorBidi"/>
                <w:b w:val="0"/>
                <w:highlight w:val="none"/>
              </w:rPr>
              <w:t>具体要求</w:t>
            </w:r>
          </w:p>
        </w:tc>
        <w:tc>
          <w:tcPr>
            <w:tcW w:w="1565" w:type="pct"/>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68DCA59A">
            <w:pPr>
              <w:pStyle w:val="53"/>
              <w:adjustRightInd w:val="0"/>
              <w:snapToGrid w:val="0"/>
              <w:rPr>
                <w:rFonts w:cstheme="minorBidi"/>
                <w:b w:val="0"/>
                <w:highlight w:val="none"/>
              </w:rPr>
            </w:pPr>
            <w:r>
              <w:rPr>
                <w:rFonts w:hint="eastAsia" w:cstheme="minorBidi"/>
                <w:b w:val="0"/>
                <w:spacing w:val="1"/>
                <w:highlight w:val="none"/>
              </w:rPr>
              <w:t>肉眼观察</w:t>
            </w:r>
          </w:p>
        </w:tc>
        <w:tc>
          <w:tcPr>
            <w:tcW w:w="1247" w:type="pct"/>
            <w:gridSpan w:val="3"/>
            <w:tcBorders>
              <w:top w:val="single" w:color="000000" w:sz="4" w:space="0"/>
              <w:left w:val="single" w:color="000000" w:sz="4" w:space="0"/>
              <w:bottom w:val="single" w:color="000000" w:sz="4" w:space="0"/>
              <w:right w:val="single" w:color="000000" w:sz="12" w:space="0"/>
            </w:tcBorders>
            <w:shd w:val="clear" w:color="auto" w:fill="FFFFFF"/>
            <w:vAlign w:val="center"/>
          </w:tcPr>
          <w:p w14:paraId="3C324404">
            <w:pPr>
              <w:pStyle w:val="53"/>
              <w:adjustRightInd w:val="0"/>
              <w:snapToGrid w:val="0"/>
              <w:rPr>
                <w:rFonts w:cstheme="minorBidi"/>
                <w:b w:val="0"/>
                <w:highlight w:val="none"/>
              </w:rPr>
            </w:pPr>
            <w:r>
              <w:rPr>
                <w:rFonts w:hint="eastAsia" w:cstheme="minorBidi"/>
                <w:b w:val="0"/>
                <w:highlight w:val="none"/>
              </w:rPr>
              <w:t>顶升</w:t>
            </w:r>
            <w:r>
              <w:rPr>
                <w:rFonts w:hint="eastAsia" w:cstheme="minorBidi"/>
                <w:b w:val="0"/>
                <w:spacing w:val="7"/>
                <w:highlight w:val="none"/>
              </w:rPr>
              <w:t>前</w:t>
            </w:r>
            <w:r>
              <w:rPr>
                <w:rFonts w:hint="eastAsia" w:cstheme="minorBidi"/>
                <w:b w:val="0"/>
                <w:spacing w:val="12"/>
                <w:highlight w:val="none"/>
              </w:rPr>
              <w:t>、</w:t>
            </w:r>
            <w:r>
              <w:rPr>
                <w:rFonts w:hint="eastAsia" w:cstheme="minorBidi"/>
                <w:b w:val="0"/>
                <w:spacing w:val="7"/>
                <w:highlight w:val="none"/>
              </w:rPr>
              <w:t>中</w:t>
            </w:r>
            <w:r>
              <w:rPr>
                <w:rFonts w:hint="eastAsia" w:cstheme="minorBidi"/>
                <w:b w:val="0"/>
                <w:spacing w:val="12"/>
                <w:highlight w:val="none"/>
              </w:rPr>
              <w:t>、</w:t>
            </w:r>
            <w:r>
              <w:rPr>
                <w:rFonts w:hint="eastAsia" w:cstheme="minorBidi"/>
                <w:b w:val="0"/>
                <w:spacing w:val="7"/>
                <w:highlight w:val="none"/>
              </w:rPr>
              <w:t>后</w:t>
            </w:r>
          </w:p>
        </w:tc>
      </w:tr>
      <w:tr w14:paraId="476E3A22">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pct"/>
          <w:trHeight w:val="23" w:hRule="atLeast"/>
          <w:jc w:val="center"/>
        </w:trPr>
        <w:tc>
          <w:tcPr>
            <w:tcW w:w="923" w:type="pct"/>
            <w:gridSpan w:val="2"/>
            <w:tcBorders>
              <w:top w:val="single" w:color="000000" w:sz="4" w:space="0"/>
              <w:left w:val="single" w:color="000000" w:sz="12" w:space="0"/>
              <w:bottom w:val="single" w:color="000000" w:sz="4" w:space="0"/>
              <w:right w:val="single" w:color="000000" w:sz="4" w:space="0"/>
            </w:tcBorders>
            <w:shd w:val="clear" w:color="auto" w:fill="FFFFFF"/>
            <w:vAlign w:val="center"/>
          </w:tcPr>
          <w:p w14:paraId="26EC732E">
            <w:pPr>
              <w:pStyle w:val="53"/>
              <w:adjustRightInd w:val="0"/>
              <w:snapToGrid w:val="0"/>
              <w:rPr>
                <w:rFonts w:cstheme="minorBidi"/>
                <w:b w:val="0"/>
                <w:highlight w:val="none"/>
              </w:rPr>
            </w:pPr>
            <w:r>
              <w:rPr>
                <w:rFonts w:hint="eastAsia" w:cstheme="minorBidi"/>
                <w:b w:val="0"/>
                <w:highlight w:val="none"/>
              </w:rPr>
              <w:t>塔身垂直度</w:t>
            </w:r>
          </w:p>
        </w:tc>
        <w:tc>
          <w:tcPr>
            <w:tcW w:w="125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DFB1A43">
            <w:pPr>
              <w:pStyle w:val="53"/>
              <w:adjustRightInd w:val="0"/>
              <w:snapToGrid w:val="0"/>
              <w:rPr>
                <w:rFonts w:cstheme="minorBidi"/>
                <w:b w:val="0"/>
                <w:highlight w:val="none"/>
              </w:rPr>
            </w:pPr>
            <w:r>
              <w:rPr>
                <w:rFonts w:hint="eastAsia" w:cstheme="minorBidi"/>
                <w:b w:val="0"/>
                <w:spacing w:val="15"/>
                <w:highlight w:val="none"/>
              </w:rPr>
              <w:t>塔身垂直度偏</w:t>
            </w:r>
            <w:r>
              <w:rPr>
                <w:rFonts w:hint="eastAsia" w:cstheme="minorBidi"/>
                <w:b w:val="0"/>
                <w:spacing w:val="14"/>
                <w:highlight w:val="none"/>
              </w:rPr>
              <w:t>差在</w:t>
            </w:r>
            <w:r>
              <w:rPr>
                <w:rFonts w:hint="eastAsia" w:cstheme="minorBidi"/>
                <w:b w:val="0"/>
                <w:spacing w:val="7"/>
                <w:highlight w:val="none"/>
              </w:rPr>
              <w:t>4</w:t>
            </w:r>
            <w:r>
              <w:rPr>
                <w:rFonts w:hint="eastAsia" w:cstheme="minorBidi"/>
                <w:b w:val="0"/>
                <w:spacing w:val="14"/>
                <w:highlight w:val="none"/>
              </w:rPr>
              <w:t>‰</w:t>
            </w:r>
            <w:r>
              <w:rPr>
                <w:rFonts w:hint="eastAsia" w:cstheme="minorBidi"/>
                <w:b w:val="0"/>
                <w:highlight w:val="none"/>
              </w:rPr>
              <w:t xml:space="preserve"> </w:t>
            </w:r>
            <w:r>
              <w:rPr>
                <w:rFonts w:hint="eastAsia" w:cstheme="minorBidi"/>
                <w:b w:val="0"/>
                <w:spacing w:val="-7"/>
                <w:highlight w:val="none"/>
              </w:rPr>
              <w:t>以内</w:t>
            </w:r>
          </w:p>
        </w:tc>
        <w:tc>
          <w:tcPr>
            <w:tcW w:w="1565" w:type="pct"/>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2E4A4528">
            <w:pPr>
              <w:pStyle w:val="53"/>
              <w:adjustRightInd w:val="0"/>
              <w:snapToGrid w:val="0"/>
              <w:rPr>
                <w:rFonts w:cstheme="minorBidi"/>
                <w:b w:val="0"/>
                <w:highlight w:val="none"/>
              </w:rPr>
            </w:pPr>
            <w:r>
              <w:rPr>
                <w:rFonts w:hint="eastAsia" w:cstheme="minorBidi"/>
                <w:b w:val="0"/>
                <w:spacing w:val="9"/>
                <w:highlight w:val="none"/>
              </w:rPr>
              <w:t>使用经纬仪测量</w:t>
            </w:r>
            <w:r>
              <w:rPr>
                <w:rFonts w:hint="eastAsia" w:cstheme="minorBidi"/>
                <w:b w:val="0"/>
                <w:spacing w:val="10"/>
                <w:highlight w:val="none"/>
              </w:rPr>
              <w:t>，</w:t>
            </w:r>
            <w:r>
              <w:rPr>
                <w:rFonts w:hint="eastAsia" w:cstheme="minorBidi"/>
                <w:b w:val="0"/>
                <w:spacing w:val="9"/>
                <w:highlight w:val="none"/>
              </w:rPr>
              <w:t>将起重</w:t>
            </w:r>
            <w:r>
              <w:rPr>
                <w:rFonts w:hint="eastAsia" w:cstheme="minorBidi"/>
                <w:b w:val="0"/>
                <w:highlight w:val="none"/>
              </w:rPr>
              <w:t xml:space="preserve">臂 </w:t>
            </w:r>
            <w:r>
              <w:rPr>
                <w:rFonts w:hint="eastAsia" w:cstheme="minorBidi"/>
                <w:b w:val="0"/>
                <w:spacing w:val="9"/>
                <w:highlight w:val="none"/>
              </w:rPr>
              <w:t>转到东西方向</w:t>
            </w:r>
            <w:r>
              <w:rPr>
                <w:rFonts w:hint="eastAsia" w:cstheme="minorBidi"/>
                <w:b w:val="0"/>
                <w:spacing w:val="10"/>
                <w:highlight w:val="none"/>
              </w:rPr>
              <w:t>，</w:t>
            </w:r>
            <w:r>
              <w:rPr>
                <w:rFonts w:hint="eastAsia" w:cstheme="minorBidi"/>
                <w:b w:val="0"/>
                <w:spacing w:val="9"/>
                <w:highlight w:val="none"/>
              </w:rPr>
              <w:t>检测南方</w:t>
            </w:r>
            <w:r>
              <w:rPr>
                <w:rFonts w:hint="eastAsia" w:cstheme="minorBidi"/>
                <w:b w:val="0"/>
                <w:highlight w:val="none"/>
              </w:rPr>
              <w:t xml:space="preserve">方 </w:t>
            </w:r>
            <w:r>
              <w:rPr>
                <w:rFonts w:hint="eastAsia" w:cstheme="minorBidi"/>
                <w:b w:val="0"/>
                <w:spacing w:val="9"/>
                <w:highlight w:val="none"/>
              </w:rPr>
              <w:t>向塔身垂直度</w:t>
            </w:r>
            <w:r>
              <w:rPr>
                <w:rFonts w:hint="eastAsia" w:cstheme="minorBidi"/>
                <w:b w:val="0"/>
                <w:spacing w:val="10"/>
                <w:highlight w:val="none"/>
              </w:rPr>
              <w:t>，</w:t>
            </w:r>
            <w:r>
              <w:rPr>
                <w:rFonts w:hint="eastAsia" w:cstheme="minorBidi"/>
                <w:b w:val="0"/>
                <w:spacing w:val="9"/>
                <w:highlight w:val="none"/>
              </w:rPr>
              <w:t>将起重臂</w:t>
            </w:r>
            <w:r>
              <w:rPr>
                <w:rFonts w:hint="eastAsia" w:cstheme="minorBidi"/>
                <w:b w:val="0"/>
                <w:highlight w:val="none"/>
              </w:rPr>
              <w:t xml:space="preserve">转 </w:t>
            </w:r>
            <w:r>
              <w:rPr>
                <w:rFonts w:hint="eastAsia" w:cstheme="minorBidi"/>
                <w:b w:val="0"/>
                <w:spacing w:val="9"/>
                <w:highlight w:val="none"/>
              </w:rPr>
              <w:t>到南北方向</w:t>
            </w:r>
            <w:r>
              <w:rPr>
                <w:rFonts w:hint="eastAsia" w:cstheme="minorBidi"/>
                <w:b w:val="0"/>
                <w:spacing w:val="10"/>
                <w:highlight w:val="none"/>
              </w:rPr>
              <w:t>，</w:t>
            </w:r>
            <w:r>
              <w:rPr>
                <w:rFonts w:hint="eastAsia" w:cstheme="minorBidi"/>
                <w:b w:val="0"/>
                <w:spacing w:val="9"/>
                <w:highlight w:val="none"/>
              </w:rPr>
              <w:t>加测东西方</w:t>
            </w:r>
            <w:r>
              <w:rPr>
                <w:rFonts w:hint="eastAsia" w:cstheme="minorBidi"/>
                <w:b w:val="0"/>
                <w:highlight w:val="none"/>
              </w:rPr>
              <w:t>向</w:t>
            </w:r>
          </w:p>
          <w:p w14:paraId="02CA1C55">
            <w:pPr>
              <w:pStyle w:val="53"/>
              <w:adjustRightInd w:val="0"/>
              <w:snapToGrid w:val="0"/>
              <w:rPr>
                <w:rFonts w:cstheme="minorBidi"/>
                <w:b w:val="0"/>
                <w:highlight w:val="none"/>
              </w:rPr>
            </w:pPr>
            <w:r>
              <w:rPr>
                <w:rFonts w:hint="eastAsia" w:cstheme="minorBidi"/>
                <w:b w:val="0"/>
                <w:spacing w:val="7"/>
                <w:highlight w:val="none"/>
              </w:rPr>
              <w:t>塔身垂</w:t>
            </w:r>
            <w:r>
              <w:rPr>
                <w:rFonts w:hint="eastAsia" w:cstheme="minorBidi"/>
                <w:b w:val="0"/>
                <w:spacing w:val="6"/>
                <w:highlight w:val="none"/>
              </w:rPr>
              <w:t>直度</w:t>
            </w:r>
            <w:r>
              <w:rPr>
                <w:rFonts w:hint="eastAsia" w:cstheme="minorBidi"/>
                <w:b w:val="0"/>
                <w:highlight w:val="none"/>
              </w:rPr>
              <w:t>。</w:t>
            </w:r>
          </w:p>
        </w:tc>
        <w:tc>
          <w:tcPr>
            <w:tcW w:w="1247" w:type="pct"/>
            <w:gridSpan w:val="3"/>
            <w:tcBorders>
              <w:top w:val="single" w:color="000000" w:sz="4" w:space="0"/>
              <w:left w:val="single" w:color="000000" w:sz="4" w:space="0"/>
              <w:bottom w:val="single" w:color="000000" w:sz="4" w:space="0"/>
              <w:right w:val="single" w:color="000000" w:sz="12" w:space="0"/>
            </w:tcBorders>
            <w:shd w:val="clear" w:color="auto" w:fill="FFFFFF"/>
            <w:vAlign w:val="center"/>
          </w:tcPr>
          <w:p w14:paraId="022DC8EB">
            <w:pPr>
              <w:pStyle w:val="53"/>
              <w:adjustRightInd w:val="0"/>
              <w:snapToGrid w:val="0"/>
              <w:rPr>
                <w:rFonts w:cstheme="minorBidi"/>
                <w:b w:val="0"/>
                <w:highlight w:val="none"/>
              </w:rPr>
            </w:pPr>
            <w:r>
              <w:rPr>
                <w:rFonts w:hint="eastAsia" w:cstheme="minorBidi"/>
                <w:b w:val="0"/>
                <w:spacing w:val="9"/>
                <w:highlight w:val="none"/>
              </w:rPr>
              <w:t>首次安装或</w:t>
            </w:r>
            <w:r>
              <w:rPr>
                <w:rFonts w:hint="eastAsia" w:cstheme="minorBidi"/>
                <w:b w:val="0"/>
                <w:highlight w:val="none"/>
              </w:rPr>
              <w:t>每次加节 后</w:t>
            </w:r>
          </w:p>
        </w:tc>
      </w:tr>
      <w:tr w14:paraId="7422B9B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pct"/>
          <w:trHeight w:val="23" w:hRule="atLeast"/>
          <w:jc w:val="center"/>
        </w:trPr>
        <w:tc>
          <w:tcPr>
            <w:tcW w:w="923" w:type="pct"/>
            <w:gridSpan w:val="2"/>
            <w:tcBorders>
              <w:top w:val="single" w:color="000000" w:sz="4" w:space="0"/>
              <w:left w:val="single" w:color="000000" w:sz="12" w:space="0"/>
              <w:bottom w:val="single" w:color="000000" w:sz="4" w:space="0"/>
              <w:right w:val="single" w:color="000000" w:sz="4" w:space="0"/>
            </w:tcBorders>
            <w:shd w:val="clear" w:color="auto" w:fill="FFFFFF"/>
            <w:vAlign w:val="center"/>
          </w:tcPr>
          <w:p w14:paraId="28CAF695">
            <w:pPr>
              <w:pStyle w:val="53"/>
              <w:adjustRightInd w:val="0"/>
              <w:snapToGrid w:val="0"/>
              <w:rPr>
                <w:rFonts w:cstheme="minorBidi"/>
                <w:b w:val="0"/>
                <w:highlight w:val="none"/>
              </w:rPr>
            </w:pPr>
            <w:r>
              <w:rPr>
                <w:rFonts w:hint="eastAsia" w:cstheme="minorBidi"/>
                <w:b w:val="0"/>
                <w:spacing w:val="4"/>
                <w:highlight w:val="none"/>
              </w:rPr>
              <w:t>风速</w:t>
            </w:r>
          </w:p>
        </w:tc>
        <w:tc>
          <w:tcPr>
            <w:tcW w:w="125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04C177B5">
            <w:pPr>
              <w:pStyle w:val="53"/>
              <w:adjustRightInd w:val="0"/>
              <w:snapToGrid w:val="0"/>
              <w:rPr>
                <w:rFonts w:cstheme="minorBidi"/>
                <w:b w:val="0"/>
                <w:highlight w:val="none"/>
              </w:rPr>
            </w:pPr>
            <w:r>
              <w:rPr>
                <w:rFonts w:hint="eastAsia" w:cstheme="minorBidi"/>
                <w:b w:val="0"/>
                <w:spacing w:val="9"/>
                <w:highlight w:val="none"/>
              </w:rPr>
              <w:t>6 级风以上不准起吊</w:t>
            </w:r>
          </w:p>
        </w:tc>
        <w:tc>
          <w:tcPr>
            <w:tcW w:w="1565" w:type="pct"/>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2C14E8E6">
            <w:pPr>
              <w:pStyle w:val="53"/>
              <w:adjustRightInd w:val="0"/>
              <w:snapToGrid w:val="0"/>
              <w:rPr>
                <w:rFonts w:cstheme="minorBidi"/>
                <w:b w:val="0"/>
                <w:highlight w:val="none"/>
              </w:rPr>
            </w:pPr>
            <w:r>
              <w:rPr>
                <w:rFonts w:hint="eastAsia" w:cstheme="minorBidi"/>
                <w:b w:val="0"/>
                <w:spacing w:val="9"/>
                <w:highlight w:val="none"/>
              </w:rPr>
              <w:t>使用风速仪监控塔吊顶部风</w:t>
            </w:r>
            <w:r>
              <w:rPr>
                <w:rFonts w:hint="eastAsia" w:cstheme="minorBidi"/>
                <w:b w:val="0"/>
                <w:highlight w:val="none"/>
              </w:rPr>
              <w:t xml:space="preserve"> 速</w:t>
            </w:r>
            <w:r>
              <w:rPr>
                <w:rFonts w:hint="eastAsia" w:cstheme="minorBidi"/>
                <w:b w:val="0"/>
                <w:spacing w:val="-94"/>
                <w:highlight w:val="none"/>
              </w:rPr>
              <w:t>，</w:t>
            </w:r>
            <w:r>
              <w:rPr>
                <w:rFonts w:hint="eastAsia" w:cstheme="minorBidi"/>
                <w:b w:val="0"/>
                <w:highlight w:val="none"/>
              </w:rPr>
              <w:t>6</w:t>
            </w:r>
            <w:r>
              <w:rPr>
                <w:rFonts w:hint="eastAsia" w:cstheme="minorBidi"/>
                <w:b w:val="0"/>
                <w:spacing w:val="-1"/>
                <w:highlight w:val="none"/>
              </w:rPr>
              <w:t xml:space="preserve"> </w:t>
            </w:r>
            <w:r>
              <w:rPr>
                <w:rFonts w:hint="eastAsia" w:cstheme="minorBidi"/>
                <w:b w:val="0"/>
                <w:highlight w:val="none"/>
              </w:rPr>
              <w:t>级风以上不准吊重</w:t>
            </w:r>
            <w:r>
              <w:rPr>
                <w:rFonts w:hint="eastAsia" w:cstheme="minorBidi"/>
                <w:b w:val="0"/>
                <w:spacing w:val="-94"/>
                <w:highlight w:val="none"/>
              </w:rPr>
              <w:t>。</w:t>
            </w:r>
            <w:r>
              <w:rPr>
                <w:rFonts w:hint="eastAsia" w:cstheme="minorBidi"/>
                <w:b w:val="0"/>
                <w:highlight w:val="none"/>
              </w:rPr>
              <w:t>（塔吊自带</w:t>
            </w:r>
            <w:r>
              <w:rPr>
                <w:rFonts w:hint="eastAsia" w:cstheme="minorBidi"/>
                <w:b w:val="0"/>
                <w:spacing w:val="-5"/>
                <w:highlight w:val="none"/>
              </w:rPr>
              <w:t>）</w:t>
            </w:r>
          </w:p>
        </w:tc>
        <w:tc>
          <w:tcPr>
            <w:tcW w:w="1247" w:type="pct"/>
            <w:gridSpan w:val="3"/>
            <w:tcBorders>
              <w:top w:val="single" w:color="000000" w:sz="4" w:space="0"/>
              <w:left w:val="single" w:color="000000" w:sz="4" w:space="0"/>
              <w:bottom w:val="single" w:color="000000" w:sz="4" w:space="0"/>
              <w:right w:val="single" w:color="000000" w:sz="12" w:space="0"/>
            </w:tcBorders>
            <w:shd w:val="clear" w:color="auto" w:fill="FFFFFF"/>
            <w:vAlign w:val="center"/>
          </w:tcPr>
          <w:p w14:paraId="0569422A">
            <w:pPr>
              <w:pStyle w:val="53"/>
              <w:adjustRightInd w:val="0"/>
              <w:snapToGrid w:val="0"/>
              <w:rPr>
                <w:rFonts w:cstheme="minorBidi"/>
                <w:b w:val="0"/>
                <w:highlight w:val="none"/>
              </w:rPr>
            </w:pPr>
            <w:r>
              <w:rPr>
                <w:rFonts w:hint="eastAsia" w:cstheme="minorBidi"/>
                <w:b w:val="0"/>
                <w:spacing w:val="5"/>
                <w:highlight w:val="none"/>
              </w:rPr>
              <w:t>每</w:t>
            </w:r>
            <w:r>
              <w:rPr>
                <w:rFonts w:hint="eastAsia" w:cstheme="minorBidi"/>
                <w:b w:val="0"/>
                <w:spacing w:val="4"/>
                <w:highlight w:val="none"/>
              </w:rPr>
              <w:t>天</w:t>
            </w:r>
          </w:p>
        </w:tc>
      </w:tr>
      <w:tr w14:paraId="57511E4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gridAfter w:val="1"/>
          <w:wAfter w:w="12" w:type="pct"/>
          <w:trHeight w:val="23" w:hRule="atLeast"/>
          <w:jc w:val="center"/>
        </w:trPr>
        <w:tc>
          <w:tcPr>
            <w:tcW w:w="923" w:type="pct"/>
            <w:gridSpan w:val="2"/>
            <w:tcBorders>
              <w:top w:val="single" w:color="000000" w:sz="4" w:space="0"/>
              <w:left w:val="single" w:color="000000" w:sz="12" w:space="0"/>
              <w:bottom w:val="single" w:color="000000" w:sz="4" w:space="0"/>
              <w:right w:val="single" w:color="000000" w:sz="4" w:space="0"/>
            </w:tcBorders>
            <w:shd w:val="clear" w:color="auto" w:fill="FFFFFF"/>
            <w:vAlign w:val="center"/>
          </w:tcPr>
          <w:p w14:paraId="79544F9D">
            <w:pPr>
              <w:pStyle w:val="53"/>
              <w:adjustRightInd w:val="0"/>
              <w:snapToGrid w:val="0"/>
              <w:rPr>
                <w:rFonts w:cstheme="minorBidi"/>
                <w:b w:val="0"/>
                <w:highlight w:val="none"/>
              </w:rPr>
            </w:pPr>
            <w:r>
              <w:rPr>
                <w:rFonts w:hint="eastAsia" w:cstheme="minorBidi"/>
                <w:b w:val="0"/>
                <w:highlight w:val="none"/>
              </w:rPr>
              <w:t>安全保</w:t>
            </w:r>
            <w:r>
              <w:rPr>
                <w:rFonts w:hint="eastAsia" w:cstheme="minorBidi"/>
                <w:b w:val="0"/>
                <w:spacing w:val="7"/>
                <w:highlight w:val="none"/>
              </w:rPr>
              <w:t>护装置</w:t>
            </w:r>
          </w:p>
        </w:tc>
        <w:tc>
          <w:tcPr>
            <w:tcW w:w="125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36E0FA5">
            <w:pPr>
              <w:pStyle w:val="53"/>
              <w:adjustRightInd w:val="0"/>
              <w:snapToGrid w:val="0"/>
              <w:rPr>
                <w:rFonts w:cstheme="minorBidi"/>
                <w:b w:val="0"/>
                <w:highlight w:val="none"/>
              </w:rPr>
            </w:pPr>
            <w:r>
              <w:rPr>
                <w:rFonts w:hint="eastAsia" w:cstheme="minorBidi"/>
                <w:b w:val="0"/>
                <w:spacing w:val="9"/>
                <w:highlight w:val="none"/>
              </w:rPr>
              <w:t>1.高度限位，吊钩距起重臂 2m 跳闸； 2.重量与力矩限制：根据性能参数试吊；</w:t>
            </w:r>
          </w:p>
        </w:tc>
        <w:tc>
          <w:tcPr>
            <w:tcW w:w="1565" w:type="pct"/>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66C985FF">
            <w:pPr>
              <w:pStyle w:val="53"/>
              <w:adjustRightInd w:val="0"/>
              <w:snapToGrid w:val="0"/>
              <w:rPr>
                <w:rFonts w:cstheme="minorBidi"/>
                <w:b w:val="0"/>
                <w:spacing w:val="9"/>
                <w:highlight w:val="none"/>
              </w:rPr>
            </w:pPr>
            <w:r>
              <w:rPr>
                <w:rFonts w:hint="eastAsia" w:cstheme="minorBidi"/>
                <w:b w:val="0"/>
                <w:spacing w:val="9"/>
                <w:highlight w:val="none"/>
              </w:rPr>
              <w:t>1.塔机吊钩到达距离起重臂2m 位置时跳闸。（塔机自带） 2.超重、超力矩塔机不能起</w:t>
            </w:r>
          </w:p>
          <w:p w14:paraId="26DE2F88">
            <w:pPr>
              <w:pStyle w:val="53"/>
              <w:adjustRightInd w:val="0"/>
              <w:snapToGrid w:val="0"/>
              <w:rPr>
                <w:rFonts w:cstheme="minorBidi"/>
                <w:b w:val="0"/>
                <w:highlight w:val="none"/>
              </w:rPr>
            </w:pPr>
            <w:r>
              <w:rPr>
                <w:rFonts w:hint="eastAsia" w:cstheme="minorBidi"/>
                <w:b w:val="0"/>
                <w:spacing w:val="9"/>
                <w:highlight w:val="none"/>
              </w:rPr>
              <w:t>吊（塔机自带）</w:t>
            </w:r>
          </w:p>
        </w:tc>
        <w:tc>
          <w:tcPr>
            <w:tcW w:w="1247" w:type="pct"/>
            <w:gridSpan w:val="3"/>
            <w:tcBorders>
              <w:top w:val="single" w:color="000000" w:sz="4" w:space="0"/>
              <w:left w:val="single" w:color="000000" w:sz="4" w:space="0"/>
              <w:bottom w:val="single" w:color="000000" w:sz="4" w:space="0"/>
              <w:right w:val="single" w:color="000000" w:sz="12" w:space="0"/>
            </w:tcBorders>
            <w:shd w:val="clear" w:color="auto" w:fill="FFFFFF"/>
            <w:vAlign w:val="center"/>
          </w:tcPr>
          <w:p w14:paraId="7F700472">
            <w:pPr>
              <w:pStyle w:val="53"/>
              <w:adjustRightInd w:val="0"/>
              <w:snapToGrid w:val="0"/>
              <w:rPr>
                <w:rFonts w:cstheme="minorBidi"/>
                <w:b w:val="0"/>
                <w:highlight w:val="none"/>
              </w:rPr>
            </w:pPr>
            <w:r>
              <w:rPr>
                <w:rFonts w:hint="eastAsia" w:cstheme="minorBidi"/>
                <w:b w:val="0"/>
                <w:spacing w:val="5"/>
                <w:highlight w:val="none"/>
              </w:rPr>
              <w:t>每</w:t>
            </w:r>
            <w:r>
              <w:rPr>
                <w:rFonts w:hint="eastAsia" w:cstheme="minorBidi"/>
                <w:b w:val="0"/>
                <w:spacing w:val="4"/>
                <w:highlight w:val="none"/>
              </w:rPr>
              <w:t>月</w:t>
            </w:r>
          </w:p>
        </w:tc>
      </w:tr>
      <w:tr w14:paraId="004CD933">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3" w:type="pct"/>
            <w:gridSpan w:val="2"/>
            <w:tcBorders>
              <w:top w:val="single" w:color="000000" w:sz="4" w:space="0"/>
              <w:left w:val="single" w:color="000000" w:sz="12" w:space="0"/>
              <w:bottom w:val="single" w:color="000000" w:sz="4" w:space="0"/>
              <w:right w:val="single" w:color="000000" w:sz="4" w:space="0"/>
            </w:tcBorders>
            <w:shd w:val="clear" w:color="auto" w:fill="FFFFFF"/>
            <w:vAlign w:val="center"/>
          </w:tcPr>
          <w:p w14:paraId="4E8CB702">
            <w:pPr>
              <w:pStyle w:val="53"/>
              <w:adjustRightInd w:val="0"/>
              <w:snapToGrid w:val="0"/>
              <w:rPr>
                <w:rFonts w:cstheme="minorBidi"/>
                <w:b w:val="0"/>
                <w:highlight w:val="none"/>
              </w:rPr>
            </w:pPr>
            <w:r>
              <w:rPr>
                <w:rFonts w:hint="eastAsia" w:cstheme="minorBidi"/>
                <w:b w:val="0"/>
                <w:spacing w:val="4"/>
                <w:highlight w:val="none"/>
              </w:rPr>
              <w:t>防雷装置</w:t>
            </w:r>
          </w:p>
        </w:tc>
        <w:tc>
          <w:tcPr>
            <w:tcW w:w="1263"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299153F8">
            <w:pPr>
              <w:pStyle w:val="53"/>
              <w:adjustRightInd w:val="0"/>
              <w:snapToGrid w:val="0"/>
              <w:rPr>
                <w:rFonts w:cstheme="minorBidi"/>
                <w:b w:val="0"/>
                <w:spacing w:val="5"/>
                <w:highlight w:val="none"/>
              </w:rPr>
            </w:pPr>
            <w:r>
              <w:rPr>
                <w:rFonts w:hint="eastAsia" w:cstheme="minorBidi"/>
                <w:b w:val="0"/>
                <w:spacing w:val="5"/>
                <w:highlight w:val="none"/>
              </w:rPr>
              <w:t>塔机避雷线与建筑物</w:t>
            </w:r>
          </w:p>
          <w:p w14:paraId="31E278DA">
            <w:pPr>
              <w:pStyle w:val="53"/>
              <w:adjustRightInd w:val="0"/>
              <w:snapToGrid w:val="0"/>
              <w:rPr>
                <w:rFonts w:cstheme="minorBidi"/>
                <w:b w:val="0"/>
                <w:spacing w:val="9"/>
                <w:highlight w:val="none"/>
              </w:rPr>
            </w:pPr>
            <w:r>
              <w:rPr>
                <w:rFonts w:hint="eastAsia" w:cstheme="minorBidi"/>
                <w:b w:val="0"/>
                <w:spacing w:val="5"/>
                <w:highlight w:val="none"/>
              </w:rPr>
              <w:t>接地相连</w:t>
            </w:r>
          </w:p>
        </w:tc>
        <w:tc>
          <w:tcPr>
            <w:tcW w:w="1565" w:type="pct"/>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3F6B1CFB">
            <w:pPr>
              <w:pStyle w:val="53"/>
              <w:adjustRightInd w:val="0"/>
              <w:snapToGrid w:val="0"/>
              <w:rPr>
                <w:rFonts w:cstheme="minorBidi"/>
                <w:b w:val="0"/>
                <w:spacing w:val="9"/>
                <w:highlight w:val="none"/>
              </w:rPr>
            </w:pPr>
            <w:r>
              <w:rPr>
                <w:rFonts w:hint="eastAsia" w:cstheme="minorBidi"/>
                <w:b w:val="0"/>
                <w:spacing w:val="9"/>
                <w:highlight w:val="none"/>
              </w:rPr>
              <w:t>检测避雷电阻，要求电阻在 1Ω之内</w:t>
            </w:r>
          </w:p>
        </w:tc>
        <w:tc>
          <w:tcPr>
            <w:tcW w:w="1248" w:type="pct"/>
            <w:gridSpan w:val="3"/>
            <w:tcBorders>
              <w:top w:val="single" w:color="000000" w:sz="4" w:space="0"/>
              <w:left w:val="single" w:color="000000" w:sz="4" w:space="0"/>
              <w:bottom w:val="single" w:color="000000" w:sz="4" w:space="0"/>
              <w:right w:val="single" w:color="000000" w:sz="12" w:space="0"/>
            </w:tcBorders>
            <w:shd w:val="clear" w:color="auto" w:fill="FFFFFF"/>
            <w:vAlign w:val="center"/>
          </w:tcPr>
          <w:p w14:paraId="2BFF28FE">
            <w:pPr>
              <w:pStyle w:val="53"/>
              <w:adjustRightInd w:val="0"/>
              <w:snapToGrid w:val="0"/>
              <w:rPr>
                <w:rFonts w:cstheme="minorBidi"/>
                <w:b w:val="0"/>
                <w:highlight w:val="none"/>
              </w:rPr>
            </w:pPr>
            <w:r>
              <w:rPr>
                <w:rFonts w:hint="eastAsia" w:cstheme="minorBidi"/>
                <w:b w:val="0"/>
                <w:highlight w:val="none"/>
              </w:rPr>
              <w:t>每次爬升后</w:t>
            </w:r>
          </w:p>
        </w:tc>
      </w:tr>
      <w:tr w14:paraId="685BDD5A">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3" w:type="pct"/>
            <w:gridSpan w:val="2"/>
            <w:tcBorders>
              <w:top w:val="single" w:color="000000" w:sz="4" w:space="0"/>
              <w:left w:val="single" w:color="000000" w:sz="12" w:space="0"/>
              <w:bottom w:val="single" w:color="000000" w:sz="4" w:space="0"/>
              <w:right w:val="single" w:color="000000" w:sz="4" w:space="0"/>
            </w:tcBorders>
            <w:shd w:val="clear" w:color="auto" w:fill="FFFFFF"/>
            <w:vAlign w:val="center"/>
          </w:tcPr>
          <w:p w14:paraId="67FAA00A">
            <w:pPr>
              <w:pStyle w:val="53"/>
              <w:adjustRightInd w:val="0"/>
              <w:snapToGrid w:val="0"/>
              <w:rPr>
                <w:rFonts w:cstheme="minorBidi"/>
                <w:b w:val="0"/>
                <w:highlight w:val="none"/>
              </w:rPr>
            </w:pPr>
            <w:r>
              <w:rPr>
                <w:rFonts w:hint="eastAsia" w:cstheme="minorBidi"/>
                <w:b w:val="0"/>
                <w:highlight w:val="none"/>
              </w:rPr>
              <w:t>钢</w:t>
            </w:r>
            <w:r>
              <w:rPr>
                <w:rFonts w:hint="eastAsia" w:cstheme="minorBidi"/>
                <w:b w:val="0"/>
                <w:spacing w:val="7"/>
                <w:highlight w:val="none"/>
              </w:rPr>
              <w:t>丝绳</w:t>
            </w:r>
          </w:p>
        </w:tc>
        <w:tc>
          <w:tcPr>
            <w:tcW w:w="1263"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264E7CCE">
            <w:pPr>
              <w:pStyle w:val="53"/>
              <w:adjustRightInd w:val="0"/>
              <w:snapToGrid w:val="0"/>
              <w:rPr>
                <w:rFonts w:cstheme="minorBidi"/>
                <w:b w:val="0"/>
                <w:spacing w:val="9"/>
                <w:highlight w:val="none"/>
              </w:rPr>
            </w:pPr>
            <w:r>
              <w:rPr>
                <w:rFonts w:hint="eastAsia" w:cstheme="minorBidi"/>
                <w:b w:val="0"/>
                <w:spacing w:val="9"/>
                <w:highlight w:val="none"/>
              </w:rPr>
              <w:t>按钢丝绳标准</w:t>
            </w:r>
          </w:p>
          <w:p w14:paraId="72E307C6">
            <w:pPr>
              <w:pStyle w:val="53"/>
              <w:adjustRightInd w:val="0"/>
              <w:snapToGrid w:val="0"/>
              <w:rPr>
                <w:rFonts w:cstheme="minorBidi"/>
                <w:b w:val="0"/>
                <w:highlight w:val="none"/>
              </w:rPr>
            </w:pPr>
            <w:r>
              <w:rPr>
                <w:rFonts w:hint="eastAsia" w:cstheme="minorBidi"/>
                <w:b w:val="0"/>
                <w:spacing w:val="9"/>
                <w:highlight w:val="none"/>
              </w:rPr>
              <w:t>GB8918-2006</w:t>
            </w:r>
          </w:p>
        </w:tc>
        <w:tc>
          <w:tcPr>
            <w:tcW w:w="1565" w:type="pct"/>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5EA1B802">
            <w:pPr>
              <w:pStyle w:val="53"/>
              <w:adjustRightInd w:val="0"/>
              <w:snapToGrid w:val="0"/>
              <w:rPr>
                <w:rFonts w:cstheme="minorBidi"/>
                <w:b w:val="0"/>
                <w:highlight w:val="none"/>
              </w:rPr>
            </w:pPr>
            <w:r>
              <w:rPr>
                <w:rFonts w:hint="eastAsia" w:cstheme="minorBidi"/>
                <w:b w:val="0"/>
                <w:spacing w:val="3"/>
                <w:highlight w:val="none"/>
              </w:rPr>
              <w:t>肉</w:t>
            </w:r>
            <w:r>
              <w:rPr>
                <w:rFonts w:hint="eastAsia" w:cstheme="minorBidi"/>
                <w:b w:val="0"/>
                <w:spacing w:val="2"/>
                <w:highlight w:val="none"/>
              </w:rPr>
              <w:t>眼观察</w:t>
            </w:r>
          </w:p>
        </w:tc>
        <w:tc>
          <w:tcPr>
            <w:tcW w:w="1248" w:type="pct"/>
            <w:gridSpan w:val="3"/>
            <w:tcBorders>
              <w:top w:val="single" w:color="000000" w:sz="4" w:space="0"/>
              <w:left w:val="single" w:color="000000" w:sz="4" w:space="0"/>
              <w:bottom w:val="single" w:color="000000" w:sz="4" w:space="0"/>
              <w:right w:val="single" w:color="000000" w:sz="12" w:space="0"/>
            </w:tcBorders>
            <w:shd w:val="clear" w:color="auto" w:fill="FFFFFF"/>
            <w:vAlign w:val="center"/>
          </w:tcPr>
          <w:p w14:paraId="6DF0999A">
            <w:pPr>
              <w:pStyle w:val="53"/>
              <w:adjustRightInd w:val="0"/>
              <w:snapToGrid w:val="0"/>
              <w:rPr>
                <w:rFonts w:cstheme="minorBidi"/>
                <w:b w:val="0"/>
                <w:highlight w:val="none"/>
              </w:rPr>
            </w:pPr>
            <w:r>
              <w:rPr>
                <w:rFonts w:hint="eastAsia" w:cstheme="minorBidi"/>
                <w:b w:val="0"/>
                <w:spacing w:val="5"/>
                <w:highlight w:val="none"/>
              </w:rPr>
              <w:t>每</w:t>
            </w:r>
            <w:r>
              <w:rPr>
                <w:rFonts w:hint="eastAsia" w:cstheme="minorBidi"/>
                <w:b w:val="0"/>
                <w:spacing w:val="4"/>
                <w:highlight w:val="none"/>
              </w:rPr>
              <w:t>天</w:t>
            </w:r>
          </w:p>
        </w:tc>
      </w:tr>
      <w:tr w14:paraId="296DB49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3" w:type="pct"/>
            <w:gridSpan w:val="2"/>
            <w:tcBorders>
              <w:top w:val="single" w:color="000000" w:sz="4" w:space="0"/>
              <w:left w:val="single" w:color="000000" w:sz="12" w:space="0"/>
              <w:bottom w:val="single" w:color="000000" w:sz="4" w:space="0"/>
              <w:right w:val="single" w:color="000000" w:sz="4" w:space="0"/>
            </w:tcBorders>
            <w:shd w:val="clear" w:color="auto" w:fill="FFFFFF"/>
            <w:vAlign w:val="center"/>
          </w:tcPr>
          <w:p w14:paraId="2D3E7F80">
            <w:pPr>
              <w:pStyle w:val="53"/>
              <w:adjustRightInd w:val="0"/>
              <w:snapToGrid w:val="0"/>
              <w:rPr>
                <w:rFonts w:cstheme="minorBidi"/>
                <w:b w:val="0"/>
                <w:highlight w:val="none"/>
              </w:rPr>
            </w:pPr>
            <w:r>
              <w:rPr>
                <w:rFonts w:hint="eastAsia" w:cstheme="minorBidi"/>
                <w:b w:val="0"/>
                <w:spacing w:val="4"/>
                <w:highlight w:val="none"/>
              </w:rPr>
              <w:t>吊装吊点与吊</w:t>
            </w:r>
            <w:r>
              <w:rPr>
                <w:rFonts w:hint="eastAsia" w:cstheme="minorBidi"/>
                <w:b w:val="0"/>
                <w:highlight w:val="none"/>
              </w:rPr>
              <w:t xml:space="preserve"> 装用钢丝绳</w:t>
            </w:r>
          </w:p>
        </w:tc>
        <w:tc>
          <w:tcPr>
            <w:tcW w:w="1263"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1A0B1170">
            <w:pPr>
              <w:pStyle w:val="53"/>
              <w:adjustRightInd w:val="0"/>
              <w:snapToGrid w:val="0"/>
              <w:rPr>
                <w:rFonts w:cstheme="minorBidi"/>
                <w:b w:val="0"/>
                <w:spacing w:val="9"/>
                <w:highlight w:val="none"/>
              </w:rPr>
            </w:pPr>
            <w:r>
              <w:rPr>
                <w:rFonts w:hint="eastAsia" w:cstheme="minorBidi"/>
                <w:b w:val="0"/>
                <w:spacing w:val="9"/>
                <w:highlight w:val="none"/>
              </w:rPr>
              <w:t>要求构件吊点选择合 理，吊装钢丝绳满足使</w:t>
            </w:r>
          </w:p>
          <w:p w14:paraId="420DAFC3">
            <w:pPr>
              <w:pStyle w:val="53"/>
              <w:adjustRightInd w:val="0"/>
              <w:snapToGrid w:val="0"/>
              <w:rPr>
                <w:rFonts w:cstheme="minorBidi"/>
                <w:b w:val="0"/>
                <w:spacing w:val="9"/>
                <w:highlight w:val="none"/>
              </w:rPr>
            </w:pPr>
            <w:r>
              <w:rPr>
                <w:rFonts w:hint="eastAsia" w:cstheme="minorBidi"/>
                <w:b w:val="0"/>
                <w:spacing w:val="9"/>
                <w:highlight w:val="none"/>
              </w:rPr>
              <w:t>用要求。</w:t>
            </w:r>
          </w:p>
        </w:tc>
        <w:tc>
          <w:tcPr>
            <w:tcW w:w="1565" w:type="pct"/>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21AD3D01">
            <w:pPr>
              <w:pStyle w:val="53"/>
              <w:adjustRightInd w:val="0"/>
              <w:snapToGrid w:val="0"/>
              <w:rPr>
                <w:rFonts w:cstheme="minorBidi"/>
                <w:b w:val="0"/>
                <w:spacing w:val="9"/>
                <w:highlight w:val="none"/>
              </w:rPr>
            </w:pPr>
            <w:r>
              <w:rPr>
                <w:rFonts w:hint="eastAsia" w:cstheme="minorBidi"/>
                <w:b w:val="0"/>
                <w:spacing w:val="9"/>
                <w:highlight w:val="none"/>
              </w:rPr>
              <w:t>专人绑扎构件，吊装钢丝绳 安全系数取 8 倍以上。</w:t>
            </w:r>
          </w:p>
        </w:tc>
        <w:tc>
          <w:tcPr>
            <w:tcW w:w="1248" w:type="pct"/>
            <w:gridSpan w:val="3"/>
            <w:tcBorders>
              <w:top w:val="single" w:color="000000" w:sz="4" w:space="0"/>
              <w:left w:val="single" w:color="000000" w:sz="4" w:space="0"/>
              <w:bottom w:val="single" w:color="000000" w:sz="4" w:space="0"/>
              <w:right w:val="single" w:color="000000" w:sz="12" w:space="0"/>
            </w:tcBorders>
            <w:shd w:val="clear" w:color="auto" w:fill="FFFFFF"/>
            <w:vAlign w:val="center"/>
          </w:tcPr>
          <w:p w14:paraId="7F57747B">
            <w:pPr>
              <w:pStyle w:val="53"/>
              <w:adjustRightInd w:val="0"/>
              <w:snapToGrid w:val="0"/>
              <w:rPr>
                <w:rFonts w:cstheme="minorBidi"/>
                <w:b w:val="0"/>
                <w:spacing w:val="9"/>
                <w:highlight w:val="none"/>
              </w:rPr>
            </w:pPr>
            <w:r>
              <w:rPr>
                <w:rFonts w:hint="eastAsia" w:cstheme="minorBidi"/>
                <w:b w:val="0"/>
                <w:spacing w:val="9"/>
                <w:highlight w:val="none"/>
              </w:rPr>
              <w:t>每天</w:t>
            </w:r>
          </w:p>
        </w:tc>
      </w:tr>
      <w:tr w14:paraId="381F795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3" w:type="pct"/>
            <w:gridSpan w:val="2"/>
            <w:tcBorders>
              <w:top w:val="single" w:color="000000" w:sz="4" w:space="0"/>
              <w:left w:val="single" w:color="000000" w:sz="12" w:space="0"/>
              <w:bottom w:val="single" w:color="000000" w:sz="4" w:space="0"/>
              <w:right w:val="single" w:color="000000" w:sz="4" w:space="0"/>
            </w:tcBorders>
            <w:shd w:val="clear" w:color="auto" w:fill="FFFFFF"/>
            <w:vAlign w:val="center"/>
          </w:tcPr>
          <w:p w14:paraId="02C1237B">
            <w:pPr>
              <w:pStyle w:val="53"/>
              <w:adjustRightInd w:val="0"/>
              <w:snapToGrid w:val="0"/>
              <w:rPr>
                <w:rFonts w:cstheme="minorBidi"/>
                <w:b w:val="0"/>
                <w:highlight w:val="none"/>
              </w:rPr>
            </w:pPr>
            <w:r>
              <w:rPr>
                <w:rFonts w:hint="eastAsia" w:cstheme="minorBidi"/>
                <w:b w:val="0"/>
                <w:spacing w:val="-1"/>
                <w:highlight w:val="none"/>
              </w:rPr>
              <w:t>100t</w:t>
            </w:r>
            <w:r>
              <w:rPr>
                <w:rFonts w:hint="eastAsia" w:cstheme="minorBidi"/>
                <w:b w:val="0"/>
                <w:spacing w:val="-13"/>
                <w:highlight w:val="none"/>
              </w:rPr>
              <w:t xml:space="preserve"> </w:t>
            </w:r>
            <w:r>
              <w:rPr>
                <w:rFonts w:hint="eastAsia" w:cstheme="minorBidi"/>
                <w:b w:val="0"/>
                <w:spacing w:val="-1"/>
                <w:highlight w:val="none"/>
              </w:rPr>
              <w:t>吊机</w:t>
            </w:r>
          </w:p>
        </w:tc>
        <w:tc>
          <w:tcPr>
            <w:tcW w:w="1263"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4AE319C8">
            <w:pPr>
              <w:pStyle w:val="53"/>
              <w:adjustRightInd w:val="0"/>
              <w:snapToGrid w:val="0"/>
              <w:rPr>
                <w:rFonts w:cstheme="minorBidi"/>
                <w:b w:val="0"/>
                <w:spacing w:val="9"/>
                <w:highlight w:val="none"/>
              </w:rPr>
            </w:pPr>
            <w:r>
              <w:rPr>
                <w:rFonts w:hint="eastAsia" w:cstheme="minorBidi"/>
                <w:b w:val="0"/>
                <w:spacing w:val="9"/>
                <w:highlight w:val="none"/>
              </w:rPr>
              <w:t>严禁超力矩</w:t>
            </w:r>
          </w:p>
        </w:tc>
        <w:tc>
          <w:tcPr>
            <w:tcW w:w="1565" w:type="pct"/>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0406D8B5">
            <w:pPr>
              <w:pStyle w:val="53"/>
              <w:adjustRightInd w:val="0"/>
              <w:snapToGrid w:val="0"/>
              <w:rPr>
                <w:rFonts w:cstheme="minorBidi"/>
                <w:b w:val="0"/>
                <w:spacing w:val="9"/>
                <w:highlight w:val="none"/>
              </w:rPr>
            </w:pPr>
            <w:r>
              <w:rPr>
                <w:rFonts w:hint="eastAsia" w:cstheme="minorBidi"/>
                <w:b w:val="0"/>
                <w:spacing w:val="9"/>
                <w:highlight w:val="none"/>
              </w:rPr>
              <w:t>肉眼观察</w:t>
            </w:r>
          </w:p>
        </w:tc>
        <w:tc>
          <w:tcPr>
            <w:tcW w:w="1248" w:type="pct"/>
            <w:gridSpan w:val="3"/>
            <w:tcBorders>
              <w:top w:val="single" w:color="000000" w:sz="4" w:space="0"/>
              <w:left w:val="single" w:color="000000" w:sz="4" w:space="0"/>
              <w:bottom w:val="single" w:color="000000" w:sz="4" w:space="0"/>
              <w:right w:val="single" w:color="000000" w:sz="12" w:space="0"/>
            </w:tcBorders>
            <w:shd w:val="clear" w:color="auto" w:fill="FFFFFF"/>
            <w:vAlign w:val="center"/>
          </w:tcPr>
          <w:p w14:paraId="0A383560">
            <w:pPr>
              <w:pStyle w:val="53"/>
              <w:adjustRightInd w:val="0"/>
              <w:snapToGrid w:val="0"/>
              <w:rPr>
                <w:rFonts w:cstheme="minorBidi"/>
                <w:b w:val="0"/>
                <w:spacing w:val="9"/>
                <w:highlight w:val="none"/>
              </w:rPr>
            </w:pPr>
            <w:r>
              <w:rPr>
                <w:rFonts w:hint="eastAsia" w:cstheme="minorBidi"/>
                <w:b w:val="0"/>
                <w:spacing w:val="9"/>
                <w:highlight w:val="none"/>
              </w:rPr>
              <w:t>塔机安装时</w:t>
            </w:r>
          </w:p>
        </w:tc>
      </w:tr>
      <w:tr w14:paraId="7F2E5D2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3" w:type="pct"/>
            <w:gridSpan w:val="2"/>
            <w:tcBorders>
              <w:top w:val="single" w:color="000000" w:sz="4" w:space="0"/>
              <w:left w:val="single" w:color="000000" w:sz="12" w:space="0"/>
              <w:bottom w:val="single" w:color="000000" w:sz="4" w:space="0"/>
              <w:right w:val="single" w:color="000000" w:sz="4" w:space="0"/>
            </w:tcBorders>
            <w:shd w:val="clear" w:color="auto" w:fill="FFFFFF"/>
            <w:vAlign w:val="center"/>
          </w:tcPr>
          <w:p w14:paraId="44050601">
            <w:pPr>
              <w:pStyle w:val="53"/>
              <w:adjustRightInd w:val="0"/>
              <w:snapToGrid w:val="0"/>
              <w:rPr>
                <w:rFonts w:cstheme="minorBidi"/>
                <w:b w:val="0"/>
                <w:highlight w:val="none"/>
              </w:rPr>
            </w:pPr>
            <w:r>
              <w:rPr>
                <w:rFonts w:hint="eastAsia" w:cstheme="minorBidi"/>
                <w:b w:val="0"/>
                <w:spacing w:val="7"/>
                <w:highlight w:val="none"/>
              </w:rPr>
              <w:t>标</w:t>
            </w:r>
            <w:r>
              <w:rPr>
                <w:rFonts w:hint="eastAsia" w:cstheme="minorBidi"/>
                <w:b w:val="0"/>
                <w:spacing w:val="6"/>
                <w:highlight w:val="none"/>
              </w:rPr>
              <w:t>准节</w:t>
            </w:r>
          </w:p>
        </w:tc>
        <w:tc>
          <w:tcPr>
            <w:tcW w:w="1263"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2BEF8C66">
            <w:pPr>
              <w:pStyle w:val="53"/>
              <w:adjustRightInd w:val="0"/>
              <w:snapToGrid w:val="0"/>
              <w:rPr>
                <w:rFonts w:cstheme="minorBidi"/>
                <w:b w:val="0"/>
                <w:spacing w:val="9"/>
                <w:highlight w:val="none"/>
              </w:rPr>
            </w:pPr>
            <w:r>
              <w:rPr>
                <w:rFonts w:hint="eastAsia" w:cstheme="minorBidi"/>
                <w:b w:val="0"/>
                <w:spacing w:val="9"/>
                <w:highlight w:val="none"/>
              </w:rPr>
              <w:t>标准节主枝，斜撑杆无</w:t>
            </w:r>
          </w:p>
          <w:p w14:paraId="436A0DD5">
            <w:pPr>
              <w:pStyle w:val="53"/>
              <w:adjustRightInd w:val="0"/>
              <w:snapToGrid w:val="0"/>
              <w:rPr>
                <w:rFonts w:cstheme="minorBidi"/>
                <w:b w:val="0"/>
                <w:spacing w:val="9"/>
                <w:highlight w:val="none"/>
              </w:rPr>
            </w:pPr>
            <w:r>
              <w:rPr>
                <w:rFonts w:hint="eastAsia" w:cstheme="minorBidi"/>
                <w:b w:val="0"/>
                <w:spacing w:val="9"/>
                <w:highlight w:val="none"/>
              </w:rPr>
              <w:t>裂纹，螺栓连接牢靠</w:t>
            </w:r>
          </w:p>
        </w:tc>
        <w:tc>
          <w:tcPr>
            <w:tcW w:w="1565" w:type="pct"/>
            <w:gridSpan w:val="4"/>
            <w:tcBorders>
              <w:top w:val="single" w:color="000000" w:sz="4" w:space="0"/>
              <w:left w:val="single" w:color="000000" w:sz="4" w:space="0"/>
              <w:bottom w:val="single" w:color="000000" w:sz="4" w:space="0"/>
              <w:right w:val="single" w:color="000000" w:sz="4" w:space="0"/>
            </w:tcBorders>
            <w:shd w:val="clear" w:color="auto" w:fill="FFFFFF"/>
            <w:vAlign w:val="center"/>
          </w:tcPr>
          <w:p w14:paraId="625E848E">
            <w:pPr>
              <w:pStyle w:val="53"/>
              <w:adjustRightInd w:val="0"/>
              <w:snapToGrid w:val="0"/>
              <w:rPr>
                <w:rFonts w:cstheme="minorBidi"/>
                <w:b w:val="0"/>
                <w:spacing w:val="9"/>
                <w:highlight w:val="none"/>
              </w:rPr>
            </w:pPr>
            <w:r>
              <w:rPr>
                <w:rFonts w:hint="eastAsia" w:cstheme="minorBidi"/>
                <w:b w:val="0"/>
                <w:spacing w:val="9"/>
                <w:highlight w:val="none"/>
              </w:rPr>
              <w:t>肉眼观察</w:t>
            </w:r>
          </w:p>
        </w:tc>
        <w:tc>
          <w:tcPr>
            <w:tcW w:w="1248" w:type="pct"/>
            <w:gridSpan w:val="3"/>
            <w:tcBorders>
              <w:top w:val="single" w:color="000000" w:sz="4" w:space="0"/>
              <w:left w:val="single" w:color="000000" w:sz="4" w:space="0"/>
              <w:bottom w:val="single" w:color="000000" w:sz="4" w:space="0"/>
              <w:right w:val="single" w:color="000000" w:sz="12" w:space="0"/>
            </w:tcBorders>
            <w:shd w:val="clear" w:color="auto" w:fill="FFFFFF"/>
            <w:vAlign w:val="center"/>
          </w:tcPr>
          <w:p w14:paraId="5C7C82E8">
            <w:pPr>
              <w:pStyle w:val="53"/>
              <w:adjustRightInd w:val="0"/>
              <w:snapToGrid w:val="0"/>
              <w:rPr>
                <w:rFonts w:cstheme="minorBidi"/>
                <w:b w:val="0"/>
                <w:spacing w:val="9"/>
                <w:highlight w:val="none"/>
              </w:rPr>
            </w:pPr>
            <w:r>
              <w:rPr>
                <w:rFonts w:hint="eastAsia" w:cstheme="minorBidi"/>
                <w:b w:val="0"/>
                <w:spacing w:val="9"/>
                <w:highlight w:val="none"/>
              </w:rPr>
              <w:t>每天</w:t>
            </w:r>
          </w:p>
        </w:tc>
      </w:tr>
      <w:tr w14:paraId="4425927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23" w:type="pct"/>
            <w:gridSpan w:val="2"/>
            <w:tcBorders>
              <w:top w:val="single" w:color="000000" w:sz="4" w:space="0"/>
              <w:left w:val="single" w:color="000000" w:sz="12" w:space="0"/>
              <w:bottom w:val="single" w:color="000000" w:sz="12" w:space="0"/>
              <w:right w:val="single" w:color="000000" w:sz="4" w:space="0"/>
            </w:tcBorders>
            <w:shd w:val="clear" w:color="auto" w:fill="FFFFFF"/>
            <w:vAlign w:val="center"/>
          </w:tcPr>
          <w:p w14:paraId="5AC5058A">
            <w:pPr>
              <w:pStyle w:val="53"/>
              <w:adjustRightInd w:val="0"/>
              <w:snapToGrid w:val="0"/>
              <w:rPr>
                <w:rFonts w:cstheme="minorBidi"/>
                <w:b w:val="0"/>
                <w:highlight w:val="none"/>
              </w:rPr>
            </w:pPr>
            <w:r>
              <w:rPr>
                <w:rFonts w:hint="eastAsia" w:cstheme="minorBidi"/>
                <w:b w:val="0"/>
                <w:highlight w:val="none"/>
              </w:rPr>
              <w:t>塔</w:t>
            </w:r>
            <w:r>
              <w:rPr>
                <w:rFonts w:hint="eastAsia" w:cstheme="minorBidi"/>
                <w:b w:val="0"/>
                <w:spacing w:val="7"/>
                <w:highlight w:val="none"/>
              </w:rPr>
              <w:t>吊基础</w:t>
            </w:r>
          </w:p>
        </w:tc>
        <w:tc>
          <w:tcPr>
            <w:tcW w:w="1263" w:type="pct"/>
            <w:gridSpan w:val="3"/>
            <w:tcBorders>
              <w:top w:val="single" w:color="000000" w:sz="4" w:space="0"/>
              <w:left w:val="single" w:color="000000" w:sz="4" w:space="0"/>
              <w:bottom w:val="single" w:color="000000" w:sz="12" w:space="0"/>
              <w:right w:val="single" w:color="000000" w:sz="4" w:space="0"/>
            </w:tcBorders>
            <w:shd w:val="clear" w:color="auto" w:fill="FFFFFF"/>
            <w:vAlign w:val="center"/>
          </w:tcPr>
          <w:p w14:paraId="445F6E4E">
            <w:pPr>
              <w:pStyle w:val="53"/>
              <w:adjustRightInd w:val="0"/>
              <w:snapToGrid w:val="0"/>
              <w:rPr>
                <w:rFonts w:cstheme="minorBidi"/>
                <w:b w:val="0"/>
                <w:spacing w:val="9"/>
                <w:highlight w:val="none"/>
              </w:rPr>
            </w:pPr>
            <w:r>
              <w:rPr>
                <w:rFonts w:hint="eastAsia" w:cstheme="minorBidi"/>
                <w:b w:val="0"/>
                <w:spacing w:val="9"/>
                <w:highlight w:val="none"/>
              </w:rPr>
              <w:t>基础无积水，下沉</w:t>
            </w:r>
          </w:p>
        </w:tc>
        <w:tc>
          <w:tcPr>
            <w:tcW w:w="1565" w:type="pct"/>
            <w:gridSpan w:val="4"/>
            <w:tcBorders>
              <w:top w:val="single" w:color="000000" w:sz="4" w:space="0"/>
              <w:left w:val="single" w:color="000000" w:sz="4" w:space="0"/>
              <w:bottom w:val="single" w:color="000000" w:sz="12" w:space="0"/>
              <w:right w:val="single" w:color="000000" w:sz="4" w:space="0"/>
            </w:tcBorders>
            <w:shd w:val="clear" w:color="auto" w:fill="FFFFFF"/>
            <w:vAlign w:val="center"/>
          </w:tcPr>
          <w:p w14:paraId="7AB3F6AA">
            <w:pPr>
              <w:pStyle w:val="53"/>
              <w:adjustRightInd w:val="0"/>
              <w:snapToGrid w:val="0"/>
              <w:rPr>
                <w:rFonts w:cstheme="minorBidi"/>
                <w:b w:val="0"/>
                <w:spacing w:val="9"/>
                <w:highlight w:val="none"/>
              </w:rPr>
            </w:pPr>
            <w:r>
              <w:rPr>
                <w:rFonts w:hint="eastAsia" w:cstheme="minorBidi"/>
                <w:b w:val="0"/>
                <w:spacing w:val="9"/>
                <w:highlight w:val="none"/>
              </w:rPr>
              <w:t>肉眼观察</w:t>
            </w:r>
          </w:p>
        </w:tc>
        <w:tc>
          <w:tcPr>
            <w:tcW w:w="1248" w:type="pct"/>
            <w:gridSpan w:val="3"/>
            <w:tcBorders>
              <w:top w:val="single" w:color="000000" w:sz="4" w:space="0"/>
              <w:left w:val="single" w:color="000000" w:sz="4" w:space="0"/>
              <w:bottom w:val="single" w:color="000000" w:sz="12" w:space="0"/>
              <w:right w:val="single" w:color="000000" w:sz="12" w:space="0"/>
            </w:tcBorders>
            <w:shd w:val="clear" w:color="auto" w:fill="FFFFFF"/>
            <w:vAlign w:val="center"/>
          </w:tcPr>
          <w:p w14:paraId="61F34695">
            <w:pPr>
              <w:pStyle w:val="53"/>
              <w:adjustRightInd w:val="0"/>
              <w:snapToGrid w:val="0"/>
              <w:rPr>
                <w:rFonts w:cstheme="minorBidi"/>
                <w:b w:val="0"/>
                <w:spacing w:val="9"/>
                <w:highlight w:val="none"/>
              </w:rPr>
            </w:pPr>
            <w:r>
              <w:rPr>
                <w:rFonts w:hint="eastAsia" w:cstheme="minorBidi"/>
                <w:b w:val="0"/>
                <w:spacing w:val="9"/>
                <w:highlight w:val="none"/>
              </w:rPr>
              <w:t>每天</w:t>
            </w:r>
          </w:p>
        </w:tc>
      </w:tr>
    </w:tbl>
    <w:p w14:paraId="261A0EFB">
      <w:pPr>
        <w:pStyle w:val="5"/>
        <w:bidi w:val="0"/>
        <w:ind w:left="0" w:leftChars="0" w:firstLine="0" w:firstLineChars="0"/>
        <w:rPr>
          <w:highlight w:val="none"/>
        </w:rPr>
      </w:pPr>
      <w:r>
        <w:rPr>
          <w:rFonts w:hint="eastAsia"/>
          <w:highlight w:val="none"/>
        </w:rPr>
        <w:t>电气设备</w:t>
      </w:r>
    </w:p>
    <w:p w14:paraId="51B28613">
      <w:pPr>
        <w:ind w:firstLine="480"/>
        <w:rPr>
          <w:highlight w:val="none"/>
        </w:rPr>
      </w:pPr>
      <w:r>
        <w:rPr>
          <w:rFonts w:hint="eastAsia"/>
          <w:highlight w:val="none"/>
        </w:rPr>
        <w:t>（1）电气部分</w:t>
      </w:r>
    </w:p>
    <w:p w14:paraId="01025C37">
      <w:pPr>
        <w:ind w:firstLine="480"/>
        <w:rPr>
          <w:highlight w:val="none"/>
        </w:rPr>
      </w:pPr>
      <w:r>
        <w:rPr>
          <w:rFonts w:hint="eastAsia"/>
          <w:highlight w:val="none"/>
        </w:rPr>
        <w:t>起重机电气系统的设计符合GB3811-2008《起重机设计规范》和GB6067-2010《起重机械安全规程》的各项规定。起重机的电气设备能够保证机械的传动性能、电气的监控及保护性能安全、准确和可靠。在起重机发生紧急情况下，操作人员能够在司机室切断电源,安全停车。</w:t>
      </w:r>
    </w:p>
    <w:p w14:paraId="5E73737C">
      <w:pPr>
        <w:ind w:firstLine="480"/>
        <w:rPr>
          <w:highlight w:val="none"/>
        </w:rPr>
      </w:pPr>
      <w:r>
        <w:rPr>
          <w:rFonts w:hint="eastAsia"/>
          <w:highlight w:val="none"/>
        </w:rPr>
        <w:t>（2）供电</w:t>
      </w:r>
    </w:p>
    <w:p w14:paraId="1B501D6C">
      <w:pPr>
        <w:ind w:firstLine="480"/>
        <w:rPr>
          <w:highlight w:val="none"/>
        </w:rPr>
      </w:pPr>
      <w:r>
        <w:rPr>
          <w:rFonts w:hint="eastAsia"/>
          <w:highlight w:val="none"/>
        </w:rPr>
        <w:t>起重机供电电源为三相交流电源,电压380V±10%,频率50HZ。</w:t>
      </w:r>
    </w:p>
    <w:p w14:paraId="22F86166">
      <w:pPr>
        <w:ind w:firstLine="480"/>
        <w:rPr>
          <w:highlight w:val="none"/>
        </w:rPr>
      </w:pPr>
      <w:r>
        <w:rPr>
          <w:rFonts w:hint="eastAsia"/>
          <w:highlight w:val="none"/>
        </w:rPr>
        <w:t>（3）电气保护</w:t>
      </w:r>
    </w:p>
    <w:p w14:paraId="3BF05C3A">
      <w:pPr>
        <w:ind w:firstLine="480"/>
        <w:rPr>
          <w:highlight w:val="none"/>
        </w:rPr>
      </w:pPr>
      <w:r>
        <w:rPr>
          <w:rFonts w:hint="eastAsia"/>
          <w:highlight w:val="none"/>
        </w:rPr>
        <w:t>1）短路及过载保护</w:t>
      </w:r>
    </w:p>
    <w:p w14:paraId="16E6FFBD">
      <w:pPr>
        <w:ind w:firstLine="480"/>
        <w:rPr>
          <w:highlight w:val="none"/>
        </w:rPr>
      </w:pPr>
      <w:r>
        <w:rPr>
          <w:rFonts w:hint="eastAsia"/>
          <w:highlight w:val="none"/>
        </w:rPr>
        <w:t>起重机总受电屏、控制屏进出电源设置断路器、控制回路设置小容量断路器，使各机构在短路，过载等事故状态下，迅速与电源脱离,以达到保护设备及人机安全的目的。</w:t>
      </w:r>
    </w:p>
    <w:p w14:paraId="0728AE31">
      <w:pPr>
        <w:ind w:firstLine="480"/>
        <w:rPr>
          <w:highlight w:val="none"/>
        </w:rPr>
      </w:pPr>
      <w:r>
        <w:rPr>
          <w:rFonts w:hint="eastAsia"/>
          <w:highlight w:val="none"/>
        </w:rPr>
        <w:t>2）失压保护</w:t>
      </w:r>
    </w:p>
    <w:p w14:paraId="7DFDC66E">
      <w:pPr>
        <w:ind w:firstLine="480"/>
        <w:rPr>
          <w:highlight w:val="none"/>
        </w:rPr>
      </w:pPr>
      <w:r>
        <w:rPr>
          <w:rFonts w:hint="eastAsia"/>
          <w:highlight w:val="none"/>
        </w:rPr>
        <w:t>在总受电屏及机构控制屏中，用线路接触器作为失压保护装置，当供电电源中断时,能够自动断开电源。</w:t>
      </w:r>
    </w:p>
    <w:p w14:paraId="69A05CAC">
      <w:pPr>
        <w:ind w:firstLine="480"/>
        <w:rPr>
          <w:highlight w:val="none"/>
        </w:rPr>
      </w:pPr>
      <w:r>
        <w:rPr>
          <w:rFonts w:hint="eastAsia"/>
          <w:highlight w:val="none"/>
        </w:rPr>
        <w:t>3）零位保护</w:t>
      </w:r>
    </w:p>
    <w:p w14:paraId="65BA0F3D">
      <w:pPr>
        <w:ind w:firstLine="480"/>
        <w:rPr>
          <w:highlight w:val="none"/>
        </w:rPr>
      </w:pPr>
      <w:r>
        <w:rPr>
          <w:rFonts w:hint="eastAsia"/>
          <w:highlight w:val="none"/>
        </w:rPr>
        <w:t>司机室的联动台凸轮控制器手柄上设有零位连锁，达到零位的目的。即当起重机开始运转前和失压恢复供电时，必须将控制器的手柄置于零位，各机构的电动机才能启动工作。</w:t>
      </w:r>
    </w:p>
    <w:p w14:paraId="6A7788F7">
      <w:pPr>
        <w:ind w:firstLine="480"/>
        <w:rPr>
          <w:highlight w:val="none"/>
        </w:rPr>
      </w:pPr>
      <w:r>
        <w:rPr>
          <w:rFonts w:hint="eastAsia"/>
          <w:highlight w:val="none"/>
        </w:rPr>
        <w:t>4）紧急断电保护</w:t>
      </w:r>
    </w:p>
    <w:p w14:paraId="22456297">
      <w:pPr>
        <w:ind w:firstLine="480"/>
        <w:rPr>
          <w:highlight w:val="none"/>
        </w:rPr>
      </w:pPr>
      <w:r>
        <w:rPr>
          <w:rFonts w:hint="eastAsia"/>
          <w:highlight w:val="none"/>
        </w:rPr>
        <w:t>司机室内设有紧急断电按钮，当起重机发生紧急情况时，随时方便地切断控制回路电源，从而使主回路断电，确保起重机的安全运行。</w:t>
      </w:r>
    </w:p>
    <w:p w14:paraId="42D2EF4E">
      <w:pPr>
        <w:ind w:firstLine="480"/>
        <w:rPr>
          <w:highlight w:val="none"/>
        </w:rPr>
      </w:pPr>
      <w:r>
        <w:rPr>
          <w:rFonts w:hint="eastAsia"/>
          <w:highlight w:val="none"/>
        </w:rPr>
        <w:t>5）起升,行程限位保护</w:t>
      </w:r>
    </w:p>
    <w:p w14:paraId="04C31C05">
      <w:pPr>
        <w:ind w:firstLine="480"/>
        <w:rPr>
          <w:highlight w:val="none"/>
        </w:rPr>
      </w:pPr>
      <w:r>
        <w:rPr>
          <w:rFonts w:hint="eastAsia"/>
          <w:highlight w:val="none"/>
        </w:rPr>
        <w:t>起升采用变频控制，起升机构设有限位开关，可保证吊钩上升到极限位置时切断电源，变幅、回转运行到极限位置时切断控制回路电源，使主回路断电，从而达到减速和停车的目的，确保起重机的安全运行。</w:t>
      </w:r>
    </w:p>
    <w:p w14:paraId="015A5B15">
      <w:pPr>
        <w:ind w:firstLine="480"/>
        <w:rPr>
          <w:highlight w:val="none"/>
        </w:rPr>
      </w:pPr>
      <w:r>
        <w:rPr>
          <w:rFonts w:hint="eastAsia"/>
          <w:highlight w:val="none"/>
        </w:rPr>
        <w:t>7）超载保护</w:t>
      </w:r>
    </w:p>
    <w:p w14:paraId="4919FC1D">
      <w:pPr>
        <w:ind w:firstLine="480"/>
        <w:rPr>
          <w:highlight w:val="none"/>
        </w:rPr>
      </w:pPr>
      <w:r>
        <w:rPr>
          <w:rFonts w:hint="eastAsia"/>
          <w:highlight w:val="none"/>
        </w:rPr>
        <w:t>起升机构配置超载限制器，具有报警功能，当载荷达到额定起重量的90％时，能发出提示性报警信号，当起重量超过额定起重量时，能自动切断起升动力源，并发出禁止性报警信号。</w:t>
      </w:r>
    </w:p>
    <w:p w14:paraId="6E12667F">
      <w:pPr>
        <w:ind w:firstLine="480"/>
        <w:rPr>
          <w:highlight w:val="none"/>
        </w:rPr>
      </w:pPr>
      <w:r>
        <w:rPr>
          <w:rFonts w:hint="eastAsia"/>
          <w:highlight w:val="none"/>
        </w:rPr>
        <w:t>8）控制柜,端子箱防护等级IP55，端子箱采用下部或侧部进线上部做防雨，槽盖加防脱落装置。</w:t>
      </w:r>
    </w:p>
    <w:p w14:paraId="6261F758">
      <w:pPr>
        <w:ind w:firstLine="480"/>
        <w:rPr>
          <w:highlight w:val="none"/>
        </w:rPr>
      </w:pPr>
      <w:r>
        <w:rPr>
          <w:rFonts w:hint="eastAsia"/>
          <w:highlight w:val="none"/>
        </w:rPr>
        <w:t>（4）起重机的接地</w:t>
      </w:r>
    </w:p>
    <w:p w14:paraId="4ED9FF98">
      <w:pPr>
        <w:ind w:firstLine="480"/>
        <w:rPr>
          <w:highlight w:val="none"/>
        </w:rPr>
      </w:pPr>
      <w:r>
        <w:rPr>
          <w:rFonts w:hint="eastAsia"/>
          <w:highlight w:val="none"/>
        </w:rPr>
        <w:t>1）起重机的金属结构及所有电气设备的金属外壳，电缆金属外皮和变压器的低压侧均有可靠的接地。</w:t>
      </w:r>
    </w:p>
    <w:p w14:paraId="568019A4">
      <w:pPr>
        <w:ind w:firstLine="480"/>
        <w:rPr>
          <w:highlight w:val="none"/>
        </w:rPr>
      </w:pPr>
      <w:r>
        <w:rPr>
          <w:rFonts w:hint="eastAsia"/>
          <w:highlight w:val="none"/>
        </w:rPr>
        <w:t>3）起重机上任何一点的接地电阻均不大于4Ω。</w:t>
      </w:r>
    </w:p>
    <w:p w14:paraId="4F510619">
      <w:pPr>
        <w:ind w:firstLine="480"/>
        <w:rPr>
          <w:highlight w:val="none"/>
        </w:rPr>
      </w:pPr>
      <w:r>
        <w:rPr>
          <w:rFonts w:hint="eastAsia"/>
          <w:highlight w:val="none"/>
        </w:rPr>
        <w:t>（5）操纵方式</w:t>
      </w:r>
    </w:p>
    <w:p w14:paraId="2ACE536C">
      <w:pPr>
        <w:ind w:firstLine="480"/>
        <w:rPr>
          <w:highlight w:val="none"/>
        </w:rPr>
      </w:pPr>
      <w:r>
        <w:rPr>
          <w:rFonts w:hint="eastAsia"/>
          <w:highlight w:val="none"/>
        </w:rPr>
        <w:t>1）司机室设有总电源和控制电源开关状态信号指示灯。</w:t>
      </w:r>
    </w:p>
    <w:p w14:paraId="660C6E32">
      <w:pPr>
        <w:ind w:firstLine="480"/>
        <w:rPr>
          <w:highlight w:val="none"/>
        </w:rPr>
      </w:pPr>
      <w:r>
        <w:rPr>
          <w:rFonts w:hint="eastAsia"/>
          <w:highlight w:val="none"/>
        </w:rPr>
        <w:t>2）司机室设置交流220V电源插座及三相380V电源，备接其它电气设备。</w:t>
      </w:r>
    </w:p>
    <w:p w14:paraId="1E1C8241">
      <w:pPr>
        <w:ind w:firstLine="480"/>
        <w:rPr>
          <w:highlight w:val="none"/>
        </w:rPr>
      </w:pPr>
      <w:r>
        <w:rPr>
          <w:rFonts w:hint="eastAsia"/>
          <w:highlight w:val="none"/>
        </w:rPr>
        <w:t>3）司机室设有36V插座，以便于检修作业。</w:t>
      </w:r>
    </w:p>
    <w:p w14:paraId="64D2BCD2">
      <w:pPr>
        <w:ind w:firstLine="480"/>
        <w:rPr>
          <w:highlight w:val="none"/>
        </w:rPr>
      </w:pPr>
      <w:r>
        <w:rPr>
          <w:rFonts w:hint="eastAsia"/>
          <w:highlight w:val="none"/>
        </w:rPr>
        <w:t>4）司机室用交流220V/40W荧光灯具照明，以满足照度不低于200LX的要求。</w:t>
      </w:r>
    </w:p>
    <w:p w14:paraId="537E7CE8">
      <w:pPr>
        <w:ind w:firstLine="480"/>
        <w:rPr>
          <w:highlight w:val="none"/>
        </w:rPr>
      </w:pPr>
      <w:r>
        <w:rPr>
          <w:rFonts w:hint="eastAsia"/>
          <w:highlight w:val="none"/>
        </w:rPr>
        <w:t>（6）照明信号</w:t>
      </w:r>
    </w:p>
    <w:p w14:paraId="371571AC">
      <w:pPr>
        <w:ind w:firstLine="480"/>
        <w:rPr>
          <w:highlight w:val="none"/>
        </w:rPr>
      </w:pPr>
      <w:r>
        <w:rPr>
          <w:rFonts w:hint="eastAsia"/>
          <w:highlight w:val="none"/>
        </w:rPr>
        <w:t>1）照明及信号部分设有专用的隔离变压器。原边进线电压为交流380V，副边出线电压为交流220V，交流36V。交流220V为起重机照明电源；交流36V为起重机安全信号和检修电源。照明变压器从主接触器上端引线，以保证主接触器断电时，照明回路不断电。</w:t>
      </w:r>
    </w:p>
    <w:p w14:paraId="2D963CB4">
      <w:pPr>
        <w:ind w:firstLine="480"/>
        <w:rPr>
          <w:highlight w:val="none"/>
        </w:rPr>
      </w:pPr>
      <w:r>
        <w:rPr>
          <w:rFonts w:hint="eastAsia"/>
          <w:highlight w:val="none"/>
        </w:rPr>
        <w:t>2）设有报警装置,操作时起提示作用，在司机室通过按钮开关控制。</w:t>
      </w:r>
    </w:p>
    <w:p w14:paraId="51BCB4C3">
      <w:pPr>
        <w:ind w:firstLine="480"/>
        <w:rPr>
          <w:highlight w:val="none"/>
        </w:rPr>
      </w:pPr>
      <w:r>
        <w:rPr>
          <w:rFonts w:hint="eastAsia"/>
          <w:highlight w:val="none"/>
        </w:rPr>
        <w:t>（7）其它</w:t>
      </w:r>
    </w:p>
    <w:p w14:paraId="69C1F4A9">
      <w:pPr>
        <w:ind w:firstLine="480"/>
        <w:rPr>
          <w:highlight w:val="none"/>
        </w:rPr>
      </w:pPr>
      <w:r>
        <w:rPr>
          <w:rFonts w:hint="eastAsia"/>
          <w:highlight w:val="none"/>
        </w:rPr>
        <w:t>1）起重机上布线采用截面积不小于2.5 mm²的铜导线。</w:t>
      </w:r>
    </w:p>
    <w:p w14:paraId="15CA0CD3">
      <w:pPr>
        <w:ind w:firstLine="480"/>
        <w:rPr>
          <w:highlight w:val="none"/>
        </w:rPr>
      </w:pPr>
      <w:r>
        <w:rPr>
          <w:rFonts w:hint="eastAsia"/>
          <w:highlight w:val="none"/>
        </w:rPr>
        <w:t>2）总受电屏和各机构控制屏中的布线采用铜导线和铜排。</w:t>
      </w:r>
    </w:p>
    <w:p w14:paraId="2E78C8D1">
      <w:pPr>
        <w:pStyle w:val="5"/>
        <w:bidi w:val="0"/>
        <w:ind w:left="0" w:leftChars="0" w:firstLine="0" w:firstLineChars="0"/>
        <w:rPr>
          <w:highlight w:val="none"/>
        </w:rPr>
      </w:pPr>
      <w:r>
        <w:rPr>
          <w:rFonts w:hint="eastAsia"/>
          <w:highlight w:val="none"/>
        </w:rPr>
        <w:t>塔吊防雷安全保证措施</w:t>
      </w:r>
    </w:p>
    <w:p w14:paraId="3CB0B859">
      <w:pPr>
        <w:ind w:firstLine="480"/>
        <w:rPr>
          <w:highlight w:val="none"/>
        </w:rPr>
      </w:pPr>
      <w:r>
        <w:rPr>
          <w:rFonts w:hint="eastAsia"/>
          <w:highlight w:val="none"/>
        </w:rPr>
        <w:t>为避免雷击，塔机主体结构、电机机座和所有电气设备的金属外壳、导线的金属保护管均应可靠接地，其接地电阻应不大于4Ω。采用多处重复接地时，其接地电阻应不大于10Ω。</w:t>
      </w:r>
    </w:p>
    <w:p w14:paraId="118B4CDE">
      <w:pPr>
        <w:ind w:firstLine="480"/>
        <w:rPr>
          <w:highlight w:val="none"/>
        </w:rPr>
      </w:pPr>
      <w:r>
        <w:rPr>
          <w:rFonts w:hint="eastAsia"/>
          <w:highlight w:val="none"/>
        </w:rPr>
        <w:t>接地体的电阻应很小，本项目根据现场工况</w:t>
      </w:r>
      <w:r>
        <w:rPr>
          <w:rFonts w:hint="eastAsia"/>
          <w:highlight w:val="none"/>
          <w:lang w:val="en-US" w:eastAsia="zh-CN"/>
        </w:rPr>
        <w:t>3#塔机</w:t>
      </w:r>
      <w:r>
        <w:rPr>
          <w:rFonts w:hint="eastAsia"/>
          <w:highlight w:val="none"/>
        </w:rPr>
        <w:t>接地板接入钢平台</w:t>
      </w:r>
      <w:r>
        <w:rPr>
          <w:rFonts w:hint="eastAsia"/>
          <w:highlight w:val="none"/>
          <w:lang w:val="en-US" w:eastAsia="zh-CN"/>
        </w:rPr>
        <w:t>钢管桩，4#塔机</w:t>
      </w:r>
      <w:r>
        <w:rPr>
          <w:rFonts w:hint="eastAsia"/>
          <w:highlight w:val="none"/>
        </w:rPr>
        <w:t>接地板接入</w:t>
      </w:r>
      <w:r>
        <w:rPr>
          <w:rFonts w:hint="eastAsia"/>
          <w:highlight w:val="none"/>
          <w:lang w:val="en-US" w:eastAsia="zh-CN"/>
        </w:rPr>
        <w:t>上横梁外部钢壳</w:t>
      </w:r>
      <w:r>
        <w:rPr>
          <w:rFonts w:hint="eastAsia"/>
          <w:highlight w:val="none"/>
        </w:rPr>
        <w:t xml:space="preserve">。 </w:t>
      </w:r>
    </w:p>
    <w:p w14:paraId="6AF6CD28">
      <w:pPr>
        <w:ind w:firstLine="480"/>
        <w:rPr>
          <w:highlight w:val="none"/>
        </w:rPr>
      </w:pPr>
      <w:r>
        <w:rPr>
          <w:rFonts w:hint="eastAsia"/>
          <w:highlight w:val="none"/>
        </w:rPr>
        <w:t>接地体的引出铜导体的截面面积≥25mm2，常用的接地方式如下：</w:t>
      </w:r>
    </w:p>
    <w:p w14:paraId="60F2800D">
      <w:pPr>
        <w:ind w:firstLine="480"/>
        <w:rPr>
          <w:highlight w:val="none"/>
        </w:rPr>
      </w:pPr>
      <w:r>
        <w:rPr>
          <w:rFonts w:hint="eastAsia"/>
          <w:highlight w:val="none"/>
        </w:rPr>
        <w:t>1)接地桩采用正规的接地桩、等边角钢L70×7长1.5m、钢管φ33×4.5长1.5m，进行立埋。</w:t>
      </w:r>
    </w:p>
    <w:p w14:paraId="079D866C">
      <w:pPr>
        <w:ind w:firstLine="480"/>
        <w:rPr>
          <w:highlight w:val="none"/>
        </w:rPr>
      </w:pPr>
      <w:r>
        <w:rPr>
          <w:rFonts w:hint="eastAsia"/>
          <w:highlight w:val="none"/>
        </w:rPr>
        <w:t>2)接地板采用钢板或其他可延金属板制作，面积为1m2，板的宽度≥150mm，进行立埋。</w:t>
      </w:r>
    </w:p>
    <w:p w14:paraId="1DFED9B3">
      <w:pPr>
        <w:ind w:firstLine="480"/>
        <w:rPr>
          <w:highlight w:val="none"/>
        </w:rPr>
      </w:pPr>
      <w:r>
        <w:rPr>
          <w:rFonts w:hint="eastAsia"/>
          <w:highlight w:val="none"/>
        </w:rPr>
        <w:t>3)埋导线采用截面≥28mm2的铜导体或截面≥50mm2的铁导体埋入地下，其埋置长度决定于接地电阻的大小。</w:t>
      </w:r>
    </w:p>
    <w:p w14:paraId="393DC560">
      <w:pPr>
        <w:pStyle w:val="5"/>
        <w:bidi w:val="0"/>
        <w:ind w:left="0" w:leftChars="0" w:firstLine="0" w:firstLineChars="0"/>
        <w:rPr>
          <w:highlight w:val="none"/>
        </w:rPr>
      </w:pPr>
      <w:r>
        <w:rPr>
          <w:rFonts w:hint="eastAsia"/>
          <w:highlight w:val="none"/>
        </w:rPr>
        <w:t>强制性条文和具体措施</w:t>
      </w:r>
    </w:p>
    <w:p w14:paraId="2342CF88">
      <w:pPr>
        <w:ind w:firstLine="480"/>
        <w:rPr>
          <w:highlight w:val="none"/>
        </w:rPr>
      </w:pPr>
      <w:r>
        <w:rPr>
          <w:rFonts w:hint="eastAsia"/>
          <w:highlight w:val="none"/>
        </w:rPr>
        <w:t>（1）应执行的强制性条文</w:t>
      </w:r>
    </w:p>
    <w:p w14:paraId="0B6C88DD">
      <w:pPr>
        <w:ind w:firstLine="480"/>
        <w:rPr>
          <w:highlight w:val="none"/>
        </w:rPr>
      </w:pPr>
      <w:r>
        <w:rPr>
          <w:rFonts w:hint="eastAsia"/>
          <w:highlight w:val="none"/>
        </w:rPr>
        <w:t>起重机行程限位开关动作后，应能自动切断相关电源。起重量限制器的调试，应符合下列要求：起重限制器综合误差，不应大于5%；当载荷达到额定起重量的95%时，应能发出提示性报警信号；当载荷达到额定起重量的110%时，应能自动切断起升机构电动机的电源，并应发出禁止性报警信号。</w:t>
      </w:r>
    </w:p>
    <w:p w14:paraId="527B1451">
      <w:pPr>
        <w:ind w:firstLine="480"/>
        <w:rPr>
          <w:highlight w:val="none"/>
        </w:rPr>
      </w:pPr>
      <w:r>
        <w:rPr>
          <w:rFonts w:hint="eastAsia"/>
          <w:highlight w:val="none"/>
        </w:rPr>
        <w:t>（2）具体措施</w:t>
      </w:r>
    </w:p>
    <w:p w14:paraId="4F1D480A">
      <w:pPr>
        <w:ind w:firstLine="480"/>
        <w:rPr>
          <w:highlight w:val="none"/>
        </w:rPr>
      </w:pPr>
      <w:r>
        <w:rPr>
          <w:rFonts w:hint="eastAsia"/>
          <w:highlight w:val="none"/>
        </w:rPr>
        <w:t>电气系统的验收作为整机验收的一部分，调试不合格不得投入使用。</w:t>
      </w:r>
    </w:p>
    <w:p w14:paraId="110C31A6">
      <w:pPr>
        <w:pStyle w:val="5"/>
        <w:bidi w:val="0"/>
        <w:ind w:left="0" w:leftChars="0" w:firstLine="0" w:firstLineChars="0"/>
        <w:rPr>
          <w:highlight w:val="none"/>
        </w:rPr>
      </w:pPr>
      <w:r>
        <w:rPr>
          <w:rFonts w:hint="eastAsia"/>
          <w:highlight w:val="none"/>
        </w:rPr>
        <w:t>塔吊作业安全技术保证措施</w:t>
      </w:r>
    </w:p>
    <w:p w14:paraId="2567A110">
      <w:pPr>
        <w:ind w:firstLine="480"/>
        <w:rPr>
          <w:highlight w:val="none"/>
        </w:rPr>
      </w:pPr>
      <w:r>
        <w:rPr>
          <w:rFonts w:hint="eastAsia"/>
          <w:highlight w:val="none"/>
        </w:rPr>
        <w:t>（1）必须严格执行ZBJ80012-89《塔式起重机操作使用规程》的有关规定 ，司机与起重工必须是按劳动人事部门有关规定进行考核并取得合格证者。</w:t>
      </w:r>
    </w:p>
    <w:p w14:paraId="316DB5E9">
      <w:pPr>
        <w:ind w:firstLine="480"/>
        <w:rPr>
          <w:highlight w:val="none"/>
        </w:rPr>
      </w:pPr>
      <w:r>
        <w:rPr>
          <w:rFonts w:hint="eastAsia"/>
          <w:highlight w:val="none"/>
        </w:rPr>
        <w:t>（</w:t>
      </w:r>
      <w:r>
        <w:rPr>
          <w:highlight w:val="none"/>
        </w:rPr>
        <w:t>2</w:t>
      </w:r>
      <w:r>
        <w:rPr>
          <w:rFonts w:hint="eastAsia"/>
          <w:highlight w:val="none"/>
        </w:rPr>
        <w:t>）司机必须了解所操作塔机的工作原理， 熟悉该塔机的构造及安全装置的功能及其调整方法， 掌握该起重机各项性能的操作方法以及该起重机的维修保养技术。</w:t>
      </w:r>
    </w:p>
    <w:p w14:paraId="4452BCAF">
      <w:pPr>
        <w:ind w:firstLine="480"/>
        <w:rPr>
          <w:highlight w:val="none"/>
        </w:rPr>
      </w:pPr>
      <w:r>
        <w:rPr>
          <w:rFonts w:hint="eastAsia"/>
          <w:highlight w:val="none"/>
        </w:rPr>
        <w:t>（</w:t>
      </w:r>
      <w:r>
        <w:rPr>
          <w:highlight w:val="none"/>
        </w:rPr>
        <w:t>3</w:t>
      </w:r>
      <w:r>
        <w:rPr>
          <w:rFonts w:hint="eastAsia"/>
          <w:highlight w:val="none"/>
        </w:rPr>
        <w:t>）严格按本说明书提供的起重特性表操作，严禁超载运行。</w:t>
      </w:r>
    </w:p>
    <w:p w14:paraId="228A106A">
      <w:pPr>
        <w:ind w:firstLine="480"/>
        <w:rPr>
          <w:highlight w:val="none"/>
        </w:rPr>
      </w:pPr>
      <w:r>
        <w:rPr>
          <w:rFonts w:hint="eastAsia"/>
          <w:highlight w:val="none"/>
        </w:rPr>
        <w:t>（</w:t>
      </w:r>
      <w:r>
        <w:rPr>
          <w:highlight w:val="none"/>
        </w:rPr>
        <w:t>4</w:t>
      </w:r>
      <w:r>
        <w:rPr>
          <w:rFonts w:hint="eastAsia"/>
          <w:highlight w:val="none"/>
        </w:rPr>
        <w:t>）起升机构、回转机构、牵引机构的操作动作要柔和， 由低速到高速逐步转换， 不得将操作手柄从静止(或低速) 猛地向中速或高速位置推进。</w:t>
      </w:r>
    </w:p>
    <w:p w14:paraId="0220DDBF">
      <w:pPr>
        <w:ind w:firstLine="480"/>
        <w:rPr>
          <w:highlight w:val="none"/>
        </w:rPr>
      </w:pPr>
      <w:r>
        <w:rPr>
          <w:rFonts w:hint="eastAsia"/>
          <w:highlight w:val="none"/>
        </w:rPr>
        <w:t>（</w:t>
      </w:r>
      <w:r>
        <w:rPr>
          <w:highlight w:val="none"/>
        </w:rPr>
        <w:t>5</w:t>
      </w:r>
      <w:r>
        <w:rPr>
          <w:rFonts w:hint="eastAsia"/>
          <w:highlight w:val="none"/>
        </w:rPr>
        <w:t>）施工面要设专人指挥塔机作业，与司机联络， 必须规定严格的信号，采用对讲机联络</w:t>
      </w:r>
    </w:p>
    <w:p w14:paraId="0CF5419E">
      <w:pPr>
        <w:ind w:firstLine="480"/>
        <w:rPr>
          <w:highlight w:val="none"/>
        </w:rPr>
      </w:pPr>
      <w:r>
        <w:rPr>
          <w:rFonts w:hint="eastAsia"/>
          <w:highlight w:val="none"/>
        </w:rPr>
        <w:t>（</w:t>
      </w:r>
      <w:r>
        <w:rPr>
          <w:highlight w:val="none"/>
        </w:rPr>
        <w:t>6</w:t>
      </w:r>
      <w:r>
        <w:rPr>
          <w:rFonts w:hint="eastAsia"/>
          <w:highlight w:val="none"/>
        </w:rPr>
        <w:t>）操作司机发现塔机有异常现象时，应停机切断电源，待查清并排除故障后再使用。</w:t>
      </w:r>
    </w:p>
    <w:p w14:paraId="68742338">
      <w:pPr>
        <w:ind w:firstLine="480"/>
        <w:rPr>
          <w:highlight w:val="none"/>
        </w:rPr>
      </w:pPr>
      <w:r>
        <w:rPr>
          <w:rFonts w:hint="eastAsia"/>
          <w:highlight w:val="none"/>
        </w:rPr>
        <w:t>（</w:t>
      </w:r>
      <w:r>
        <w:rPr>
          <w:highlight w:val="none"/>
        </w:rPr>
        <w:t>7</w:t>
      </w:r>
      <w:r>
        <w:rPr>
          <w:rFonts w:hint="eastAsia"/>
          <w:highlight w:val="none"/>
        </w:rPr>
        <w:t>）每班工作前，司机必须对塔吊各部件进行日常检查，对各部件进行按规日常保养加油 ，必须逐项检查各安全装置的可靠性，绝不允许在安全装置失灵的情况下勉强作业；</w:t>
      </w:r>
    </w:p>
    <w:p w14:paraId="07AD5C27">
      <w:pPr>
        <w:ind w:firstLine="480"/>
        <w:rPr>
          <w:highlight w:val="none"/>
        </w:rPr>
      </w:pPr>
      <w:r>
        <w:rPr>
          <w:rFonts w:hint="eastAsia"/>
          <w:highlight w:val="none"/>
        </w:rPr>
        <w:t>（</w:t>
      </w:r>
      <w:r>
        <w:rPr>
          <w:highlight w:val="none"/>
        </w:rPr>
        <w:t>8</w:t>
      </w:r>
      <w:r>
        <w:rPr>
          <w:rFonts w:hint="eastAsia"/>
          <w:highlight w:val="none"/>
        </w:rPr>
        <w:t>）不准斜拉斜吊物品，不准抽吊交错挤压物品， 不准起吊埋在地上的物品。</w:t>
      </w:r>
    </w:p>
    <w:p w14:paraId="49689B3D">
      <w:pPr>
        <w:ind w:firstLine="480"/>
        <w:rPr>
          <w:highlight w:val="none"/>
        </w:rPr>
      </w:pPr>
      <w:r>
        <w:rPr>
          <w:rFonts w:hint="eastAsia"/>
          <w:highlight w:val="none"/>
        </w:rPr>
        <w:t>（</w:t>
      </w:r>
      <w:r>
        <w:rPr>
          <w:highlight w:val="none"/>
        </w:rPr>
        <w:t>9</w:t>
      </w:r>
      <w:r>
        <w:rPr>
          <w:rFonts w:hint="eastAsia"/>
          <w:highlight w:val="none"/>
        </w:rPr>
        <w:t>）夜间作业，施工现场必须备有充分的照明设施。</w:t>
      </w:r>
    </w:p>
    <w:p w14:paraId="609315BE">
      <w:pPr>
        <w:ind w:firstLine="480"/>
        <w:rPr>
          <w:highlight w:val="none"/>
        </w:rPr>
      </w:pPr>
      <w:r>
        <w:rPr>
          <w:rFonts w:hint="eastAsia"/>
          <w:highlight w:val="none"/>
        </w:rPr>
        <w:t>（</w:t>
      </w:r>
      <w:r>
        <w:rPr>
          <w:highlight w:val="none"/>
        </w:rPr>
        <w:t>10</w:t>
      </w:r>
      <w:r>
        <w:rPr>
          <w:rFonts w:hint="eastAsia"/>
          <w:highlight w:val="none"/>
        </w:rPr>
        <w:t>）有物品悬挂在空中时，司机与起重工不得离开工作岗位。</w:t>
      </w:r>
    </w:p>
    <w:p w14:paraId="7B822551">
      <w:pPr>
        <w:ind w:firstLine="480"/>
        <w:rPr>
          <w:highlight w:val="none"/>
        </w:rPr>
      </w:pPr>
      <w:r>
        <w:rPr>
          <w:rFonts w:hint="eastAsia"/>
          <w:highlight w:val="none"/>
        </w:rPr>
        <w:t>（1</w:t>
      </w:r>
      <w:r>
        <w:rPr>
          <w:highlight w:val="none"/>
        </w:rPr>
        <w:t>1</w:t>
      </w:r>
      <w:r>
        <w:rPr>
          <w:rFonts w:hint="eastAsia"/>
          <w:highlight w:val="none"/>
        </w:rPr>
        <w:t>）指挥的信号、手势、旗号应符合GB5082-85 规定。</w:t>
      </w:r>
    </w:p>
    <w:p w14:paraId="7DADEE0E">
      <w:pPr>
        <w:ind w:firstLine="480"/>
        <w:rPr>
          <w:highlight w:val="none"/>
        </w:rPr>
      </w:pPr>
      <w:r>
        <w:rPr>
          <w:rFonts w:hint="eastAsia"/>
          <w:highlight w:val="none"/>
        </w:rPr>
        <w:t>（1</w:t>
      </w:r>
      <w:r>
        <w:rPr>
          <w:highlight w:val="none"/>
        </w:rPr>
        <w:t>2</w:t>
      </w:r>
      <w:r>
        <w:rPr>
          <w:rFonts w:hint="eastAsia"/>
          <w:highlight w:val="none"/>
        </w:rPr>
        <w:t>）司机必须认真做好起重机的使用、维修、保养和交接班的记录工作。</w:t>
      </w:r>
    </w:p>
    <w:p w14:paraId="34DD6100">
      <w:pPr>
        <w:ind w:firstLine="480"/>
        <w:rPr>
          <w:highlight w:val="none"/>
        </w:rPr>
      </w:pPr>
      <w:r>
        <w:rPr>
          <w:rFonts w:hint="eastAsia"/>
          <w:highlight w:val="none"/>
        </w:rPr>
        <w:t>（1</w:t>
      </w:r>
      <w:r>
        <w:rPr>
          <w:highlight w:val="none"/>
        </w:rPr>
        <w:t>3</w:t>
      </w:r>
      <w:r>
        <w:rPr>
          <w:rFonts w:hint="eastAsia"/>
          <w:highlight w:val="none"/>
        </w:rPr>
        <w:t>）塔机在非工作状态时应处于安全状态。即起重臂转到与风向一致，将吊钩提升至超过周围障碍物的高度，将所有手柄回到零位，左控制台的回转制动开关转到松开位置，并将总电源切断。</w:t>
      </w:r>
    </w:p>
    <w:p w14:paraId="2AEBE064">
      <w:pPr>
        <w:ind w:firstLine="480"/>
        <w:rPr>
          <w:highlight w:val="none"/>
        </w:rPr>
      </w:pPr>
      <w:r>
        <w:rPr>
          <w:rFonts w:hint="eastAsia"/>
          <w:highlight w:val="none"/>
        </w:rPr>
        <w:t>（1</w:t>
      </w:r>
      <w:r>
        <w:rPr>
          <w:highlight w:val="none"/>
        </w:rPr>
        <w:t>4</w:t>
      </w:r>
      <w:r>
        <w:rPr>
          <w:rFonts w:hint="eastAsia"/>
          <w:highlight w:val="none"/>
        </w:rPr>
        <w:t>）在遇大雷雨，暴雨，浓雾或塔机最高处风速超过6级时，一律停止起重作业。</w:t>
      </w:r>
    </w:p>
    <w:p w14:paraId="0EADB246">
      <w:pPr>
        <w:ind w:firstLine="480"/>
        <w:rPr>
          <w:highlight w:val="none"/>
        </w:rPr>
      </w:pPr>
      <w:r>
        <w:rPr>
          <w:rFonts w:hint="eastAsia"/>
          <w:highlight w:val="none"/>
        </w:rPr>
        <w:t>（1</w:t>
      </w:r>
      <w:r>
        <w:rPr>
          <w:highlight w:val="none"/>
        </w:rPr>
        <w:t>5</w:t>
      </w:r>
      <w:r>
        <w:rPr>
          <w:rFonts w:hint="eastAsia"/>
          <w:highlight w:val="none"/>
        </w:rPr>
        <w:t>）严禁司机酒后上机操作</w:t>
      </w:r>
    </w:p>
    <w:p w14:paraId="262D195E">
      <w:pPr>
        <w:ind w:firstLine="480"/>
        <w:rPr>
          <w:highlight w:val="none"/>
        </w:rPr>
      </w:pPr>
      <w:r>
        <w:rPr>
          <w:rFonts w:hint="eastAsia"/>
          <w:highlight w:val="none"/>
        </w:rPr>
        <w:t>（1</w:t>
      </w:r>
      <w:r>
        <w:rPr>
          <w:highlight w:val="none"/>
        </w:rPr>
        <w:t>6</w:t>
      </w:r>
      <w:r>
        <w:rPr>
          <w:rFonts w:hint="eastAsia"/>
          <w:highlight w:val="none"/>
        </w:rPr>
        <w:t>）吊钩、吊环有下列情形之一的，应更换：</w:t>
      </w:r>
    </w:p>
    <w:p w14:paraId="6111DECD">
      <w:pPr>
        <w:ind w:firstLine="480"/>
        <w:rPr>
          <w:highlight w:val="none"/>
        </w:rPr>
      </w:pPr>
      <w:r>
        <w:rPr>
          <w:rFonts w:hint="eastAsia"/>
          <w:highlight w:val="none"/>
        </w:rPr>
        <w:t>①表面有裂纹、破口，严禁补焊，应更换。②危险断面及钩颈有永久变形。③挂绳面磨损超过10%。④心轴（销子）磨损超过其直径的3—5%。</w:t>
      </w:r>
    </w:p>
    <w:p w14:paraId="37F228CF">
      <w:pPr>
        <w:ind w:firstLine="480"/>
        <w:rPr>
          <w:highlight w:val="none"/>
        </w:rPr>
      </w:pPr>
      <w:r>
        <w:rPr>
          <w:rFonts w:hint="eastAsia"/>
          <w:highlight w:val="none"/>
        </w:rPr>
        <w:t>（1</w:t>
      </w:r>
      <w:r>
        <w:rPr>
          <w:highlight w:val="none"/>
        </w:rPr>
        <w:t>7</w:t>
      </w:r>
      <w:r>
        <w:rPr>
          <w:rFonts w:hint="eastAsia"/>
          <w:highlight w:val="none"/>
        </w:rPr>
        <w:t>）起重“十不吊”内容：</w:t>
      </w:r>
    </w:p>
    <w:p w14:paraId="19A8C531">
      <w:pPr>
        <w:ind w:firstLine="480"/>
        <w:rPr>
          <w:highlight w:val="none"/>
        </w:rPr>
      </w:pPr>
      <w:r>
        <w:rPr>
          <w:rFonts w:hint="eastAsia"/>
          <w:highlight w:val="none"/>
        </w:rPr>
        <w:t>①指挥信号不明或违章指挥不吊；②载荷不明不吊；③工件捆绑不良不吊；④吊物上面有人不吊；⑤安全装置不灵不吊；⑥光线阴暗视线不清不吊；⑦工件埋在地下不吊；⑧棱角物件无防护措施不吊；⑨斜拉工件不吊；⑩六级以上强风不吊。</w:t>
      </w:r>
    </w:p>
    <w:p w14:paraId="78C20635">
      <w:pPr>
        <w:pStyle w:val="5"/>
        <w:bidi w:val="0"/>
        <w:ind w:left="0" w:leftChars="0" w:firstLine="0" w:firstLineChars="0"/>
        <w:rPr>
          <w:highlight w:val="none"/>
        </w:rPr>
      </w:pPr>
      <w:r>
        <w:rPr>
          <w:rFonts w:hint="eastAsia"/>
          <w:highlight w:val="none"/>
        </w:rPr>
        <w:t>塔机安装突遇大风应急措施</w:t>
      </w:r>
    </w:p>
    <w:p w14:paraId="3BCE9D8E">
      <w:pPr>
        <w:numPr>
          <w:ilvl w:val="0"/>
          <w:numId w:val="33"/>
        </w:numPr>
        <w:ind w:firstLineChars="0"/>
        <w:rPr>
          <w:highlight w:val="none"/>
        </w:rPr>
      </w:pPr>
      <w:r>
        <w:rPr>
          <w:rFonts w:hint="eastAsia"/>
          <w:highlight w:val="none"/>
        </w:rPr>
        <w:t>立即停止作业</w:t>
      </w:r>
    </w:p>
    <w:p w14:paraId="3B719EB7">
      <w:pPr>
        <w:ind w:firstLine="480"/>
        <w:rPr>
          <w:highlight w:val="none"/>
        </w:rPr>
      </w:pPr>
      <w:r>
        <w:rPr>
          <w:rFonts w:hint="eastAsia"/>
          <w:highlight w:val="none"/>
        </w:rPr>
        <w:t>塔机安装过程中突遇大风，应第一时间按下紧急停止按钮，停止所有正在进行的安装操作，包括起升、回转、变幅等动作，避免在不稳定的情况下继续作业引发危险。</w:t>
      </w:r>
    </w:p>
    <w:p w14:paraId="6C0EB4BC">
      <w:pPr>
        <w:ind w:firstLine="480"/>
        <w:rPr>
          <w:highlight w:val="none"/>
        </w:rPr>
      </w:pPr>
      <w:r>
        <w:rPr>
          <w:rFonts w:hint="eastAsia"/>
          <w:highlight w:val="none"/>
        </w:rPr>
        <w:t>通知所有现场安装人员停止手中的工作，迅速撤离到安全地带，远离塔机及可能存在危险的区域，如起重臂下方、塔身附近等。</w:t>
      </w:r>
    </w:p>
    <w:p w14:paraId="09B90514">
      <w:pPr>
        <w:numPr>
          <w:ilvl w:val="0"/>
          <w:numId w:val="33"/>
        </w:numPr>
        <w:ind w:firstLineChars="0"/>
        <w:rPr>
          <w:highlight w:val="none"/>
        </w:rPr>
      </w:pPr>
      <w:r>
        <w:rPr>
          <w:rFonts w:hint="eastAsia"/>
          <w:highlight w:val="none"/>
        </w:rPr>
        <w:t>采取临时固定措施</w:t>
      </w:r>
    </w:p>
    <w:p w14:paraId="7E84EC4D">
      <w:pPr>
        <w:ind w:firstLine="480"/>
        <w:rPr>
          <w:highlight w:val="none"/>
        </w:rPr>
      </w:pPr>
      <w:r>
        <w:rPr>
          <w:rFonts w:hint="eastAsia"/>
          <w:highlight w:val="none"/>
        </w:rPr>
        <w:t>若起重臂已安装但未完全固定到位，应使用事先准备好的钢丝绳、缆风绳等工具，将起重臂临时固定在塔身或附近的建筑物、固定物体上，防止起重臂在大风作用下随意摆动或转动，造成碰撞事故。</w:t>
      </w:r>
    </w:p>
    <w:p w14:paraId="7E2B7E64">
      <w:pPr>
        <w:ind w:firstLine="480"/>
        <w:rPr>
          <w:highlight w:val="none"/>
        </w:rPr>
      </w:pPr>
      <w:r>
        <w:rPr>
          <w:rFonts w:hint="eastAsia"/>
          <w:highlight w:val="none"/>
        </w:rPr>
        <w:t>对于已安装的塔身标准节，检查连接螺栓是否紧固，如有必要，可增加临时支撑或缆风绳，对塔身进行加固，增强其在大风中的稳定性，防止塔身倾斜或倒塌。</w:t>
      </w:r>
    </w:p>
    <w:p w14:paraId="3808785B">
      <w:pPr>
        <w:numPr>
          <w:ilvl w:val="0"/>
          <w:numId w:val="33"/>
        </w:numPr>
        <w:ind w:firstLineChars="0"/>
        <w:rPr>
          <w:highlight w:val="none"/>
        </w:rPr>
      </w:pPr>
      <w:r>
        <w:rPr>
          <w:rFonts w:hint="eastAsia"/>
          <w:highlight w:val="none"/>
        </w:rPr>
        <w:t>检查设备状态</w:t>
      </w:r>
    </w:p>
    <w:p w14:paraId="0D354575">
      <w:pPr>
        <w:ind w:firstLine="480"/>
        <w:rPr>
          <w:highlight w:val="none"/>
        </w:rPr>
      </w:pPr>
      <w:r>
        <w:rPr>
          <w:rFonts w:hint="eastAsia"/>
          <w:highlight w:val="none"/>
        </w:rPr>
        <w:t>安排专业人员在安全的前提下，对已安装的塔机部件和安装设备进行快速检查，查看是否有因大风导致的部件松动、移位、损坏等情况，如标准节连接螺栓是否有松动、起重臂拉杆是否有变形等。</w:t>
      </w:r>
    </w:p>
    <w:p w14:paraId="1D52575C">
      <w:pPr>
        <w:ind w:firstLine="480"/>
        <w:rPr>
          <w:highlight w:val="none"/>
        </w:rPr>
      </w:pPr>
      <w:r>
        <w:rPr>
          <w:rFonts w:hint="eastAsia"/>
          <w:highlight w:val="none"/>
        </w:rPr>
        <w:t>检查安装工具和设备是否摆放稳固，有无被大风吹落或损坏的危险，对可能存在危险的工具和设备进行固定或转移。</w:t>
      </w:r>
    </w:p>
    <w:p w14:paraId="0190CAAA">
      <w:pPr>
        <w:numPr>
          <w:ilvl w:val="0"/>
          <w:numId w:val="33"/>
        </w:numPr>
        <w:ind w:firstLineChars="0"/>
        <w:rPr>
          <w:highlight w:val="none"/>
        </w:rPr>
      </w:pPr>
      <w:r>
        <w:rPr>
          <w:rFonts w:hint="eastAsia"/>
          <w:highlight w:val="none"/>
        </w:rPr>
        <w:t>加强现场监测与警示</w:t>
      </w:r>
    </w:p>
    <w:p w14:paraId="1E7818B3">
      <w:pPr>
        <w:ind w:firstLine="480"/>
        <w:rPr>
          <w:highlight w:val="none"/>
        </w:rPr>
      </w:pPr>
      <w:r>
        <w:rPr>
          <w:rFonts w:hint="eastAsia"/>
          <w:highlight w:val="none"/>
        </w:rPr>
        <w:t>在塔机周围设置明显的警示标志，禁止无关人员靠近，防止有人误闯入危险区域。</w:t>
      </w:r>
    </w:p>
    <w:p w14:paraId="7D99CE5D">
      <w:pPr>
        <w:ind w:firstLine="480"/>
        <w:rPr>
          <w:highlight w:val="none"/>
        </w:rPr>
      </w:pPr>
      <w:r>
        <w:rPr>
          <w:rFonts w:hint="eastAsia"/>
          <w:highlight w:val="none"/>
        </w:rPr>
        <w:t>安排专人负责现场监测，密切关注风速、风向的变化情况，以及塔机和周边环境的状态，如发现异常情况，及时向现场负责人报告。</w:t>
      </w:r>
    </w:p>
    <w:p w14:paraId="64017234">
      <w:pPr>
        <w:numPr>
          <w:ilvl w:val="0"/>
          <w:numId w:val="33"/>
        </w:numPr>
        <w:ind w:firstLineChars="0"/>
        <w:rPr>
          <w:highlight w:val="none"/>
        </w:rPr>
      </w:pPr>
      <w:r>
        <w:rPr>
          <w:rFonts w:hint="eastAsia"/>
          <w:highlight w:val="none"/>
        </w:rPr>
        <w:t>制定后续方案</w:t>
      </w:r>
    </w:p>
    <w:p w14:paraId="1776FE5D">
      <w:pPr>
        <w:ind w:firstLine="480"/>
        <w:rPr>
          <w:highlight w:val="none"/>
        </w:rPr>
      </w:pPr>
      <w:r>
        <w:rPr>
          <w:rFonts w:hint="eastAsia"/>
          <w:highlight w:val="none"/>
        </w:rPr>
        <w:t>大风过后，根据现场实际情况和检查结果，由专业技术人员对塔机的安全性进行评估，确定是否需要对已安装的部件进行调整、修复或重新安装。</w:t>
      </w:r>
    </w:p>
    <w:p w14:paraId="29A14F68">
      <w:pPr>
        <w:pStyle w:val="5"/>
        <w:bidi w:val="0"/>
        <w:ind w:left="0" w:leftChars="0" w:firstLine="0" w:firstLineChars="0"/>
        <w:rPr>
          <w:highlight w:val="none"/>
        </w:rPr>
      </w:pPr>
      <w:r>
        <w:rPr>
          <w:rFonts w:hint="eastAsia"/>
          <w:highlight w:val="none"/>
        </w:rPr>
        <w:t>塔机的防超强台风应急措施</w:t>
      </w:r>
    </w:p>
    <w:p w14:paraId="07294313">
      <w:r>
        <w:rPr>
          <w:rFonts w:hint="eastAsia"/>
          <w:highlight w:val="none"/>
          <w:lang w:val="en-US" w:eastAsia="zh-CN"/>
        </w:rPr>
        <w:t>3#，4#塔机台风来临前除按附件7，附件8根据当时塔机工况进行相关降套架或降节工作外，还应采取以下措施组织防台风工作。</w:t>
      </w:r>
    </w:p>
    <w:p w14:paraId="55A2AD6E">
      <w:pPr>
        <w:numPr>
          <w:ilvl w:val="0"/>
          <w:numId w:val="34"/>
        </w:numPr>
        <w:ind w:firstLineChars="0"/>
      </w:pPr>
      <w:r>
        <w:rPr>
          <w:rFonts w:hint="eastAsia"/>
        </w:rPr>
        <w:t>台风来临前</w:t>
      </w:r>
    </w:p>
    <w:p w14:paraId="5E5DEB8E">
      <w:pPr>
        <w:numPr>
          <w:ilvl w:val="0"/>
          <w:numId w:val="35"/>
        </w:numPr>
        <w:ind w:firstLineChars="0"/>
      </w:pPr>
      <w:r>
        <w:rPr>
          <w:rFonts w:hint="eastAsia"/>
        </w:rPr>
        <w:t>检查与加固</w:t>
      </w:r>
    </w:p>
    <w:p w14:paraId="1F91E480">
      <w:pPr>
        <w:numPr>
          <w:ilvl w:val="0"/>
          <w:numId w:val="36"/>
        </w:numPr>
        <w:ind w:left="0" w:leftChars="0" w:firstLine="283" w:firstLineChars="0"/>
      </w:pPr>
      <w:r>
        <w:rPr>
          <w:rFonts w:hint="eastAsia"/>
        </w:rPr>
        <w:t>对塔机的基础进行全面检查，查看基础有无沉降、裂缝等异常情况，确保基础稳定。对基础的地脚螺栓等连接部件进行紧固，防止松动。</w:t>
      </w:r>
    </w:p>
    <w:p w14:paraId="68858CE2">
      <w:pPr>
        <w:numPr>
          <w:ilvl w:val="0"/>
          <w:numId w:val="36"/>
        </w:numPr>
        <w:ind w:left="0" w:leftChars="0" w:firstLine="283" w:firstLineChars="0"/>
      </w:pPr>
      <w:r>
        <w:rPr>
          <w:rFonts w:hint="eastAsia"/>
        </w:rPr>
        <w:t>检查塔机的塔身标准节连接螺栓，确保全部紧固到位，无松动现象。同时检查塔身的垂直度，如有偏差超出规定范围，应及时进行调整。</w:t>
      </w:r>
    </w:p>
    <w:p w14:paraId="6A9BCC3C">
      <w:pPr>
        <w:numPr>
          <w:ilvl w:val="0"/>
          <w:numId w:val="36"/>
        </w:numPr>
        <w:ind w:left="0" w:leftChars="0" w:firstLine="283" w:firstLineChars="0"/>
        <w:rPr>
          <w:rFonts w:hint="eastAsia"/>
        </w:rPr>
      </w:pPr>
      <w:r>
        <w:rPr>
          <w:rFonts w:hint="eastAsia"/>
        </w:rPr>
        <w:t>检查塔机的附着装置，确保附着杆与建筑物的连接牢固，附着点处的建筑结构无损坏、松动等情况。对附着装置的螺栓、销轴等连接件进行紧固和检查，如有损坏或变形的部件，及时更换。</w:t>
      </w:r>
    </w:p>
    <w:p w14:paraId="547C01EF">
      <w:pPr>
        <w:pStyle w:val="2"/>
        <w:numPr>
          <w:ilvl w:val="0"/>
          <w:numId w:val="36"/>
        </w:numPr>
        <w:ind w:left="0" w:leftChars="0" w:firstLine="283" w:firstLineChars="0"/>
        <w:rPr>
          <w:rFonts w:hint="eastAsia"/>
        </w:rPr>
      </w:pPr>
      <w:r>
        <w:rPr>
          <w:rFonts w:hint="eastAsia"/>
        </w:rPr>
        <w:t>塔机在非工作状态下，应符合下列规定:</w:t>
      </w:r>
    </w:p>
    <w:p w14:paraId="3BFB7F47">
      <w:pPr>
        <w:pStyle w:val="2"/>
        <w:numPr>
          <w:ilvl w:val="0"/>
          <w:numId w:val="37"/>
        </w:numPr>
        <w:ind w:left="0" w:leftChars="0" w:firstLine="283" w:firstLineChars="0"/>
        <w:rPr>
          <w:rFonts w:hint="eastAsia"/>
        </w:rPr>
      </w:pPr>
      <w:r>
        <w:rPr>
          <w:rFonts w:hint="eastAsia"/>
        </w:rPr>
        <w:t>回转刹车制动(风标)应打开;</w:t>
      </w:r>
    </w:p>
    <w:p w14:paraId="492CDCF9">
      <w:pPr>
        <w:pStyle w:val="2"/>
        <w:numPr>
          <w:ilvl w:val="0"/>
          <w:numId w:val="37"/>
        </w:numPr>
        <w:ind w:left="0" w:leftChars="0" w:firstLine="283" w:firstLineChars="0"/>
        <w:rPr>
          <w:rFonts w:hint="eastAsia"/>
        </w:rPr>
      </w:pPr>
      <w:r>
        <w:rPr>
          <w:rFonts w:hint="eastAsia"/>
        </w:rPr>
        <w:t>小车变幅式塔机吊钩上的吊索具应解除，吊钩升至最高限位处，小车回收至使用说明书规定位置:</w:t>
      </w:r>
    </w:p>
    <w:p w14:paraId="274D6D99">
      <w:pPr>
        <w:pStyle w:val="2"/>
        <w:numPr>
          <w:ilvl w:val="0"/>
          <w:numId w:val="37"/>
        </w:numPr>
        <w:ind w:left="0" w:leftChars="0" w:firstLine="283" w:firstLineChars="0"/>
        <w:rPr>
          <w:rFonts w:hint="eastAsia"/>
        </w:rPr>
      </w:pPr>
      <w:r>
        <w:rPr>
          <w:rFonts w:hint="eastAsia"/>
        </w:rPr>
        <w:t>动臂式起重机应卸下吊重和吊索具，提升吊钩至最高点，起重停放在非工作状态下规定的幅度内;</w:t>
      </w:r>
    </w:p>
    <w:p w14:paraId="36867D34">
      <w:pPr>
        <w:pStyle w:val="2"/>
        <w:numPr>
          <w:ilvl w:val="0"/>
          <w:numId w:val="37"/>
        </w:numPr>
        <w:ind w:left="0" w:leftChars="0" w:firstLine="283" w:firstLineChars="0"/>
        <w:rPr>
          <w:rFonts w:hint="eastAsia"/>
        </w:rPr>
      </w:pPr>
      <w:r>
        <w:rPr>
          <w:rFonts w:hint="eastAsia"/>
        </w:rPr>
        <w:t>群塔作业防碰撞安全距离应满足规范要求。</w:t>
      </w:r>
    </w:p>
    <w:p w14:paraId="46623E1B">
      <w:pPr>
        <w:pStyle w:val="2"/>
        <w:numPr>
          <w:ilvl w:val="0"/>
          <w:numId w:val="36"/>
        </w:numPr>
        <w:ind w:left="0" w:leftChars="0" w:firstLine="283" w:firstLineChars="0"/>
        <w:rPr>
          <w:rFonts w:hint="eastAsia"/>
        </w:rPr>
      </w:pPr>
      <w:r>
        <w:rPr>
          <w:rFonts w:hint="eastAsia"/>
        </w:rPr>
        <w:t>不得在塔机钢结构上挂设增大风荷载的企业标志、宣传横幅、条幅、标语等设施。</w:t>
      </w:r>
    </w:p>
    <w:p w14:paraId="796FA858">
      <w:pPr>
        <w:numPr>
          <w:ilvl w:val="0"/>
          <w:numId w:val="35"/>
        </w:numPr>
        <w:ind w:firstLineChars="0"/>
      </w:pPr>
      <w:r>
        <w:rPr>
          <w:rFonts w:hint="eastAsia"/>
        </w:rPr>
        <w:t>部件固定与防护</w:t>
      </w:r>
    </w:p>
    <w:p w14:paraId="16BBDA10">
      <w:pPr>
        <w:ind w:firstLine="480"/>
      </w:pPr>
      <w:r>
        <w:rPr>
          <w:rFonts w:hint="eastAsia"/>
        </w:rPr>
        <w:t>将塔机的起重臂和平衡臂用钢丝绳或链条等可靠地固定在塔身或建筑物上，防止在台风中随风转动或摆动，造成碰撞损坏。</w:t>
      </w:r>
    </w:p>
    <w:p w14:paraId="79D4D793">
      <w:pPr>
        <w:ind w:firstLine="480"/>
      </w:pPr>
      <w:r>
        <w:rPr>
          <w:rFonts w:hint="eastAsia"/>
        </w:rPr>
        <w:t>对塔机的电气系统进行防护，检查配电箱、电机等电气设备的防水性能，确保密封良好，防止雨水进入造成短路等故障。可使用防水帆布或塑料薄膜等对电气设备进行包裹防护。</w:t>
      </w:r>
    </w:p>
    <w:p w14:paraId="3C03B5BE">
      <w:pPr>
        <w:ind w:firstLine="480"/>
        <w:rPr>
          <w:rFonts w:hint="eastAsia"/>
        </w:rPr>
      </w:pPr>
      <w:r>
        <w:rPr>
          <w:rFonts w:hint="eastAsia"/>
        </w:rPr>
        <w:t>清理塔机上的杂物，如脚手板上的零散物品、起重臂上的工具等，防止在台风中被吹落造成安全事故。</w:t>
      </w:r>
    </w:p>
    <w:p w14:paraId="7921AE44">
      <w:pPr>
        <w:pStyle w:val="2"/>
        <w:rPr>
          <w:rFonts w:hint="eastAsia"/>
        </w:rPr>
      </w:pPr>
      <w:r>
        <w:rPr>
          <w:rFonts w:hint="eastAsia"/>
        </w:rPr>
        <w:t>小车变幅式塔机吊钩上的吊、索具应解除，吊钩升至最高限位处，小车回收至使用说明书规定位置并采取固定措施，防止滑移;回转机构采用常闭式制动器的，应解除制动使臂架能随风转动;</w:t>
      </w:r>
    </w:p>
    <w:p w14:paraId="4A4D8181">
      <w:pPr>
        <w:pStyle w:val="2"/>
      </w:pPr>
      <w:r>
        <w:rPr>
          <w:rFonts w:hint="eastAsia"/>
        </w:rPr>
        <w:t>动臂变幅式塔机应将起重臂落下并与塔身结构锁紧在一起或根据《使用说明书》要求将臂架调至最有利的抗风角度;</w:t>
      </w:r>
    </w:p>
    <w:p w14:paraId="439350C6">
      <w:pPr>
        <w:numPr>
          <w:ilvl w:val="0"/>
          <w:numId w:val="35"/>
        </w:numPr>
        <w:ind w:firstLineChars="0"/>
      </w:pPr>
      <w:r>
        <w:t>电气系统防护</w:t>
      </w:r>
    </w:p>
    <w:p w14:paraId="04A0F153">
      <w:pPr>
        <w:ind w:firstLine="480"/>
      </w:pPr>
      <w:r>
        <w:t>检查配电箱、控制柜等电气设备，确保其防水性能良好，箱内电器元件无损坏、松动，线路无破损、老化等情况。</w:t>
      </w:r>
    </w:p>
    <w:p w14:paraId="2ED656DA">
      <w:pPr>
        <w:ind w:firstLine="480"/>
      </w:pPr>
      <w:r>
        <w:t>对电机、电缆等进行检查，做好防潮、防水措施，可使用防水胶带、塑料薄膜等对电气连接部位进行包裹。</w:t>
      </w:r>
    </w:p>
    <w:p w14:paraId="66F5F1ED">
      <w:pPr>
        <w:ind w:firstLine="480"/>
        <w:rPr>
          <w:highlight w:val="none"/>
        </w:rPr>
      </w:pPr>
      <w:r>
        <w:rPr>
          <w:rFonts w:hint="eastAsia"/>
        </w:rPr>
        <w:t>制定详细的防台风应急预案，明确各人员的职责和分工，组织相关人员进行应急演练，确保在台风来临时能够迅速、有效地采取应对措施。</w:t>
      </w:r>
    </w:p>
    <w:p w14:paraId="4AE0667D">
      <w:pPr>
        <w:numPr>
          <w:ilvl w:val="0"/>
          <w:numId w:val="34"/>
        </w:numPr>
        <w:ind w:firstLineChars="0"/>
        <w:rPr>
          <w:highlight w:val="none"/>
        </w:rPr>
      </w:pPr>
      <w:r>
        <w:rPr>
          <w:rFonts w:hint="eastAsia"/>
          <w:highlight w:val="none"/>
        </w:rPr>
        <w:t>台风期间</w:t>
      </w:r>
    </w:p>
    <w:p w14:paraId="2A686B57">
      <w:pPr>
        <w:numPr>
          <w:ilvl w:val="0"/>
          <w:numId w:val="38"/>
        </w:numPr>
        <w:ind w:firstLineChars="0"/>
        <w:rPr>
          <w:highlight w:val="none"/>
        </w:rPr>
      </w:pPr>
      <w:r>
        <w:rPr>
          <w:rFonts w:hint="eastAsia"/>
          <w:highlight w:val="none"/>
        </w:rPr>
        <w:t>实时监测与预警</w:t>
      </w:r>
    </w:p>
    <w:p w14:paraId="0F28DD58">
      <w:pPr>
        <w:ind w:firstLine="480"/>
        <w:rPr>
          <w:highlight w:val="none"/>
        </w:rPr>
      </w:pPr>
      <w:r>
        <w:rPr>
          <w:rFonts w:hint="eastAsia"/>
          <w:highlight w:val="none"/>
        </w:rPr>
        <w:t>安排专人负责实时关注台风的路径、强度等信息，通过气象部门的网站、手机应用程序、气象预警广播等渠道获取最新的台风动态，及时向现场人员通报。</w:t>
      </w:r>
    </w:p>
    <w:p w14:paraId="619EF3BA">
      <w:pPr>
        <w:ind w:firstLine="480"/>
        <w:rPr>
          <w:highlight w:val="none"/>
        </w:rPr>
      </w:pPr>
      <w:r>
        <w:rPr>
          <w:rFonts w:hint="eastAsia"/>
          <w:highlight w:val="none"/>
        </w:rPr>
        <w:t>在塔机附近设置风速监测设备，实时监测现场风速。当风速接近塔机的安全使用极限时，立即发出警报，通知所有人员撤离危险区域。</w:t>
      </w:r>
    </w:p>
    <w:p w14:paraId="2CD4988A">
      <w:pPr>
        <w:numPr>
          <w:ilvl w:val="0"/>
          <w:numId w:val="38"/>
        </w:numPr>
        <w:ind w:firstLineChars="0"/>
        <w:rPr>
          <w:highlight w:val="none"/>
        </w:rPr>
      </w:pPr>
      <w:r>
        <w:rPr>
          <w:rFonts w:hint="eastAsia"/>
          <w:highlight w:val="none"/>
        </w:rPr>
        <w:t>人员撤离与安全保障</w:t>
      </w:r>
    </w:p>
    <w:p w14:paraId="3552B308">
      <w:pPr>
        <w:ind w:firstLine="480"/>
        <w:rPr>
          <w:highlight w:val="none"/>
        </w:rPr>
      </w:pPr>
      <w:r>
        <w:rPr>
          <w:rFonts w:hint="eastAsia"/>
          <w:highlight w:val="none"/>
        </w:rPr>
        <w:t>当台风达到一定强度时，所有塔机操作人员和现场工作人员必须撤离到安全的室内场所，严禁在塔机附近或危险区域逗留。</w:t>
      </w:r>
    </w:p>
    <w:p w14:paraId="420F903C">
      <w:pPr>
        <w:ind w:firstLine="480"/>
        <w:rPr>
          <w:highlight w:val="none"/>
        </w:rPr>
      </w:pPr>
      <w:r>
        <w:rPr>
          <w:rFonts w:hint="eastAsia"/>
          <w:highlight w:val="none"/>
        </w:rPr>
        <w:t>确保撤离路线畅通无阻，在撤离过程中，要注意观察周围环境，防止被掉落的物体砸伤。</w:t>
      </w:r>
    </w:p>
    <w:p w14:paraId="0C9E45DB">
      <w:pPr>
        <w:numPr>
          <w:ilvl w:val="0"/>
          <w:numId w:val="38"/>
        </w:numPr>
        <w:ind w:firstLineChars="0"/>
        <w:rPr>
          <w:highlight w:val="none"/>
        </w:rPr>
      </w:pPr>
      <w:r>
        <w:rPr>
          <w:rFonts w:hint="eastAsia"/>
          <w:highlight w:val="none"/>
        </w:rPr>
        <w:t>停止作业与设备操作</w:t>
      </w:r>
    </w:p>
    <w:p w14:paraId="5FC255C5">
      <w:pPr>
        <w:ind w:firstLine="480"/>
        <w:rPr>
          <w:highlight w:val="none"/>
        </w:rPr>
      </w:pPr>
      <w:r>
        <w:rPr>
          <w:rFonts w:hint="eastAsia"/>
          <w:highlight w:val="none"/>
        </w:rPr>
        <w:t>塔机必须停止一切作业活动，将吊钩升至最高位置，切断塔机的总电源，以防止在台风作用下塔机意外启动或发生电气故障。</w:t>
      </w:r>
    </w:p>
    <w:p w14:paraId="78327831">
      <w:pPr>
        <w:numPr>
          <w:ilvl w:val="0"/>
          <w:numId w:val="34"/>
        </w:numPr>
        <w:ind w:firstLineChars="0"/>
        <w:rPr>
          <w:highlight w:val="none"/>
        </w:rPr>
      </w:pPr>
      <w:r>
        <w:rPr>
          <w:rFonts w:hint="eastAsia"/>
          <w:highlight w:val="none"/>
        </w:rPr>
        <w:t>台风过后</w:t>
      </w:r>
    </w:p>
    <w:p w14:paraId="1C1B964A">
      <w:pPr>
        <w:numPr>
          <w:ilvl w:val="0"/>
          <w:numId w:val="39"/>
        </w:numPr>
        <w:ind w:firstLineChars="0"/>
        <w:rPr>
          <w:highlight w:val="none"/>
        </w:rPr>
      </w:pPr>
      <w:r>
        <w:rPr>
          <w:rFonts w:hint="eastAsia"/>
          <w:highlight w:val="none"/>
        </w:rPr>
        <w:t>全面检查与评估</w:t>
      </w:r>
    </w:p>
    <w:p w14:paraId="407AABA3">
      <w:pPr>
        <w:ind w:firstLine="480"/>
        <w:rPr>
          <w:highlight w:val="none"/>
        </w:rPr>
      </w:pPr>
      <w:r>
        <w:rPr>
          <w:rFonts w:hint="eastAsia"/>
          <w:highlight w:val="none"/>
        </w:rPr>
        <w:t>台风过后，组织专业人员对塔机进行全面检查，包括基础、塔身、附着装置、起重臂、平衡臂、电气系统等各个部位，检查是否有损坏、变形、松动等情况。</w:t>
      </w:r>
    </w:p>
    <w:p w14:paraId="3627CC9B">
      <w:pPr>
        <w:ind w:firstLine="480"/>
        <w:rPr>
          <w:highlight w:val="none"/>
        </w:rPr>
      </w:pPr>
      <w:r>
        <w:rPr>
          <w:rFonts w:hint="eastAsia"/>
          <w:highlight w:val="none"/>
        </w:rPr>
        <w:t>对塔机的结构件进行无损检测，如使用超声波检测仪、磁粉探伤仪等设备检测焊缝是否有裂纹等缺陷，使用经纬仪等测量工具重新测量塔身垂直度等参数，评估塔机的结构安全性能。</w:t>
      </w:r>
    </w:p>
    <w:p w14:paraId="49D1E089">
      <w:pPr>
        <w:numPr>
          <w:ilvl w:val="0"/>
          <w:numId w:val="39"/>
        </w:numPr>
        <w:ind w:firstLineChars="0"/>
        <w:rPr>
          <w:highlight w:val="none"/>
        </w:rPr>
      </w:pPr>
      <w:r>
        <w:rPr>
          <w:rFonts w:hint="eastAsia"/>
          <w:highlight w:val="none"/>
        </w:rPr>
        <w:t>维修与保养</w:t>
      </w:r>
    </w:p>
    <w:p w14:paraId="20671A96">
      <w:pPr>
        <w:ind w:firstLine="480"/>
        <w:rPr>
          <w:highlight w:val="none"/>
        </w:rPr>
      </w:pPr>
      <w:r>
        <w:rPr>
          <w:rFonts w:hint="eastAsia"/>
          <w:highlight w:val="none"/>
        </w:rPr>
        <w:t>根据检查和评估结果，对损坏的部件进行及时维修或更换。如更换变形的标准节、修复损坏的电气线路、更换磨损的钢丝绳等。</w:t>
      </w:r>
    </w:p>
    <w:p w14:paraId="3A6A05BF">
      <w:pPr>
        <w:ind w:firstLine="480"/>
        <w:rPr>
          <w:highlight w:val="none"/>
        </w:rPr>
      </w:pPr>
      <w:r>
        <w:rPr>
          <w:rFonts w:hint="eastAsia"/>
          <w:highlight w:val="none"/>
        </w:rPr>
        <w:t>对塔机进行全面的保养，包括清洁、润滑、紧固等工作，确保塔机恢复到良好的运行状态。</w:t>
      </w:r>
    </w:p>
    <w:p w14:paraId="024DE2F5">
      <w:pPr>
        <w:numPr>
          <w:ilvl w:val="0"/>
          <w:numId w:val="39"/>
        </w:numPr>
        <w:ind w:firstLineChars="0"/>
        <w:rPr>
          <w:highlight w:val="none"/>
        </w:rPr>
      </w:pPr>
      <w:r>
        <w:rPr>
          <w:rFonts w:hint="eastAsia"/>
          <w:highlight w:val="none"/>
        </w:rPr>
        <w:t>调试与检测</w:t>
      </w:r>
    </w:p>
    <w:p w14:paraId="737EB4D0">
      <w:pPr>
        <w:ind w:firstLine="480"/>
        <w:rPr>
          <w:highlight w:val="none"/>
        </w:rPr>
      </w:pPr>
      <w:r>
        <w:rPr>
          <w:rFonts w:hint="eastAsia"/>
          <w:highlight w:val="none"/>
        </w:rPr>
        <w:t>在维修和保养完成后，对塔机进行调试，检查各机构的运行情况，如起升机构、变幅机构、回转机构等是否正常，各安全装置是否灵敏可靠。</w:t>
      </w:r>
    </w:p>
    <w:p w14:paraId="4B1B1C39">
      <w:pPr>
        <w:pStyle w:val="4"/>
        <w:bidi w:val="0"/>
        <w:ind w:left="0" w:leftChars="0" w:firstLine="0" w:firstLineChars="0"/>
        <w:rPr>
          <w:highlight w:val="none"/>
        </w:rPr>
      </w:pPr>
      <w:bookmarkStart w:id="104" w:name="_Toc10120"/>
      <w:r>
        <w:rPr>
          <w:rFonts w:hint="eastAsia"/>
          <w:highlight w:val="none"/>
        </w:rPr>
        <w:t>防碰撞措施</w:t>
      </w:r>
      <w:bookmarkEnd w:id="104"/>
    </w:p>
    <w:p w14:paraId="22E623E2">
      <w:pPr>
        <w:numPr>
          <w:ilvl w:val="0"/>
          <w:numId w:val="40"/>
        </w:numPr>
        <w:ind w:firstLineChars="0"/>
        <w:rPr>
          <w:highlight w:val="none"/>
        </w:rPr>
      </w:pPr>
      <w:r>
        <w:rPr>
          <w:rFonts w:hint="eastAsia"/>
          <w:highlight w:val="none"/>
        </w:rPr>
        <w:t>合理规划布局</w:t>
      </w:r>
    </w:p>
    <w:p w14:paraId="627698E7">
      <w:pPr>
        <w:ind w:firstLine="480"/>
        <w:rPr>
          <w:highlight w:val="none"/>
        </w:rPr>
      </w:pPr>
      <w:r>
        <w:rPr>
          <w:rFonts w:hint="eastAsia"/>
          <w:highlight w:val="none"/>
        </w:rPr>
        <w:t>根据施工现场的地形、建筑物分布及施工流程，合理确定塔机的位置和高度，保证处于低位的塔机臂架端部与另一台塔机塔身之间至少有2m的距离，处于高位的塔机（吊钩升至最高点）与低位的塔机之间，垂直方向的间隙不得小于2m。</w:t>
      </w:r>
    </w:p>
    <w:p w14:paraId="36179D09">
      <w:pPr>
        <w:ind w:firstLine="480"/>
        <w:rPr>
          <w:highlight w:val="none"/>
        </w:rPr>
      </w:pPr>
      <w:r>
        <w:rPr>
          <w:rFonts w:hint="eastAsia"/>
          <w:highlight w:val="none"/>
        </w:rPr>
        <w:t>群塔布置时，塔吊应尽可能覆盖整个施工区域，减少盲区，适当考虑交叉覆盖区域，但不宜过大，以此确定每台塔吊的附着栋号和具体定位。</w:t>
      </w:r>
    </w:p>
    <w:p w14:paraId="62600165">
      <w:pPr>
        <w:numPr>
          <w:ilvl w:val="0"/>
          <w:numId w:val="40"/>
        </w:numPr>
        <w:ind w:firstLineChars="0"/>
        <w:rPr>
          <w:highlight w:val="none"/>
        </w:rPr>
      </w:pPr>
      <w:r>
        <w:rPr>
          <w:rFonts w:hint="eastAsia"/>
          <w:highlight w:val="none"/>
        </w:rPr>
        <w:t>运行原则避让</w:t>
      </w:r>
    </w:p>
    <w:p w14:paraId="4445428D">
      <w:pPr>
        <w:ind w:firstLine="480"/>
        <w:rPr>
          <w:highlight w:val="none"/>
        </w:rPr>
      </w:pPr>
      <w:r>
        <w:rPr>
          <w:rFonts w:hint="eastAsia"/>
          <w:highlight w:val="none"/>
        </w:rPr>
        <w:t>低塔让高塔：低塔在转臂前应先观察高塔运行情况再进行作业。</w:t>
      </w:r>
    </w:p>
    <w:p w14:paraId="0E6EC6EC">
      <w:pPr>
        <w:ind w:firstLine="480"/>
        <w:rPr>
          <w:highlight w:val="none"/>
        </w:rPr>
      </w:pPr>
      <w:r>
        <w:rPr>
          <w:rFonts w:hint="eastAsia"/>
          <w:highlight w:val="none"/>
        </w:rPr>
        <w:t>后塔让先塔：在两塔机塔臂交叉区域内运行时，后进入该区域的塔机避让先进入的塔机。</w:t>
      </w:r>
    </w:p>
    <w:p w14:paraId="610D0A2F">
      <w:pPr>
        <w:ind w:firstLine="480"/>
        <w:rPr>
          <w:highlight w:val="none"/>
        </w:rPr>
      </w:pPr>
      <w:r>
        <w:rPr>
          <w:rFonts w:hint="eastAsia"/>
          <w:highlight w:val="none"/>
        </w:rPr>
        <w:t xml:space="preserve"> 动塔让静塔：在两塔机塔臂交叉区域内作业时，运转的塔机应避让静止的塔机。</w:t>
      </w:r>
    </w:p>
    <w:p w14:paraId="427C0B4D">
      <w:pPr>
        <w:ind w:firstLine="480"/>
        <w:rPr>
          <w:highlight w:val="none"/>
        </w:rPr>
      </w:pPr>
      <w:r>
        <w:rPr>
          <w:rFonts w:hint="eastAsia"/>
          <w:highlight w:val="none"/>
        </w:rPr>
        <w:t xml:space="preserve"> 轻车让重车：两塔机同时运行时，无载荷塔机应避让有载荷塔机。</w:t>
      </w:r>
    </w:p>
    <w:p w14:paraId="764E3F33">
      <w:pPr>
        <w:numPr>
          <w:ilvl w:val="0"/>
          <w:numId w:val="40"/>
        </w:numPr>
        <w:ind w:firstLineChars="0"/>
        <w:rPr>
          <w:highlight w:val="none"/>
        </w:rPr>
      </w:pPr>
      <w:r>
        <w:rPr>
          <w:rFonts w:hint="eastAsia"/>
          <w:highlight w:val="none"/>
        </w:rPr>
        <w:t>加强作业管理</w:t>
      </w:r>
    </w:p>
    <w:p w14:paraId="09EDF6AD">
      <w:pPr>
        <w:ind w:firstLine="480"/>
        <w:rPr>
          <w:highlight w:val="none"/>
        </w:rPr>
      </w:pPr>
      <w:r>
        <w:rPr>
          <w:rFonts w:hint="eastAsia"/>
          <w:highlight w:val="none"/>
        </w:rPr>
        <w:t>各机指挥要默契配合，不得在大臂交叉范围内同时吊运，合理安排吊运时间。为塔机司机与信号工配备对讲机，统一设定频道并锁频，专机专用。信号工、塔司要相对固定，信号工指挥时须目视塔机、吊钩与转臂过程，同时环顾相邻塔机工作状态，及时发出安全信息。</w:t>
      </w:r>
    </w:p>
    <w:p w14:paraId="51CDAB30">
      <w:pPr>
        <w:ind w:firstLine="480"/>
        <w:rPr>
          <w:highlight w:val="none"/>
        </w:rPr>
      </w:pPr>
      <w:r>
        <w:rPr>
          <w:rFonts w:hint="eastAsia"/>
          <w:highlight w:val="none"/>
        </w:rPr>
        <w:t>严格执行“十不吊”作业原则。停机时，吊钩要起升到5米位置，小车回收到临近塔身10米处，起重臂按顺风源停置。如遇突然停电或故障，要用手动装置调整大臂朝向，或在回转齿圈处设置障碍固定大臂，周围塔吊要避让该塔。</w:t>
      </w:r>
    </w:p>
    <w:p w14:paraId="1043813A">
      <w:pPr>
        <w:numPr>
          <w:ilvl w:val="0"/>
          <w:numId w:val="40"/>
        </w:numPr>
        <w:ind w:firstLineChars="0"/>
        <w:rPr>
          <w:highlight w:val="none"/>
        </w:rPr>
      </w:pPr>
      <w:r>
        <w:rPr>
          <w:rFonts w:hint="eastAsia"/>
          <w:highlight w:val="none"/>
        </w:rPr>
        <w:t>安装安全设备</w:t>
      </w:r>
    </w:p>
    <w:p w14:paraId="7FBF78EF">
      <w:pPr>
        <w:ind w:firstLine="480"/>
        <w:rPr>
          <w:highlight w:val="none"/>
        </w:rPr>
      </w:pPr>
      <w:r>
        <w:rPr>
          <w:rFonts w:hint="eastAsia"/>
          <w:highlight w:val="none"/>
        </w:rPr>
        <w:t>防碰撞系统：安装群塔防碰撞系统，该系统可实时监测塔机的运行状态，在可能发生碰撞时发出报警信号，并可根据设定进行减速、停止等控制操作。</w:t>
      </w:r>
    </w:p>
    <w:p w14:paraId="585D7430">
      <w:pPr>
        <w:ind w:firstLine="480"/>
        <w:rPr>
          <w:highlight w:val="none"/>
        </w:rPr>
      </w:pPr>
      <w:r>
        <w:rPr>
          <w:rFonts w:hint="eastAsia"/>
          <w:highlight w:val="none"/>
        </w:rPr>
        <w:t>警示装置：在塔机起重臂、平衡臂端、塔帽顶端安装红色闪光灯和红色旗帜，在起重臂上安装能让驾驶员看清小车运行的照明灯，在塔臂前端设置明显标志，以提醒操作人员注意安全。</w:t>
      </w:r>
    </w:p>
    <w:p w14:paraId="074E40F4">
      <w:pPr>
        <w:pStyle w:val="3"/>
        <w:bidi w:val="0"/>
        <w:ind w:left="432" w:leftChars="0" w:hanging="432" w:firstLineChars="0"/>
        <w:rPr>
          <w:highlight w:val="none"/>
        </w:rPr>
      </w:pPr>
      <w:bookmarkStart w:id="105" w:name="_Toc24237"/>
      <w:r>
        <w:rPr>
          <w:rFonts w:hint="eastAsia"/>
          <w:highlight w:val="none"/>
        </w:rPr>
        <w:t>施工管理及作业人员配备和分工</w:t>
      </w:r>
      <w:bookmarkEnd w:id="105"/>
    </w:p>
    <w:p w14:paraId="7FD43D8F">
      <w:pPr>
        <w:pStyle w:val="133"/>
        <w:ind w:firstLine="480"/>
        <w:rPr>
          <w:rFonts w:cs="Times New Roman"/>
          <w:highlight w:val="none"/>
        </w:rPr>
      </w:pPr>
      <w:r>
        <w:rPr>
          <w:rFonts w:cs="Times New Roman"/>
          <w:highlight w:val="none"/>
        </w:rPr>
        <w:t>为确保承台施工安全、优质、高效、如期地完成，成立以项目经理为首的管理团队进行项目的统筹管理。现场施工主要管理人员由具有丰富施工经验的人员组成，选择专业的施工劳务队伍进行施工。</w:t>
      </w:r>
    </w:p>
    <w:p w14:paraId="5B76346C">
      <w:pPr>
        <w:pStyle w:val="4"/>
        <w:bidi w:val="0"/>
        <w:ind w:left="0" w:leftChars="0" w:firstLine="0" w:firstLineChars="0"/>
        <w:rPr>
          <w:highlight w:val="none"/>
        </w:rPr>
      </w:pPr>
      <w:bookmarkStart w:id="106" w:name="_Toc10179"/>
      <w:bookmarkStart w:id="107" w:name="_Toc51089991"/>
      <w:bookmarkStart w:id="108" w:name="_Toc7272"/>
      <w:bookmarkStart w:id="109" w:name="_Toc122514842"/>
      <w:r>
        <w:rPr>
          <w:highlight w:val="none"/>
        </w:rPr>
        <w:t>施工管理人员配备和分工</w:t>
      </w:r>
      <w:bookmarkEnd w:id="106"/>
      <w:bookmarkEnd w:id="107"/>
      <w:bookmarkEnd w:id="108"/>
      <w:bookmarkEnd w:id="109"/>
    </w:p>
    <w:p w14:paraId="356EB68B">
      <w:pPr>
        <w:pStyle w:val="133"/>
        <w:ind w:firstLine="480"/>
        <w:rPr>
          <w:rFonts w:cs="Times New Roman"/>
          <w:highlight w:val="none"/>
        </w:rPr>
      </w:pPr>
      <w:bookmarkStart w:id="110" w:name="_Toc122514843"/>
      <w:bookmarkStart w:id="111" w:name="_Toc32318"/>
      <w:bookmarkStart w:id="112" w:name="_Toc51089992"/>
      <w:r>
        <w:rPr>
          <w:rFonts w:cs="Times New Roman"/>
          <w:highlight w:val="none"/>
        </w:rPr>
        <w:t>根据施工安排，施工管理人员配备和分工见</w:t>
      </w:r>
      <w:r>
        <w:rPr>
          <w:rFonts w:cs="Times New Roman"/>
          <w:b/>
          <w:bCs/>
          <w:highlight w:val="none"/>
        </w:rPr>
        <w:t>表7.1-1</w:t>
      </w:r>
      <w:r>
        <w:rPr>
          <w:rFonts w:cs="Times New Roman"/>
          <w:highlight w:val="none"/>
        </w:rPr>
        <w:t>。</w:t>
      </w:r>
    </w:p>
    <w:p w14:paraId="3FCD1411">
      <w:pPr>
        <w:pStyle w:val="387"/>
        <w:rPr>
          <w:rFonts w:hint="default"/>
          <w:highlight w:val="none"/>
        </w:rPr>
      </w:pPr>
      <w:r>
        <w:rPr>
          <w:rFonts w:hint="default" w:cstheme="majorBidi"/>
          <w:bCs w:val="0"/>
          <w:szCs w:val="20"/>
          <w:highlight w:val="none"/>
        </w:rPr>
        <w:t>表</w:t>
      </w:r>
      <w:r>
        <w:rPr>
          <w:rFonts w:hint="default" w:cstheme="majorBidi"/>
          <w:bCs w:val="0"/>
          <w:szCs w:val="20"/>
          <w:highlight w:val="none"/>
        </w:rPr>
        <w:fldChar w:fldCharType="begin"/>
      </w:r>
      <w:r>
        <w:rPr>
          <w:rFonts w:hint="default" w:cstheme="majorBidi"/>
          <w:bCs w:val="0"/>
          <w:szCs w:val="20"/>
          <w:highlight w:val="none"/>
        </w:rPr>
        <w:instrText xml:space="preserve"> STYLEREF 2 \s </w:instrText>
      </w:r>
      <w:r>
        <w:rPr>
          <w:rFonts w:hint="default" w:cstheme="majorBidi"/>
          <w:bCs w:val="0"/>
          <w:szCs w:val="20"/>
          <w:highlight w:val="none"/>
        </w:rPr>
        <w:fldChar w:fldCharType="separate"/>
      </w:r>
      <w:r>
        <w:rPr>
          <w:rFonts w:hint="default" w:cstheme="majorBidi"/>
          <w:bCs w:val="0"/>
          <w:szCs w:val="20"/>
          <w:highlight w:val="none"/>
        </w:rPr>
        <w:t>7.1</w:t>
      </w:r>
      <w:r>
        <w:rPr>
          <w:rFonts w:hint="default" w:cstheme="majorBidi"/>
          <w:bCs w:val="0"/>
          <w:szCs w:val="20"/>
          <w:highlight w:val="none"/>
        </w:rPr>
        <w:fldChar w:fldCharType="end"/>
      </w:r>
      <w:r>
        <w:rPr>
          <w:rFonts w:hint="default" w:cstheme="majorBidi"/>
          <w:bCs w:val="0"/>
          <w:szCs w:val="20"/>
          <w:highlight w:val="none"/>
        </w:rPr>
        <w:noBreakHyphen/>
      </w:r>
      <w:r>
        <w:rPr>
          <w:rFonts w:hint="default" w:cstheme="majorBidi"/>
          <w:bCs w:val="0"/>
          <w:szCs w:val="20"/>
          <w:highlight w:val="none"/>
        </w:rPr>
        <w:fldChar w:fldCharType="begin"/>
      </w:r>
      <w:r>
        <w:rPr>
          <w:rFonts w:hint="default" w:cstheme="majorBidi"/>
          <w:bCs w:val="0"/>
          <w:szCs w:val="20"/>
          <w:highlight w:val="none"/>
        </w:rPr>
        <w:instrText xml:space="preserve"> SEQ 表 \* ARABIC \s 2 </w:instrText>
      </w:r>
      <w:r>
        <w:rPr>
          <w:rFonts w:hint="default" w:cstheme="majorBidi"/>
          <w:bCs w:val="0"/>
          <w:szCs w:val="20"/>
          <w:highlight w:val="none"/>
        </w:rPr>
        <w:fldChar w:fldCharType="separate"/>
      </w:r>
      <w:r>
        <w:rPr>
          <w:rFonts w:hint="default" w:cstheme="majorBidi"/>
          <w:bCs w:val="0"/>
          <w:szCs w:val="20"/>
          <w:highlight w:val="none"/>
        </w:rPr>
        <w:t>1</w:t>
      </w:r>
      <w:r>
        <w:rPr>
          <w:rFonts w:hint="default" w:cstheme="majorBidi"/>
          <w:bCs w:val="0"/>
          <w:szCs w:val="20"/>
          <w:highlight w:val="none"/>
        </w:rPr>
        <w:fldChar w:fldCharType="end"/>
      </w:r>
      <w:r>
        <w:rPr>
          <w:rFonts w:hint="default" w:cstheme="majorBidi"/>
          <w:bCs w:val="0"/>
          <w:szCs w:val="20"/>
          <w:highlight w:val="none"/>
        </w:rPr>
        <w:t>施工管理人员配备和分工表</w:t>
      </w:r>
    </w:p>
    <w:tbl>
      <w:tblPr>
        <w:tblStyle w:val="130"/>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17"/>
        <w:gridCol w:w="1317"/>
        <w:gridCol w:w="888"/>
        <w:gridCol w:w="823"/>
        <w:gridCol w:w="4175"/>
        <w:gridCol w:w="697"/>
      </w:tblGrid>
      <w:tr w14:paraId="544825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shd w:val="clear" w:color="auto" w:fill="auto"/>
            <w:vAlign w:val="center"/>
          </w:tcPr>
          <w:p w14:paraId="37F21D08">
            <w:pPr>
              <w:pStyle w:val="53"/>
              <w:rPr>
                <w:rFonts w:asciiTheme="minorHAnsi" w:hAnsiTheme="minorHAnsi" w:cstheme="minorBidi"/>
                <w:highlight w:val="none"/>
              </w:rPr>
            </w:pPr>
            <w:r>
              <w:rPr>
                <w:rFonts w:hint="eastAsia" w:asciiTheme="minorHAnsi" w:hAnsiTheme="minorHAnsi" w:cstheme="minorBidi"/>
                <w:highlight w:val="none"/>
              </w:rPr>
              <w:t>序号</w:t>
            </w:r>
          </w:p>
        </w:tc>
        <w:tc>
          <w:tcPr>
            <w:tcW w:w="773" w:type="pct"/>
            <w:shd w:val="clear" w:color="auto" w:fill="auto"/>
            <w:vAlign w:val="center"/>
          </w:tcPr>
          <w:p w14:paraId="48E7D001">
            <w:pPr>
              <w:pStyle w:val="53"/>
              <w:rPr>
                <w:rFonts w:asciiTheme="minorHAnsi" w:hAnsiTheme="minorHAnsi" w:cstheme="minorBidi"/>
                <w:highlight w:val="none"/>
              </w:rPr>
            </w:pPr>
            <w:r>
              <w:rPr>
                <w:rFonts w:hint="eastAsia" w:asciiTheme="minorHAnsi" w:hAnsiTheme="minorHAnsi" w:cstheme="minorBidi"/>
                <w:highlight w:val="none"/>
              </w:rPr>
              <w:t>职务</w:t>
            </w:r>
          </w:p>
        </w:tc>
        <w:tc>
          <w:tcPr>
            <w:tcW w:w="521" w:type="pct"/>
            <w:shd w:val="clear" w:color="auto" w:fill="auto"/>
            <w:vAlign w:val="center"/>
          </w:tcPr>
          <w:p w14:paraId="083F8ADE">
            <w:pPr>
              <w:pStyle w:val="53"/>
              <w:rPr>
                <w:rFonts w:asciiTheme="minorHAnsi" w:hAnsiTheme="minorHAnsi" w:cstheme="minorBidi"/>
                <w:highlight w:val="none"/>
              </w:rPr>
            </w:pPr>
            <w:r>
              <w:rPr>
                <w:rFonts w:hint="eastAsia" w:asciiTheme="minorHAnsi" w:hAnsiTheme="minorHAnsi" w:cstheme="minorBidi"/>
                <w:highlight w:val="none"/>
              </w:rPr>
              <w:t>姓名</w:t>
            </w:r>
          </w:p>
        </w:tc>
        <w:tc>
          <w:tcPr>
            <w:tcW w:w="483" w:type="pct"/>
            <w:shd w:val="clear" w:color="auto" w:fill="auto"/>
            <w:vAlign w:val="center"/>
          </w:tcPr>
          <w:p w14:paraId="4A8DD08D">
            <w:pPr>
              <w:pStyle w:val="53"/>
              <w:rPr>
                <w:rFonts w:asciiTheme="minorHAnsi" w:hAnsiTheme="minorHAnsi" w:cstheme="minorBidi"/>
                <w:highlight w:val="none"/>
              </w:rPr>
            </w:pPr>
            <w:r>
              <w:rPr>
                <w:rFonts w:hint="eastAsia" w:asciiTheme="minorHAnsi" w:hAnsiTheme="minorHAnsi" w:cstheme="minorBidi"/>
                <w:highlight w:val="none"/>
              </w:rPr>
              <w:t>人数</w:t>
            </w:r>
          </w:p>
        </w:tc>
        <w:tc>
          <w:tcPr>
            <w:tcW w:w="2450" w:type="pct"/>
            <w:shd w:val="clear" w:color="auto" w:fill="auto"/>
            <w:vAlign w:val="center"/>
          </w:tcPr>
          <w:p w14:paraId="41C20950">
            <w:pPr>
              <w:pStyle w:val="53"/>
              <w:rPr>
                <w:rFonts w:asciiTheme="minorHAnsi" w:hAnsiTheme="minorHAnsi" w:cstheme="minorBidi"/>
                <w:highlight w:val="none"/>
              </w:rPr>
            </w:pPr>
            <w:r>
              <w:rPr>
                <w:rFonts w:hint="eastAsia" w:asciiTheme="minorHAnsi" w:hAnsiTheme="minorHAnsi" w:cstheme="minorBidi"/>
                <w:highlight w:val="none"/>
              </w:rPr>
              <w:t>工作职责</w:t>
            </w:r>
          </w:p>
        </w:tc>
        <w:tc>
          <w:tcPr>
            <w:tcW w:w="409" w:type="pct"/>
            <w:shd w:val="clear" w:color="auto" w:fill="auto"/>
            <w:vAlign w:val="center"/>
          </w:tcPr>
          <w:p w14:paraId="3635ABD3">
            <w:pPr>
              <w:pStyle w:val="53"/>
              <w:rPr>
                <w:rFonts w:asciiTheme="minorHAnsi" w:hAnsiTheme="minorHAnsi" w:cstheme="minorBidi"/>
                <w:highlight w:val="none"/>
              </w:rPr>
            </w:pPr>
            <w:r>
              <w:rPr>
                <w:rFonts w:hint="eastAsia" w:asciiTheme="minorHAnsi" w:hAnsiTheme="minorHAnsi" w:cstheme="minorBidi"/>
                <w:highlight w:val="none"/>
              </w:rPr>
              <w:t>备注</w:t>
            </w:r>
          </w:p>
        </w:tc>
      </w:tr>
      <w:tr w14:paraId="1728AD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shd w:val="clear" w:color="auto" w:fill="auto"/>
            <w:vAlign w:val="center"/>
          </w:tcPr>
          <w:p w14:paraId="2F6CE5E0">
            <w:pPr>
              <w:pStyle w:val="53"/>
              <w:numPr>
                <w:ilvl w:val="0"/>
                <w:numId w:val="41"/>
              </w:numPr>
              <w:rPr>
                <w:rFonts w:asciiTheme="minorHAnsi" w:hAnsiTheme="minorHAnsi" w:cstheme="minorBidi"/>
                <w:highlight w:val="none"/>
              </w:rPr>
            </w:pPr>
          </w:p>
        </w:tc>
        <w:tc>
          <w:tcPr>
            <w:tcW w:w="773" w:type="pct"/>
            <w:shd w:val="clear" w:color="auto" w:fill="auto"/>
            <w:vAlign w:val="center"/>
          </w:tcPr>
          <w:p w14:paraId="464FE21B">
            <w:pPr>
              <w:pStyle w:val="53"/>
              <w:rPr>
                <w:rStyle w:val="220"/>
                <w:rFonts w:cstheme="minorBidi"/>
                <w:b w:val="0"/>
                <w:color w:val="000000"/>
                <w:highlight w:val="none"/>
              </w:rPr>
            </w:pPr>
            <w:r>
              <w:rPr>
                <w:rStyle w:val="220"/>
                <w:rFonts w:hint="eastAsia" w:cstheme="minorBidi"/>
                <w:b w:val="0"/>
                <w:color w:val="000000"/>
                <w:highlight w:val="none"/>
              </w:rPr>
              <w:t>技术负责人</w:t>
            </w:r>
          </w:p>
        </w:tc>
        <w:tc>
          <w:tcPr>
            <w:tcW w:w="521" w:type="pct"/>
            <w:shd w:val="clear" w:color="auto" w:fill="auto"/>
            <w:vAlign w:val="center"/>
          </w:tcPr>
          <w:p w14:paraId="599B24F0">
            <w:pPr>
              <w:pStyle w:val="53"/>
              <w:rPr>
                <w:rStyle w:val="220"/>
                <w:rFonts w:cstheme="minorBidi"/>
                <w:b w:val="0"/>
                <w:color w:val="000000"/>
                <w:highlight w:val="none"/>
              </w:rPr>
            </w:pPr>
            <w:r>
              <w:rPr>
                <w:rStyle w:val="220"/>
                <w:rFonts w:hint="eastAsia" w:cstheme="minorBidi"/>
                <w:b w:val="0"/>
                <w:color w:val="000000"/>
                <w:highlight w:val="none"/>
              </w:rPr>
              <w:t>温涛</w:t>
            </w:r>
          </w:p>
        </w:tc>
        <w:tc>
          <w:tcPr>
            <w:tcW w:w="483" w:type="pct"/>
            <w:shd w:val="clear" w:color="auto" w:fill="auto"/>
            <w:vAlign w:val="center"/>
          </w:tcPr>
          <w:p w14:paraId="7A7A6E6F">
            <w:pPr>
              <w:pStyle w:val="53"/>
              <w:rPr>
                <w:rStyle w:val="220"/>
                <w:rFonts w:cstheme="minorBidi"/>
                <w:b w:val="0"/>
                <w:color w:val="000000"/>
                <w:highlight w:val="none"/>
              </w:rPr>
            </w:pPr>
            <w:r>
              <w:rPr>
                <w:rStyle w:val="220"/>
                <w:rFonts w:hint="eastAsia" w:cstheme="minorBidi"/>
                <w:b w:val="0"/>
                <w:color w:val="000000"/>
                <w:highlight w:val="none"/>
              </w:rPr>
              <w:t>1</w:t>
            </w:r>
          </w:p>
        </w:tc>
        <w:tc>
          <w:tcPr>
            <w:tcW w:w="2450" w:type="pct"/>
            <w:shd w:val="clear" w:color="auto" w:fill="auto"/>
            <w:vAlign w:val="center"/>
          </w:tcPr>
          <w:p w14:paraId="433D3C71">
            <w:pPr>
              <w:pStyle w:val="53"/>
              <w:rPr>
                <w:rStyle w:val="220"/>
                <w:rFonts w:cstheme="minorBidi"/>
                <w:b w:val="0"/>
                <w:color w:val="000000"/>
                <w:highlight w:val="none"/>
              </w:rPr>
            </w:pPr>
            <w:r>
              <w:rPr>
                <w:rStyle w:val="220"/>
                <w:rFonts w:hint="eastAsia" w:cstheme="minorBidi"/>
                <w:b w:val="0"/>
                <w:color w:val="000000"/>
                <w:highlight w:val="none"/>
              </w:rPr>
              <w:t>技术负责人负责制定塔吊安装方案的技术细节，包括安装流程、技术参数、安全技术措施等内容；同时，在安装过程中提供技术指导，解决各类技术问题，监督技术方案执行情况并及时调整优化。</w:t>
            </w:r>
          </w:p>
        </w:tc>
        <w:tc>
          <w:tcPr>
            <w:tcW w:w="409" w:type="pct"/>
            <w:shd w:val="clear" w:color="auto" w:fill="auto"/>
            <w:vAlign w:val="center"/>
          </w:tcPr>
          <w:p w14:paraId="798B74F6">
            <w:pPr>
              <w:pStyle w:val="53"/>
              <w:rPr>
                <w:rFonts w:asciiTheme="minorHAnsi" w:hAnsiTheme="minorHAnsi" w:cstheme="minorBidi"/>
                <w:highlight w:val="none"/>
              </w:rPr>
            </w:pPr>
          </w:p>
        </w:tc>
      </w:tr>
      <w:tr w14:paraId="46A14C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shd w:val="clear" w:color="auto" w:fill="auto"/>
            <w:vAlign w:val="center"/>
          </w:tcPr>
          <w:p w14:paraId="20E737C8">
            <w:pPr>
              <w:pStyle w:val="53"/>
              <w:numPr>
                <w:ilvl w:val="0"/>
                <w:numId w:val="41"/>
              </w:numPr>
              <w:rPr>
                <w:rFonts w:asciiTheme="minorHAnsi" w:hAnsiTheme="minorHAnsi" w:cstheme="minorBidi"/>
                <w:highlight w:val="none"/>
              </w:rPr>
            </w:pPr>
          </w:p>
        </w:tc>
        <w:tc>
          <w:tcPr>
            <w:tcW w:w="773" w:type="pct"/>
            <w:shd w:val="clear" w:color="auto" w:fill="auto"/>
            <w:vAlign w:val="center"/>
          </w:tcPr>
          <w:p w14:paraId="621C7719">
            <w:pPr>
              <w:pStyle w:val="53"/>
              <w:rPr>
                <w:rStyle w:val="220"/>
                <w:rFonts w:cstheme="minorBidi"/>
                <w:b w:val="0"/>
                <w:color w:val="000000"/>
                <w:highlight w:val="none"/>
              </w:rPr>
            </w:pPr>
            <w:r>
              <w:rPr>
                <w:rStyle w:val="220"/>
                <w:rFonts w:hint="eastAsia" w:cstheme="minorBidi"/>
                <w:b w:val="0"/>
                <w:color w:val="000000"/>
                <w:highlight w:val="none"/>
              </w:rPr>
              <w:t>项目负责人</w:t>
            </w:r>
          </w:p>
        </w:tc>
        <w:tc>
          <w:tcPr>
            <w:tcW w:w="521" w:type="pct"/>
            <w:shd w:val="clear" w:color="auto" w:fill="auto"/>
            <w:vAlign w:val="center"/>
          </w:tcPr>
          <w:p w14:paraId="42C16D75">
            <w:pPr>
              <w:pStyle w:val="53"/>
              <w:rPr>
                <w:rStyle w:val="220"/>
                <w:rFonts w:cstheme="minorBidi"/>
                <w:b w:val="0"/>
                <w:color w:val="000000"/>
                <w:highlight w:val="none"/>
              </w:rPr>
            </w:pPr>
            <w:r>
              <w:rPr>
                <w:rStyle w:val="220"/>
                <w:rFonts w:hint="eastAsia" w:cstheme="minorBidi"/>
                <w:b w:val="0"/>
                <w:color w:val="000000"/>
                <w:highlight w:val="none"/>
              </w:rPr>
              <w:t>吕仕昌</w:t>
            </w:r>
          </w:p>
        </w:tc>
        <w:tc>
          <w:tcPr>
            <w:tcW w:w="483" w:type="pct"/>
            <w:shd w:val="clear" w:color="auto" w:fill="auto"/>
            <w:vAlign w:val="center"/>
          </w:tcPr>
          <w:p w14:paraId="1947E7DF">
            <w:pPr>
              <w:pStyle w:val="53"/>
              <w:rPr>
                <w:rStyle w:val="220"/>
                <w:rFonts w:cstheme="minorBidi"/>
                <w:b w:val="0"/>
                <w:color w:val="000000"/>
                <w:highlight w:val="none"/>
              </w:rPr>
            </w:pPr>
            <w:r>
              <w:rPr>
                <w:rStyle w:val="220"/>
                <w:rFonts w:hint="eastAsia" w:cstheme="minorBidi"/>
                <w:b w:val="0"/>
                <w:color w:val="000000"/>
                <w:highlight w:val="none"/>
              </w:rPr>
              <w:t>1</w:t>
            </w:r>
          </w:p>
        </w:tc>
        <w:tc>
          <w:tcPr>
            <w:tcW w:w="2450" w:type="pct"/>
            <w:shd w:val="clear" w:color="auto" w:fill="auto"/>
            <w:vAlign w:val="center"/>
          </w:tcPr>
          <w:p w14:paraId="615EDC9D">
            <w:pPr>
              <w:pStyle w:val="53"/>
              <w:rPr>
                <w:rStyle w:val="220"/>
                <w:rFonts w:cstheme="minorBidi"/>
                <w:b w:val="0"/>
                <w:color w:val="000000"/>
                <w:highlight w:val="none"/>
              </w:rPr>
            </w:pPr>
            <w:r>
              <w:rPr>
                <w:rStyle w:val="220"/>
                <w:rFonts w:hint="eastAsia" w:cstheme="minorBidi"/>
                <w:b w:val="0"/>
                <w:color w:val="000000"/>
                <w:highlight w:val="none"/>
              </w:rPr>
              <w:t>负责现场安拆指导及安全管理</w:t>
            </w:r>
          </w:p>
        </w:tc>
        <w:tc>
          <w:tcPr>
            <w:tcW w:w="409" w:type="pct"/>
            <w:shd w:val="clear" w:color="auto" w:fill="auto"/>
            <w:vAlign w:val="center"/>
          </w:tcPr>
          <w:p w14:paraId="10FF3DB3">
            <w:pPr>
              <w:pStyle w:val="53"/>
              <w:rPr>
                <w:rFonts w:asciiTheme="minorHAnsi" w:hAnsiTheme="minorHAnsi" w:cstheme="minorBidi"/>
                <w:highlight w:val="none"/>
              </w:rPr>
            </w:pPr>
          </w:p>
        </w:tc>
      </w:tr>
      <w:tr w14:paraId="32F2F2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shd w:val="clear" w:color="auto" w:fill="auto"/>
            <w:vAlign w:val="center"/>
          </w:tcPr>
          <w:p w14:paraId="3B0845DF">
            <w:pPr>
              <w:pStyle w:val="53"/>
              <w:numPr>
                <w:ilvl w:val="0"/>
                <w:numId w:val="41"/>
              </w:numPr>
              <w:rPr>
                <w:rFonts w:asciiTheme="minorHAnsi" w:hAnsiTheme="minorHAnsi" w:cstheme="minorBidi"/>
                <w:highlight w:val="none"/>
              </w:rPr>
            </w:pPr>
          </w:p>
        </w:tc>
        <w:tc>
          <w:tcPr>
            <w:tcW w:w="773" w:type="pct"/>
            <w:shd w:val="clear" w:color="auto" w:fill="auto"/>
            <w:vAlign w:val="center"/>
          </w:tcPr>
          <w:p w14:paraId="73CF2A3F">
            <w:pPr>
              <w:pStyle w:val="53"/>
              <w:rPr>
                <w:rStyle w:val="220"/>
                <w:rFonts w:cstheme="minorBidi"/>
                <w:b w:val="0"/>
                <w:color w:val="000000"/>
                <w:highlight w:val="none"/>
              </w:rPr>
            </w:pPr>
            <w:r>
              <w:rPr>
                <w:rStyle w:val="220"/>
                <w:rFonts w:hint="eastAsia" w:cstheme="minorBidi"/>
                <w:b w:val="0"/>
                <w:color w:val="000000"/>
                <w:highlight w:val="none"/>
              </w:rPr>
              <w:t>现场负责人</w:t>
            </w:r>
          </w:p>
        </w:tc>
        <w:tc>
          <w:tcPr>
            <w:tcW w:w="521" w:type="pct"/>
            <w:shd w:val="clear" w:color="auto" w:fill="auto"/>
            <w:vAlign w:val="center"/>
          </w:tcPr>
          <w:p w14:paraId="64E85500">
            <w:pPr>
              <w:pStyle w:val="53"/>
              <w:rPr>
                <w:rStyle w:val="220"/>
                <w:rFonts w:cstheme="minorBidi"/>
                <w:b w:val="0"/>
                <w:color w:val="000000"/>
                <w:highlight w:val="none"/>
              </w:rPr>
            </w:pPr>
            <w:r>
              <w:rPr>
                <w:rStyle w:val="220"/>
                <w:rFonts w:hint="eastAsia" w:cstheme="minorBidi"/>
                <w:b w:val="0"/>
                <w:color w:val="000000"/>
                <w:highlight w:val="none"/>
              </w:rPr>
              <w:t>罗乾龙</w:t>
            </w:r>
          </w:p>
        </w:tc>
        <w:tc>
          <w:tcPr>
            <w:tcW w:w="483" w:type="pct"/>
            <w:shd w:val="clear" w:color="auto" w:fill="auto"/>
            <w:vAlign w:val="center"/>
          </w:tcPr>
          <w:p w14:paraId="01E39D2D">
            <w:pPr>
              <w:pStyle w:val="53"/>
              <w:rPr>
                <w:rStyle w:val="220"/>
                <w:rFonts w:cstheme="minorBidi"/>
                <w:b w:val="0"/>
                <w:color w:val="000000"/>
                <w:highlight w:val="none"/>
              </w:rPr>
            </w:pPr>
            <w:r>
              <w:rPr>
                <w:rStyle w:val="220"/>
                <w:rFonts w:hint="eastAsia" w:cstheme="minorBidi"/>
                <w:b w:val="0"/>
                <w:color w:val="000000"/>
                <w:highlight w:val="none"/>
              </w:rPr>
              <w:t>1</w:t>
            </w:r>
          </w:p>
        </w:tc>
        <w:tc>
          <w:tcPr>
            <w:tcW w:w="2450" w:type="pct"/>
            <w:shd w:val="clear" w:color="auto" w:fill="auto"/>
            <w:vAlign w:val="center"/>
          </w:tcPr>
          <w:p w14:paraId="45B9B458">
            <w:pPr>
              <w:pStyle w:val="53"/>
              <w:rPr>
                <w:rStyle w:val="220"/>
                <w:rFonts w:cstheme="minorBidi"/>
                <w:b w:val="0"/>
                <w:color w:val="000000"/>
                <w:highlight w:val="none"/>
              </w:rPr>
            </w:pPr>
            <w:r>
              <w:rPr>
                <w:rStyle w:val="220"/>
                <w:rFonts w:hint="eastAsia" w:cstheme="minorBidi"/>
                <w:b w:val="0"/>
                <w:color w:val="000000"/>
                <w:highlight w:val="none"/>
              </w:rPr>
              <w:t>负责组织人员按安装工艺规程及塔吊使用说明书要求进行作业，负责每日的工作安排，安全交底、工作记录，制止任何违章作业。</w:t>
            </w:r>
          </w:p>
        </w:tc>
        <w:tc>
          <w:tcPr>
            <w:tcW w:w="409" w:type="pct"/>
            <w:shd w:val="clear" w:color="auto" w:fill="auto"/>
            <w:vAlign w:val="center"/>
          </w:tcPr>
          <w:p w14:paraId="4FC18F70">
            <w:pPr>
              <w:pStyle w:val="53"/>
              <w:rPr>
                <w:rFonts w:asciiTheme="minorHAnsi" w:hAnsiTheme="minorHAnsi" w:cstheme="minorBidi"/>
                <w:highlight w:val="none"/>
              </w:rPr>
            </w:pPr>
          </w:p>
        </w:tc>
      </w:tr>
      <w:tr w14:paraId="767071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6" w:type="pct"/>
            <w:gridSpan w:val="3"/>
            <w:shd w:val="clear" w:color="auto" w:fill="auto"/>
            <w:vAlign w:val="center"/>
          </w:tcPr>
          <w:p w14:paraId="4EBC5B36">
            <w:pPr>
              <w:pStyle w:val="53"/>
              <w:rPr>
                <w:rFonts w:asciiTheme="minorHAnsi" w:hAnsiTheme="minorHAnsi" w:cstheme="minorBidi"/>
                <w:highlight w:val="none"/>
              </w:rPr>
            </w:pPr>
            <w:r>
              <w:rPr>
                <w:rFonts w:hint="eastAsia" w:asciiTheme="minorHAnsi" w:hAnsiTheme="minorHAnsi" w:cstheme="minorBidi"/>
                <w:highlight w:val="none"/>
              </w:rPr>
              <w:t>总计</w:t>
            </w:r>
          </w:p>
        </w:tc>
        <w:tc>
          <w:tcPr>
            <w:tcW w:w="483" w:type="pct"/>
            <w:shd w:val="clear" w:color="auto" w:fill="auto"/>
            <w:vAlign w:val="center"/>
          </w:tcPr>
          <w:p w14:paraId="5DBDCD21">
            <w:pPr>
              <w:pStyle w:val="53"/>
              <w:rPr>
                <w:rFonts w:hint="eastAsia" w:eastAsia="宋体" w:asciiTheme="minorHAnsi" w:hAnsiTheme="minorHAnsi" w:cstheme="minorBidi"/>
                <w:highlight w:val="none"/>
                <w:lang w:eastAsia="zh-CN"/>
              </w:rPr>
            </w:pPr>
            <w:r>
              <w:rPr>
                <w:rFonts w:hint="eastAsia" w:asciiTheme="minorHAnsi" w:hAnsiTheme="minorHAnsi" w:cstheme="minorBidi"/>
                <w:highlight w:val="none"/>
                <w:lang w:val="en-US" w:eastAsia="zh-CN"/>
              </w:rPr>
              <w:t>3</w:t>
            </w:r>
          </w:p>
        </w:tc>
        <w:tc>
          <w:tcPr>
            <w:tcW w:w="2450" w:type="pct"/>
            <w:shd w:val="clear" w:color="auto" w:fill="auto"/>
            <w:vAlign w:val="center"/>
          </w:tcPr>
          <w:p w14:paraId="2A642F21">
            <w:pPr>
              <w:pStyle w:val="53"/>
              <w:rPr>
                <w:rFonts w:asciiTheme="minorHAnsi" w:hAnsiTheme="minorHAnsi" w:cstheme="minorBidi"/>
                <w:highlight w:val="none"/>
              </w:rPr>
            </w:pPr>
          </w:p>
        </w:tc>
        <w:tc>
          <w:tcPr>
            <w:tcW w:w="409" w:type="pct"/>
            <w:shd w:val="clear" w:color="auto" w:fill="auto"/>
            <w:vAlign w:val="center"/>
          </w:tcPr>
          <w:p w14:paraId="7EEF803A">
            <w:pPr>
              <w:pStyle w:val="53"/>
              <w:rPr>
                <w:rFonts w:asciiTheme="minorHAnsi" w:hAnsiTheme="minorHAnsi" w:cstheme="minorBidi"/>
                <w:highlight w:val="none"/>
              </w:rPr>
            </w:pPr>
          </w:p>
        </w:tc>
      </w:tr>
    </w:tbl>
    <w:p w14:paraId="0FF2F032">
      <w:pPr>
        <w:pStyle w:val="4"/>
        <w:bidi w:val="0"/>
        <w:ind w:left="0" w:leftChars="0" w:firstLine="0" w:firstLineChars="0"/>
        <w:rPr>
          <w:highlight w:val="none"/>
        </w:rPr>
      </w:pPr>
      <w:bookmarkStart w:id="113" w:name="_Toc6369"/>
      <w:r>
        <w:rPr>
          <w:highlight w:val="none"/>
        </w:rPr>
        <w:t>专职安全生产管理人员配备和分工</w:t>
      </w:r>
      <w:bookmarkEnd w:id="110"/>
      <w:bookmarkEnd w:id="111"/>
      <w:bookmarkEnd w:id="112"/>
      <w:bookmarkEnd w:id="113"/>
    </w:p>
    <w:p w14:paraId="546236D0">
      <w:pPr>
        <w:pStyle w:val="133"/>
        <w:ind w:firstLine="480"/>
        <w:rPr>
          <w:rFonts w:cs="Times New Roman"/>
          <w:highlight w:val="none"/>
        </w:rPr>
      </w:pPr>
      <w:r>
        <w:rPr>
          <w:rFonts w:cs="Times New Roman"/>
          <w:highlight w:val="none"/>
        </w:rPr>
        <w:t>施工专职安全生产管理人员配备和分工见</w:t>
      </w:r>
      <w:r>
        <w:rPr>
          <w:rFonts w:cs="Times New Roman"/>
          <w:b/>
          <w:bCs/>
          <w:highlight w:val="none"/>
        </w:rPr>
        <w:t>表7.2-1</w:t>
      </w:r>
      <w:r>
        <w:rPr>
          <w:rFonts w:cs="Times New Roman"/>
          <w:highlight w:val="none"/>
        </w:rPr>
        <w:t>。</w:t>
      </w:r>
    </w:p>
    <w:p w14:paraId="0C4E25F3">
      <w:pPr>
        <w:pStyle w:val="387"/>
        <w:rPr>
          <w:rFonts w:hint="default"/>
          <w:b w:val="0"/>
          <w:bCs w:val="0"/>
          <w:sz w:val="24"/>
          <w:szCs w:val="22"/>
          <w:highlight w:val="none"/>
        </w:rPr>
      </w:pPr>
      <w:r>
        <w:rPr>
          <w:rFonts w:hint="default" w:cstheme="majorBidi"/>
          <w:bCs w:val="0"/>
          <w:szCs w:val="20"/>
          <w:highlight w:val="none"/>
        </w:rPr>
        <w:t>表</w:t>
      </w:r>
      <w:r>
        <w:rPr>
          <w:rFonts w:hint="default" w:cstheme="majorBidi"/>
          <w:bCs w:val="0"/>
          <w:szCs w:val="20"/>
          <w:highlight w:val="none"/>
        </w:rPr>
        <w:fldChar w:fldCharType="begin"/>
      </w:r>
      <w:r>
        <w:rPr>
          <w:rFonts w:hint="default" w:cstheme="majorBidi"/>
          <w:bCs w:val="0"/>
          <w:szCs w:val="20"/>
          <w:highlight w:val="none"/>
        </w:rPr>
        <w:instrText xml:space="preserve"> STYLEREF 2 \s </w:instrText>
      </w:r>
      <w:r>
        <w:rPr>
          <w:rFonts w:hint="default" w:cstheme="majorBidi"/>
          <w:bCs w:val="0"/>
          <w:szCs w:val="20"/>
          <w:highlight w:val="none"/>
        </w:rPr>
        <w:fldChar w:fldCharType="separate"/>
      </w:r>
      <w:r>
        <w:rPr>
          <w:rFonts w:hint="default" w:cstheme="majorBidi"/>
          <w:bCs w:val="0"/>
          <w:szCs w:val="20"/>
          <w:highlight w:val="none"/>
        </w:rPr>
        <w:t>7.2</w:t>
      </w:r>
      <w:r>
        <w:rPr>
          <w:rFonts w:hint="default" w:cstheme="majorBidi"/>
          <w:bCs w:val="0"/>
          <w:szCs w:val="20"/>
          <w:highlight w:val="none"/>
        </w:rPr>
        <w:fldChar w:fldCharType="end"/>
      </w:r>
      <w:r>
        <w:rPr>
          <w:rFonts w:hint="default" w:cstheme="majorBidi"/>
          <w:bCs w:val="0"/>
          <w:szCs w:val="20"/>
          <w:highlight w:val="none"/>
        </w:rPr>
        <w:noBreakHyphen/>
      </w:r>
      <w:r>
        <w:rPr>
          <w:rFonts w:hint="default" w:cstheme="majorBidi"/>
          <w:bCs w:val="0"/>
          <w:szCs w:val="20"/>
          <w:highlight w:val="none"/>
        </w:rPr>
        <w:fldChar w:fldCharType="begin"/>
      </w:r>
      <w:r>
        <w:rPr>
          <w:rFonts w:hint="default" w:cstheme="majorBidi"/>
          <w:bCs w:val="0"/>
          <w:szCs w:val="20"/>
          <w:highlight w:val="none"/>
        </w:rPr>
        <w:instrText xml:space="preserve"> SEQ 表 \* ARABIC \s 2 </w:instrText>
      </w:r>
      <w:r>
        <w:rPr>
          <w:rFonts w:hint="default" w:cstheme="majorBidi"/>
          <w:bCs w:val="0"/>
          <w:szCs w:val="20"/>
          <w:highlight w:val="none"/>
        </w:rPr>
        <w:fldChar w:fldCharType="separate"/>
      </w:r>
      <w:r>
        <w:rPr>
          <w:rFonts w:hint="default" w:cstheme="majorBidi"/>
          <w:bCs w:val="0"/>
          <w:szCs w:val="20"/>
          <w:highlight w:val="none"/>
        </w:rPr>
        <w:t>1</w:t>
      </w:r>
      <w:r>
        <w:rPr>
          <w:rFonts w:hint="default" w:cstheme="majorBidi"/>
          <w:bCs w:val="0"/>
          <w:szCs w:val="20"/>
          <w:highlight w:val="none"/>
        </w:rPr>
        <w:fldChar w:fldCharType="end"/>
      </w:r>
      <w:r>
        <w:rPr>
          <w:rFonts w:hint="default" w:cstheme="majorBidi"/>
          <w:bCs w:val="0"/>
          <w:szCs w:val="20"/>
          <w:highlight w:val="none"/>
        </w:rPr>
        <w:t>专职安全生产管理人员配备和分工表</w:t>
      </w:r>
    </w:p>
    <w:tbl>
      <w:tblPr>
        <w:tblStyle w:val="13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53"/>
        <w:gridCol w:w="1210"/>
        <w:gridCol w:w="868"/>
        <w:gridCol w:w="476"/>
        <w:gridCol w:w="4039"/>
        <w:gridCol w:w="1273"/>
      </w:tblGrid>
      <w:tr w14:paraId="4516D0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3" w:type="pct"/>
            <w:shd w:val="clear" w:color="auto" w:fill="auto"/>
            <w:vAlign w:val="center"/>
          </w:tcPr>
          <w:p w14:paraId="3F67CA8D">
            <w:pPr>
              <w:pStyle w:val="53"/>
              <w:rPr>
                <w:rFonts w:asciiTheme="minorHAnsi" w:hAnsiTheme="minorHAnsi" w:cstheme="minorBidi"/>
                <w:highlight w:val="none"/>
              </w:rPr>
            </w:pPr>
            <w:r>
              <w:rPr>
                <w:rFonts w:hint="eastAsia" w:asciiTheme="minorHAnsi" w:hAnsiTheme="minorHAnsi" w:cstheme="minorBidi"/>
                <w:highlight w:val="none"/>
              </w:rPr>
              <w:t>序号</w:t>
            </w:r>
          </w:p>
        </w:tc>
        <w:tc>
          <w:tcPr>
            <w:tcW w:w="710" w:type="pct"/>
            <w:shd w:val="clear" w:color="auto" w:fill="auto"/>
            <w:vAlign w:val="center"/>
          </w:tcPr>
          <w:p w14:paraId="2ECCA511">
            <w:pPr>
              <w:pStyle w:val="53"/>
              <w:rPr>
                <w:rFonts w:asciiTheme="minorHAnsi" w:hAnsiTheme="minorHAnsi" w:cstheme="minorBidi"/>
                <w:highlight w:val="none"/>
              </w:rPr>
            </w:pPr>
            <w:r>
              <w:rPr>
                <w:rFonts w:hint="eastAsia" w:asciiTheme="minorHAnsi" w:hAnsiTheme="minorHAnsi" w:cstheme="minorBidi"/>
                <w:highlight w:val="none"/>
              </w:rPr>
              <w:t>工种</w:t>
            </w:r>
          </w:p>
        </w:tc>
        <w:tc>
          <w:tcPr>
            <w:tcW w:w="509" w:type="pct"/>
            <w:shd w:val="clear" w:color="auto" w:fill="auto"/>
            <w:vAlign w:val="center"/>
          </w:tcPr>
          <w:p w14:paraId="01603F11">
            <w:pPr>
              <w:pStyle w:val="53"/>
              <w:rPr>
                <w:rFonts w:asciiTheme="minorHAnsi" w:hAnsiTheme="minorHAnsi" w:cstheme="minorBidi"/>
                <w:highlight w:val="none"/>
              </w:rPr>
            </w:pPr>
            <w:r>
              <w:rPr>
                <w:rFonts w:hint="eastAsia" w:asciiTheme="minorHAnsi" w:hAnsiTheme="minorHAnsi" w:cstheme="minorBidi"/>
                <w:highlight w:val="none"/>
              </w:rPr>
              <w:t>姓名</w:t>
            </w:r>
          </w:p>
        </w:tc>
        <w:tc>
          <w:tcPr>
            <w:tcW w:w="279" w:type="pct"/>
            <w:shd w:val="clear" w:color="auto" w:fill="auto"/>
            <w:vAlign w:val="center"/>
          </w:tcPr>
          <w:p w14:paraId="1A230E3F">
            <w:pPr>
              <w:pStyle w:val="53"/>
              <w:rPr>
                <w:rFonts w:asciiTheme="minorHAnsi" w:hAnsiTheme="minorHAnsi" w:cstheme="minorBidi"/>
                <w:highlight w:val="none"/>
              </w:rPr>
            </w:pPr>
            <w:r>
              <w:rPr>
                <w:rFonts w:hint="eastAsia" w:asciiTheme="minorHAnsi" w:hAnsiTheme="minorHAnsi" w:cstheme="minorBidi"/>
                <w:highlight w:val="none"/>
              </w:rPr>
              <w:t>人数</w:t>
            </w:r>
          </w:p>
        </w:tc>
        <w:tc>
          <w:tcPr>
            <w:tcW w:w="2369" w:type="pct"/>
            <w:shd w:val="clear" w:color="auto" w:fill="auto"/>
            <w:vAlign w:val="center"/>
          </w:tcPr>
          <w:p w14:paraId="024F2C34">
            <w:pPr>
              <w:pStyle w:val="53"/>
              <w:rPr>
                <w:rFonts w:asciiTheme="minorHAnsi" w:hAnsiTheme="minorHAnsi" w:cstheme="minorBidi"/>
                <w:highlight w:val="none"/>
              </w:rPr>
            </w:pPr>
            <w:r>
              <w:rPr>
                <w:rFonts w:hint="eastAsia" w:asciiTheme="minorHAnsi" w:hAnsiTheme="minorHAnsi" w:cstheme="minorBidi"/>
                <w:highlight w:val="none"/>
              </w:rPr>
              <w:t>工作职责</w:t>
            </w:r>
          </w:p>
        </w:tc>
        <w:tc>
          <w:tcPr>
            <w:tcW w:w="747" w:type="pct"/>
            <w:shd w:val="clear" w:color="auto" w:fill="auto"/>
            <w:vAlign w:val="center"/>
          </w:tcPr>
          <w:p w14:paraId="7F0A4F1E">
            <w:pPr>
              <w:pStyle w:val="53"/>
              <w:rPr>
                <w:rFonts w:asciiTheme="minorHAnsi" w:hAnsiTheme="minorHAnsi" w:cstheme="minorBidi"/>
                <w:highlight w:val="none"/>
              </w:rPr>
            </w:pPr>
            <w:r>
              <w:rPr>
                <w:rFonts w:hint="eastAsia" w:asciiTheme="minorHAnsi" w:hAnsiTheme="minorHAnsi" w:cstheme="minorBidi"/>
                <w:highlight w:val="none"/>
              </w:rPr>
              <w:t>备注</w:t>
            </w:r>
          </w:p>
        </w:tc>
      </w:tr>
      <w:tr w14:paraId="1A7B3A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3" w:type="pct"/>
            <w:shd w:val="clear" w:color="auto" w:fill="auto"/>
            <w:vAlign w:val="center"/>
          </w:tcPr>
          <w:p w14:paraId="4B78904A">
            <w:pPr>
              <w:pStyle w:val="53"/>
              <w:numPr>
                <w:ilvl w:val="0"/>
                <w:numId w:val="42"/>
              </w:numPr>
              <w:rPr>
                <w:rFonts w:asciiTheme="minorHAnsi" w:hAnsiTheme="minorHAnsi" w:cstheme="minorBidi"/>
                <w:highlight w:val="none"/>
              </w:rPr>
            </w:pPr>
          </w:p>
        </w:tc>
        <w:tc>
          <w:tcPr>
            <w:tcW w:w="710" w:type="pct"/>
            <w:shd w:val="clear" w:color="auto" w:fill="auto"/>
            <w:vAlign w:val="center"/>
          </w:tcPr>
          <w:p w14:paraId="19F9560C">
            <w:pPr>
              <w:pStyle w:val="53"/>
              <w:rPr>
                <w:rFonts w:asciiTheme="minorHAnsi" w:hAnsiTheme="minorHAnsi" w:cstheme="minorBidi"/>
                <w:b w:val="0"/>
                <w:color w:val="000000"/>
                <w:highlight w:val="none"/>
              </w:rPr>
            </w:pPr>
            <w:r>
              <w:rPr>
                <w:rFonts w:hint="eastAsia" w:asciiTheme="minorHAnsi" w:hAnsiTheme="minorHAnsi" w:cstheme="minorBidi"/>
                <w:b w:val="0"/>
                <w:color w:val="000000"/>
                <w:highlight w:val="none"/>
              </w:rPr>
              <w:t>专职安全管理人员</w:t>
            </w:r>
          </w:p>
        </w:tc>
        <w:tc>
          <w:tcPr>
            <w:tcW w:w="509" w:type="pct"/>
            <w:shd w:val="clear" w:color="auto" w:fill="auto"/>
            <w:vAlign w:val="center"/>
          </w:tcPr>
          <w:p w14:paraId="705D8169">
            <w:pPr>
              <w:pStyle w:val="53"/>
              <w:rPr>
                <w:rFonts w:asciiTheme="minorHAnsi" w:hAnsiTheme="minorHAnsi" w:cstheme="minorBidi"/>
                <w:b w:val="0"/>
                <w:color w:val="000000"/>
                <w:highlight w:val="none"/>
              </w:rPr>
            </w:pPr>
            <w:r>
              <w:rPr>
                <w:rFonts w:hint="eastAsia" w:asciiTheme="minorHAnsi" w:hAnsiTheme="minorHAnsi" w:cstheme="minorBidi"/>
                <w:b w:val="0"/>
                <w:color w:val="000000"/>
                <w:highlight w:val="none"/>
              </w:rPr>
              <w:t>白美富</w:t>
            </w:r>
          </w:p>
        </w:tc>
        <w:tc>
          <w:tcPr>
            <w:tcW w:w="279" w:type="pct"/>
            <w:shd w:val="clear" w:color="auto" w:fill="auto"/>
            <w:vAlign w:val="center"/>
          </w:tcPr>
          <w:p w14:paraId="6FFB6E93">
            <w:pPr>
              <w:pStyle w:val="53"/>
              <w:rPr>
                <w:rFonts w:asciiTheme="minorHAnsi" w:hAnsiTheme="minorHAnsi" w:cstheme="minorBidi"/>
                <w:b w:val="0"/>
                <w:color w:val="000000"/>
                <w:highlight w:val="none"/>
              </w:rPr>
            </w:pPr>
            <w:r>
              <w:rPr>
                <w:rFonts w:hint="eastAsia" w:asciiTheme="minorHAnsi" w:hAnsiTheme="minorHAnsi" w:cstheme="minorBidi"/>
                <w:b w:val="0"/>
                <w:color w:val="000000"/>
                <w:highlight w:val="none"/>
              </w:rPr>
              <w:t>1</w:t>
            </w:r>
          </w:p>
        </w:tc>
        <w:tc>
          <w:tcPr>
            <w:tcW w:w="2369" w:type="pct"/>
            <w:shd w:val="clear" w:color="auto" w:fill="auto"/>
            <w:vAlign w:val="center"/>
          </w:tcPr>
          <w:p w14:paraId="2CE29B62">
            <w:pPr>
              <w:pStyle w:val="53"/>
              <w:rPr>
                <w:rFonts w:asciiTheme="minorHAnsi" w:hAnsiTheme="minorHAnsi" w:cstheme="minorBidi"/>
                <w:b w:val="0"/>
                <w:color w:val="000000"/>
                <w:highlight w:val="none"/>
              </w:rPr>
            </w:pPr>
            <w:r>
              <w:rPr>
                <w:rFonts w:hint="eastAsia" w:asciiTheme="minorHAnsi" w:hAnsiTheme="minorHAnsi" w:cstheme="minorBidi"/>
                <w:b w:val="0"/>
                <w:color w:val="000000"/>
                <w:highlight w:val="none"/>
              </w:rPr>
              <w:t>负责现场安全管理</w:t>
            </w:r>
          </w:p>
        </w:tc>
        <w:tc>
          <w:tcPr>
            <w:tcW w:w="747" w:type="pct"/>
            <w:shd w:val="clear" w:color="auto" w:fill="auto"/>
            <w:vAlign w:val="center"/>
          </w:tcPr>
          <w:p w14:paraId="728A05D1">
            <w:pPr>
              <w:pStyle w:val="53"/>
              <w:rPr>
                <w:rFonts w:asciiTheme="minorHAnsi" w:hAnsiTheme="minorHAnsi" w:cstheme="minorBidi"/>
                <w:b w:val="0"/>
                <w:color w:val="000000"/>
                <w:highlight w:val="none"/>
              </w:rPr>
            </w:pPr>
          </w:p>
        </w:tc>
      </w:tr>
      <w:tr w14:paraId="201A71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02" w:type="pct"/>
            <w:gridSpan w:val="3"/>
            <w:shd w:val="clear" w:color="auto" w:fill="auto"/>
            <w:vAlign w:val="center"/>
          </w:tcPr>
          <w:p w14:paraId="53EF4F31">
            <w:pPr>
              <w:pStyle w:val="53"/>
              <w:rPr>
                <w:rFonts w:asciiTheme="minorHAnsi" w:hAnsiTheme="minorHAnsi" w:cstheme="minorBidi"/>
                <w:b w:val="0"/>
                <w:color w:val="000000"/>
                <w:highlight w:val="none"/>
              </w:rPr>
            </w:pPr>
            <w:r>
              <w:rPr>
                <w:rFonts w:hint="eastAsia" w:asciiTheme="minorHAnsi" w:hAnsiTheme="minorHAnsi" w:cstheme="minorBidi"/>
                <w:b w:val="0"/>
                <w:color w:val="000000"/>
                <w:highlight w:val="none"/>
              </w:rPr>
              <w:t>总计</w:t>
            </w:r>
          </w:p>
        </w:tc>
        <w:tc>
          <w:tcPr>
            <w:tcW w:w="279" w:type="pct"/>
            <w:shd w:val="clear" w:color="auto" w:fill="auto"/>
            <w:vAlign w:val="center"/>
          </w:tcPr>
          <w:p w14:paraId="1E830F3B">
            <w:pPr>
              <w:pStyle w:val="53"/>
              <w:rPr>
                <w:rFonts w:asciiTheme="minorHAnsi" w:hAnsiTheme="minorHAnsi" w:cstheme="minorBidi"/>
                <w:b w:val="0"/>
                <w:color w:val="000000"/>
                <w:highlight w:val="none"/>
              </w:rPr>
            </w:pPr>
            <w:r>
              <w:rPr>
                <w:rFonts w:hint="eastAsia" w:asciiTheme="minorHAnsi" w:hAnsiTheme="minorHAnsi" w:cstheme="minorBidi"/>
                <w:b w:val="0"/>
                <w:color w:val="000000"/>
                <w:highlight w:val="none"/>
              </w:rPr>
              <w:t>1</w:t>
            </w:r>
          </w:p>
        </w:tc>
        <w:tc>
          <w:tcPr>
            <w:tcW w:w="2369" w:type="pct"/>
            <w:shd w:val="clear" w:color="auto" w:fill="auto"/>
            <w:vAlign w:val="center"/>
          </w:tcPr>
          <w:p w14:paraId="46E9A553">
            <w:pPr>
              <w:pStyle w:val="53"/>
              <w:rPr>
                <w:rFonts w:asciiTheme="minorHAnsi" w:hAnsiTheme="minorHAnsi" w:cstheme="minorBidi"/>
                <w:b w:val="0"/>
                <w:color w:val="000000"/>
                <w:highlight w:val="none"/>
              </w:rPr>
            </w:pPr>
          </w:p>
        </w:tc>
        <w:tc>
          <w:tcPr>
            <w:tcW w:w="747" w:type="pct"/>
            <w:shd w:val="clear" w:color="auto" w:fill="auto"/>
            <w:vAlign w:val="center"/>
          </w:tcPr>
          <w:p w14:paraId="62A21B3D">
            <w:pPr>
              <w:pStyle w:val="53"/>
              <w:rPr>
                <w:rFonts w:asciiTheme="minorHAnsi" w:hAnsiTheme="minorHAnsi" w:cstheme="minorBidi"/>
                <w:b w:val="0"/>
                <w:color w:val="000000"/>
                <w:highlight w:val="none"/>
              </w:rPr>
            </w:pPr>
          </w:p>
        </w:tc>
      </w:tr>
    </w:tbl>
    <w:p w14:paraId="2796D397">
      <w:pPr>
        <w:pStyle w:val="18"/>
        <w:rPr>
          <w:rFonts w:cs="Times New Roman"/>
          <w:b w:val="0"/>
          <w:sz w:val="24"/>
          <w:szCs w:val="22"/>
          <w:highlight w:val="none"/>
        </w:rPr>
      </w:pPr>
      <w:r>
        <w:rPr>
          <w:rFonts w:hint="eastAsia"/>
          <w:highlight w:val="none"/>
        </w:rPr>
        <w:t>表7.2-2安拆专业分包单位管理人员及安拆人员名单汇总表</w:t>
      </w:r>
    </w:p>
    <w:tbl>
      <w:tblPr>
        <w:tblStyle w:val="15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04"/>
        <w:gridCol w:w="1845"/>
        <w:gridCol w:w="2159"/>
        <w:gridCol w:w="2106"/>
        <w:gridCol w:w="1508"/>
      </w:tblGrid>
      <w:tr w14:paraId="56DA38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8522" w:type="dxa"/>
            <w:gridSpan w:val="5"/>
            <w:tcBorders>
              <w:tl2br w:val="nil"/>
            </w:tcBorders>
            <w:shd w:val="clear" w:color="auto" w:fill="FFFFFF"/>
            <w:vAlign w:val="center"/>
          </w:tcPr>
          <w:p w14:paraId="1C928471">
            <w:pPr>
              <w:spacing w:line="240" w:lineRule="auto"/>
              <w:ind w:firstLine="0" w:firstLineChars="0"/>
              <w:jc w:val="center"/>
              <w:rPr>
                <w:rStyle w:val="220"/>
                <w:rFonts w:cstheme="minorBidi"/>
                <w:b w:val="0"/>
                <w:bCs/>
                <w:i w:val="0"/>
                <w:color w:val="000000"/>
                <w:highlight w:val="none"/>
              </w:rPr>
            </w:pPr>
            <w:r>
              <w:rPr>
                <w:rStyle w:val="220"/>
                <w:rFonts w:hint="eastAsia" w:cstheme="minorBidi"/>
                <w:b/>
                <w:bCs/>
                <w:i w:val="0"/>
                <w:color w:val="000000"/>
                <w:highlight w:val="none"/>
              </w:rPr>
              <w:t>拟投入安全管理人员及技术人员名单</w:t>
            </w:r>
          </w:p>
        </w:tc>
      </w:tr>
      <w:tr w14:paraId="19BACD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904" w:type="dxa"/>
            <w:shd w:val="clear" w:color="auto" w:fill="FFFFFF"/>
            <w:vAlign w:val="center"/>
          </w:tcPr>
          <w:p w14:paraId="0AEF877F">
            <w:pPr>
              <w:spacing w:line="240" w:lineRule="auto"/>
              <w:ind w:firstLine="0" w:firstLineChars="0"/>
              <w:jc w:val="center"/>
              <w:rPr>
                <w:rStyle w:val="220"/>
                <w:rFonts w:cstheme="minorBidi"/>
                <w:b w:val="0"/>
                <w:bCs/>
                <w:i w:val="0"/>
                <w:color w:val="000000"/>
                <w:highlight w:val="none"/>
              </w:rPr>
            </w:pPr>
            <w:r>
              <w:rPr>
                <w:rStyle w:val="220"/>
                <w:rFonts w:hint="eastAsia" w:cstheme="minorBidi"/>
                <w:b/>
                <w:bCs/>
                <w:i w:val="0"/>
                <w:color w:val="000000"/>
                <w:highlight w:val="none"/>
              </w:rPr>
              <w:t>姓名</w:t>
            </w:r>
          </w:p>
        </w:tc>
        <w:tc>
          <w:tcPr>
            <w:tcW w:w="1845" w:type="dxa"/>
            <w:shd w:val="clear" w:color="auto" w:fill="FFFFFF"/>
            <w:vAlign w:val="center"/>
          </w:tcPr>
          <w:p w14:paraId="76541E0B">
            <w:pPr>
              <w:spacing w:line="240" w:lineRule="auto"/>
              <w:ind w:firstLine="0" w:firstLineChars="0"/>
              <w:jc w:val="center"/>
              <w:rPr>
                <w:rStyle w:val="220"/>
                <w:rFonts w:cstheme="minorBidi"/>
                <w:b w:val="0"/>
                <w:bCs/>
                <w:i w:val="0"/>
                <w:color w:val="000000"/>
                <w:highlight w:val="none"/>
              </w:rPr>
            </w:pPr>
            <w:r>
              <w:rPr>
                <w:rStyle w:val="220"/>
                <w:rFonts w:hint="eastAsia" w:cstheme="minorBidi"/>
                <w:b/>
                <w:bCs/>
                <w:i w:val="0"/>
                <w:color w:val="000000"/>
                <w:highlight w:val="none"/>
              </w:rPr>
              <w:t>职务/工种</w:t>
            </w:r>
          </w:p>
        </w:tc>
        <w:tc>
          <w:tcPr>
            <w:tcW w:w="2159" w:type="dxa"/>
            <w:shd w:val="clear" w:color="auto" w:fill="FFFFFF"/>
            <w:vAlign w:val="center"/>
          </w:tcPr>
          <w:p w14:paraId="2739DFA3">
            <w:pPr>
              <w:spacing w:line="240" w:lineRule="auto"/>
              <w:ind w:firstLine="0" w:firstLineChars="0"/>
              <w:jc w:val="center"/>
              <w:rPr>
                <w:rStyle w:val="220"/>
                <w:rFonts w:cstheme="minorBidi"/>
                <w:b w:val="0"/>
                <w:bCs/>
                <w:i w:val="0"/>
                <w:color w:val="000000"/>
                <w:highlight w:val="none"/>
              </w:rPr>
            </w:pPr>
            <w:r>
              <w:rPr>
                <w:rStyle w:val="220"/>
                <w:rFonts w:hint="eastAsia" w:cstheme="minorBidi"/>
                <w:b/>
                <w:bCs/>
                <w:i w:val="0"/>
                <w:color w:val="000000"/>
                <w:highlight w:val="none"/>
              </w:rPr>
              <w:t>身份证号码</w:t>
            </w:r>
          </w:p>
        </w:tc>
        <w:tc>
          <w:tcPr>
            <w:tcW w:w="0" w:type="auto"/>
            <w:shd w:val="clear" w:color="auto" w:fill="FFFFFF"/>
            <w:vAlign w:val="center"/>
          </w:tcPr>
          <w:p w14:paraId="7BE18C5F">
            <w:pPr>
              <w:spacing w:line="240" w:lineRule="auto"/>
              <w:ind w:firstLine="0" w:firstLineChars="0"/>
              <w:jc w:val="center"/>
              <w:rPr>
                <w:rStyle w:val="220"/>
                <w:rFonts w:cstheme="minorBidi"/>
                <w:b w:val="0"/>
                <w:bCs/>
                <w:i w:val="0"/>
                <w:color w:val="000000"/>
                <w:highlight w:val="none"/>
              </w:rPr>
            </w:pPr>
            <w:r>
              <w:rPr>
                <w:rStyle w:val="220"/>
                <w:rFonts w:hint="eastAsia" w:cstheme="minorBidi"/>
                <w:b/>
                <w:bCs/>
                <w:i w:val="0"/>
                <w:color w:val="000000"/>
                <w:highlight w:val="none"/>
              </w:rPr>
              <w:t>作业证号</w:t>
            </w:r>
          </w:p>
        </w:tc>
        <w:tc>
          <w:tcPr>
            <w:tcW w:w="1508" w:type="dxa"/>
            <w:shd w:val="clear" w:color="auto" w:fill="FFFFFF"/>
            <w:vAlign w:val="center"/>
          </w:tcPr>
          <w:p w14:paraId="4416EAA3">
            <w:pPr>
              <w:spacing w:line="240" w:lineRule="auto"/>
              <w:ind w:firstLine="0" w:firstLineChars="0"/>
              <w:jc w:val="center"/>
              <w:rPr>
                <w:rStyle w:val="220"/>
                <w:rFonts w:cstheme="minorBidi"/>
                <w:b w:val="0"/>
                <w:bCs/>
                <w:i w:val="0"/>
                <w:color w:val="000000"/>
                <w:highlight w:val="none"/>
              </w:rPr>
            </w:pPr>
            <w:r>
              <w:rPr>
                <w:rStyle w:val="220"/>
                <w:rFonts w:hint="eastAsia" w:cstheme="minorBidi"/>
                <w:b/>
                <w:bCs/>
                <w:i w:val="0"/>
                <w:color w:val="000000"/>
                <w:highlight w:val="none"/>
              </w:rPr>
              <w:t>工作内容</w:t>
            </w:r>
          </w:p>
        </w:tc>
      </w:tr>
      <w:tr w14:paraId="650FF5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22" w:type="dxa"/>
            <w:gridSpan w:val="5"/>
            <w:shd w:val="clear" w:color="auto" w:fill="FFFFFF"/>
            <w:vAlign w:val="center"/>
          </w:tcPr>
          <w:p w14:paraId="21BF517A">
            <w:pPr>
              <w:spacing w:line="240" w:lineRule="auto"/>
              <w:ind w:firstLine="0" w:firstLineChars="0"/>
              <w:jc w:val="center"/>
              <w:rPr>
                <w:rStyle w:val="220"/>
                <w:rFonts w:cstheme="minorBidi"/>
                <w:b w:val="0"/>
                <w:i w:val="0"/>
                <w:color w:val="000000"/>
                <w:highlight w:val="none"/>
              </w:rPr>
            </w:pPr>
            <w:r>
              <w:rPr>
                <w:rStyle w:val="220"/>
                <w:rFonts w:hint="eastAsia" w:cstheme="minorBidi"/>
                <w:b w:val="0"/>
                <w:i w:val="0"/>
                <w:color w:val="000000"/>
                <w:highlight w:val="none"/>
              </w:rPr>
              <w:t>安拆施工特种设备作业人员</w:t>
            </w:r>
          </w:p>
        </w:tc>
      </w:tr>
      <w:tr w14:paraId="06829A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04" w:type="dxa"/>
            <w:shd w:val="clear" w:color="auto" w:fill="FFFFFF"/>
            <w:vAlign w:val="center"/>
          </w:tcPr>
          <w:p w14:paraId="4F763968">
            <w:pPr>
              <w:spacing w:line="240" w:lineRule="auto"/>
              <w:ind w:firstLine="0" w:firstLineChars="0"/>
              <w:jc w:val="center"/>
              <w:rPr>
                <w:rStyle w:val="220"/>
                <w:rFonts w:cstheme="minorBidi"/>
                <w:b w:val="0"/>
                <w:i w:val="0"/>
                <w:color w:val="000000"/>
                <w:highlight w:val="none"/>
              </w:rPr>
            </w:pPr>
            <w:r>
              <w:rPr>
                <w:rStyle w:val="220"/>
                <w:rFonts w:hint="eastAsia" w:cstheme="minorBidi"/>
                <w:b w:val="0"/>
                <w:i w:val="0"/>
                <w:color w:val="000000"/>
                <w:highlight w:val="none"/>
              </w:rPr>
              <w:t>胡杰</w:t>
            </w:r>
          </w:p>
        </w:tc>
        <w:tc>
          <w:tcPr>
            <w:tcW w:w="1845" w:type="dxa"/>
            <w:shd w:val="clear" w:color="auto" w:fill="FFFFFF"/>
            <w:vAlign w:val="center"/>
          </w:tcPr>
          <w:p w14:paraId="504A4753">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建筑起重机械安装拆卸工（塔式起重机</w:t>
            </w:r>
          </w:p>
        </w:tc>
        <w:tc>
          <w:tcPr>
            <w:tcW w:w="2159" w:type="dxa"/>
            <w:shd w:val="clear" w:color="auto" w:fill="FFFFFF"/>
            <w:vAlign w:val="center"/>
          </w:tcPr>
          <w:p w14:paraId="34C1A15D">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500384199202280315</w:t>
            </w:r>
          </w:p>
        </w:tc>
        <w:tc>
          <w:tcPr>
            <w:tcW w:w="0" w:type="auto"/>
            <w:shd w:val="clear" w:color="auto" w:fill="FFFFFF"/>
            <w:vAlign w:val="center"/>
          </w:tcPr>
          <w:p w14:paraId="57AEB324">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渝A082019011037</w:t>
            </w:r>
          </w:p>
        </w:tc>
        <w:tc>
          <w:tcPr>
            <w:tcW w:w="1508" w:type="dxa"/>
            <w:shd w:val="clear" w:color="auto" w:fill="FFFFFF"/>
            <w:vAlign w:val="center"/>
          </w:tcPr>
          <w:p w14:paraId="456AAA27">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负责设备安拆调试及维保</w:t>
            </w:r>
          </w:p>
        </w:tc>
      </w:tr>
      <w:tr w14:paraId="3F550C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04" w:type="dxa"/>
            <w:shd w:val="clear" w:color="auto" w:fill="FFFFFF"/>
            <w:vAlign w:val="center"/>
          </w:tcPr>
          <w:p w14:paraId="6175D950">
            <w:pPr>
              <w:spacing w:line="240" w:lineRule="auto"/>
              <w:ind w:firstLine="0" w:firstLineChars="0"/>
              <w:jc w:val="center"/>
              <w:rPr>
                <w:rStyle w:val="220"/>
                <w:rFonts w:cstheme="minorBidi"/>
                <w:b w:val="0"/>
                <w:i w:val="0"/>
                <w:color w:val="000000"/>
                <w:highlight w:val="none"/>
              </w:rPr>
            </w:pPr>
            <w:r>
              <w:rPr>
                <w:rStyle w:val="220"/>
                <w:rFonts w:hint="eastAsia" w:cstheme="minorBidi"/>
                <w:b w:val="0"/>
                <w:i w:val="0"/>
                <w:color w:val="000000"/>
                <w:highlight w:val="none"/>
              </w:rPr>
              <w:t>何小兵</w:t>
            </w:r>
          </w:p>
        </w:tc>
        <w:tc>
          <w:tcPr>
            <w:tcW w:w="1845" w:type="dxa"/>
            <w:shd w:val="clear" w:color="auto" w:fill="FFFFFF"/>
            <w:vAlign w:val="center"/>
          </w:tcPr>
          <w:p w14:paraId="0822D45F">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建筑起重机械安装拆卸工（塔式起重机）</w:t>
            </w:r>
          </w:p>
        </w:tc>
        <w:tc>
          <w:tcPr>
            <w:tcW w:w="2159" w:type="dxa"/>
            <w:shd w:val="clear" w:color="auto" w:fill="FFFFFF"/>
            <w:vAlign w:val="center"/>
          </w:tcPr>
          <w:p w14:paraId="4C610BA6">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513723198610154237</w:t>
            </w:r>
          </w:p>
        </w:tc>
        <w:tc>
          <w:tcPr>
            <w:tcW w:w="0" w:type="auto"/>
            <w:shd w:val="clear" w:color="auto" w:fill="FFFFFF"/>
            <w:vAlign w:val="center"/>
          </w:tcPr>
          <w:p w14:paraId="50281F41">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川Y082020508699</w:t>
            </w:r>
          </w:p>
        </w:tc>
        <w:tc>
          <w:tcPr>
            <w:tcW w:w="1508" w:type="dxa"/>
            <w:shd w:val="clear" w:color="auto" w:fill="FFFFFF"/>
            <w:vAlign w:val="center"/>
          </w:tcPr>
          <w:p w14:paraId="5C3863FC">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负责设备安拆调试及维保</w:t>
            </w:r>
          </w:p>
        </w:tc>
      </w:tr>
      <w:tr w14:paraId="486761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04" w:type="dxa"/>
            <w:shd w:val="clear" w:color="auto" w:fill="FFFFFF"/>
            <w:vAlign w:val="center"/>
          </w:tcPr>
          <w:p w14:paraId="12E4680C">
            <w:pPr>
              <w:spacing w:line="240" w:lineRule="auto"/>
              <w:ind w:firstLine="0" w:firstLineChars="0"/>
              <w:jc w:val="center"/>
              <w:rPr>
                <w:rStyle w:val="220"/>
                <w:rFonts w:hint="eastAsia" w:eastAsia="宋体" w:cstheme="minorBidi"/>
                <w:b w:val="0"/>
                <w:i w:val="0"/>
                <w:color w:val="000000"/>
                <w:highlight w:val="none"/>
                <w:lang w:eastAsia="zh-CN"/>
              </w:rPr>
            </w:pPr>
            <w:r>
              <w:rPr>
                <w:rStyle w:val="220"/>
                <w:rFonts w:hint="eastAsia" w:cstheme="minorBidi"/>
                <w:b w:val="0"/>
                <w:i w:val="0"/>
                <w:color w:val="000000"/>
                <w:highlight w:val="none"/>
                <w:lang w:eastAsia="zh-CN"/>
              </w:rPr>
              <w:t>李国林</w:t>
            </w:r>
          </w:p>
        </w:tc>
        <w:tc>
          <w:tcPr>
            <w:tcW w:w="1845" w:type="dxa"/>
            <w:shd w:val="clear" w:color="auto" w:fill="FFFFFF"/>
            <w:vAlign w:val="center"/>
          </w:tcPr>
          <w:p w14:paraId="45C45A57">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建筑起重机械安装拆卸工（塔式起重机）</w:t>
            </w:r>
          </w:p>
        </w:tc>
        <w:tc>
          <w:tcPr>
            <w:tcW w:w="2159" w:type="dxa"/>
            <w:shd w:val="clear" w:color="auto" w:fill="FFFFFF"/>
            <w:vAlign w:val="center"/>
          </w:tcPr>
          <w:p w14:paraId="6FB2EB06">
            <w:pPr>
              <w:spacing w:line="240" w:lineRule="auto"/>
              <w:ind w:firstLine="0" w:firstLineChars="0"/>
              <w:jc w:val="center"/>
              <w:rPr>
                <w:rStyle w:val="220"/>
                <w:rFonts w:cstheme="minorBidi"/>
                <w:color w:val="000000"/>
                <w:highlight w:val="none"/>
              </w:rPr>
            </w:pPr>
            <w:r>
              <w:rPr>
                <w:rStyle w:val="220"/>
                <w:rFonts w:hint="eastAsia" w:cstheme="minorBidi"/>
                <w:color w:val="000000"/>
              </w:rPr>
              <w:t>510521199609061015</w:t>
            </w:r>
          </w:p>
        </w:tc>
        <w:tc>
          <w:tcPr>
            <w:tcW w:w="2106" w:type="dxa"/>
            <w:shd w:val="clear" w:color="auto" w:fill="FFFFFF"/>
            <w:vAlign w:val="center"/>
          </w:tcPr>
          <w:p w14:paraId="5E010C59">
            <w:pPr>
              <w:spacing w:line="240" w:lineRule="auto"/>
              <w:ind w:firstLine="0" w:firstLineChars="0"/>
              <w:jc w:val="center"/>
              <w:rPr>
                <w:rStyle w:val="220"/>
                <w:rFonts w:cstheme="minorBidi"/>
                <w:color w:val="000000"/>
                <w:highlight w:val="none"/>
              </w:rPr>
            </w:pPr>
            <w:r>
              <w:rPr>
                <w:rStyle w:val="220"/>
                <w:rFonts w:hint="eastAsia" w:cstheme="minorBidi"/>
                <w:color w:val="000000"/>
              </w:rPr>
              <w:t>黔G082018005232</w:t>
            </w:r>
          </w:p>
        </w:tc>
        <w:tc>
          <w:tcPr>
            <w:tcW w:w="1508" w:type="dxa"/>
            <w:shd w:val="clear" w:color="auto" w:fill="FFFFFF"/>
            <w:vAlign w:val="center"/>
          </w:tcPr>
          <w:p w14:paraId="32B4C8F0">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负责设备安拆调试及维保</w:t>
            </w:r>
          </w:p>
        </w:tc>
      </w:tr>
      <w:tr w14:paraId="64D696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04" w:type="dxa"/>
            <w:shd w:val="clear" w:color="auto" w:fill="FFFFFF"/>
            <w:vAlign w:val="center"/>
          </w:tcPr>
          <w:p w14:paraId="0757E1B7">
            <w:pPr>
              <w:spacing w:line="240" w:lineRule="auto"/>
              <w:ind w:firstLine="0" w:firstLineChars="0"/>
              <w:jc w:val="center"/>
              <w:rPr>
                <w:rStyle w:val="220"/>
                <w:rFonts w:cstheme="minorBidi"/>
                <w:b w:val="0"/>
                <w:i w:val="0"/>
                <w:color w:val="000000"/>
                <w:highlight w:val="none"/>
              </w:rPr>
            </w:pPr>
            <w:r>
              <w:rPr>
                <w:rStyle w:val="220"/>
                <w:rFonts w:hint="eastAsia" w:cstheme="minorBidi"/>
                <w:b w:val="0"/>
                <w:i w:val="0"/>
                <w:color w:val="000000"/>
                <w:highlight w:val="none"/>
                <w:lang w:eastAsia="zh-CN"/>
              </w:rPr>
              <w:t>薛强</w:t>
            </w:r>
          </w:p>
        </w:tc>
        <w:tc>
          <w:tcPr>
            <w:tcW w:w="1845" w:type="dxa"/>
            <w:shd w:val="clear" w:color="auto" w:fill="FFFFFF"/>
            <w:vAlign w:val="center"/>
          </w:tcPr>
          <w:p w14:paraId="05546B2C">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建筑起重机械安装拆卸工（塔式起重机）</w:t>
            </w:r>
          </w:p>
        </w:tc>
        <w:tc>
          <w:tcPr>
            <w:tcW w:w="2159" w:type="dxa"/>
            <w:shd w:val="clear" w:color="auto" w:fill="FFFFFF"/>
            <w:vAlign w:val="center"/>
          </w:tcPr>
          <w:p w14:paraId="1AB5508F">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lang w:val="en-US" w:eastAsia="zh-CN"/>
              </w:rPr>
              <w:t>50010219980218783X</w:t>
            </w:r>
          </w:p>
        </w:tc>
        <w:tc>
          <w:tcPr>
            <w:tcW w:w="2106" w:type="dxa"/>
            <w:shd w:val="clear" w:color="auto" w:fill="FFFFFF"/>
            <w:vAlign w:val="center"/>
          </w:tcPr>
          <w:p w14:paraId="7A369EA5">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闽A082018118150</w:t>
            </w:r>
          </w:p>
        </w:tc>
        <w:tc>
          <w:tcPr>
            <w:tcW w:w="1508" w:type="dxa"/>
            <w:shd w:val="clear" w:color="auto" w:fill="FFFFFF"/>
            <w:vAlign w:val="center"/>
          </w:tcPr>
          <w:p w14:paraId="0D98344D">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负责设备安拆调试及维保</w:t>
            </w:r>
          </w:p>
        </w:tc>
      </w:tr>
      <w:tr w14:paraId="3A8D76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04" w:type="dxa"/>
            <w:shd w:val="clear" w:color="auto" w:fill="FFFFFF"/>
            <w:vAlign w:val="center"/>
          </w:tcPr>
          <w:p w14:paraId="0DDDFA8C">
            <w:pPr>
              <w:spacing w:line="240" w:lineRule="auto"/>
              <w:ind w:firstLine="0" w:firstLineChars="0"/>
              <w:jc w:val="center"/>
              <w:rPr>
                <w:rStyle w:val="220"/>
                <w:rFonts w:cstheme="minorBidi"/>
                <w:b w:val="0"/>
                <w:i w:val="0"/>
                <w:color w:val="000000"/>
                <w:highlight w:val="none"/>
              </w:rPr>
            </w:pPr>
            <w:r>
              <w:rPr>
                <w:rStyle w:val="220"/>
                <w:rFonts w:hint="eastAsia" w:cstheme="minorBidi"/>
                <w:b w:val="0"/>
                <w:i w:val="0"/>
                <w:color w:val="000000"/>
                <w:highlight w:val="none"/>
              </w:rPr>
              <w:t>刘云祥</w:t>
            </w:r>
          </w:p>
        </w:tc>
        <w:tc>
          <w:tcPr>
            <w:tcW w:w="1845" w:type="dxa"/>
            <w:shd w:val="clear" w:color="auto" w:fill="FFFFFF"/>
            <w:vAlign w:val="center"/>
          </w:tcPr>
          <w:p w14:paraId="6B7B41AA">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指挥</w:t>
            </w:r>
          </w:p>
        </w:tc>
        <w:tc>
          <w:tcPr>
            <w:tcW w:w="2159" w:type="dxa"/>
            <w:shd w:val="clear" w:color="auto" w:fill="FFFFFF"/>
            <w:vAlign w:val="center"/>
          </w:tcPr>
          <w:p w14:paraId="3F7FBEC9">
            <w:pPr>
              <w:spacing w:line="240" w:lineRule="auto"/>
              <w:ind w:firstLine="0" w:firstLineChars="0"/>
              <w:jc w:val="center"/>
              <w:rPr>
                <w:rFonts w:cstheme="minorBidi"/>
                <w:color w:val="000000"/>
                <w:sz w:val="21"/>
                <w:highlight w:val="none"/>
              </w:rPr>
            </w:pPr>
            <w:r>
              <w:rPr>
                <w:rStyle w:val="220"/>
                <w:rFonts w:hint="eastAsia" w:cstheme="minorBidi"/>
                <w:color w:val="000000"/>
                <w:highlight w:val="none"/>
              </w:rPr>
              <w:t>500381198405126218</w:t>
            </w:r>
          </w:p>
        </w:tc>
        <w:tc>
          <w:tcPr>
            <w:tcW w:w="0" w:type="auto"/>
            <w:shd w:val="clear" w:color="auto" w:fill="FFFFFF"/>
            <w:vAlign w:val="center"/>
          </w:tcPr>
          <w:p w14:paraId="32CF69CA">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500381198405126218</w:t>
            </w:r>
          </w:p>
        </w:tc>
        <w:tc>
          <w:tcPr>
            <w:tcW w:w="1508" w:type="dxa"/>
            <w:shd w:val="clear" w:color="auto" w:fill="FFFFFF"/>
            <w:vAlign w:val="center"/>
          </w:tcPr>
          <w:p w14:paraId="28B8E7C6">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负责设备安拆调试及维保</w:t>
            </w:r>
          </w:p>
        </w:tc>
      </w:tr>
      <w:tr w14:paraId="32B639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04" w:type="dxa"/>
            <w:shd w:val="clear" w:color="auto" w:fill="FFFFFF"/>
            <w:vAlign w:val="center"/>
          </w:tcPr>
          <w:p w14:paraId="3C3B76A1">
            <w:pPr>
              <w:spacing w:line="240" w:lineRule="auto"/>
              <w:ind w:firstLine="0" w:firstLineChars="0"/>
              <w:jc w:val="center"/>
              <w:rPr>
                <w:rStyle w:val="220"/>
                <w:rFonts w:cstheme="minorBidi"/>
                <w:b w:val="0"/>
                <w:i w:val="0"/>
                <w:color w:val="000000"/>
                <w:highlight w:val="none"/>
              </w:rPr>
            </w:pPr>
            <w:r>
              <w:rPr>
                <w:rStyle w:val="220"/>
                <w:rFonts w:hint="eastAsia" w:cstheme="minorBidi"/>
                <w:b w:val="0"/>
                <w:i w:val="0"/>
                <w:color w:val="000000"/>
                <w:highlight w:val="none"/>
              </w:rPr>
              <w:t>向杰</w:t>
            </w:r>
          </w:p>
        </w:tc>
        <w:tc>
          <w:tcPr>
            <w:tcW w:w="1845" w:type="dxa"/>
            <w:shd w:val="clear" w:color="auto" w:fill="FFFFFF"/>
            <w:vAlign w:val="center"/>
          </w:tcPr>
          <w:p w14:paraId="420923DF">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司索工</w:t>
            </w:r>
          </w:p>
        </w:tc>
        <w:tc>
          <w:tcPr>
            <w:tcW w:w="2159" w:type="dxa"/>
            <w:shd w:val="clear" w:color="auto" w:fill="FFFFFF"/>
            <w:vAlign w:val="center"/>
          </w:tcPr>
          <w:p w14:paraId="35F484E7">
            <w:pPr>
              <w:spacing w:line="240" w:lineRule="auto"/>
              <w:ind w:firstLine="0" w:firstLineChars="0"/>
              <w:jc w:val="center"/>
              <w:rPr>
                <w:rFonts w:cstheme="minorBidi"/>
                <w:color w:val="000000"/>
                <w:sz w:val="21"/>
                <w:highlight w:val="none"/>
              </w:rPr>
            </w:pPr>
            <w:r>
              <w:rPr>
                <w:rStyle w:val="220"/>
                <w:rFonts w:hint="eastAsia" w:cstheme="minorBidi"/>
                <w:color w:val="000000"/>
                <w:highlight w:val="none"/>
              </w:rPr>
              <w:t>510525199407268857</w:t>
            </w:r>
          </w:p>
        </w:tc>
        <w:tc>
          <w:tcPr>
            <w:tcW w:w="0" w:type="auto"/>
            <w:shd w:val="clear" w:color="auto" w:fill="FFFFFF"/>
            <w:vAlign w:val="center"/>
          </w:tcPr>
          <w:p w14:paraId="74ABF972">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510525199407268857</w:t>
            </w:r>
          </w:p>
        </w:tc>
        <w:tc>
          <w:tcPr>
            <w:tcW w:w="1508" w:type="dxa"/>
            <w:shd w:val="clear" w:color="auto" w:fill="FFFFFF"/>
            <w:vAlign w:val="center"/>
          </w:tcPr>
          <w:p w14:paraId="36ED54C5">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负责设备安拆调试及维保</w:t>
            </w:r>
          </w:p>
        </w:tc>
      </w:tr>
      <w:tr w14:paraId="534739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04" w:type="dxa"/>
            <w:shd w:val="clear" w:color="auto" w:fill="FFFFFF"/>
            <w:vAlign w:val="center"/>
          </w:tcPr>
          <w:p w14:paraId="3AD3E0E7">
            <w:pPr>
              <w:spacing w:line="240" w:lineRule="auto"/>
              <w:ind w:firstLine="0" w:firstLineChars="0"/>
              <w:jc w:val="center"/>
              <w:rPr>
                <w:rStyle w:val="220"/>
                <w:rFonts w:cstheme="minorBidi"/>
                <w:b w:val="0"/>
                <w:i w:val="0"/>
                <w:color w:val="000000"/>
                <w:highlight w:val="none"/>
              </w:rPr>
            </w:pPr>
            <w:r>
              <w:rPr>
                <w:rStyle w:val="220"/>
                <w:rFonts w:hint="eastAsia" w:cstheme="minorBidi"/>
                <w:b w:val="0"/>
                <w:i w:val="0"/>
                <w:color w:val="000000"/>
                <w:highlight w:val="none"/>
              </w:rPr>
              <w:t>张云桥</w:t>
            </w:r>
          </w:p>
        </w:tc>
        <w:tc>
          <w:tcPr>
            <w:tcW w:w="1845" w:type="dxa"/>
            <w:shd w:val="clear" w:color="auto" w:fill="FFFFFF"/>
            <w:vAlign w:val="center"/>
          </w:tcPr>
          <w:p w14:paraId="369B0325">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塔机司机</w:t>
            </w:r>
          </w:p>
        </w:tc>
        <w:tc>
          <w:tcPr>
            <w:tcW w:w="2159" w:type="dxa"/>
            <w:shd w:val="clear" w:color="auto" w:fill="FFFFFF"/>
            <w:vAlign w:val="center"/>
          </w:tcPr>
          <w:p w14:paraId="065B00DB">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511524198803036070</w:t>
            </w:r>
          </w:p>
        </w:tc>
        <w:tc>
          <w:tcPr>
            <w:tcW w:w="0" w:type="auto"/>
            <w:shd w:val="clear" w:color="auto" w:fill="FFFFFF"/>
            <w:vAlign w:val="center"/>
          </w:tcPr>
          <w:p w14:paraId="40C0619B">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川A052021703645</w:t>
            </w:r>
          </w:p>
        </w:tc>
        <w:tc>
          <w:tcPr>
            <w:tcW w:w="1508" w:type="dxa"/>
            <w:shd w:val="clear" w:color="auto" w:fill="FFFFFF"/>
            <w:vAlign w:val="center"/>
          </w:tcPr>
          <w:p w14:paraId="44BCE9B3">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负责设备安拆调试及维保</w:t>
            </w:r>
          </w:p>
        </w:tc>
      </w:tr>
      <w:tr w14:paraId="756037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04" w:type="dxa"/>
            <w:shd w:val="clear" w:color="auto" w:fill="FFFFFF"/>
            <w:vAlign w:val="center"/>
          </w:tcPr>
          <w:p w14:paraId="7BF8D4AA">
            <w:pPr>
              <w:spacing w:line="240" w:lineRule="auto"/>
              <w:ind w:firstLine="0" w:firstLineChars="0"/>
              <w:jc w:val="center"/>
              <w:rPr>
                <w:rStyle w:val="220"/>
                <w:rFonts w:hint="eastAsia" w:eastAsia="宋体" w:cstheme="minorBidi"/>
                <w:b w:val="0"/>
                <w:i w:val="0"/>
                <w:color w:val="000000"/>
                <w:highlight w:val="none"/>
                <w:lang w:eastAsia="zh-CN"/>
              </w:rPr>
            </w:pPr>
            <w:r>
              <w:rPr>
                <w:rStyle w:val="220"/>
                <w:rFonts w:hint="eastAsia" w:cstheme="minorBidi"/>
                <w:b w:val="0"/>
                <w:i w:val="0"/>
                <w:color w:val="000000"/>
                <w:highlight w:val="none"/>
                <w:lang w:eastAsia="zh-CN"/>
              </w:rPr>
              <w:t>冯昌苹</w:t>
            </w:r>
          </w:p>
        </w:tc>
        <w:tc>
          <w:tcPr>
            <w:tcW w:w="1845" w:type="dxa"/>
            <w:shd w:val="clear" w:color="auto" w:fill="FFFFFF"/>
            <w:vAlign w:val="center"/>
          </w:tcPr>
          <w:p w14:paraId="2B7DC744">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建筑电工（维保人员）</w:t>
            </w:r>
          </w:p>
        </w:tc>
        <w:tc>
          <w:tcPr>
            <w:tcW w:w="2159" w:type="dxa"/>
            <w:shd w:val="clear" w:color="auto" w:fill="FFFFFF"/>
            <w:vAlign w:val="center"/>
          </w:tcPr>
          <w:p w14:paraId="1D7EB291">
            <w:pPr>
              <w:spacing w:line="240" w:lineRule="auto"/>
              <w:ind w:firstLine="0" w:firstLineChars="0"/>
              <w:jc w:val="center"/>
              <w:rPr>
                <w:rStyle w:val="220"/>
                <w:rFonts w:cstheme="minorBidi"/>
                <w:color w:val="000000"/>
                <w:highlight w:val="none"/>
              </w:rPr>
            </w:pPr>
            <w:r>
              <w:rPr>
                <w:rStyle w:val="220"/>
                <w:rFonts w:hint="eastAsia" w:cstheme="minorBidi"/>
                <w:color w:val="000000"/>
              </w:rPr>
              <w:t>50010219870521175X</w:t>
            </w:r>
          </w:p>
        </w:tc>
        <w:tc>
          <w:tcPr>
            <w:tcW w:w="2106" w:type="dxa"/>
            <w:shd w:val="clear" w:color="auto" w:fill="FFFFFF"/>
            <w:vAlign w:val="center"/>
          </w:tcPr>
          <w:p w14:paraId="30C10516">
            <w:pPr>
              <w:spacing w:line="240" w:lineRule="auto"/>
              <w:ind w:firstLine="0" w:firstLineChars="0"/>
              <w:jc w:val="center"/>
              <w:rPr>
                <w:rStyle w:val="220"/>
                <w:rFonts w:cstheme="minorBidi"/>
                <w:color w:val="000000"/>
                <w:highlight w:val="none"/>
              </w:rPr>
            </w:pPr>
            <w:r>
              <w:rPr>
                <w:rStyle w:val="220"/>
                <w:rFonts w:hint="eastAsia" w:cstheme="minorBidi"/>
                <w:color w:val="000000"/>
              </w:rPr>
              <w:t>渝A012023001394</w:t>
            </w:r>
          </w:p>
        </w:tc>
        <w:tc>
          <w:tcPr>
            <w:tcW w:w="1508" w:type="dxa"/>
            <w:shd w:val="clear" w:color="auto" w:fill="FFFFFF"/>
            <w:vAlign w:val="center"/>
          </w:tcPr>
          <w:p w14:paraId="10FCF19B">
            <w:pPr>
              <w:spacing w:line="240" w:lineRule="auto"/>
              <w:ind w:firstLine="0" w:firstLineChars="0"/>
              <w:jc w:val="center"/>
              <w:rPr>
                <w:rStyle w:val="220"/>
                <w:rFonts w:cstheme="minorBidi"/>
                <w:color w:val="000000"/>
                <w:highlight w:val="none"/>
              </w:rPr>
            </w:pPr>
            <w:r>
              <w:rPr>
                <w:rStyle w:val="220"/>
                <w:rFonts w:hint="eastAsia" w:cstheme="minorBidi"/>
                <w:color w:val="000000"/>
                <w:highlight w:val="none"/>
              </w:rPr>
              <w:t>负责设备安拆电气调试及维保</w:t>
            </w:r>
          </w:p>
        </w:tc>
      </w:tr>
    </w:tbl>
    <w:p w14:paraId="09C49A78">
      <w:pPr>
        <w:pStyle w:val="3"/>
        <w:bidi w:val="0"/>
        <w:ind w:left="432" w:leftChars="0" w:hanging="432" w:firstLineChars="0"/>
        <w:rPr>
          <w:highlight w:val="none"/>
        </w:rPr>
      </w:pPr>
      <w:bookmarkStart w:id="114" w:name="_Toc22678"/>
      <w:r>
        <w:rPr>
          <w:rFonts w:hint="eastAsia"/>
          <w:highlight w:val="none"/>
        </w:rPr>
        <w:t>验收要求</w:t>
      </w:r>
      <w:bookmarkEnd w:id="114"/>
    </w:p>
    <w:p w14:paraId="15057692">
      <w:pPr>
        <w:pStyle w:val="4"/>
        <w:bidi w:val="0"/>
        <w:ind w:left="0" w:leftChars="0" w:firstLine="0" w:firstLineChars="0"/>
        <w:rPr>
          <w:highlight w:val="none"/>
        </w:rPr>
      </w:pPr>
      <w:bookmarkStart w:id="115" w:name="_Toc14265"/>
      <w:r>
        <w:rPr>
          <w:rFonts w:hint="eastAsia"/>
          <w:highlight w:val="none"/>
        </w:rPr>
        <w:t>验收标准</w:t>
      </w:r>
      <w:bookmarkEnd w:id="115"/>
    </w:p>
    <w:p w14:paraId="24238758">
      <w:pPr>
        <w:ind w:firstLine="480"/>
        <w:rPr>
          <w:highlight w:val="none"/>
        </w:rPr>
      </w:pPr>
      <w:r>
        <w:rPr>
          <w:rFonts w:hint="eastAsia"/>
          <w:highlight w:val="none"/>
        </w:rPr>
        <w:t>《建筑施工塔式起重机安装、使用、拆卸安全技术规程》（JGJ 196-2010）</w:t>
      </w:r>
    </w:p>
    <w:p w14:paraId="3CA137F5">
      <w:pPr>
        <w:ind w:firstLine="480"/>
        <w:rPr>
          <w:highlight w:val="none"/>
        </w:rPr>
      </w:pPr>
      <w:r>
        <w:rPr>
          <w:rFonts w:hint="eastAsia"/>
          <w:highlight w:val="none"/>
        </w:rPr>
        <w:t>《塔式起重机》（GB/T 5031-2019）</w:t>
      </w:r>
    </w:p>
    <w:p w14:paraId="15AB5E9F">
      <w:pPr>
        <w:ind w:firstLine="480"/>
        <w:rPr>
          <w:highlight w:val="none"/>
        </w:rPr>
      </w:pPr>
      <w:r>
        <w:rPr>
          <w:rFonts w:hint="eastAsia"/>
          <w:highlight w:val="none"/>
        </w:rPr>
        <w:t>《起重机钢丝绳保养、维护、检验和报废》（</w:t>
      </w:r>
      <w:r>
        <w:rPr>
          <w:highlight w:val="none"/>
        </w:rPr>
        <w:t>GB/T 5972-20</w:t>
      </w:r>
      <w:r>
        <w:rPr>
          <w:rFonts w:hint="eastAsia"/>
          <w:highlight w:val="none"/>
        </w:rPr>
        <w:t>23）</w:t>
      </w:r>
    </w:p>
    <w:p w14:paraId="4C4CBE66">
      <w:pPr>
        <w:ind w:firstLine="480"/>
        <w:rPr>
          <w:highlight w:val="none"/>
        </w:rPr>
      </w:pPr>
      <w:r>
        <w:rPr>
          <w:rFonts w:hint="eastAsia"/>
          <w:highlight w:val="none"/>
        </w:rPr>
        <w:t>《起重机械超载保护装置》（GB/T 12602-2020）</w:t>
      </w:r>
    </w:p>
    <w:p w14:paraId="4D6EB266">
      <w:pPr>
        <w:ind w:firstLine="480"/>
        <w:rPr>
          <w:highlight w:val="none"/>
        </w:rPr>
      </w:pPr>
      <w:r>
        <w:rPr>
          <w:rFonts w:hint="eastAsia"/>
          <w:highlight w:val="none"/>
        </w:rPr>
        <w:t>《机械安全 机械电气设备 第1部分</w:t>
      </w:r>
      <w:r>
        <w:rPr>
          <w:highlight w:val="none"/>
        </w:rPr>
        <w:t>-</w:t>
      </w:r>
      <w:r>
        <w:rPr>
          <w:rFonts w:hint="eastAsia"/>
          <w:highlight w:val="none"/>
        </w:rPr>
        <w:t>通用技术条件》（</w:t>
      </w:r>
      <w:r>
        <w:rPr>
          <w:highlight w:val="none"/>
        </w:rPr>
        <w:t>GB 5226.1-2002</w:t>
      </w:r>
      <w:r>
        <w:rPr>
          <w:rFonts w:hint="eastAsia"/>
          <w:highlight w:val="none"/>
        </w:rPr>
        <w:t>）</w:t>
      </w:r>
    </w:p>
    <w:p w14:paraId="23285671">
      <w:pPr>
        <w:ind w:firstLine="480"/>
        <w:rPr>
          <w:highlight w:val="none"/>
        </w:rPr>
      </w:pPr>
      <w:r>
        <w:rPr>
          <w:rFonts w:hint="eastAsia"/>
          <w:highlight w:val="none"/>
        </w:rPr>
        <w:t>《塔式起重机安全规程》（GB 5144-2006）</w:t>
      </w:r>
    </w:p>
    <w:p w14:paraId="0A6F3304">
      <w:pPr>
        <w:ind w:firstLine="480"/>
        <w:rPr>
          <w:highlight w:val="none"/>
        </w:rPr>
      </w:pPr>
      <w:r>
        <w:rPr>
          <w:rFonts w:hint="eastAsia"/>
          <w:highlight w:val="none"/>
        </w:rPr>
        <w:t>《塔式起重机设计规范》（GB/T 13752-2017）</w:t>
      </w:r>
    </w:p>
    <w:p w14:paraId="7367A547">
      <w:pPr>
        <w:pStyle w:val="4"/>
        <w:bidi w:val="0"/>
        <w:ind w:left="0" w:leftChars="0" w:firstLine="0" w:firstLineChars="0"/>
        <w:rPr>
          <w:highlight w:val="none"/>
        </w:rPr>
      </w:pPr>
      <w:bookmarkStart w:id="116" w:name="_Toc31034"/>
      <w:r>
        <w:rPr>
          <w:rFonts w:hint="eastAsia"/>
          <w:highlight w:val="none"/>
        </w:rPr>
        <w:t>验收程序和使用登记备案程序</w:t>
      </w:r>
      <w:bookmarkEnd w:id="116"/>
    </w:p>
    <w:p w14:paraId="6CFFC07A">
      <w:pPr>
        <w:pStyle w:val="5"/>
        <w:bidi w:val="0"/>
        <w:ind w:left="0" w:leftChars="0" w:firstLine="0" w:firstLineChars="0"/>
        <w:rPr>
          <w:highlight w:val="none"/>
        </w:rPr>
      </w:pPr>
      <w:r>
        <w:rPr>
          <w:rFonts w:hint="eastAsia"/>
          <w:highlight w:val="none"/>
        </w:rPr>
        <w:t>塔吊的检验验收</w:t>
      </w:r>
    </w:p>
    <w:p w14:paraId="222ECA0F">
      <w:pPr>
        <w:ind w:firstLine="480"/>
        <w:rPr>
          <w:highlight w:val="none"/>
        </w:rPr>
      </w:pPr>
      <w:r>
        <w:rPr>
          <w:rFonts w:hint="eastAsia"/>
          <w:highlight w:val="none"/>
        </w:rPr>
        <w:t>1、检验验收前，用户应当按照设备操作规程要求，完成塔吊的安装、调试、考核，并根据技术要求安装完成塔吊检验标志。</w:t>
      </w:r>
    </w:p>
    <w:p w14:paraId="574C207A">
      <w:pPr>
        <w:ind w:firstLine="480"/>
        <w:rPr>
          <w:highlight w:val="none"/>
        </w:rPr>
      </w:pPr>
      <w:r>
        <w:rPr>
          <w:rFonts w:hint="eastAsia"/>
          <w:highlight w:val="none"/>
        </w:rPr>
        <w:t>2、经技术人员验收塔吊安装质量，确认吊物、索具、限位器、安全钳、安全装置等安装质量符合要求后，可以进行检验验收。</w:t>
      </w:r>
    </w:p>
    <w:p w14:paraId="3F135A66">
      <w:pPr>
        <w:ind w:firstLine="480"/>
        <w:rPr>
          <w:highlight w:val="none"/>
        </w:rPr>
      </w:pPr>
      <w:r>
        <w:rPr>
          <w:rFonts w:hint="eastAsia"/>
          <w:highlight w:val="none"/>
        </w:rPr>
        <w:t>3、检验验收实施前，用户应当提供塔吊设备的技术参数、设备型号、出厂日期、出厂编号、安装地点等相关信息。</w:t>
      </w:r>
    </w:p>
    <w:p w14:paraId="319AD5A7">
      <w:pPr>
        <w:ind w:firstLine="480"/>
        <w:rPr>
          <w:highlight w:val="none"/>
        </w:rPr>
      </w:pPr>
      <w:r>
        <w:rPr>
          <w:rFonts w:hint="eastAsia"/>
          <w:highlight w:val="none"/>
        </w:rPr>
        <w:t>4、检验验收实施时，用户应当提供技术人员必要的检验工具、检验标准件等。</w:t>
      </w:r>
    </w:p>
    <w:p w14:paraId="7A7FCD48">
      <w:pPr>
        <w:ind w:firstLine="480"/>
        <w:rPr>
          <w:highlight w:val="none"/>
        </w:rPr>
      </w:pPr>
      <w:r>
        <w:rPr>
          <w:rFonts w:hint="eastAsia"/>
          <w:highlight w:val="none"/>
        </w:rPr>
        <w:t>5、实施检验验收时，用户应当按照相关技术规范和标准要求，对塔吊进行实物检查、操作检查、抗震检查、力学性能检查、液压检查、电气检查、限位器检查、控制系统检查等，确认塔吊设备各项技术性能及结构、安全装置等符合要求后，可以进行检验验收。</w:t>
      </w:r>
    </w:p>
    <w:p w14:paraId="33CCF021">
      <w:pPr>
        <w:ind w:firstLine="480"/>
        <w:rPr>
          <w:highlight w:val="none"/>
        </w:rPr>
      </w:pPr>
      <w:r>
        <w:rPr>
          <w:rFonts w:hint="eastAsia"/>
          <w:highlight w:val="none"/>
        </w:rPr>
        <w:t>6、检验验收完毕后，用户应当完成检验验收证书，交付给技术人员签字确认。</w:t>
      </w:r>
    </w:p>
    <w:p w14:paraId="2B510E44">
      <w:pPr>
        <w:pStyle w:val="5"/>
        <w:bidi w:val="0"/>
        <w:ind w:left="0" w:leftChars="0" w:firstLine="0" w:firstLineChars="0"/>
        <w:rPr>
          <w:highlight w:val="none"/>
        </w:rPr>
      </w:pPr>
      <w:r>
        <w:rPr>
          <w:rFonts w:hint="eastAsia"/>
          <w:highlight w:val="none"/>
        </w:rPr>
        <w:t>使用登记备案程序</w:t>
      </w:r>
    </w:p>
    <w:p w14:paraId="11164A42">
      <w:pPr>
        <w:ind w:firstLine="480"/>
        <w:rPr>
          <w:highlight w:val="none"/>
        </w:rPr>
      </w:pPr>
      <w:r>
        <w:rPr>
          <w:rFonts w:hint="eastAsia"/>
          <w:highlight w:val="none"/>
        </w:rPr>
        <w:t>1、用户应当按照有关规定，按照要求填写塔吊使用登记表，并填写安装地点、塔吊型号、出厂日期、出厂编号、经营单位等相关信息。</w:t>
      </w:r>
    </w:p>
    <w:p w14:paraId="3898818F">
      <w:pPr>
        <w:ind w:firstLine="480"/>
        <w:rPr>
          <w:highlight w:val="none"/>
        </w:rPr>
      </w:pPr>
      <w:r>
        <w:rPr>
          <w:rFonts w:hint="eastAsia"/>
          <w:highlight w:val="none"/>
        </w:rPr>
        <w:t>2、用户应当提供塔吊检验验收证书，经营单位安全生产许可证，塔吊安全操作规程、技术规程等文件。</w:t>
      </w:r>
    </w:p>
    <w:p w14:paraId="0F3E1F38">
      <w:pPr>
        <w:ind w:firstLine="480"/>
        <w:rPr>
          <w:highlight w:val="none"/>
        </w:rPr>
      </w:pPr>
      <w:r>
        <w:rPr>
          <w:rFonts w:hint="eastAsia"/>
          <w:highlight w:val="none"/>
        </w:rPr>
        <w:t>3、用户应当按照有关规定，定期对塔吊设备进行安全检查，并将检查结果记录在案。</w:t>
      </w:r>
    </w:p>
    <w:p w14:paraId="120F89CC">
      <w:pPr>
        <w:ind w:firstLine="480"/>
        <w:rPr>
          <w:highlight w:val="none"/>
        </w:rPr>
      </w:pPr>
      <w:r>
        <w:rPr>
          <w:rFonts w:hint="eastAsia"/>
          <w:highlight w:val="none"/>
        </w:rPr>
        <w:t>4、将塔吊使用登记表及相关文件上报监督管理部门审核备案，完成使用登记备案。</w:t>
      </w:r>
    </w:p>
    <w:p w14:paraId="143A63FE">
      <w:pPr>
        <w:pStyle w:val="4"/>
        <w:bidi w:val="0"/>
        <w:ind w:left="0" w:leftChars="0" w:firstLine="0" w:firstLineChars="0"/>
        <w:rPr>
          <w:highlight w:val="none"/>
        </w:rPr>
      </w:pPr>
      <w:bookmarkStart w:id="117" w:name="_Toc10990"/>
      <w:r>
        <w:rPr>
          <w:rFonts w:hint="eastAsia"/>
          <w:highlight w:val="none"/>
        </w:rPr>
        <w:t>验收内容</w:t>
      </w:r>
      <w:bookmarkEnd w:id="117"/>
    </w:p>
    <w:p w14:paraId="4C35EE49">
      <w:pPr>
        <w:pStyle w:val="5"/>
        <w:bidi w:val="0"/>
        <w:ind w:left="0" w:leftChars="0" w:firstLine="0" w:firstLineChars="0"/>
        <w:rPr>
          <w:highlight w:val="none"/>
        </w:rPr>
      </w:pPr>
      <w:r>
        <w:rPr>
          <w:rFonts w:hint="eastAsia"/>
          <w:highlight w:val="none"/>
        </w:rPr>
        <w:t>安装单位自检验收</w:t>
      </w:r>
    </w:p>
    <w:p w14:paraId="72E73F73">
      <w:pPr>
        <w:pStyle w:val="18"/>
        <w:rPr>
          <w:highlight w:val="none"/>
        </w:rPr>
      </w:pPr>
      <w:r>
        <w:rPr>
          <w:rFonts w:hint="eastAsia"/>
          <w:highlight w:val="none"/>
        </w:rPr>
        <w:t xml:space="preserve">表 </w:t>
      </w:r>
      <w:r>
        <w:rPr>
          <w:highlight w:val="none"/>
        </w:rPr>
        <w:fldChar w:fldCharType="begin"/>
      </w:r>
      <w:r>
        <w:rPr>
          <w:highlight w:val="none"/>
        </w:rPr>
        <w:instrText xml:space="preserve"> </w:instrText>
      </w:r>
      <w:r>
        <w:rPr>
          <w:rFonts w:hint="eastAsia"/>
          <w:highlight w:val="none"/>
        </w:rPr>
        <w:instrText xml:space="preserve">STYLEREF 3 \s</w:instrText>
      </w:r>
      <w:r>
        <w:rPr>
          <w:highlight w:val="none"/>
        </w:rPr>
        <w:instrText xml:space="preserve"> </w:instrText>
      </w:r>
      <w:r>
        <w:rPr>
          <w:highlight w:val="none"/>
        </w:rPr>
        <w:fldChar w:fldCharType="separate"/>
      </w:r>
      <w:r>
        <w:rPr>
          <w:highlight w:val="none"/>
        </w:rPr>
        <w:t>8.3.1</w:t>
      </w:r>
      <w:r>
        <w:rPr>
          <w:highlight w:val="none"/>
        </w:rPr>
        <w:fldChar w:fldCharType="end"/>
      </w:r>
      <w:r>
        <w:rPr>
          <w:highlight w:val="none"/>
        </w:rPr>
        <w:noBreakHyphen/>
      </w:r>
      <w:r>
        <w:rPr>
          <w:highlight w:val="none"/>
        </w:rPr>
        <w:fldChar w:fldCharType="begin"/>
      </w:r>
      <w:r>
        <w:rPr>
          <w:highlight w:val="none"/>
        </w:rPr>
        <w:instrText xml:space="preserve"> </w:instrText>
      </w:r>
      <w:r>
        <w:rPr>
          <w:rFonts w:hint="eastAsia"/>
          <w:highlight w:val="none"/>
        </w:rPr>
        <w:instrText xml:space="preserve">SEQ 表 \* ARABIC \s 3</w:instrText>
      </w:r>
      <w:r>
        <w:rPr>
          <w:highlight w:val="none"/>
        </w:rPr>
        <w:instrText xml:space="preserve"> </w:instrText>
      </w:r>
      <w:r>
        <w:rPr>
          <w:highlight w:val="none"/>
        </w:rPr>
        <w:fldChar w:fldCharType="separate"/>
      </w:r>
      <w:r>
        <w:rPr>
          <w:highlight w:val="none"/>
        </w:rPr>
        <w:t>1</w:t>
      </w:r>
      <w:r>
        <w:rPr>
          <w:highlight w:val="none"/>
        </w:rPr>
        <w:fldChar w:fldCharType="end"/>
      </w:r>
      <w:r>
        <w:rPr>
          <w:rFonts w:hint="eastAsia"/>
          <w:highlight w:val="none"/>
        </w:rPr>
        <w:t>塔吊安装自检表</w:t>
      </w:r>
    </w:p>
    <w:tbl>
      <w:tblPr>
        <w:tblStyle w:val="44"/>
        <w:tblW w:w="95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80"/>
        <w:gridCol w:w="1717"/>
        <w:gridCol w:w="3056"/>
        <w:gridCol w:w="1026"/>
        <w:gridCol w:w="15"/>
        <w:gridCol w:w="1603"/>
        <w:gridCol w:w="1116"/>
      </w:tblGrid>
      <w:tr w14:paraId="78689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jc w:val="center"/>
        </w:trPr>
        <w:tc>
          <w:tcPr>
            <w:tcW w:w="808" w:type="dxa"/>
            <w:vAlign w:val="center"/>
          </w:tcPr>
          <w:p w14:paraId="1EB8838F">
            <w:pPr>
              <w:pStyle w:val="53"/>
              <w:rPr>
                <w:highlight w:val="none"/>
              </w:rPr>
            </w:pPr>
            <w:r>
              <w:rPr>
                <w:rFonts w:hint="eastAsia"/>
                <w:highlight w:val="none"/>
              </w:rPr>
              <w:t>工程名称</w:t>
            </w:r>
          </w:p>
        </w:tc>
        <w:tc>
          <w:tcPr>
            <w:tcW w:w="5979" w:type="dxa"/>
            <w:gridSpan w:val="4"/>
            <w:vAlign w:val="center"/>
          </w:tcPr>
          <w:p w14:paraId="5CFC92AF">
            <w:pPr>
              <w:pStyle w:val="53"/>
              <w:rPr>
                <w:highlight w:val="none"/>
              </w:rPr>
            </w:pPr>
          </w:p>
        </w:tc>
        <w:tc>
          <w:tcPr>
            <w:tcW w:w="1618" w:type="dxa"/>
            <w:gridSpan w:val="2"/>
            <w:vAlign w:val="center"/>
          </w:tcPr>
          <w:p w14:paraId="0772E2B5">
            <w:pPr>
              <w:pStyle w:val="53"/>
              <w:rPr>
                <w:rFonts w:ascii="宋体" w:hAnsi="宋体"/>
                <w:highlight w:val="none"/>
              </w:rPr>
            </w:pPr>
            <w:r>
              <w:rPr>
                <w:rFonts w:hint="eastAsia" w:ascii="宋体" w:hAnsi="宋体"/>
                <w:highlight w:val="none"/>
              </w:rPr>
              <w:t>施工地址</w:t>
            </w:r>
          </w:p>
        </w:tc>
        <w:tc>
          <w:tcPr>
            <w:tcW w:w="1116" w:type="dxa"/>
            <w:vAlign w:val="center"/>
          </w:tcPr>
          <w:p w14:paraId="00A32419">
            <w:pPr>
              <w:pStyle w:val="53"/>
              <w:rPr>
                <w:rFonts w:ascii="宋体" w:hAnsi="宋体"/>
                <w:highlight w:val="none"/>
              </w:rPr>
            </w:pPr>
            <w:r>
              <w:rPr>
                <w:rFonts w:hint="eastAsia" w:ascii="宋体" w:hAnsi="宋体"/>
                <w:highlight w:val="none"/>
              </w:rPr>
              <w:t>项目工地</w:t>
            </w:r>
          </w:p>
        </w:tc>
      </w:tr>
      <w:tr w14:paraId="65AF3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jc w:val="center"/>
        </w:trPr>
        <w:tc>
          <w:tcPr>
            <w:tcW w:w="808" w:type="dxa"/>
            <w:vAlign w:val="center"/>
          </w:tcPr>
          <w:p w14:paraId="57A7BAFB">
            <w:pPr>
              <w:pStyle w:val="53"/>
              <w:rPr>
                <w:rFonts w:ascii="宋体" w:hAnsi="宋体"/>
                <w:highlight w:val="none"/>
              </w:rPr>
            </w:pPr>
            <w:r>
              <w:rPr>
                <w:rFonts w:hint="eastAsia" w:ascii="宋体" w:hAnsi="宋体"/>
                <w:highlight w:val="none"/>
              </w:rPr>
              <w:t>出租单位</w:t>
            </w:r>
          </w:p>
        </w:tc>
        <w:tc>
          <w:tcPr>
            <w:tcW w:w="8713" w:type="dxa"/>
            <w:gridSpan w:val="7"/>
            <w:vAlign w:val="center"/>
          </w:tcPr>
          <w:p w14:paraId="0A891570">
            <w:pPr>
              <w:pStyle w:val="53"/>
              <w:rPr>
                <w:rFonts w:ascii="宋体" w:hAnsi="宋体"/>
                <w:highlight w:val="none"/>
              </w:rPr>
            </w:pPr>
            <w:r>
              <w:rPr>
                <w:rFonts w:hint="eastAsia" w:ascii="宋体" w:hAnsi="宋体"/>
                <w:highlight w:val="none"/>
              </w:rPr>
              <w:t>四川科斗文智能装备有限公司</w:t>
            </w:r>
          </w:p>
        </w:tc>
      </w:tr>
      <w:tr w14:paraId="40C2F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jc w:val="center"/>
        </w:trPr>
        <w:tc>
          <w:tcPr>
            <w:tcW w:w="808" w:type="dxa"/>
            <w:vAlign w:val="center"/>
          </w:tcPr>
          <w:p w14:paraId="288A7977">
            <w:pPr>
              <w:pStyle w:val="53"/>
              <w:rPr>
                <w:rFonts w:ascii="宋体" w:hAnsi="宋体"/>
                <w:highlight w:val="none"/>
              </w:rPr>
            </w:pPr>
            <w:r>
              <w:rPr>
                <w:rFonts w:hint="eastAsia" w:ascii="宋体" w:hAnsi="宋体"/>
                <w:highlight w:val="none"/>
              </w:rPr>
              <w:t>型号</w:t>
            </w:r>
          </w:p>
        </w:tc>
        <w:tc>
          <w:tcPr>
            <w:tcW w:w="1897" w:type="dxa"/>
            <w:gridSpan w:val="2"/>
            <w:vAlign w:val="center"/>
          </w:tcPr>
          <w:p w14:paraId="00CCD42E">
            <w:pPr>
              <w:pStyle w:val="53"/>
              <w:rPr>
                <w:rFonts w:ascii="宋体" w:hAnsi="宋体"/>
                <w:highlight w:val="none"/>
              </w:rPr>
            </w:pPr>
          </w:p>
        </w:tc>
        <w:tc>
          <w:tcPr>
            <w:tcW w:w="3056" w:type="dxa"/>
            <w:vAlign w:val="center"/>
          </w:tcPr>
          <w:p w14:paraId="4C9F2F46">
            <w:pPr>
              <w:pStyle w:val="53"/>
              <w:rPr>
                <w:rFonts w:ascii="宋体" w:hAnsi="宋体"/>
                <w:highlight w:val="none"/>
              </w:rPr>
            </w:pPr>
            <w:r>
              <w:rPr>
                <w:rFonts w:hint="eastAsia" w:ascii="宋体" w:hAnsi="宋体"/>
                <w:highlight w:val="none"/>
              </w:rPr>
              <w:t>设备编号</w:t>
            </w:r>
          </w:p>
        </w:tc>
        <w:tc>
          <w:tcPr>
            <w:tcW w:w="1041" w:type="dxa"/>
            <w:gridSpan w:val="2"/>
            <w:vAlign w:val="center"/>
          </w:tcPr>
          <w:p w14:paraId="0F7CF5AA">
            <w:pPr>
              <w:pStyle w:val="53"/>
              <w:rPr>
                <w:rFonts w:ascii="宋体" w:hAnsi="宋体"/>
                <w:highlight w:val="none"/>
              </w:rPr>
            </w:pPr>
          </w:p>
        </w:tc>
        <w:tc>
          <w:tcPr>
            <w:tcW w:w="1603" w:type="dxa"/>
            <w:vAlign w:val="center"/>
          </w:tcPr>
          <w:p w14:paraId="47F4DE6C">
            <w:pPr>
              <w:pStyle w:val="53"/>
              <w:rPr>
                <w:rFonts w:ascii="宋体" w:hAnsi="宋体"/>
                <w:highlight w:val="none"/>
              </w:rPr>
            </w:pPr>
            <w:r>
              <w:rPr>
                <w:rFonts w:hint="eastAsia" w:ascii="宋体" w:hAnsi="宋体"/>
                <w:highlight w:val="none"/>
              </w:rPr>
              <w:t>施工高度</w:t>
            </w:r>
          </w:p>
        </w:tc>
        <w:tc>
          <w:tcPr>
            <w:tcW w:w="1116" w:type="dxa"/>
            <w:vAlign w:val="center"/>
          </w:tcPr>
          <w:p w14:paraId="2CE5C85A">
            <w:pPr>
              <w:pStyle w:val="53"/>
              <w:rPr>
                <w:rFonts w:ascii="宋体" w:hAnsi="宋体"/>
                <w:highlight w:val="none"/>
              </w:rPr>
            </w:pPr>
          </w:p>
        </w:tc>
      </w:tr>
      <w:tr w14:paraId="3D805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jc w:val="center"/>
        </w:trPr>
        <w:tc>
          <w:tcPr>
            <w:tcW w:w="808" w:type="dxa"/>
            <w:vAlign w:val="center"/>
          </w:tcPr>
          <w:p w14:paraId="10CB7154">
            <w:pPr>
              <w:pStyle w:val="53"/>
              <w:rPr>
                <w:rFonts w:ascii="宋体" w:hAnsi="宋体"/>
                <w:highlight w:val="none"/>
              </w:rPr>
            </w:pPr>
            <w:r>
              <w:rPr>
                <w:rFonts w:hint="eastAsia" w:ascii="宋体" w:hAnsi="宋体"/>
                <w:highlight w:val="none"/>
              </w:rPr>
              <w:t>附墙个数</w:t>
            </w:r>
          </w:p>
        </w:tc>
        <w:tc>
          <w:tcPr>
            <w:tcW w:w="1897" w:type="dxa"/>
            <w:gridSpan w:val="2"/>
            <w:vAlign w:val="center"/>
          </w:tcPr>
          <w:p w14:paraId="6FBC5D0D">
            <w:pPr>
              <w:pStyle w:val="53"/>
              <w:rPr>
                <w:rFonts w:ascii="宋体" w:hAnsi="宋体"/>
                <w:highlight w:val="none"/>
              </w:rPr>
            </w:pPr>
          </w:p>
        </w:tc>
        <w:tc>
          <w:tcPr>
            <w:tcW w:w="3056" w:type="dxa"/>
            <w:vAlign w:val="center"/>
          </w:tcPr>
          <w:p w14:paraId="2601F031">
            <w:pPr>
              <w:pStyle w:val="53"/>
              <w:rPr>
                <w:rFonts w:ascii="宋体" w:hAnsi="宋体"/>
                <w:highlight w:val="none"/>
              </w:rPr>
            </w:pPr>
            <w:r>
              <w:rPr>
                <w:rFonts w:hint="eastAsia" w:ascii="宋体" w:hAnsi="宋体"/>
                <w:highlight w:val="none"/>
              </w:rPr>
              <w:t>最大载重量</w:t>
            </w:r>
          </w:p>
        </w:tc>
        <w:tc>
          <w:tcPr>
            <w:tcW w:w="1041" w:type="dxa"/>
            <w:gridSpan w:val="2"/>
            <w:vAlign w:val="center"/>
          </w:tcPr>
          <w:p w14:paraId="33D4CA0A">
            <w:pPr>
              <w:pStyle w:val="53"/>
              <w:rPr>
                <w:rFonts w:ascii="宋体" w:hAnsi="宋体"/>
                <w:highlight w:val="none"/>
              </w:rPr>
            </w:pPr>
            <w:r>
              <w:rPr>
                <w:rFonts w:hint="eastAsia" w:ascii="宋体" w:hAnsi="宋体"/>
                <w:highlight w:val="none"/>
              </w:rPr>
              <w:t>吨</w:t>
            </w:r>
          </w:p>
        </w:tc>
        <w:tc>
          <w:tcPr>
            <w:tcW w:w="1603" w:type="dxa"/>
            <w:vAlign w:val="center"/>
          </w:tcPr>
          <w:p w14:paraId="2E43841E">
            <w:pPr>
              <w:pStyle w:val="53"/>
              <w:rPr>
                <w:rFonts w:ascii="宋体" w:hAnsi="宋体"/>
                <w:highlight w:val="none"/>
              </w:rPr>
            </w:pPr>
            <w:r>
              <w:rPr>
                <w:rFonts w:hint="eastAsia" w:ascii="宋体" w:hAnsi="宋体"/>
                <w:highlight w:val="none"/>
              </w:rPr>
              <w:t>检查日期</w:t>
            </w:r>
          </w:p>
        </w:tc>
        <w:tc>
          <w:tcPr>
            <w:tcW w:w="1116" w:type="dxa"/>
            <w:vAlign w:val="center"/>
          </w:tcPr>
          <w:p w14:paraId="7F447706">
            <w:pPr>
              <w:pStyle w:val="53"/>
              <w:rPr>
                <w:rFonts w:ascii="宋体" w:hAnsi="宋体"/>
                <w:highlight w:val="none"/>
              </w:rPr>
            </w:pPr>
          </w:p>
        </w:tc>
      </w:tr>
      <w:tr w14:paraId="33AC1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jc w:val="center"/>
        </w:trPr>
        <w:tc>
          <w:tcPr>
            <w:tcW w:w="6787" w:type="dxa"/>
            <w:gridSpan w:val="5"/>
            <w:vAlign w:val="center"/>
          </w:tcPr>
          <w:p w14:paraId="01BE0ABC">
            <w:pPr>
              <w:pStyle w:val="53"/>
              <w:rPr>
                <w:rFonts w:ascii="宋体" w:hAnsi="宋体"/>
                <w:highlight w:val="none"/>
              </w:rPr>
            </w:pPr>
            <w:r>
              <w:rPr>
                <w:rFonts w:hint="eastAsia" w:ascii="宋体" w:hAnsi="宋体"/>
                <w:highlight w:val="none"/>
              </w:rPr>
              <w:t>检       查      内      容</w:t>
            </w:r>
          </w:p>
        </w:tc>
        <w:tc>
          <w:tcPr>
            <w:tcW w:w="1618" w:type="dxa"/>
            <w:gridSpan w:val="2"/>
            <w:vAlign w:val="center"/>
          </w:tcPr>
          <w:p w14:paraId="6E29FAAF">
            <w:pPr>
              <w:pStyle w:val="53"/>
              <w:rPr>
                <w:rFonts w:ascii="宋体" w:hAnsi="宋体"/>
                <w:highlight w:val="none"/>
              </w:rPr>
            </w:pPr>
            <w:r>
              <w:rPr>
                <w:rFonts w:hint="eastAsia" w:ascii="宋体" w:hAnsi="宋体"/>
                <w:highlight w:val="none"/>
              </w:rPr>
              <w:t>参照标准</w:t>
            </w:r>
          </w:p>
        </w:tc>
        <w:tc>
          <w:tcPr>
            <w:tcW w:w="1116" w:type="dxa"/>
            <w:vAlign w:val="center"/>
          </w:tcPr>
          <w:p w14:paraId="3FD9D19A">
            <w:pPr>
              <w:pStyle w:val="53"/>
              <w:rPr>
                <w:rFonts w:ascii="宋体" w:hAnsi="宋体"/>
                <w:highlight w:val="none"/>
              </w:rPr>
            </w:pPr>
            <w:r>
              <w:rPr>
                <w:rFonts w:hint="eastAsia" w:ascii="宋体" w:hAnsi="宋体"/>
                <w:highlight w:val="none"/>
              </w:rPr>
              <w:t>检查结果</w:t>
            </w:r>
          </w:p>
        </w:tc>
      </w:tr>
      <w:tr w14:paraId="00253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988" w:type="dxa"/>
            <w:gridSpan w:val="2"/>
            <w:vMerge w:val="restart"/>
            <w:vAlign w:val="center"/>
          </w:tcPr>
          <w:p w14:paraId="56738BA4">
            <w:pPr>
              <w:pStyle w:val="53"/>
              <w:rPr>
                <w:rFonts w:ascii="宋体" w:hAnsi="宋体"/>
                <w:highlight w:val="none"/>
              </w:rPr>
            </w:pPr>
            <w:r>
              <w:rPr>
                <w:rFonts w:hint="eastAsia" w:ascii="宋体" w:hAnsi="宋体"/>
                <w:highlight w:val="none"/>
              </w:rPr>
              <w:t>（一）基</w:t>
            </w:r>
          </w:p>
          <w:p w14:paraId="06CF0E99">
            <w:pPr>
              <w:pStyle w:val="53"/>
              <w:rPr>
                <w:rFonts w:ascii="宋体" w:hAnsi="宋体"/>
                <w:highlight w:val="none"/>
              </w:rPr>
            </w:pPr>
            <w:r>
              <w:rPr>
                <w:rFonts w:hint="eastAsia" w:ascii="宋体" w:hAnsi="宋体"/>
                <w:highlight w:val="none"/>
              </w:rPr>
              <w:t>础</w:t>
            </w:r>
          </w:p>
        </w:tc>
        <w:tc>
          <w:tcPr>
            <w:tcW w:w="5799" w:type="dxa"/>
            <w:gridSpan w:val="3"/>
            <w:vAlign w:val="center"/>
          </w:tcPr>
          <w:p w14:paraId="5E6A4387">
            <w:pPr>
              <w:pStyle w:val="53"/>
              <w:jc w:val="both"/>
              <w:rPr>
                <w:rFonts w:ascii="宋体" w:hAnsi="宋体" w:eastAsia="仿宋_GB2312"/>
                <w:highlight w:val="none"/>
              </w:rPr>
            </w:pPr>
            <w:r>
              <w:rPr>
                <w:rFonts w:hint="eastAsia" w:ascii="宋体" w:hAnsi="宋体" w:eastAsia="仿宋_GB2312"/>
                <w:highlight w:val="none"/>
              </w:rPr>
              <w:t>1.稳定性；</w:t>
            </w:r>
          </w:p>
        </w:tc>
        <w:tc>
          <w:tcPr>
            <w:tcW w:w="1618" w:type="dxa"/>
            <w:gridSpan w:val="2"/>
            <w:vMerge w:val="restart"/>
            <w:vAlign w:val="center"/>
          </w:tcPr>
          <w:p w14:paraId="2DA5FBF4">
            <w:pPr>
              <w:pStyle w:val="53"/>
              <w:rPr>
                <w:rFonts w:ascii="宋体" w:hAnsi="宋体" w:eastAsia="仿宋_GB2312"/>
                <w:highlight w:val="none"/>
              </w:rPr>
            </w:pPr>
            <w:r>
              <w:rPr>
                <w:rFonts w:hint="eastAsia" w:ascii="宋体" w:hAnsi="宋体" w:eastAsia="仿宋_GB2312"/>
                <w:highlight w:val="none"/>
              </w:rPr>
              <w:t>JBJ/T187-2009</w:t>
            </w:r>
          </w:p>
        </w:tc>
        <w:tc>
          <w:tcPr>
            <w:tcW w:w="1116" w:type="dxa"/>
            <w:vAlign w:val="center"/>
          </w:tcPr>
          <w:p w14:paraId="4ECA148E">
            <w:pPr>
              <w:pStyle w:val="53"/>
              <w:rPr>
                <w:rFonts w:ascii="宋体" w:hAnsi="宋体" w:eastAsia="仿宋_GB2312"/>
                <w:highlight w:val="none"/>
              </w:rPr>
            </w:pPr>
          </w:p>
        </w:tc>
      </w:tr>
      <w:tr w14:paraId="15D14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988" w:type="dxa"/>
            <w:gridSpan w:val="2"/>
            <w:vMerge w:val="continue"/>
            <w:vAlign w:val="center"/>
          </w:tcPr>
          <w:p w14:paraId="2B60F202">
            <w:pPr>
              <w:pStyle w:val="53"/>
              <w:rPr>
                <w:rFonts w:ascii="宋体" w:hAnsi="宋体"/>
                <w:highlight w:val="none"/>
              </w:rPr>
            </w:pPr>
          </w:p>
        </w:tc>
        <w:tc>
          <w:tcPr>
            <w:tcW w:w="5799" w:type="dxa"/>
            <w:gridSpan w:val="3"/>
            <w:vAlign w:val="center"/>
          </w:tcPr>
          <w:p w14:paraId="3263CF72">
            <w:pPr>
              <w:pStyle w:val="53"/>
              <w:jc w:val="both"/>
              <w:rPr>
                <w:rFonts w:ascii="宋体" w:hAnsi="宋体" w:eastAsia="仿宋_GB2312"/>
                <w:highlight w:val="none"/>
              </w:rPr>
            </w:pPr>
            <w:r>
              <w:rPr>
                <w:rFonts w:hint="eastAsia" w:ascii="宋体" w:hAnsi="宋体" w:eastAsia="仿宋_GB2312"/>
                <w:highlight w:val="none"/>
              </w:rPr>
              <w:t>2.排水措施；</w:t>
            </w:r>
          </w:p>
        </w:tc>
        <w:tc>
          <w:tcPr>
            <w:tcW w:w="1618" w:type="dxa"/>
            <w:gridSpan w:val="2"/>
            <w:vMerge w:val="continue"/>
            <w:vAlign w:val="center"/>
          </w:tcPr>
          <w:p w14:paraId="68AD2C3C">
            <w:pPr>
              <w:pStyle w:val="53"/>
              <w:rPr>
                <w:rFonts w:ascii="宋体" w:hAnsi="宋体" w:eastAsia="仿宋_GB2312"/>
                <w:highlight w:val="none"/>
              </w:rPr>
            </w:pPr>
          </w:p>
        </w:tc>
        <w:tc>
          <w:tcPr>
            <w:tcW w:w="1116" w:type="dxa"/>
            <w:vAlign w:val="center"/>
          </w:tcPr>
          <w:p w14:paraId="5F0648FA">
            <w:pPr>
              <w:pStyle w:val="53"/>
              <w:rPr>
                <w:rFonts w:ascii="宋体" w:hAnsi="宋体" w:eastAsia="仿宋_GB2312"/>
                <w:highlight w:val="none"/>
              </w:rPr>
            </w:pPr>
          </w:p>
        </w:tc>
      </w:tr>
      <w:tr w14:paraId="73106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988" w:type="dxa"/>
            <w:gridSpan w:val="2"/>
            <w:vMerge w:val="continue"/>
            <w:vAlign w:val="center"/>
          </w:tcPr>
          <w:p w14:paraId="021763D3">
            <w:pPr>
              <w:pStyle w:val="53"/>
              <w:rPr>
                <w:rFonts w:ascii="宋体" w:hAnsi="宋体"/>
                <w:highlight w:val="none"/>
              </w:rPr>
            </w:pPr>
          </w:p>
        </w:tc>
        <w:tc>
          <w:tcPr>
            <w:tcW w:w="5799" w:type="dxa"/>
            <w:gridSpan w:val="3"/>
            <w:vAlign w:val="center"/>
          </w:tcPr>
          <w:p w14:paraId="17001AD6">
            <w:pPr>
              <w:pStyle w:val="53"/>
              <w:jc w:val="both"/>
              <w:rPr>
                <w:rFonts w:ascii="宋体" w:hAnsi="宋体" w:eastAsia="仿宋_GB2312"/>
                <w:highlight w:val="none"/>
              </w:rPr>
            </w:pPr>
            <w:r>
              <w:rPr>
                <w:rFonts w:hint="eastAsia" w:ascii="宋体" w:hAnsi="宋体" w:eastAsia="仿宋_GB2312"/>
                <w:highlight w:val="none"/>
              </w:rPr>
              <w:t>3.沉降量不大于50mm。</w:t>
            </w:r>
          </w:p>
        </w:tc>
        <w:tc>
          <w:tcPr>
            <w:tcW w:w="1618" w:type="dxa"/>
            <w:gridSpan w:val="2"/>
            <w:vMerge w:val="continue"/>
            <w:vAlign w:val="center"/>
          </w:tcPr>
          <w:p w14:paraId="26AE29EA">
            <w:pPr>
              <w:pStyle w:val="53"/>
              <w:rPr>
                <w:rFonts w:ascii="宋体" w:hAnsi="宋体" w:eastAsia="仿宋_GB2312"/>
                <w:highlight w:val="none"/>
              </w:rPr>
            </w:pPr>
          </w:p>
        </w:tc>
        <w:tc>
          <w:tcPr>
            <w:tcW w:w="1116" w:type="dxa"/>
            <w:vAlign w:val="center"/>
          </w:tcPr>
          <w:p w14:paraId="6EA57BD2">
            <w:pPr>
              <w:pStyle w:val="53"/>
              <w:rPr>
                <w:rFonts w:ascii="宋体" w:hAnsi="宋体" w:eastAsia="仿宋_GB2312"/>
                <w:highlight w:val="none"/>
              </w:rPr>
            </w:pPr>
          </w:p>
        </w:tc>
      </w:tr>
      <w:tr w14:paraId="7C444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 w:hRule="atLeast"/>
          <w:jc w:val="center"/>
        </w:trPr>
        <w:tc>
          <w:tcPr>
            <w:tcW w:w="988" w:type="dxa"/>
            <w:gridSpan w:val="2"/>
            <w:vMerge w:val="restart"/>
            <w:vAlign w:val="center"/>
          </w:tcPr>
          <w:p w14:paraId="1965392D">
            <w:pPr>
              <w:pStyle w:val="53"/>
              <w:rPr>
                <w:rFonts w:ascii="宋体" w:hAnsi="宋体"/>
                <w:highlight w:val="none"/>
              </w:rPr>
            </w:pPr>
            <w:r>
              <w:rPr>
                <w:rFonts w:hint="eastAsia" w:ascii="宋体" w:hAnsi="宋体"/>
                <w:highlight w:val="none"/>
              </w:rPr>
              <w:t>（二）塔</w:t>
            </w:r>
          </w:p>
          <w:p w14:paraId="6E51AAE7">
            <w:pPr>
              <w:pStyle w:val="53"/>
              <w:rPr>
                <w:rFonts w:ascii="宋体" w:hAnsi="宋体"/>
                <w:highlight w:val="none"/>
              </w:rPr>
            </w:pPr>
            <w:r>
              <w:rPr>
                <w:rFonts w:hint="eastAsia" w:ascii="宋体" w:hAnsi="宋体"/>
                <w:highlight w:val="none"/>
              </w:rPr>
              <w:t>身</w:t>
            </w:r>
          </w:p>
          <w:p w14:paraId="0B917D76">
            <w:pPr>
              <w:pStyle w:val="53"/>
              <w:rPr>
                <w:rFonts w:ascii="宋体" w:hAnsi="宋体"/>
                <w:highlight w:val="none"/>
              </w:rPr>
            </w:pPr>
            <w:r>
              <w:rPr>
                <w:rFonts w:hint="eastAsia" w:ascii="宋体" w:hAnsi="宋体"/>
                <w:highlight w:val="none"/>
              </w:rPr>
              <w:t>结</w:t>
            </w:r>
          </w:p>
          <w:p w14:paraId="1B6D302F">
            <w:pPr>
              <w:pStyle w:val="53"/>
              <w:rPr>
                <w:rFonts w:ascii="宋体" w:hAnsi="宋体"/>
                <w:highlight w:val="none"/>
              </w:rPr>
            </w:pPr>
            <w:r>
              <w:rPr>
                <w:rFonts w:hint="eastAsia" w:ascii="宋体" w:hAnsi="宋体"/>
                <w:highlight w:val="none"/>
              </w:rPr>
              <w:t>构</w:t>
            </w:r>
          </w:p>
        </w:tc>
        <w:tc>
          <w:tcPr>
            <w:tcW w:w="5799" w:type="dxa"/>
            <w:gridSpan w:val="3"/>
            <w:vAlign w:val="center"/>
          </w:tcPr>
          <w:p w14:paraId="0AA422DF">
            <w:pPr>
              <w:pStyle w:val="53"/>
              <w:jc w:val="both"/>
              <w:rPr>
                <w:rFonts w:ascii="宋体" w:hAnsi="宋体" w:eastAsia="仿宋_GB2312"/>
                <w:highlight w:val="none"/>
              </w:rPr>
            </w:pPr>
            <w:r>
              <w:rPr>
                <w:rFonts w:hint="eastAsia" w:ascii="宋体" w:hAnsi="宋体" w:eastAsia="仿宋_GB2312"/>
                <w:highlight w:val="none"/>
              </w:rPr>
              <w:t>1.结构无变形、开焊、裂纹；</w:t>
            </w:r>
          </w:p>
        </w:tc>
        <w:tc>
          <w:tcPr>
            <w:tcW w:w="1618" w:type="dxa"/>
            <w:gridSpan w:val="2"/>
            <w:vMerge w:val="restart"/>
            <w:vAlign w:val="center"/>
          </w:tcPr>
          <w:p w14:paraId="3BFC77C9">
            <w:pPr>
              <w:pStyle w:val="53"/>
              <w:rPr>
                <w:rFonts w:ascii="宋体" w:hAnsi="宋体" w:eastAsia="仿宋_GB2312"/>
                <w:highlight w:val="none"/>
              </w:rPr>
            </w:pPr>
            <w:r>
              <w:rPr>
                <w:rFonts w:ascii="宋体" w:hAnsi="宋体" w:eastAsia="仿宋_GB2312"/>
                <w:highlight w:val="none"/>
              </w:rPr>
              <w:t xml:space="preserve">GBT5031-2019 </w:t>
            </w:r>
          </w:p>
          <w:p w14:paraId="292B15A8">
            <w:pPr>
              <w:pStyle w:val="53"/>
              <w:rPr>
                <w:rFonts w:ascii="宋体" w:hAnsi="宋体" w:eastAsia="仿宋_GB2312"/>
                <w:highlight w:val="none"/>
              </w:rPr>
            </w:pPr>
            <w:r>
              <w:rPr>
                <w:rFonts w:hint="eastAsia" w:ascii="宋体" w:hAnsi="宋体" w:eastAsia="仿宋_GB2312"/>
                <w:highlight w:val="none"/>
              </w:rPr>
              <w:t>JGJ160-2016</w:t>
            </w:r>
          </w:p>
        </w:tc>
        <w:tc>
          <w:tcPr>
            <w:tcW w:w="1116" w:type="dxa"/>
            <w:vAlign w:val="center"/>
          </w:tcPr>
          <w:p w14:paraId="3DAB811E">
            <w:pPr>
              <w:pStyle w:val="53"/>
              <w:rPr>
                <w:rFonts w:ascii="宋体" w:hAnsi="宋体"/>
                <w:highlight w:val="none"/>
              </w:rPr>
            </w:pPr>
          </w:p>
        </w:tc>
      </w:tr>
      <w:tr w14:paraId="3DD3B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988" w:type="dxa"/>
            <w:gridSpan w:val="2"/>
            <w:vMerge w:val="continue"/>
            <w:vAlign w:val="center"/>
          </w:tcPr>
          <w:p w14:paraId="745B68E4">
            <w:pPr>
              <w:pStyle w:val="53"/>
              <w:rPr>
                <w:rFonts w:ascii="宋体" w:hAnsi="宋体"/>
                <w:highlight w:val="none"/>
              </w:rPr>
            </w:pPr>
          </w:p>
        </w:tc>
        <w:tc>
          <w:tcPr>
            <w:tcW w:w="5799" w:type="dxa"/>
            <w:gridSpan w:val="3"/>
            <w:vAlign w:val="center"/>
          </w:tcPr>
          <w:p w14:paraId="74010B3B">
            <w:pPr>
              <w:pStyle w:val="53"/>
              <w:jc w:val="both"/>
              <w:rPr>
                <w:rFonts w:ascii="宋体" w:hAnsi="宋体" w:eastAsia="仿宋_GB2312"/>
                <w:highlight w:val="none"/>
              </w:rPr>
            </w:pPr>
            <w:r>
              <w:rPr>
                <w:rFonts w:hint="eastAsia" w:ascii="宋体" w:hAnsi="宋体" w:eastAsia="仿宋_GB2312"/>
                <w:highlight w:val="none"/>
              </w:rPr>
              <w:t>2.过渡节、销轴、高强度螺栓等零部件配置齐全、无松动、缺损、无严重锈蚀；</w:t>
            </w:r>
          </w:p>
        </w:tc>
        <w:tc>
          <w:tcPr>
            <w:tcW w:w="1618" w:type="dxa"/>
            <w:gridSpan w:val="2"/>
            <w:vMerge w:val="continue"/>
            <w:vAlign w:val="center"/>
          </w:tcPr>
          <w:p w14:paraId="492FFB2A">
            <w:pPr>
              <w:pStyle w:val="53"/>
              <w:rPr>
                <w:rFonts w:ascii="宋体" w:hAnsi="宋体" w:eastAsia="仿宋_GB2312"/>
                <w:highlight w:val="none"/>
              </w:rPr>
            </w:pPr>
          </w:p>
        </w:tc>
        <w:tc>
          <w:tcPr>
            <w:tcW w:w="1116" w:type="dxa"/>
            <w:vAlign w:val="center"/>
          </w:tcPr>
          <w:p w14:paraId="47CA32ED">
            <w:pPr>
              <w:pStyle w:val="53"/>
              <w:rPr>
                <w:rFonts w:ascii="宋体" w:hAnsi="宋体"/>
                <w:highlight w:val="none"/>
              </w:rPr>
            </w:pPr>
          </w:p>
        </w:tc>
      </w:tr>
      <w:tr w14:paraId="4CD2A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988" w:type="dxa"/>
            <w:gridSpan w:val="2"/>
            <w:vMerge w:val="continue"/>
            <w:vAlign w:val="center"/>
          </w:tcPr>
          <w:p w14:paraId="10858E7D">
            <w:pPr>
              <w:pStyle w:val="53"/>
              <w:rPr>
                <w:rFonts w:ascii="宋体" w:hAnsi="宋体"/>
                <w:highlight w:val="none"/>
              </w:rPr>
            </w:pPr>
          </w:p>
        </w:tc>
        <w:tc>
          <w:tcPr>
            <w:tcW w:w="5799" w:type="dxa"/>
            <w:gridSpan w:val="3"/>
            <w:vAlign w:val="center"/>
          </w:tcPr>
          <w:p w14:paraId="5A3444AE">
            <w:pPr>
              <w:pStyle w:val="53"/>
              <w:jc w:val="both"/>
              <w:rPr>
                <w:rFonts w:ascii="宋体" w:hAnsi="宋体" w:eastAsia="仿宋_GB2312"/>
                <w:highlight w:val="none"/>
              </w:rPr>
            </w:pPr>
            <w:r>
              <w:rPr>
                <w:rFonts w:hint="eastAsia" w:ascii="宋体" w:hAnsi="宋体" w:eastAsia="仿宋_GB2312"/>
                <w:highlight w:val="none"/>
              </w:rPr>
              <w:t>3.垂直度≤3‰；</w:t>
            </w:r>
          </w:p>
        </w:tc>
        <w:tc>
          <w:tcPr>
            <w:tcW w:w="1618" w:type="dxa"/>
            <w:gridSpan w:val="2"/>
            <w:vMerge w:val="continue"/>
            <w:vAlign w:val="center"/>
          </w:tcPr>
          <w:p w14:paraId="02B2BAE0">
            <w:pPr>
              <w:pStyle w:val="53"/>
              <w:rPr>
                <w:rFonts w:ascii="宋体" w:hAnsi="宋体" w:eastAsia="仿宋_GB2312"/>
                <w:highlight w:val="none"/>
              </w:rPr>
            </w:pPr>
          </w:p>
        </w:tc>
        <w:tc>
          <w:tcPr>
            <w:tcW w:w="1116" w:type="dxa"/>
            <w:vAlign w:val="center"/>
          </w:tcPr>
          <w:p w14:paraId="31E4DFB1">
            <w:pPr>
              <w:pStyle w:val="53"/>
              <w:rPr>
                <w:rFonts w:ascii="宋体" w:hAnsi="宋体"/>
                <w:highlight w:val="none"/>
              </w:rPr>
            </w:pPr>
          </w:p>
        </w:tc>
      </w:tr>
      <w:tr w14:paraId="1C0DD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jc w:val="center"/>
        </w:trPr>
        <w:tc>
          <w:tcPr>
            <w:tcW w:w="988" w:type="dxa"/>
            <w:gridSpan w:val="2"/>
            <w:vMerge w:val="continue"/>
            <w:vAlign w:val="center"/>
          </w:tcPr>
          <w:p w14:paraId="2AEF673F">
            <w:pPr>
              <w:pStyle w:val="53"/>
              <w:rPr>
                <w:rFonts w:ascii="宋体" w:hAnsi="宋体"/>
                <w:highlight w:val="none"/>
              </w:rPr>
            </w:pPr>
          </w:p>
        </w:tc>
        <w:tc>
          <w:tcPr>
            <w:tcW w:w="5799" w:type="dxa"/>
            <w:gridSpan w:val="3"/>
            <w:vAlign w:val="center"/>
          </w:tcPr>
          <w:p w14:paraId="3C79B042">
            <w:pPr>
              <w:pStyle w:val="53"/>
              <w:jc w:val="both"/>
              <w:rPr>
                <w:rFonts w:ascii="宋体" w:hAnsi="宋体" w:eastAsia="仿宋_GB2312"/>
                <w:highlight w:val="none"/>
              </w:rPr>
            </w:pPr>
            <w:r>
              <w:rPr>
                <w:rFonts w:hint="eastAsia" w:ascii="宋体" w:hAnsi="宋体" w:eastAsia="仿宋_GB2312"/>
                <w:highlight w:val="none"/>
              </w:rPr>
              <w:t>4.爬梯设置防护圈应符合国家标准；</w:t>
            </w:r>
          </w:p>
        </w:tc>
        <w:tc>
          <w:tcPr>
            <w:tcW w:w="1618" w:type="dxa"/>
            <w:gridSpan w:val="2"/>
            <w:vMerge w:val="continue"/>
            <w:vAlign w:val="center"/>
          </w:tcPr>
          <w:p w14:paraId="0803D1B0">
            <w:pPr>
              <w:pStyle w:val="53"/>
              <w:rPr>
                <w:rFonts w:ascii="宋体" w:hAnsi="宋体" w:eastAsia="仿宋_GB2312"/>
                <w:highlight w:val="none"/>
              </w:rPr>
            </w:pPr>
          </w:p>
        </w:tc>
        <w:tc>
          <w:tcPr>
            <w:tcW w:w="1116" w:type="dxa"/>
            <w:vAlign w:val="center"/>
          </w:tcPr>
          <w:p w14:paraId="3E120965">
            <w:pPr>
              <w:pStyle w:val="53"/>
              <w:rPr>
                <w:rFonts w:ascii="宋体" w:hAnsi="宋体"/>
                <w:highlight w:val="none"/>
              </w:rPr>
            </w:pPr>
          </w:p>
        </w:tc>
      </w:tr>
      <w:tr w14:paraId="3A2DF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988" w:type="dxa"/>
            <w:gridSpan w:val="2"/>
            <w:vMerge w:val="continue"/>
            <w:vAlign w:val="center"/>
          </w:tcPr>
          <w:p w14:paraId="094B3C31">
            <w:pPr>
              <w:pStyle w:val="53"/>
              <w:rPr>
                <w:rFonts w:ascii="宋体" w:hAnsi="宋体"/>
                <w:highlight w:val="none"/>
              </w:rPr>
            </w:pPr>
          </w:p>
        </w:tc>
        <w:tc>
          <w:tcPr>
            <w:tcW w:w="5799" w:type="dxa"/>
            <w:gridSpan w:val="3"/>
            <w:vAlign w:val="center"/>
          </w:tcPr>
          <w:p w14:paraId="3558B8B1">
            <w:pPr>
              <w:pStyle w:val="53"/>
              <w:jc w:val="both"/>
              <w:rPr>
                <w:rFonts w:ascii="宋体" w:hAnsi="宋体" w:eastAsia="仿宋_GB2312"/>
                <w:highlight w:val="none"/>
              </w:rPr>
            </w:pPr>
            <w:r>
              <w:rPr>
                <w:rFonts w:hint="eastAsia" w:ascii="宋体" w:hAnsi="宋体" w:eastAsia="仿宋_GB2312"/>
                <w:highlight w:val="none"/>
              </w:rPr>
              <w:t>5.开口销不得用金属丝等代替。</w:t>
            </w:r>
          </w:p>
        </w:tc>
        <w:tc>
          <w:tcPr>
            <w:tcW w:w="1618" w:type="dxa"/>
            <w:gridSpan w:val="2"/>
            <w:vMerge w:val="continue"/>
            <w:vAlign w:val="center"/>
          </w:tcPr>
          <w:p w14:paraId="20697097">
            <w:pPr>
              <w:pStyle w:val="53"/>
              <w:rPr>
                <w:rFonts w:ascii="宋体" w:hAnsi="宋体" w:eastAsia="仿宋_GB2312"/>
                <w:highlight w:val="none"/>
              </w:rPr>
            </w:pPr>
          </w:p>
        </w:tc>
        <w:tc>
          <w:tcPr>
            <w:tcW w:w="1116" w:type="dxa"/>
            <w:vAlign w:val="center"/>
          </w:tcPr>
          <w:p w14:paraId="2BC18682">
            <w:pPr>
              <w:pStyle w:val="53"/>
              <w:rPr>
                <w:rFonts w:ascii="宋体" w:hAnsi="宋体"/>
                <w:highlight w:val="none"/>
              </w:rPr>
            </w:pPr>
          </w:p>
        </w:tc>
      </w:tr>
      <w:tr w14:paraId="029F0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jc w:val="center"/>
        </w:trPr>
        <w:tc>
          <w:tcPr>
            <w:tcW w:w="988" w:type="dxa"/>
            <w:gridSpan w:val="2"/>
            <w:vMerge w:val="restart"/>
            <w:vAlign w:val="center"/>
          </w:tcPr>
          <w:p w14:paraId="4B232C84">
            <w:pPr>
              <w:pStyle w:val="53"/>
              <w:rPr>
                <w:rFonts w:ascii="宋体" w:hAnsi="宋体"/>
                <w:highlight w:val="none"/>
              </w:rPr>
            </w:pPr>
            <w:r>
              <w:rPr>
                <w:rFonts w:hint="eastAsia" w:ascii="宋体" w:hAnsi="宋体"/>
                <w:highlight w:val="none"/>
              </w:rPr>
              <w:t>（三）钢</w:t>
            </w:r>
          </w:p>
          <w:p w14:paraId="0190527E">
            <w:pPr>
              <w:pStyle w:val="53"/>
              <w:rPr>
                <w:rFonts w:ascii="宋体" w:hAnsi="宋体"/>
                <w:highlight w:val="none"/>
              </w:rPr>
            </w:pPr>
            <w:r>
              <w:rPr>
                <w:rFonts w:hint="eastAsia" w:ascii="宋体" w:hAnsi="宋体"/>
                <w:highlight w:val="none"/>
              </w:rPr>
              <w:t>丝</w:t>
            </w:r>
          </w:p>
          <w:p w14:paraId="362A351B">
            <w:pPr>
              <w:pStyle w:val="53"/>
              <w:rPr>
                <w:rFonts w:ascii="宋体" w:hAnsi="宋体"/>
                <w:highlight w:val="none"/>
              </w:rPr>
            </w:pPr>
            <w:r>
              <w:rPr>
                <w:rFonts w:hint="eastAsia" w:ascii="宋体" w:hAnsi="宋体"/>
                <w:highlight w:val="none"/>
              </w:rPr>
              <w:t>绳</w:t>
            </w:r>
          </w:p>
        </w:tc>
        <w:tc>
          <w:tcPr>
            <w:tcW w:w="5799" w:type="dxa"/>
            <w:gridSpan w:val="3"/>
            <w:vAlign w:val="center"/>
          </w:tcPr>
          <w:p w14:paraId="4FC3064F">
            <w:pPr>
              <w:pStyle w:val="53"/>
              <w:jc w:val="both"/>
              <w:rPr>
                <w:rFonts w:ascii="宋体" w:hAnsi="宋体" w:eastAsia="仿宋_GB2312"/>
                <w:highlight w:val="none"/>
              </w:rPr>
            </w:pPr>
            <w:r>
              <w:rPr>
                <w:rFonts w:hint="eastAsia" w:ascii="宋体" w:hAnsi="宋体" w:eastAsia="仿宋_GB2312"/>
                <w:highlight w:val="none"/>
              </w:rPr>
              <w:t>1.完好、无断股；</w:t>
            </w:r>
          </w:p>
        </w:tc>
        <w:tc>
          <w:tcPr>
            <w:tcW w:w="1618" w:type="dxa"/>
            <w:gridSpan w:val="2"/>
            <w:vMerge w:val="restart"/>
            <w:vAlign w:val="center"/>
          </w:tcPr>
          <w:p w14:paraId="13ECA67E">
            <w:pPr>
              <w:pStyle w:val="53"/>
              <w:rPr>
                <w:rFonts w:ascii="宋体" w:hAnsi="宋体" w:eastAsia="仿宋_GB2312"/>
                <w:highlight w:val="none"/>
              </w:rPr>
            </w:pPr>
            <w:r>
              <w:rPr>
                <w:rFonts w:ascii="宋体" w:hAnsi="宋体" w:eastAsia="仿宋_GB2312"/>
                <w:highlight w:val="none"/>
              </w:rPr>
              <w:t>GBT5972-2023</w:t>
            </w:r>
          </w:p>
          <w:p w14:paraId="69E81BD2">
            <w:pPr>
              <w:pStyle w:val="53"/>
              <w:rPr>
                <w:rFonts w:ascii="宋体" w:hAnsi="宋体" w:eastAsia="仿宋_GB2312"/>
                <w:highlight w:val="none"/>
              </w:rPr>
            </w:pPr>
            <w:r>
              <w:rPr>
                <w:rFonts w:hint="eastAsia" w:ascii="宋体" w:hAnsi="宋体" w:eastAsia="仿宋_GB2312"/>
                <w:highlight w:val="none"/>
              </w:rPr>
              <w:t>JGJ160-2016</w:t>
            </w:r>
          </w:p>
        </w:tc>
        <w:tc>
          <w:tcPr>
            <w:tcW w:w="1116" w:type="dxa"/>
            <w:vAlign w:val="center"/>
          </w:tcPr>
          <w:p w14:paraId="7FDFF630">
            <w:pPr>
              <w:pStyle w:val="53"/>
              <w:rPr>
                <w:rFonts w:ascii="宋体" w:hAnsi="宋体"/>
                <w:highlight w:val="none"/>
              </w:rPr>
            </w:pPr>
          </w:p>
        </w:tc>
      </w:tr>
      <w:tr w14:paraId="79DCA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988" w:type="dxa"/>
            <w:gridSpan w:val="2"/>
            <w:vMerge w:val="continue"/>
            <w:vAlign w:val="center"/>
          </w:tcPr>
          <w:p w14:paraId="1D7C2E37">
            <w:pPr>
              <w:pStyle w:val="53"/>
              <w:rPr>
                <w:rFonts w:ascii="宋体" w:hAnsi="宋体"/>
                <w:highlight w:val="none"/>
              </w:rPr>
            </w:pPr>
          </w:p>
        </w:tc>
        <w:tc>
          <w:tcPr>
            <w:tcW w:w="5799" w:type="dxa"/>
            <w:gridSpan w:val="3"/>
            <w:vAlign w:val="center"/>
          </w:tcPr>
          <w:p w14:paraId="5D4BB157">
            <w:pPr>
              <w:pStyle w:val="53"/>
              <w:jc w:val="both"/>
              <w:rPr>
                <w:rFonts w:ascii="宋体" w:hAnsi="宋体" w:eastAsia="仿宋_GB2312"/>
                <w:highlight w:val="none"/>
              </w:rPr>
            </w:pPr>
            <w:r>
              <w:rPr>
                <w:rFonts w:hint="eastAsia" w:ascii="宋体" w:hAnsi="宋体" w:eastAsia="仿宋_GB2312"/>
                <w:highlight w:val="none"/>
              </w:rPr>
              <w:t>2.断丝不超过10％；</w:t>
            </w:r>
          </w:p>
        </w:tc>
        <w:tc>
          <w:tcPr>
            <w:tcW w:w="1618" w:type="dxa"/>
            <w:gridSpan w:val="2"/>
            <w:vMerge w:val="continue"/>
            <w:vAlign w:val="center"/>
          </w:tcPr>
          <w:p w14:paraId="6222280B">
            <w:pPr>
              <w:pStyle w:val="53"/>
              <w:rPr>
                <w:rFonts w:ascii="宋体" w:hAnsi="宋体" w:eastAsia="仿宋_GB2312"/>
                <w:highlight w:val="none"/>
              </w:rPr>
            </w:pPr>
          </w:p>
        </w:tc>
        <w:tc>
          <w:tcPr>
            <w:tcW w:w="1116" w:type="dxa"/>
            <w:vAlign w:val="center"/>
          </w:tcPr>
          <w:p w14:paraId="548899F1">
            <w:pPr>
              <w:pStyle w:val="53"/>
              <w:rPr>
                <w:rFonts w:ascii="宋体" w:hAnsi="宋体"/>
                <w:highlight w:val="none"/>
              </w:rPr>
            </w:pPr>
          </w:p>
        </w:tc>
      </w:tr>
      <w:tr w14:paraId="348AA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988" w:type="dxa"/>
            <w:gridSpan w:val="2"/>
            <w:vMerge w:val="continue"/>
            <w:vAlign w:val="center"/>
          </w:tcPr>
          <w:p w14:paraId="3256B842">
            <w:pPr>
              <w:pStyle w:val="53"/>
              <w:rPr>
                <w:rFonts w:ascii="宋体" w:hAnsi="宋体"/>
                <w:highlight w:val="none"/>
              </w:rPr>
            </w:pPr>
          </w:p>
        </w:tc>
        <w:tc>
          <w:tcPr>
            <w:tcW w:w="5799" w:type="dxa"/>
            <w:gridSpan w:val="3"/>
            <w:vAlign w:val="center"/>
          </w:tcPr>
          <w:p w14:paraId="1FE72C3F">
            <w:pPr>
              <w:pStyle w:val="53"/>
              <w:jc w:val="both"/>
              <w:rPr>
                <w:rFonts w:ascii="宋体" w:hAnsi="宋体" w:eastAsia="仿宋_GB2312"/>
                <w:highlight w:val="none"/>
              </w:rPr>
            </w:pPr>
            <w:r>
              <w:rPr>
                <w:rFonts w:hint="eastAsia" w:ascii="宋体" w:hAnsi="宋体" w:eastAsia="仿宋_GB2312"/>
                <w:highlight w:val="none"/>
              </w:rPr>
              <w:t>3.型号、规格、长度符合本机说明书规定；</w:t>
            </w:r>
          </w:p>
        </w:tc>
        <w:tc>
          <w:tcPr>
            <w:tcW w:w="1618" w:type="dxa"/>
            <w:gridSpan w:val="2"/>
            <w:vMerge w:val="continue"/>
            <w:vAlign w:val="center"/>
          </w:tcPr>
          <w:p w14:paraId="5FE91C00">
            <w:pPr>
              <w:pStyle w:val="53"/>
              <w:rPr>
                <w:rFonts w:ascii="宋体" w:hAnsi="宋体" w:eastAsia="仿宋_GB2312"/>
                <w:highlight w:val="none"/>
              </w:rPr>
            </w:pPr>
          </w:p>
        </w:tc>
        <w:tc>
          <w:tcPr>
            <w:tcW w:w="1116" w:type="dxa"/>
            <w:vAlign w:val="center"/>
          </w:tcPr>
          <w:p w14:paraId="4C90B912">
            <w:pPr>
              <w:pStyle w:val="53"/>
              <w:rPr>
                <w:rFonts w:ascii="宋体" w:hAnsi="宋体"/>
                <w:highlight w:val="none"/>
              </w:rPr>
            </w:pPr>
          </w:p>
        </w:tc>
      </w:tr>
      <w:tr w14:paraId="24EF8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jc w:val="center"/>
        </w:trPr>
        <w:tc>
          <w:tcPr>
            <w:tcW w:w="988" w:type="dxa"/>
            <w:gridSpan w:val="2"/>
            <w:vMerge w:val="continue"/>
            <w:vAlign w:val="center"/>
          </w:tcPr>
          <w:p w14:paraId="217D3C6D">
            <w:pPr>
              <w:pStyle w:val="53"/>
              <w:rPr>
                <w:rFonts w:ascii="宋体" w:hAnsi="宋体"/>
                <w:highlight w:val="none"/>
              </w:rPr>
            </w:pPr>
          </w:p>
        </w:tc>
        <w:tc>
          <w:tcPr>
            <w:tcW w:w="5799" w:type="dxa"/>
            <w:gridSpan w:val="3"/>
            <w:vAlign w:val="center"/>
          </w:tcPr>
          <w:p w14:paraId="2FC0FCAB">
            <w:pPr>
              <w:pStyle w:val="53"/>
              <w:jc w:val="both"/>
              <w:rPr>
                <w:rFonts w:ascii="宋体" w:hAnsi="宋体" w:eastAsia="仿宋_GB2312"/>
                <w:highlight w:val="none"/>
              </w:rPr>
            </w:pPr>
            <w:r>
              <w:rPr>
                <w:rFonts w:hint="eastAsia" w:ascii="宋体" w:hAnsi="宋体" w:eastAsia="仿宋_GB2312"/>
                <w:highlight w:val="none"/>
              </w:rPr>
              <w:t>4.固定绳卡数量与绳径匹配，卡间距为6-7倍绳径；</w:t>
            </w:r>
          </w:p>
        </w:tc>
        <w:tc>
          <w:tcPr>
            <w:tcW w:w="1618" w:type="dxa"/>
            <w:gridSpan w:val="2"/>
            <w:vMerge w:val="continue"/>
            <w:vAlign w:val="center"/>
          </w:tcPr>
          <w:p w14:paraId="229694ED">
            <w:pPr>
              <w:pStyle w:val="53"/>
              <w:rPr>
                <w:rFonts w:ascii="宋体" w:hAnsi="宋体" w:eastAsia="仿宋_GB2312"/>
                <w:highlight w:val="none"/>
              </w:rPr>
            </w:pPr>
          </w:p>
        </w:tc>
        <w:tc>
          <w:tcPr>
            <w:tcW w:w="1116" w:type="dxa"/>
            <w:vAlign w:val="center"/>
          </w:tcPr>
          <w:p w14:paraId="09E738B0">
            <w:pPr>
              <w:pStyle w:val="53"/>
              <w:rPr>
                <w:rFonts w:ascii="宋体" w:hAnsi="宋体"/>
                <w:highlight w:val="none"/>
              </w:rPr>
            </w:pPr>
          </w:p>
        </w:tc>
      </w:tr>
      <w:tr w14:paraId="09585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5" w:hRule="atLeast"/>
          <w:jc w:val="center"/>
        </w:trPr>
        <w:tc>
          <w:tcPr>
            <w:tcW w:w="988" w:type="dxa"/>
            <w:gridSpan w:val="2"/>
            <w:vMerge w:val="continue"/>
            <w:vAlign w:val="center"/>
          </w:tcPr>
          <w:p w14:paraId="50F886A7">
            <w:pPr>
              <w:pStyle w:val="53"/>
              <w:rPr>
                <w:rFonts w:ascii="宋体" w:hAnsi="宋体"/>
                <w:highlight w:val="none"/>
              </w:rPr>
            </w:pPr>
          </w:p>
        </w:tc>
        <w:tc>
          <w:tcPr>
            <w:tcW w:w="5799" w:type="dxa"/>
            <w:gridSpan w:val="3"/>
            <w:vAlign w:val="center"/>
          </w:tcPr>
          <w:p w14:paraId="26CBE056">
            <w:pPr>
              <w:pStyle w:val="53"/>
              <w:jc w:val="both"/>
              <w:rPr>
                <w:rFonts w:ascii="宋体" w:hAnsi="宋体" w:eastAsia="仿宋_GB2312"/>
                <w:highlight w:val="none"/>
              </w:rPr>
            </w:pPr>
            <w:r>
              <w:rPr>
                <w:rFonts w:hint="eastAsia" w:ascii="宋体" w:hAnsi="宋体" w:eastAsia="仿宋_GB2312"/>
                <w:highlight w:val="none"/>
              </w:rPr>
              <w:t>5.钢绳磨损量不超过钢丝绳的10%；</w:t>
            </w:r>
          </w:p>
        </w:tc>
        <w:tc>
          <w:tcPr>
            <w:tcW w:w="1618" w:type="dxa"/>
            <w:gridSpan w:val="2"/>
            <w:vMerge w:val="continue"/>
            <w:vAlign w:val="center"/>
          </w:tcPr>
          <w:p w14:paraId="0026F570">
            <w:pPr>
              <w:pStyle w:val="53"/>
              <w:rPr>
                <w:rFonts w:ascii="宋体" w:hAnsi="宋体" w:eastAsia="仿宋_GB2312"/>
                <w:highlight w:val="none"/>
              </w:rPr>
            </w:pPr>
          </w:p>
        </w:tc>
        <w:tc>
          <w:tcPr>
            <w:tcW w:w="1116" w:type="dxa"/>
            <w:vAlign w:val="center"/>
          </w:tcPr>
          <w:p w14:paraId="63536E47">
            <w:pPr>
              <w:pStyle w:val="53"/>
              <w:rPr>
                <w:rFonts w:ascii="宋体" w:hAnsi="宋体"/>
                <w:highlight w:val="none"/>
              </w:rPr>
            </w:pPr>
          </w:p>
        </w:tc>
      </w:tr>
      <w:tr w14:paraId="4ABE6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988" w:type="dxa"/>
            <w:gridSpan w:val="2"/>
            <w:vMerge w:val="continue"/>
            <w:vAlign w:val="center"/>
          </w:tcPr>
          <w:p w14:paraId="2FB83A36">
            <w:pPr>
              <w:pStyle w:val="53"/>
              <w:rPr>
                <w:rFonts w:ascii="宋体" w:hAnsi="宋体"/>
                <w:highlight w:val="none"/>
              </w:rPr>
            </w:pPr>
          </w:p>
        </w:tc>
        <w:tc>
          <w:tcPr>
            <w:tcW w:w="5799" w:type="dxa"/>
            <w:gridSpan w:val="3"/>
            <w:vAlign w:val="center"/>
          </w:tcPr>
          <w:p w14:paraId="0FD2355B">
            <w:pPr>
              <w:pStyle w:val="53"/>
              <w:jc w:val="both"/>
              <w:rPr>
                <w:rFonts w:ascii="宋体" w:hAnsi="宋体" w:eastAsia="仿宋_GB2312"/>
                <w:highlight w:val="none"/>
              </w:rPr>
            </w:pPr>
            <w:r>
              <w:rPr>
                <w:rFonts w:hint="eastAsia" w:ascii="宋体" w:hAnsi="宋体" w:eastAsia="仿宋_GB2312"/>
                <w:highlight w:val="none"/>
              </w:rPr>
              <w:t>6.捆绑起重索具符合要求。</w:t>
            </w:r>
          </w:p>
        </w:tc>
        <w:tc>
          <w:tcPr>
            <w:tcW w:w="1618" w:type="dxa"/>
            <w:gridSpan w:val="2"/>
            <w:vMerge w:val="continue"/>
            <w:vAlign w:val="center"/>
          </w:tcPr>
          <w:p w14:paraId="4F65D5D7">
            <w:pPr>
              <w:pStyle w:val="53"/>
              <w:rPr>
                <w:rFonts w:ascii="宋体" w:hAnsi="宋体" w:eastAsia="仿宋_GB2312"/>
                <w:highlight w:val="none"/>
              </w:rPr>
            </w:pPr>
          </w:p>
        </w:tc>
        <w:tc>
          <w:tcPr>
            <w:tcW w:w="1116" w:type="dxa"/>
            <w:vAlign w:val="center"/>
          </w:tcPr>
          <w:p w14:paraId="40937658">
            <w:pPr>
              <w:pStyle w:val="53"/>
              <w:rPr>
                <w:rFonts w:ascii="宋体" w:hAnsi="宋体"/>
                <w:highlight w:val="none"/>
              </w:rPr>
            </w:pPr>
          </w:p>
        </w:tc>
      </w:tr>
      <w:tr w14:paraId="51F19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5" w:hRule="atLeast"/>
          <w:jc w:val="center"/>
        </w:trPr>
        <w:tc>
          <w:tcPr>
            <w:tcW w:w="988" w:type="dxa"/>
            <w:gridSpan w:val="2"/>
            <w:vMerge w:val="restart"/>
            <w:vAlign w:val="center"/>
          </w:tcPr>
          <w:p w14:paraId="307D51E4">
            <w:pPr>
              <w:pStyle w:val="53"/>
              <w:rPr>
                <w:rFonts w:ascii="宋体" w:hAnsi="宋体"/>
                <w:highlight w:val="none"/>
              </w:rPr>
            </w:pPr>
            <w:r>
              <w:rPr>
                <w:rFonts w:hint="eastAsia" w:ascii="宋体" w:hAnsi="宋体"/>
                <w:highlight w:val="none"/>
              </w:rPr>
              <w:t>（四）吊</w:t>
            </w:r>
          </w:p>
          <w:p w14:paraId="0D4C89E7">
            <w:pPr>
              <w:pStyle w:val="53"/>
              <w:rPr>
                <w:rFonts w:ascii="宋体" w:hAnsi="宋体"/>
                <w:highlight w:val="none"/>
              </w:rPr>
            </w:pPr>
            <w:r>
              <w:rPr>
                <w:rFonts w:hint="eastAsia" w:ascii="宋体" w:hAnsi="宋体"/>
                <w:highlight w:val="none"/>
              </w:rPr>
              <w:t>钩</w:t>
            </w:r>
          </w:p>
        </w:tc>
        <w:tc>
          <w:tcPr>
            <w:tcW w:w="5799" w:type="dxa"/>
            <w:gridSpan w:val="3"/>
            <w:vAlign w:val="center"/>
          </w:tcPr>
          <w:p w14:paraId="52E88D32">
            <w:pPr>
              <w:pStyle w:val="53"/>
              <w:jc w:val="both"/>
              <w:rPr>
                <w:rFonts w:ascii="宋体" w:hAnsi="宋体" w:eastAsia="仿宋_GB2312"/>
                <w:highlight w:val="none"/>
              </w:rPr>
            </w:pPr>
            <w:r>
              <w:rPr>
                <w:rFonts w:hint="eastAsia" w:ascii="宋体" w:hAnsi="宋体" w:eastAsia="仿宋_GB2312"/>
                <w:highlight w:val="none"/>
              </w:rPr>
              <w:t>1.无裂纹、变形、严重磨损；</w:t>
            </w:r>
          </w:p>
        </w:tc>
        <w:tc>
          <w:tcPr>
            <w:tcW w:w="1618" w:type="dxa"/>
            <w:gridSpan w:val="2"/>
            <w:vMerge w:val="restart"/>
            <w:vAlign w:val="center"/>
          </w:tcPr>
          <w:p w14:paraId="201E57F5">
            <w:pPr>
              <w:pStyle w:val="53"/>
              <w:rPr>
                <w:rFonts w:ascii="宋体" w:hAnsi="宋体" w:eastAsia="仿宋_GB2312"/>
                <w:highlight w:val="none"/>
              </w:rPr>
            </w:pPr>
            <w:r>
              <w:rPr>
                <w:rFonts w:ascii="宋体" w:hAnsi="宋体" w:eastAsia="仿宋_GB2312"/>
                <w:highlight w:val="none"/>
              </w:rPr>
              <w:t xml:space="preserve">GBT5031-2019 </w:t>
            </w:r>
          </w:p>
          <w:p w14:paraId="6A2009F9">
            <w:pPr>
              <w:pStyle w:val="53"/>
              <w:rPr>
                <w:rFonts w:ascii="宋体" w:hAnsi="宋体" w:eastAsia="仿宋_GB2312"/>
                <w:highlight w:val="none"/>
              </w:rPr>
            </w:pPr>
            <w:r>
              <w:rPr>
                <w:rFonts w:hint="eastAsia" w:ascii="宋体" w:hAnsi="宋体" w:eastAsia="仿宋_GB2312"/>
                <w:highlight w:val="none"/>
              </w:rPr>
              <w:t>JGJ160-2016</w:t>
            </w:r>
          </w:p>
        </w:tc>
        <w:tc>
          <w:tcPr>
            <w:tcW w:w="1116" w:type="dxa"/>
            <w:vAlign w:val="center"/>
          </w:tcPr>
          <w:p w14:paraId="4DF2B540">
            <w:pPr>
              <w:pStyle w:val="53"/>
              <w:rPr>
                <w:rFonts w:ascii="宋体" w:hAnsi="宋体"/>
                <w:highlight w:val="none"/>
              </w:rPr>
            </w:pPr>
          </w:p>
        </w:tc>
      </w:tr>
      <w:tr w14:paraId="114A3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jc w:val="center"/>
        </w:trPr>
        <w:tc>
          <w:tcPr>
            <w:tcW w:w="988" w:type="dxa"/>
            <w:gridSpan w:val="2"/>
            <w:vMerge w:val="continue"/>
            <w:vAlign w:val="center"/>
          </w:tcPr>
          <w:p w14:paraId="42AA80D2">
            <w:pPr>
              <w:pStyle w:val="53"/>
              <w:rPr>
                <w:rFonts w:ascii="宋体" w:hAnsi="宋体"/>
                <w:highlight w:val="none"/>
              </w:rPr>
            </w:pPr>
          </w:p>
        </w:tc>
        <w:tc>
          <w:tcPr>
            <w:tcW w:w="5799" w:type="dxa"/>
            <w:gridSpan w:val="3"/>
            <w:vAlign w:val="center"/>
          </w:tcPr>
          <w:p w14:paraId="50CD4D5C">
            <w:pPr>
              <w:pStyle w:val="53"/>
              <w:jc w:val="both"/>
              <w:rPr>
                <w:rFonts w:ascii="宋体" w:hAnsi="宋体" w:eastAsia="仿宋_GB2312"/>
                <w:highlight w:val="none"/>
              </w:rPr>
            </w:pPr>
            <w:r>
              <w:rPr>
                <w:rFonts w:hint="eastAsia" w:ascii="宋体" w:hAnsi="宋体" w:eastAsia="仿宋_GB2312"/>
                <w:highlight w:val="none"/>
              </w:rPr>
              <w:t>2.钩身无补焊、钻孔现象；</w:t>
            </w:r>
          </w:p>
        </w:tc>
        <w:tc>
          <w:tcPr>
            <w:tcW w:w="1618" w:type="dxa"/>
            <w:gridSpan w:val="2"/>
            <w:vMerge w:val="continue"/>
            <w:vAlign w:val="center"/>
          </w:tcPr>
          <w:p w14:paraId="6B17D951">
            <w:pPr>
              <w:pStyle w:val="53"/>
              <w:rPr>
                <w:rFonts w:ascii="宋体" w:hAnsi="宋体" w:eastAsia="仿宋_GB2312"/>
                <w:highlight w:val="none"/>
              </w:rPr>
            </w:pPr>
          </w:p>
        </w:tc>
        <w:tc>
          <w:tcPr>
            <w:tcW w:w="1116" w:type="dxa"/>
            <w:vAlign w:val="center"/>
          </w:tcPr>
          <w:p w14:paraId="2A3F6B9D">
            <w:pPr>
              <w:pStyle w:val="53"/>
              <w:rPr>
                <w:rFonts w:ascii="宋体" w:hAnsi="宋体"/>
                <w:highlight w:val="none"/>
              </w:rPr>
            </w:pPr>
          </w:p>
        </w:tc>
      </w:tr>
      <w:tr w14:paraId="4141B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988" w:type="dxa"/>
            <w:gridSpan w:val="2"/>
            <w:vMerge w:val="continue"/>
            <w:vAlign w:val="center"/>
          </w:tcPr>
          <w:p w14:paraId="6DCDCB37">
            <w:pPr>
              <w:pStyle w:val="53"/>
              <w:rPr>
                <w:rFonts w:ascii="宋体" w:hAnsi="宋体"/>
                <w:highlight w:val="none"/>
              </w:rPr>
            </w:pPr>
          </w:p>
        </w:tc>
        <w:tc>
          <w:tcPr>
            <w:tcW w:w="5799" w:type="dxa"/>
            <w:gridSpan w:val="3"/>
            <w:vAlign w:val="center"/>
          </w:tcPr>
          <w:p w14:paraId="50B5082B">
            <w:pPr>
              <w:pStyle w:val="53"/>
              <w:jc w:val="both"/>
              <w:rPr>
                <w:rFonts w:ascii="宋体" w:hAnsi="宋体" w:eastAsia="仿宋_GB2312"/>
                <w:highlight w:val="none"/>
              </w:rPr>
            </w:pPr>
            <w:r>
              <w:rPr>
                <w:rFonts w:hint="eastAsia" w:ascii="宋体" w:hAnsi="宋体" w:eastAsia="仿宋_GB2312"/>
                <w:highlight w:val="none"/>
              </w:rPr>
              <w:t>3.具有防脱装置;</w:t>
            </w:r>
          </w:p>
        </w:tc>
        <w:tc>
          <w:tcPr>
            <w:tcW w:w="1618" w:type="dxa"/>
            <w:gridSpan w:val="2"/>
            <w:vMerge w:val="continue"/>
            <w:vAlign w:val="center"/>
          </w:tcPr>
          <w:p w14:paraId="61F952B3">
            <w:pPr>
              <w:pStyle w:val="53"/>
              <w:rPr>
                <w:rFonts w:ascii="宋体" w:hAnsi="宋体" w:eastAsia="仿宋_GB2312"/>
                <w:highlight w:val="none"/>
              </w:rPr>
            </w:pPr>
          </w:p>
        </w:tc>
        <w:tc>
          <w:tcPr>
            <w:tcW w:w="1116" w:type="dxa"/>
            <w:vAlign w:val="center"/>
          </w:tcPr>
          <w:p w14:paraId="6492A605">
            <w:pPr>
              <w:pStyle w:val="53"/>
              <w:rPr>
                <w:rFonts w:ascii="宋体" w:hAnsi="宋体"/>
                <w:highlight w:val="none"/>
              </w:rPr>
            </w:pPr>
          </w:p>
        </w:tc>
      </w:tr>
      <w:tr w14:paraId="2E300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jc w:val="center"/>
        </w:trPr>
        <w:tc>
          <w:tcPr>
            <w:tcW w:w="988" w:type="dxa"/>
            <w:gridSpan w:val="2"/>
            <w:vMerge w:val="continue"/>
            <w:vAlign w:val="center"/>
          </w:tcPr>
          <w:p w14:paraId="27DE5C1A">
            <w:pPr>
              <w:pStyle w:val="53"/>
              <w:rPr>
                <w:rFonts w:ascii="宋体" w:hAnsi="宋体"/>
                <w:highlight w:val="none"/>
              </w:rPr>
            </w:pPr>
          </w:p>
        </w:tc>
        <w:tc>
          <w:tcPr>
            <w:tcW w:w="5799" w:type="dxa"/>
            <w:gridSpan w:val="3"/>
            <w:vAlign w:val="center"/>
          </w:tcPr>
          <w:p w14:paraId="4D834DB3">
            <w:pPr>
              <w:pStyle w:val="53"/>
              <w:jc w:val="both"/>
              <w:rPr>
                <w:rFonts w:ascii="宋体" w:hAnsi="宋体" w:eastAsia="仿宋_GB2312"/>
                <w:highlight w:val="none"/>
              </w:rPr>
            </w:pPr>
            <w:r>
              <w:rPr>
                <w:rFonts w:hint="eastAsia" w:ascii="宋体" w:hAnsi="宋体" w:eastAsia="仿宋_GB2312"/>
                <w:highlight w:val="none"/>
              </w:rPr>
              <w:t>4.挂绳处截面磨损量不超过原高度的10%；</w:t>
            </w:r>
          </w:p>
        </w:tc>
        <w:tc>
          <w:tcPr>
            <w:tcW w:w="1618" w:type="dxa"/>
            <w:gridSpan w:val="2"/>
            <w:vMerge w:val="continue"/>
            <w:vAlign w:val="center"/>
          </w:tcPr>
          <w:p w14:paraId="55750320">
            <w:pPr>
              <w:pStyle w:val="53"/>
              <w:rPr>
                <w:rFonts w:ascii="宋体" w:hAnsi="宋体" w:eastAsia="仿宋_GB2312"/>
                <w:highlight w:val="none"/>
              </w:rPr>
            </w:pPr>
          </w:p>
        </w:tc>
        <w:tc>
          <w:tcPr>
            <w:tcW w:w="1116" w:type="dxa"/>
            <w:vAlign w:val="center"/>
          </w:tcPr>
          <w:p w14:paraId="484C853E">
            <w:pPr>
              <w:pStyle w:val="53"/>
              <w:rPr>
                <w:rFonts w:ascii="宋体" w:hAnsi="宋体"/>
                <w:highlight w:val="none"/>
              </w:rPr>
            </w:pPr>
          </w:p>
        </w:tc>
      </w:tr>
      <w:tr w14:paraId="1AF03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5" w:hRule="atLeast"/>
          <w:jc w:val="center"/>
        </w:trPr>
        <w:tc>
          <w:tcPr>
            <w:tcW w:w="988" w:type="dxa"/>
            <w:gridSpan w:val="2"/>
            <w:vMerge w:val="restart"/>
            <w:vAlign w:val="center"/>
          </w:tcPr>
          <w:p w14:paraId="54DC5F37">
            <w:pPr>
              <w:pStyle w:val="53"/>
              <w:rPr>
                <w:rFonts w:ascii="宋体" w:hAnsi="宋体"/>
                <w:highlight w:val="none"/>
              </w:rPr>
            </w:pPr>
            <w:r>
              <w:rPr>
                <w:rFonts w:hint="eastAsia" w:ascii="宋体" w:hAnsi="宋体"/>
                <w:highlight w:val="none"/>
              </w:rPr>
              <w:t>（五）高度限位</w:t>
            </w:r>
          </w:p>
        </w:tc>
        <w:tc>
          <w:tcPr>
            <w:tcW w:w="5799" w:type="dxa"/>
            <w:gridSpan w:val="3"/>
            <w:vAlign w:val="center"/>
          </w:tcPr>
          <w:p w14:paraId="1D37EBCA">
            <w:pPr>
              <w:pStyle w:val="53"/>
              <w:jc w:val="both"/>
              <w:rPr>
                <w:rFonts w:ascii="宋体" w:hAnsi="宋体" w:eastAsia="仿宋_GB2312"/>
                <w:highlight w:val="none"/>
              </w:rPr>
            </w:pPr>
            <w:r>
              <w:rPr>
                <w:rFonts w:hint="eastAsia" w:ascii="宋体" w:hAnsi="宋体" w:eastAsia="仿宋_GB2312"/>
                <w:highlight w:val="none"/>
              </w:rPr>
              <w:t>1.吊钩顶部距起重臂下端800mm，能立即停止起升，但有向下、向内变幅运动；</w:t>
            </w:r>
          </w:p>
        </w:tc>
        <w:tc>
          <w:tcPr>
            <w:tcW w:w="1618" w:type="dxa"/>
            <w:gridSpan w:val="2"/>
            <w:vMerge w:val="restart"/>
            <w:vAlign w:val="center"/>
          </w:tcPr>
          <w:p w14:paraId="5078077D">
            <w:pPr>
              <w:pStyle w:val="53"/>
              <w:rPr>
                <w:rFonts w:ascii="宋体" w:hAnsi="宋体" w:eastAsia="仿宋_GB2312"/>
                <w:highlight w:val="none"/>
              </w:rPr>
            </w:pPr>
            <w:r>
              <w:rPr>
                <w:rFonts w:ascii="宋体" w:hAnsi="宋体" w:eastAsia="仿宋_GB2312"/>
                <w:highlight w:val="none"/>
              </w:rPr>
              <w:t xml:space="preserve">GBT5031-2019 </w:t>
            </w:r>
          </w:p>
        </w:tc>
        <w:tc>
          <w:tcPr>
            <w:tcW w:w="1116" w:type="dxa"/>
            <w:vAlign w:val="center"/>
          </w:tcPr>
          <w:p w14:paraId="492857C2">
            <w:pPr>
              <w:pStyle w:val="53"/>
              <w:rPr>
                <w:rFonts w:ascii="宋体" w:hAnsi="宋体"/>
                <w:highlight w:val="none"/>
              </w:rPr>
            </w:pPr>
          </w:p>
        </w:tc>
      </w:tr>
      <w:tr w14:paraId="64C57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9" w:hRule="atLeast"/>
          <w:jc w:val="center"/>
        </w:trPr>
        <w:tc>
          <w:tcPr>
            <w:tcW w:w="988" w:type="dxa"/>
            <w:gridSpan w:val="2"/>
            <w:vMerge w:val="continue"/>
            <w:vAlign w:val="center"/>
          </w:tcPr>
          <w:p w14:paraId="1E803191">
            <w:pPr>
              <w:pStyle w:val="53"/>
              <w:rPr>
                <w:rFonts w:ascii="宋体" w:hAnsi="宋体"/>
                <w:highlight w:val="none"/>
              </w:rPr>
            </w:pPr>
          </w:p>
        </w:tc>
        <w:tc>
          <w:tcPr>
            <w:tcW w:w="5799" w:type="dxa"/>
            <w:gridSpan w:val="3"/>
            <w:vAlign w:val="center"/>
          </w:tcPr>
          <w:p w14:paraId="77E7567C">
            <w:pPr>
              <w:pStyle w:val="53"/>
              <w:jc w:val="both"/>
              <w:rPr>
                <w:rFonts w:ascii="宋体" w:hAnsi="宋体" w:eastAsia="仿宋_GB2312"/>
                <w:highlight w:val="none"/>
              </w:rPr>
            </w:pPr>
            <w:r>
              <w:rPr>
                <w:rFonts w:hint="eastAsia" w:ascii="宋体" w:hAnsi="宋体" w:eastAsia="仿宋_GB2312"/>
                <w:highlight w:val="none"/>
              </w:rPr>
              <w:t>2.吊钩不能再下降或卷筒上钢丝绳只剩3圈时，应能立即停止下降运动；</w:t>
            </w:r>
          </w:p>
        </w:tc>
        <w:tc>
          <w:tcPr>
            <w:tcW w:w="1618" w:type="dxa"/>
            <w:gridSpan w:val="2"/>
            <w:vMerge w:val="continue"/>
            <w:vAlign w:val="center"/>
          </w:tcPr>
          <w:p w14:paraId="5B8B44B4">
            <w:pPr>
              <w:pStyle w:val="53"/>
              <w:rPr>
                <w:rFonts w:ascii="宋体" w:hAnsi="宋体" w:eastAsia="仿宋_GB2312"/>
                <w:highlight w:val="none"/>
              </w:rPr>
            </w:pPr>
          </w:p>
        </w:tc>
        <w:tc>
          <w:tcPr>
            <w:tcW w:w="1116" w:type="dxa"/>
            <w:vAlign w:val="center"/>
          </w:tcPr>
          <w:p w14:paraId="043E195A">
            <w:pPr>
              <w:pStyle w:val="53"/>
              <w:rPr>
                <w:rFonts w:ascii="宋体" w:hAnsi="宋体"/>
                <w:highlight w:val="none"/>
              </w:rPr>
            </w:pPr>
          </w:p>
        </w:tc>
      </w:tr>
      <w:tr w14:paraId="50C24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3" w:hRule="atLeast"/>
          <w:jc w:val="center"/>
        </w:trPr>
        <w:tc>
          <w:tcPr>
            <w:tcW w:w="988" w:type="dxa"/>
            <w:gridSpan w:val="2"/>
            <w:vMerge w:val="continue"/>
            <w:vAlign w:val="center"/>
          </w:tcPr>
          <w:p w14:paraId="48F7623C">
            <w:pPr>
              <w:pStyle w:val="53"/>
              <w:rPr>
                <w:rFonts w:ascii="宋体" w:hAnsi="宋体"/>
                <w:highlight w:val="none"/>
              </w:rPr>
            </w:pPr>
          </w:p>
        </w:tc>
        <w:tc>
          <w:tcPr>
            <w:tcW w:w="5799" w:type="dxa"/>
            <w:gridSpan w:val="3"/>
            <w:vAlign w:val="center"/>
          </w:tcPr>
          <w:p w14:paraId="02F1523C">
            <w:pPr>
              <w:pStyle w:val="53"/>
              <w:jc w:val="both"/>
              <w:rPr>
                <w:rFonts w:ascii="宋体" w:hAnsi="宋体" w:eastAsia="仿宋_GB2312"/>
                <w:highlight w:val="none"/>
              </w:rPr>
            </w:pPr>
            <w:r>
              <w:rPr>
                <w:rFonts w:hint="eastAsia" w:ascii="宋体" w:hAnsi="宋体" w:eastAsia="仿宋_GB2312"/>
                <w:highlight w:val="none"/>
              </w:rPr>
              <w:t>3.钢丝绳松弛可能造成卷筒上钢丝绳乱绳或反卷，设置下限位。</w:t>
            </w:r>
          </w:p>
        </w:tc>
        <w:tc>
          <w:tcPr>
            <w:tcW w:w="1618" w:type="dxa"/>
            <w:gridSpan w:val="2"/>
            <w:vMerge w:val="continue"/>
            <w:vAlign w:val="center"/>
          </w:tcPr>
          <w:p w14:paraId="5D3A2359">
            <w:pPr>
              <w:pStyle w:val="53"/>
              <w:rPr>
                <w:rFonts w:ascii="宋体" w:hAnsi="宋体" w:eastAsia="仿宋_GB2312"/>
                <w:highlight w:val="none"/>
              </w:rPr>
            </w:pPr>
          </w:p>
        </w:tc>
        <w:tc>
          <w:tcPr>
            <w:tcW w:w="1116" w:type="dxa"/>
            <w:vAlign w:val="center"/>
          </w:tcPr>
          <w:p w14:paraId="32903D9E">
            <w:pPr>
              <w:pStyle w:val="53"/>
              <w:rPr>
                <w:rFonts w:ascii="宋体" w:hAnsi="宋体"/>
                <w:highlight w:val="none"/>
              </w:rPr>
            </w:pPr>
          </w:p>
        </w:tc>
      </w:tr>
      <w:tr w14:paraId="59AB9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1" w:hRule="atLeast"/>
          <w:jc w:val="center"/>
        </w:trPr>
        <w:tc>
          <w:tcPr>
            <w:tcW w:w="988" w:type="dxa"/>
            <w:gridSpan w:val="2"/>
            <w:vMerge w:val="restart"/>
            <w:vAlign w:val="center"/>
          </w:tcPr>
          <w:p w14:paraId="1B753E3F">
            <w:pPr>
              <w:pStyle w:val="53"/>
              <w:rPr>
                <w:rFonts w:ascii="宋体" w:hAnsi="宋体"/>
                <w:highlight w:val="none"/>
              </w:rPr>
            </w:pPr>
            <w:r>
              <w:rPr>
                <w:rFonts w:hint="eastAsia" w:ascii="宋体" w:hAnsi="宋体"/>
                <w:highlight w:val="none"/>
              </w:rPr>
              <w:t>（六）幅度限位装置</w:t>
            </w:r>
          </w:p>
        </w:tc>
        <w:tc>
          <w:tcPr>
            <w:tcW w:w="5799" w:type="dxa"/>
            <w:gridSpan w:val="3"/>
            <w:vAlign w:val="center"/>
          </w:tcPr>
          <w:p w14:paraId="54EF4BB0">
            <w:pPr>
              <w:pStyle w:val="53"/>
              <w:jc w:val="both"/>
              <w:rPr>
                <w:rFonts w:ascii="宋体" w:hAnsi="宋体" w:eastAsia="仿宋_GB2312"/>
                <w:highlight w:val="none"/>
              </w:rPr>
            </w:pPr>
            <w:r>
              <w:rPr>
                <w:rFonts w:hint="eastAsia" w:ascii="宋体" w:hAnsi="宋体" w:eastAsia="仿宋_GB2312"/>
                <w:highlight w:val="none"/>
              </w:rPr>
              <w:t>1.小车前后两端应设置限位开关和缓冲装置；</w:t>
            </w:r>
          </w:p>
        </w:tc>
        <w:tc>
          <w:tcPr>
            <w:tcW w:w="1618" w:type="dxa"/>
            <w:gridSpan w:val="2"/>
            <w:vMerge w:val="restart"/>
            <w:vAlign w:val="center"/>
          </w:tcPr>
          <w:p w14:paraId="2F02B5CC">
            <w:pPr>
              <w:pStyle w:val="53"/>
              <w:rPr>
                <w:rFonts w:ascii="宋体" w:hAnsi="宋体" w:eastAsia="仿宋_GB2312"/>
                <w:highlight w:val="none"/>
              </w:rPr>
            </w:pPr>
            <w:r>
              <w:rPr>
                <w:rFonts w:ascii="宋体" w:hAnsi="宋体" w:eastAsia="仿宋_GB2312"/>
                <w:highlight w:val="none"/>
              </w:rPr>
              <w:t xml:space="preserve">GBT5031-2019 </w:t>
            </w:r>
          </w:p>
        </w:tc>
        <w:tc>
          <w:tcPr>
            <w:tcW w:w="1116" w:type="dxa"/>
            <w:vAlign w:val="center"/>
          </w:tcPr>
          <w:p w14:paraId="7F306DF6">
            <w:pPr>
              <w:pStyle w:val="53"/>
              <w:rPr>
                <w:rFonts w:ascii="宋体" w:hAnsi="宋体"/>
                <w:highlight w:val="none"/>
              </w:rPr>
            </w:pPr>
          </w:p>
        </w:tc>
      </w:tr>
      <w:tr w14:paraId="54A7C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2" w:hRule="atLeast"/>
          <w:jc w:val="center"/>
        </w:trPr>
        <w:tc>
          <w:tcPr>
            <w:tcW w:w="988" w:type="dxa"/>
            <w:gridSpan w:val="2"/>
            <w:vMerge w:val="continue"/>
            <w:vAlign w:val="center"/>
          </w:tcPr>
          <w:p w14:paraId="7DDBCD54">
            <w:pPr>
              <w:pStyle w:val="53"/>
              <w:rPr>
                <w:rFonts w:ascii="宋体" w:hAnsi="宋体"/>
                <w:highlight w:val="none"/>
              </w:rPr>
            </w:pPr>
          </w:p>
        </w:tc>
        <w:tc>
          <w:tcPr>
            <w:tcW w:w="5799" w:type="dxa"/>
            <w:gridSpan w:val="3"/>
            <w:vAlign w:val="center"/>
          </w:tcPr>
          <w:p w14:paraId="2BA9FA0F">
            <w:pPr>
              <w:pStyle w:val="53"/>
              <w:jc w:val="both"/>
              <w:rPr>
                <w:rFonts w:ascii="宋体" w:hAnsi="宋体" w:eastAsia="仿宋_GB2312"/>
                <w:highlight w:val="none"/>
              </w:rPr>
            </w:pPr>
            <w:r>
              <w:rPr>
                <w:rFonts w:hint="eastAsia" w:ascii="宋体" w:hAnsi="宋体" w:eastAsia="仿宋_GB2312"/>
                <w:highlight w:val="none"/>
              </w:rPr>
              <w:t>2.限位开关距小车停车时其端部缓冲装置最小距离200mm。</w:t>
            </w:r>
          </w:p>
        </w:tc>
        <w:tc>
          <w:tcPr>
            <w:tcW w:w="1618" w:type="dxa"/>
            <w:gridSpan w:val="2"/>
            <w:vMerge w:val="continue"/>
            <w:vAlign w:val="center"/>
          </w:tcPr>
          <w:p w14:paraId="3CD93A77">
            <w:pPr>
              <w:pStyle w:val="53"/>
              <w:rPr>
                <w:rFonts w:ascii="宋体" w:hAnsi="宋体" w:eastAsia="仿宋_GB2312"/>
                <w:highlight w:val="none"/>
              </w:rPr>
            </w:pPr>
          </w:p>
        </w:tc>
        <w:tc>
          <w:tcPr>
            <w:tcW w:w="1116" w:type="dxa"/>
            <w:vAlign w:val="center"/>
          </w:tcPr>
          <w:p w14:paraId="321F6416">
            <w:pPr>
              <w:pStyle w:val="53"/>
              <w:rPr>
                <w:rFonts w:ascii="宋体" w:hAnsi="宋体"/>
                <w:highlight w:val="none"/>
              </w:rPr>
            </w:pPr>
          </w:p>
        </w:tc>
      </w:tr>
      <w:tr w14:paraId="3049B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988" w:type="dxa"/>
            <w:gridSpan w:val="2"/>
            <w:vMerge w:val="restart"/>
            <w:vAlign w:val="center"/>
          </w:tcPr>
          <w:p w14:paraId="7CB00C0C">
            <w:pPr>
              <w:pStyle w:val="53"/>
              <w:rPr>
                <w:rFonts w:ascii="宋体" w:hAnsi="宋体"/>
                <w:highlight w:val="none"/>
              </w:rPr>
            </w:pPr>
            <w:r>
              <w:rPr>
                <w:rFonts w:hint="eastAsia" w:ascii="宋体" w:hAnsi="宋体"/>
                <w:highlight w:val="none"/>
              </w:rPr>
              <w:t>（七）力矩限制器</w:t>
            </w:r>
          </w:p>
        </w:tc>
        <w:tc>
          <w:tcPr>
            <w:tcW w:w="5799" w:type="dxa"/>
            <w:gridSpan w:val="3"/>
            <w:vAlign w:val="center"/>
          </w:tcPr>
          <w:p w14:paraId="30C092EB">
            <w:pPr>
              <w:pStyle w:val="53"/>
              <w:jc w:val="both"/>
              <w:rPr>
                <w:rFonts w:ascii="宋体" w:hAnsi="宋体" w:eastAsia="仿宋_GB2312"/>
                <w:highlight w:val="none"/>
              </w:rPr>
            </w:pPr>
            <w:r>
              <w:rPr>
                <w:rFonts w:hint="eastAsia" w:ascii="宋体" w:hAnsi="宋体" w:eastAsia="仿宋_GB2312"/>
                <w:highlight w:val="none"/>
              </w:rPr>
              <w:t>1.应设置力矩限制器；</w:t>
            </w:r>
          </w:p>
        </w:tc>
        <w:tc>
          <w:tcPr>
            <w:tcW w:w="1618" w:type="dxa"/>
            <w:gridSpan w:val="2"/>
            <w:vMerge w:val="restart"/>
            <w:vAlign w:val="center"/>
          </w:tcPr>
          <w:p w14:paraId="24ABB1A9">
            <w:pPr>
              <w:pStyle w:val="53"/>
              <w:rPr>
                <w:rFonts w:ascii="宋体" w:hAnsi="宋体" w:eastAsia="仿宋_GB2312"/>
                <w:highlight w:val="none"/>
              </w:rPr>
            </w:pPr>
            <w:r>
              <w:rPr>
                <w:rFonts w:ascii="宋体" w:hAnsi="宋体" w:eastAsia="仿宋_GB2312"/>
                <w:highlight w:val="none"/>
              </w:rPr>
              <w:t>GB12602-2020</w:t>
            </w:r>
          </w:p>
        </w:tc>
        <w:tc>
          <w:tcPr>
            <w:tcW w:w="1116" w:type="dxa"/>
            <w:vAlign w:val="center"/>
          </w:tcPr>
          <w:p w14:paraId="2083DE5D">
            <w:pPr>
              <w:pStyle w:val="53"/>
              <w:rPr>
                <w:rFonts w:ascii="宋体" w:hAnsi="宋体"/>
                <w:highlight w:val="none"/>
              </w:rPr>
            </w:pPr>
          </w:p>
        </w:tc>
      </w:tr>
      <w:tr w14:paraId="716DD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988" w:type="dxa"/>
            <w:gridSpan w:val="2"/>
            <w:vMerge w:val="continue"/>
            <w:vAlign w:val="center"/>
          </w:tcPr>
          <w:p w14:paraId="20BEBB29">
            <w:pPr>
              <w:pStyle w:val="53"/>
              <w:rPr>
                <w:rFonts w:ascii="宋体" w:hAnsi="宋体"/>
                <w:highlight w:val="none"/>
              </w:rPr>
            </w:pPr>
          </w:p>
        </w:tc>
        <w:tc>
          <w:tcPr>
            <w:tcW w:w="5799" w:type="dxa"/>
            <w:gridSpan w:val="3"/>
            <w:vAlign w:val="center"/>
          </w:tcPr>
          <w:p w14:paraId="2182312E">
            <w:pPr>
              <w:pStyle w:val="53"/>
              <w:jc w:val="both"/>
              <w:rPr>
                <w:rFonts w:ascii="宋体" w:hAnsi="宋体" w:eastAsia="仿宋_GB2312"/>
                <w:highlight w:val="none"/>
              </w:rPr>
            </w:pPr>
            <w:r>
              <w:rPr>
                <w:rFonts w:hint="eastAsia" w:ascii="宋体" w:hAnsi="宋体" w:eastAsia="仿宋_GB2312"/>
                <w:highlight w:val="none"/>
              </w:rPr>
              <w:t>2.起重量达到90%-95%时，能发出报警信号；</w:t>
            </w:r>
          </w:p>
        </w:tc>
        <w:tc>
          <w:tcPr>
            <w:tcW w:w="1618" w:type="dxa"/>
            <w:gridSpan w:val="2"/>
            <w:vMerge w:val="continue"/>
            <w:vAlign w:val="center"/>
          </w:tcPr>
          <w:p w14:paraId="634FD0FE">
            <w:pPr>
              <w:pStyle w:val="53"/>
              <w:rPr>
                <w:rFonts w:ascii="宋体" w:hAnsi="宋体" w:eastAsia="仿宋_GB2312"/>
                <w:highlight w:val="none"/>
              </w:rPr>
            </w:pPr>
          </w:p>
        </w:tc>
        <w:tc>
          <w:tcPr>
            <w:tcW w:w="1116" w:type="dxa"/>
            <w:vAlign w:val="center"/>
          </w:tcPr>
          <w:p w14:paraId="03D9B488">
            <w:pPr>
              <w:pStyle w:val="53"/>
              <w:rPr>
                <w:rFonts w:ascii="宋体" w:hAnsi="宋体"/>
                <w:highlight w:val="none"/>
              </w:rPr>
            </w:pPr>
          </w:p>
        </w:tc>
      </w:tr>
      <w:tr w14:paraId="2A281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988" w:type="dxa"/>
            <w:gridSpan w:val="2"/>
            <w:vMerge w:val="continue"/>
            <w:vAlign w:val="center"/>
          </w:tcPr>
          <w:p w14:paraId="5DF29439">
            <w:pPr>
              <w:pStyle w:val="53"/>
              <w:rPr>
                <w:rFonts w:ascii="宋体" w:hAnsi="宋体"/>
                <w:highlight w:val="none"/>
              </w:rPr>
            </w:pPr>
          </w:p>
        </w:tc>
        <w:tc>
          <w:tcPr>
            <w:tcW w:w="5799" w:type="dxa"/>
            <w:gridSpan w:val="3"/>
            <w:vAlign w:val="center"/>
          </w:tcPr>
          <w:p w14:paraId="7189E7DF">
            <w:pPr>
              <w:pStyle w:val="53"/>
              <w:jc w:val="both"/>
              <w:rPr>
                <w:rFonts w:ascii="宋体" w:hAnsi="宋体" w:eastAsia="仿宋_GB2312"/>
                <w:highlight w:val="none"/>
              </w:rPr>
            </w:pPr>
            <w:r>
              <w:rPr>
                <w:rFonts w:hint="eastAsia" w:ascii="宋体" w:hAnsi="宋体" w:eastAsia="仿宋_GB2312"/>
                <w:highlight w:val="none"/>
              </w:rPr>
              <w:t>3.起重量达到105%-110%时，能停止向不安全方向继续动作。</w:t>
            </w:r>
          </w:p>
        </w:tc>
        <w:tc>
          <w:tcPr>
            <w:tcW w:w="1618" w:type="dxa"/>
            <w:gridSpan w:val="2"/>
            <w:vMerge w:val="continue"/>
            <w:vAlign w:val="center"/>
          </w:tcPr>
          <w:p w14:paraId="45B68544">
            <w:pPr>
              <w:pStyle w:val="53"/>
              <w:rPr>
                <w:rFonts w:ascii="宋体" w:hAnsi="宋体" w:eastAsia="仿宋_GB2312"/>
                <w:highlight w:val="none"/>
              </w:rPr>
            </w:pPr>
          </w:p>
        </w:tc>
        <w:tc>
          <w:tcPr>
            <w:tcW w:w="1116" w:type="dxa"/>
            <w:vAlign w:val="center"/>
          </w:tcPr>
          <w:p w14:paraId="02ACBC2D">
            <w:pPr>
              <w:pStyle w:val="53"/>
              <w:rPr>
                <w:rFonts w:ascii="宋体" w:hAnsi="宋体"/>
                <w:highlight w:val="none"/>
              </w:rPr>
            </w:pPr>
          </w:p>
        </w:tc>
      </w:tr>
      <w:tr w14:paraId="7E28A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988" w:type="dxa"/>
            <w:gridSpan w:val="2"/>
            <w:vMerge w:val="continue"/>
            <w:vAlign w:val="center"/>
          </w:tcPr>
          <w:p w14:paraId="6D992E71">
            <w:pPr>
              <w:pStyle w:val="53"/>
              <w:rPr>
                <w:rFonts w:ascii="宋体" w:hAnsi="宋体"/>
                <w:highlight w:val="none"/>
              </w:rPr>
            </w:pPr>
          </w:p>
        </w:tc>
        <w:tc>
          <w:tcPr>
            <w:tcW w:w="5799" w:type="dxa"/>
            <w:gridSpan w:val="3"/>
            <w:vAlign w:val="center"/>
          </w:tcPr>
          <w:p w14:paraId="21AA11CB">
            <w:pPr>
              <w:pStyle w:val="53"/>
              <w:jc w:val="both"/>
              <w:rPr>
                <w:rFonts w:ascii="宋体" w:hAnsi="宋体" w:eastAsia="仿宋_GB2312"/>
                <w:highlight w:val="none"/>
              </w:rPr>
            </w:pPr>
            <w:r>
              <w:rPr>
                <w:rFonts w:hint="eastAsia" w:ascii="宋体" w:hAnsi="宋体" w:eastAsia="仿宋_GB2312"/>
                <w:highlight w:val="none"/>
              </w:rPr>
              <w:t>4.力矩限制器综合误差不超过±8%。</w:t>
            </w:r>
          </w:p>
        </w:tc>
        <w:tc>
          <w:tcPr>
            <w:tcW w:w="1618" w:type="dxa"/>
            <w:gridSpan w:val="2"/>
            <w:vMerge w:val="continue"/>
            <w:vAlign w:val="center"/>
          </w:tcPr>
          <w:p w14:paraId="4AEF916E">
            <w:pPr>
              <w:pStyle w:val="53"/>
              <w:rPr>
                <w:rFonts w:ascii="宋体" w:hAnsi="宋体" w:eastAsia="仿宋_GB2312"/>
                <w:highlight w:val="none"/>
              </w:rPr>
            </w:pPr>
          </w:p>
        </w:tc>
        <w:tc>
          <w:tcPr>
            <w:tcW w:w="1116" w:type="dxa"/>
            <w:vAlign w:val="center"/>
          </w:tcPr>
          <w:p w14:paraId="65B9EB37">
            <w:pPr>
              <w:pStyle w:val="53"/>
              <w:rPr>
                <w:rFonts w:ascii="宋体" w:hAnsi="宋体"/>
                <w:highlight w:val="none"/>
              </w:rPr>
            </w:pPr>
          </w:p>
        </w:tc>
      </w:tr>
      <w:tr w14:paraId="74EAC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988" w:type="dxa"/>
            <w:gridSpan w:val="2"/>
            <w:vMerge w:val="restart"/>
            <w:vAlign w:val="center"/>
          </w:tcPr>
          <w:p w14:paraId="63EF3D29">
            <w:pPr>
              <w:pStyle w:val="53"/>
              <w:rPr>
                <w:rFonts w:ascii="宋体" w:hAnsi="宋体"/>
                <w:highlight w:val="none"/>
              </w:rPr>
            </w:pPr>
            <w:r>
              <w:rPr>
                <w:rFonts w:hint="eastAsia" w:ascii="宋体" w:hAnsi="宋体"/>
                <w:highlight w:val="none"/>
              </w:rPr>
              <w:t>（八）附</w:t>
            </w:r>
          </w:p>
          <w:p w14:paraId="03B984DD">
            <w:pPr>
              <w:pStyle w:val="53"/>
              <w:rPr>
                <w:rFonts w:ascii="宋体" w:hAnsi="宋体"/>
                <w:highlight w:val="none"/>
              </w:rPr>
            </w:pPr>
            <w:r>
              <w:rPr>
                <w:rFonts w:hint="eastAsia" w:ascii="宋体" w:hAnsi="宋体"/>
                <w:highlight w:val="none"/>
              </w:rPr>
              <w:t>着</w:t>
            </w:r>
          </w:p>
          <w:p w14:paraId="61C4F52C">
            <w:pPr>
              <w:pStyle w:val="53"/>
              <w:rPr>
                <w:rFonts w:ascii="宋体" w:hAnsi="宋体"/>
                <w:highlight w:val="none"/>
              </w:rPr>
            </w:pPr>
            <w:r>
              <w:rPr>
                <w:rFonts w:hint="eastAsia" w:ascii="宋体" w:hAnsi="宋体"/>
                <w:highlight w:val="none"/>
              </w:rPr>
              <w:t>架</w:t>
            </w:r>
          </w:p>
        </w:tc>
        <w:tc>
          <w:tcPr>
            <w:tcW w:w="5799" w:type="dxa"/>
            <w:gridSpan w:val="3"/>
            <w:vAlign w:val="center"/>
          </w:tcPr>
          <w:p w14:paraId="6817CC0D">
            <w:pPr>
              <w:pStyle w:val="53"/>
              <w:jc w:val="both"/>
              <w:rPr>
                <w:rFonts w:ascii="宋体" w:hAnsi="宋体" w:eastAsia="仿宋_GB2312"/>
                <w:highlight w:val="none"/>
              </w:rPr>
            </w:pPr>
            <w:r>
              <w:rPr>
                <w:rFonts w:hint="eastAsia" w:ascii="宋体" w:hAnsi="宋体" w:eastAsia="仿宋_GB2312"/>
                <w:highlight w:val="none"/>
              </w:rPr>
              <w:t>1.框架、附着杆安装正确、牢固；无开焊、变形、裂纹；</w:t>
            </w:r>
          </w:p>
        </w:tc>
        <w:tc>
          <w:tcPr>
            <w:tcW w:w="1618" w:type="dxa"/>
            <w:gridSpan w:val="2"/>
            <w:vMerge w:val="restart"/>
            <w:vAlign w:val="center"/>
          </w:tcPr>
          <w:p w14:paraId="6304A047">
            <w:pPr>
              <w:pStyle w:val="53"/>
              <w:rPr>
                <w:rFonts w:ascii="宋体" w:hAnsi="宋体" w:eastAsia="仿宋_GB2312"/>
                <w:highlight w:val="none"/>
              </w:rPr>
            </w:pPr>
            <w:r>
              <w:rPr>
                <w:rFonts w:hint="eastAsia" w:ascii="宋体" w:hAnsi="宋体" w:eastAsia="仿宋_GB2312"/>
                <w:highlight w:val="none"/>
              </w:rPr>
              <w:t>JGJ196-2010</w:t>
            </w:r>
          </w:p>
        </w:tc>
        <w:tc>
          <w:tcPr>
            <w:tcW w:w="1116" w:type="dxa"/>
            <w:vAlign w:val="center"/>
          </w:tcPr>
          <w:p w14:paraId="289F38DE">
            <w:pPr>
              <w:pStyle w:val="53"/>
              <w:rPr>
                <w:rFonts w:ascii="宋体" w:hAnsi="宋体"/>
                <w:highlight w:val="none"/>
              </w:rPr>
            </w:pPr>
          </w:p>
        </w:tc>
      </w:tr>
      <w:tr w14:paraId="36CFE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988" w:type="dxa"/>
            <w:gridSpan w:val="2"/>
            <w:vMerge w:val="continue"/>
            <w:vAlign w:val="center"/>
          </w:tcPr>
          <w:p w14:paraId="4419FC34">
            <w:pPr>
              <w:pStyle w:val="53"/>
              <w:rPr>
                <w:rFonts w:ascii="宋体" w:hAnsi="宋体"/>
                <w:highlight w:val="none"/>
              </w:rPr>
            </w:pPr>
          </w:p>
        </w:tc>
        <w:tc>
          <w:tcPr>
            <w:tcW w:w="5799" w:type="dxa"/>
            <w:gridSpan w:val="3"/>
            <w:vAlign w:val="center"/>
          </w:tcPr>
          <w:p w14:paraId="2E193D3B">
            <w:pPr>
              <w:pStyle w:val="53"/>
              <w:jc w:val="both"/>
              <w:rPr>
                <w:rFonts w:ascii="宋体" w:hAnsi="宋体" w:eastAsia="仿宋_GB2312"/>
                <w:highlight w:val="none"/>
              </w:rPr>
            </w:pPr>
            <w:r>
              <w:rPr>
                <w:rFonts w:hint="eastAsia" w:ascii="宋体" w:hAnsi="宋体" w:eastAsia="仿宋_GB2312"/>
                <w:highlight w:val="none"/>
              </w:rPr>
              <w:t>2.各处螺栓、轴销齐全牢固；</w:t>
            </w:r>
          </w:p>
        </w:tc>
        <w:tc>
          <w:tcPr>
            <w:tcW w:w="1618" w:type="dxa"/>
            <w:gridSpan w:val="2"/>
            <w:vMerge w:val="continue"/>
            <w:vAlign w:val="center"/>
          </w:tcPr>
          <w:p w14:paraId="220F2C8C">
            <w:pPr>
              <w:pStyle w:val="53"/>
              <w:rPr>
                <w:rFonts w:ascii="宋体" w:hAnsi="宋体" w:eastAsia="仿宋_GB2312"/>
                <w:highlight w:val="none"/>
              </w:rPr>
            </w:pPr>
          </w:p>
        </w:tc>
        <w:tc>
          <w:tcPr>
            <w:tcW w:w="1116" w:type="dxa"/>
            <w:vAlign w:val="center"/>
          </w:tcPr>
          <w:p w14:paraId="41A455FE">
            <w:pPr>
              <w:pStyle w:val="53"/>
              <w:rPr>
                <w:rFonts w:ascii="宋体" w:hAnsi="宋体"/>
                <w:highlight w:val="none"/>
              </w:rPr>
            </w:pPr>
          </w:p>
        </w:tc>
      </w:tr>
      <w:tr w14:paraId="6A90E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988" w:type="dxa"/>
            <w:gridSpan w:val="2"/>
            <w:vMerge w:val="continue"/>
            <w:vAlign w:val="center"/>
          </w:tcPr>
          <w:p w14:paraId="11045B67">
            <w:pPr>
              <w:pStyle w:val="53"/>
              <w:rPr>
                <w:rFonts w:ascii="宋体" w:hAnsi="宋体"/>
                <w:highlight w:val="none"/>
              </w:rPr>
            </w:pPr>
          </w:p>
        </w:tc>
        <w:tc>
          <w:tcPr>
            <w:tcW w:w="5799" w:type="dxa"/>
            <w:gridSpan w:val="3"/>
            <w:vAlign w:val="center"/>
          </w:tcPr>
          <w:p w14:paraId="0A18659F">
            <w:pPr>
              <w:pStyle w:val="53"/>
              <w:jc w:val="both"/>
              <w:rPr>
                <w:rFonts w:ascii="宋体" w:hAnsi="宋体" w:eastAsia="仿宋_GB2312"/>
                <w:highlight w:val="none"/>
              </w:rPr>
            </w:pPr>
            <w:r>
              <w:rPr>
                <w:rFonts w:hint="eastAsia" w:ascii="宋体" w:hAnsi="宋体" w:eastAsia="仿宋_GB2312"/>
                <w:highlight w:val="none"/>
              </w:rPr>
              <w:t>3.间距、数量、安装固定符合说明书要求；</w:t>
            </w:r>
          </w:p>
        </w:tc>
        <w:tc>
          <w:tcPr>
            <w:tcW w:w="1618" w:type="dxa"/>
            <w:gridSpan w:val="2"/>
            <w:vMerge w:val="continue"/>
            <w:vAlign w:val="center"/>
          </w:tcPr>
          <w:p w14:paraId="33169436">
            <w:pPr>
              <w:pStyle w:val="53"/>
              <w:rPr>
                <w:rFonts w:ascii="宋体" w:hAnsi="宋体" w:eastAsia="仿宋_GB2312"/>
                <w:highlight w:val="none"/>
              </w:rPr>
            </w:pPr>
          </w:p>
        </w:tc>
        <w:tc>
          <w:tcPr>
            <w:tcW w:w="1116" w:type="dxa"/>
            <w:vAlign w:val="center"/>
          </w:tcPr>
          <w:p w14:paraId="33B15A11">
            <w:pPr>
              <w:pStyle w:val="53"/>
              <w:rPr>
                <w:rFonts w:ascii="宋体" w:hAnsi="宋体"/>
                <w:highlight w:val="none"/>
              </w:rPr>
            </w:pPr>
          </w:p>
        </w:tc>
      </w:tr>
      <w:tr w14:paraId="5BE65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jc w:val="center"/>
        </w:trPr>
        <w:tc>
          <w:tcPr>
            <w:tcW w:w="988" w:type="dxa"/>
            <w:gridSpan w:val="2"/>
            <w:vMerge w:val="continue"/>
            <w:vAlign w:val="center"/>
          </w:tcPr>
          <w:p w14:paraId="2F0DB320">
            <w:pPr>
              <w:pStyle w:val="53"/>
              <w:rPr>
                <w:rFonts w:ascii="宋体" w:hAnsi="宋体"/>
                <w:highlight w:val="none"/>
              </w:rPr>
            </w:pPr>
          </w:p>
        </w:tc>
        <w:tc>
          <w:tcPr>
            <w:tcW w:w="5799" w:type="dxa"/>
            <w:gridSpan w:val="3"/>
            <w:vAlign w:val="center"/>
          </w:tcPr>
          <w:p w14:paraId="490B714F">
            <w:pPr>
              <w:pStyle w:val="53"/>
              <w:jc w:val="both"/>
              <w:rPr>
                <w:rFonts w:ascii="宋体" w:hAnsi="宋体" w:eastAsia="仿宋_GB2312"/>
                <w:highlight w:val="none"/>
              </w:rPr>
            </w:pPr>
            <w:r>
              <w:rPr>
                <w:rFonts w:hint="eastAsia" w:ascii="宋体" w:hAnsi="宋体" w:eastAsia="仿宋_GB2312"/>
                <w:highlight w:val="none"/>
              </w:rPr>
              <w:t>4.架体不得擅自改动。</w:t>
            </w:r>
          </w:p>
        </w:tc>
        <w:tc>
          <w:tcPr>
            <w:tcW w:w="1618" w:type="dxa"/>
            <w:gridSpan w:val="2"/>
            <w:vMerge w:val="continue"/>
            <w:vAlign w:val="center"/>
          </w:tcPr>
          <w:p w14:paraId="3A6B1128">
            <w:pPr>
              <w:pStyle w:val="53"/>
              <w:rPr>
                <w:rFonts w:ascii="宋体" w:hAnsi="宋体" w:eastAsia="仿宋_GB2312"/>
                <w:highlight w:val="none"/>
              </w:rPr>
            </w:pPr>
          </w:p>
        </w:tc>
        <w:tc>
          <w:tcPr>
            <w:tcW w:w="1116" w:type="dxa"/>
            <w:vAlign w:val="center"/>
          </w:tcPr>
          <w:p w14:paraId="00BDBE4F">
            <w:pPr>
              <w:pStyle w:val="53"/>
              <w:rPr>
                <w:rFonts w:ascii="宋体" w:hAnsi="宋体"/>
                <w:highlight w:val="none"/>
              </w:rPr>
            </w:pPr>
          </w:p>
        </w:tc>
      </w:tr>
      <w:tr w14:paraId="75527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988" w:type="dxa"/>
            <w:gridSpan w:val="2"/>
            <w:vMerge w:val="restart"/>
            <w:vAlign w:val="center"/>
          </w:tcPr>
          <w:p w14:paraId="2E724703">
            <w:pPr>
              <w:pStyle w:val="53"/>
              <w:rPr>
                <w:rFonts w:ascii="宋体" w:hAnsi="宋体"/>
                <w:highlight w:val="none"/>
              </w:rPr>
            </w:pPr>
            <w:r>
              <w:rPr>
                <w:rFonts w:hint="eastAsia" w:ascii="宋体" w:hAnsi="宋体"/>
                <w:highlight w:val="none"/>
              </w:rPr>
              <w:t>（九）电</w:t>
            </w:r>
          </w:p>
          <w:p w14:paraId="57AAFDCF">
            <w:pPr>
              <w:pStyle w:val="53"/>
              <w:rPr>
                <w:rFonts w:ascii="宋体" w:hAnsi="宋体"/>
                <w:highlight w:val="none"/>
              </w:rPr>
            </w:pPr>
            <w:r>
              <w:rPr>
                <w:rFonts w:hint="eastAsia" w:ascii="宋体" w:hAnsi="宋体"/>
                <w:highlight w:val="none"/>
              </w:rPr>
              <w:t>气</w:t>
            </w:r>
          </w:p>
        </w:tc>
        <w:tc>
          <w:tcPr>
            <w:tcW w:w="5799" w:type="dxa"/>
            <w:gridSpan w:val="3"/>
            <w:vAlign w:val="center"/>
          </w:tcPr>
          <w:p w14:paraId="43ED4DB7">
            <w:pPr>
              <w:pStyle w:val="53"/>
              <w:jc w:val="both"/>
              <w:rPr>
                <w:rFonts w:ascii="宋体" w:hAnsi="宋体" w:eastAsia="仿宋_GB2312"/>
                <w:highlight w:val="none"/>
              </w:rPr>
            </w:pPr>
            <w:r>
              <w:rPr>
                <w:rFonts w:hint="eastAsia" w:ascii="宋体" w:hAnsi="宋体" w:eastAsia="仿宋_GB2312"/>
                <w:highlight w:val="none"/>
              </w:rPr>
              <w:t>1.电缆无破损，无老化；</w:t>
            </w:r>
          </w:p>
        </w:tc>
        <w:tc>
          <w:tcPr>
            <w:tcW w:w="1618" w:type="dxa"/>
            <w:gridSpan w:val="2"/>
            <w:vMerge w:val="restart"/>
            <w:vAlign w:val="center"/>
          </w:tcPr>
          <w:p w14:paraId="0E0F63B1">
            <w:pPr>
              <w:pStyle w:val="53"/>
              <w:rPr>
                <w:rFonts w:ascii="宋体" w:hAnsi="宋体" w:eastAsia="仿宋_GB2312"/>
                <w:highlight w:val="none"/>
              </w:rPr>
            </w:pPr>
            <w:r>
              <w:rPr>
                <w:rFonts w:hint="eastAsia" w:ascii="宋体" w:hAnsi="宋体" w:eastAsia="仿宋_GB2312"/>
                <w:highlight w:val="none"/>
              </w:rPr>
              <w:t>GB5226.1-2019</w:t>
            </w:r>
          </w:p>
          <w:p w14:paraId="3954BE3B">
            <w:pPr>
              <w:pStyle w:val="53"/>
              <w:rPr>
                <w:rFonts w:ascii="宋体" w:hAnsi="宋体" w:eastAsia="仿宋_GB2312"/>
                <w:highlight w:val="none"/>
              </w:rPr>
            </w:pPr>
            <w:r>
              <w:rPr>
                <w:rFonts w:hint="eastAsia" w:ascii="宋体" w:hAnsi="宋体" w:eastAsia="仿宋_GB2312"/>
                <w:highlight w:val="none"/>
              </w:rPr>
              <w:t>JGJ160-2016</w:t>
            </w:r>
          </w:p>
          <w:p w14:paraId="45ABB8F4">
            <w:pPr>
              <w:pStyle w:val="53"/>
              <w:rPr>
                <w:rFonts w:ascii="宋体" w:hAnsi="宋体" w:eastAsia="仿宋_GB2312"/>
                <w:highlight w:val="none"/>
              </w:rPr>
            </w:pPr>
            <w:r>
              <w:rPr>
                <w:rFonts w:hint="eastAsia" w:ascii="宋体" w:hAnsi="宋体" w:eastAsia="仿宋_GB2312"/>
                <w:highlight w:val="none"/>
              </w:rPr>
              <w:t xml:space="preserve">GBT5031-2019 </w:t>
            </w:r>
          </w:p>
        </w:tc>
        <w:tc>
          <w:tcPr>
            <w:tcW w:w="1116" w:type="dxa"/>
            <w:vAlign w:val="center"/>
          </w:tcPr>
          <w:p w14:paraId="2CCDBE3A">
            <w:pPr>
              <w:pStyle w:val="53"/>
              <w:rPr>
                <w:rFonts w:ascii="宋体" w:hAnsi="宋体"/>
                <w:highlight w:val="none"/>
              </w:rPr>
            </w:pPr>
          </w:p>
        </w:tc>
      </w:tr>
      <w:tr w14:paraId="5BB83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5" w:hRule="atLeast"/>
          <w:jc w:val="center"/>
        </w:trPr>
        <w:tc>
          <w:tcPr>
            <w:tcW w:w="988" w:type="dxa"/>
            <w:gridSpan w:val="2"/>
            <w:vMerge w:val="continue"/>
            <w:vAlign w:val="center"/>
          </w:tcPr>
          <w:p w14:paraId="67A13DCF">
            <w:pPr>
              <w:pStyle w:val="53"/>
              <w:rPr>
                <w:rFonts w:ascii="宋体" w:hAnsi="宋体"/>
                <w:highlight w:val="none"/>
              </w:rPr>
            </w:pPr>
          </w:p>
        </w:tc>
        <w:tc>
          <w:tcPr>
            <w:tcW w:w="5799" w:type="dxa"/>
            <w:gridSpan w:val="3"/>
            <w:vAlign w:val="center"/>
          </w:tcPr>
          <w:p w14:paraId="5EA5711D">
            <w:pPr>
              <w:pStyle w:val="53"/>
              <w:jc w:val="both"/>
              <w:rPr>
                <w:rFonts w:ascii="宋体" w:hAnsi="宋体" w:eastAsia="仿宋_GB2312"/>
                <w:highlight w:val="none"/>
              </w:rPr>
            </w:pPr>
            <w:r>
              <w:rPr>
                <w:rFonts w:hint="eastAsia" w:ascii="宋体" w:hAnsi="宋体" w:eastAsia="仿宋_GB2312"/>
                <w:highlight w:val="none"/>
              </w:rPr>
              <w:t>2.各接地、接零保护装置符合要求；</w:t>
            </w:r>
          </w:p>
        </w:tc>
        <w:tc>
          <w:tcPr>
            <w:tcW w:w="1618" w:type="dxa"/>
            <w:gridSpan w:val="2"/>
            <w:vMerge w:val="continue"/>
            <w:vAlign w:val="center"/>
          </w:tcPr>
          <w:p w14:paraId="6F65E3EB">
            <w:pPr>
              <w:pStyle w:val="53"/>
              <w:rPr>
                <w:rFonts w:ascii="宋体" w:hAnsi="宋体" w:eastAsia="仿宋_GB2312"/>
                <w:highlight w:val="none"/>
              </w:rPr>
            </w:pPr>
          </w:p>
        </w:tc>
        <w:tc>
          <w:tcPr>
            <w:tcW w:w="1116" w:type="dxa"/>
            <w:vAlign w:val="center"/>
          </w:tcPr>
          <w:p w14:paraId="29AB68C7">
            <w:pPr>
              <w:pStyle w:val="53"/>
              <w:rPr>
                <w:rFonts w:ascii="宋体" w:hAnsi="宋体"/>
                <w:highlight w:val="none"/>
              </w:rPr>
            </w:pPr>
          </w:p>
        </w:tc>
      </w:tr>
      <w:tr w14:paraId="6C084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988" w:type="dxa"/>
            <w:gridSpan w:val="2"/>
            <w:vMerge w:val="continue"/>
            <w:vAlign w:val="center"/>
          </w:tcPr>
          <w:p w14:paraId="1CE493EC">
            <w:pPr>
              <w:pStyle w:val="53"/>
              <w:rPr>
                <w:rFonts w:ascii="宋体" w:hAnsi="宋体"/>
                <w:highlight w:val="none"/>
              </w:rPr>
            </w:pPr>
          </w:p>
        </w:tc>
        <w:tc>
          <w:tcPr>
            <w:tcW w:w="5799" w:type="dxa"/>
            <w:gridSpan w:val="3"/>
            <w:vAlign w:val="center"/>
          </w:tcPr>
          <w:p w14:paraId="07DEA31A">
            <w:pPr>
              <w:pStyle w:val="53"/>
              <w:jc w:val="both"/>
              <w:rPr>
                <w:rFonts w:ascii="宋体" w:hAnsi="宋体" w:eastAsia="仿宋_GB2312"/>
                <w:highlight w:val="none"/>
              </w:rPr>
            </w:pPr>
            <w:r>
              <w:rPr>
                <w:rFonts w:hint="eastAsia" w:ascii="宋体" w:hAnsi="宋体" w:eastAsia="仿宋_GB2312"/>
                <w:highlight w:val="none"/>
              </w:rPr>
              <w:t>3.开关等配电装置齐全有效；</w:t>
            </w:r>
          </w:p>
        </w:tc>
        <w:tc>
          <w:tcPr>
            <w:tcW w:w="1618" w:type="dxa"/>
            <w:gridSpan w:val="2"/>
            <w:vMerge w:val="continue"/>
            <w:vAlign w:val="center"/>
          </w:tcPr>
          <w:p w14:paraId="17EAEBB6">
            <w:pPr>
              <w:pStyle w:val="53"/>
              <w:rPr>
                <w:rFonts w:ascii="宋体" w:hAnsi="宋体" w:eastAsia="仿宋_GB2312"/>
                <w:highlight w:val="none"/>
              </w:rPr>
            </w:pPr>
          </w:p>
        </w:tc>
        <w:tc>
          <w:tcPr>
            <w:tcW w:w="1116" w:type="dxa"/>
            <w:vAlign w:val="center"/>
          </w:tcPr>
          <w:p w14:paraId="60241F08">
            <w:pPr>
              <w:pStyle w:val="53"/>
              <w:rPr>
                <w:rFonts w:ascii="宋体" w:hAnsi="宋体"/>
                <w:highlight w:val="none"/>
              </w:rPr>
            </w:pPr>
          </w:p>
        </w:tc>
      </w:tr>
      <w:tr w14:paraId="40D6F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988" w:type="dxa"/>
            <w:gridSpan w:val="2"/>
            <w:vMerge w:val="continue"/>
            <w:vAlign w:val="center"/>
          </w:tcPr>
          <w:p w14:paraId="66912BEC">
            <w:pPr>
              <w:pStyle w:val="53"/>
              <w:rPr>
                <w:rFonts w:ascii="宋体" w:hAnsi="宋体"/>
                <w:highlight w:val="none"/>
              </w:rPr>
            </w:pPr>
          </w:p>
        </w:tc>
        <w:tc>
          <w:tcPr>
            <w:tcW w:w="5799" w:type="dxa"/>
            <w:gridSpan w:val="3"/>
            <w:vAlign w:val="center"/>
          </w:tcPr>
          <w:p w14:paraId="11821530">
            <w:pPr>
              <w:pStyle w:val="53"/>
              <w:jc w:val="both"/>
              <w:rPr>
                <w:rFonts w:ascii="宋体" w:hAnsi="宋体" w:eastAsia="仿宋_GB2312"/>
                <w:highlight w:val="none"/>
              </w:rPr>
            </w:pPr>
            <w:r>
              <w:rPr>
                <w:rFonts w:hint="eastAsia" w:ascii="宋体" w:hAnsi="宋体" w:eastAsia="仿宋_GB2312"/>
                <w:highlight w:val="none"/>
              </w:rPr>
              <w:t>4.绝缘良好；</w:t>
            </w:r>
          </w:p>
        </w:tc>
        <w:tc>
          <w:tcPr>
            <w:tcW w:w="1618" w:type="dxa"/>
            <w:gridSpan w:val="2"/>
            <w:vMerge w:val="continue"/>
            <w:vAlign w:val="center"/>
          </w:tcPr>
          <w:p w14:paraId="2B040190">
            <w:pPr>
              <w:pStyle w:val="53"/>
              <w:rPr>
                <w:rFonts w:ascii="宋体" w:hAnsi="宋体" w:eastAsia="仿宋_GB2312"/>
                <w:highlight w:val="none"/>
              </w:rPr>
            </w:pPr>
          </w:p>
        </w:tc>
        <w:tc>
          <w:tcPr>
            <w:tcW w:w="1116" w:type="dxa"/>
            <w:vAlign w:val="center"/>
          </w:tcPr>
          <w:p w14:paraId="592E094C">
            <w:pPr>
              <w:pStyle w:val="53"/>
              <w:rPr>
                <w:rFonts w:ascii="宋体" w:hAnsi="宋体"/>
                <w:highlight w:val="none"/>
              </w:rPr>
            </w:pPr>
          </w:p>
        </w:tc>
      </w:tr>
      <w:tr w14:paraId="731A8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988" w:type="dxa"/>
            <w:gridSpan w:val="2"/>
            <w:vMerge w:val="continue"/>
            <w:vAlign w:val="center"/>
          </w:tcPr>
          <w:p w14:paraId="2F096469">
            <w:pPr>
              <w:pStyle w:val="53"/>
              <w:rPr>
                <w:rFonts w:ascii="宋体" w:hAnsi="宋体"/>
                <w:highlight w:val="none"/>
              </w:rPr>
            </w:pPr>
          </w:p>
        </w:tc>
        <w:tc>
          <w:tcPr>
            <w:tcW w:w="5799" w:type="dxa"/>
            <w:gridSpan w:val="3"/>
            <w:vAlign w:val="center"/>
          </w:tcPr>
          <w:p w14:paraId="5105FB62">
            <w:pPr>
              <w:pStyle w:val="53"/>
              <w:jc w:val="both"/>
              <w:rPr>
                <w:rFonts w:ascii="宋体" w:hAnsi="宋体" w:eastAsia="仿宋_GB2312"/>
                <w:highlight w:val="none"/>
              </w:rPr>
            </w:pPr>
            <w:r>
              <w:rPr>
                <w:rFonts w:hint="eastAsia" w:ascii="宋体" w:hAnsi="宋体" w:eastAsia="仿宋_GB2312"/>
                <w:highlight w:val="none"/>
              </w:rPr>
              <w:t>5.接闪器、避雷等接地装置良好,；</w:t>
            </w:r>
          </w:p>
        </w:tc>
        <w:tc>
          <w:tcPr>
            <w:tcW w:w="1618" w:type="dxa"/>
            <w:gridSpan w:val="2"/>
            <w:vMerge w:val="continue"/>
            <w:vAlign w:val="center"/>
          </w:tcPr>
          <w:p w14:paraId="372017C6">
            <w:pPr>
              <w:pStyle w:val="53"/>
              <w:rPr>
                <w:rFonts w:ascii="宋体" w:hAnsi="宋体" w:eastAsia="仿宋_GB2312"/>
                <w:highlight w:val="none"/>
              </w:rPr>
            </w:pPr>
          </w:p>
        </w:tc>
        <w:tc>
          <w:tcPr>
            <w:tcW w:w="1116" w:type="dxa"/>
            <w:vAlign w:val="center"/>
          </w:tcPr>
          <w:p w14:paraId="2A00F72E">
            <w:pPr>
              <w:pStyle w:val="53"/>
              <w:rPr>
                <w:rFonts w:ascii="宋体" w:hAnsi="宋体"/>
                <w:highlight w:val="none"/>
              </w:rPr>
            </w:pPr>
          </w:p>
        </w:tc>
      </w:tr>
      <w:tr w14:paraId="157A5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jc w:val="center"/>
        </w:trPr>
        <w:tc>
          <w:tcPr>
            <w:tcW w:w="988" w:type="dxa"/>
            <w:gridSpan w:val="2"/>
            <w:vMerge w:val="continue"/>
            <w:vAlign w:val="center"/>
          </w:tcPr>
          <w:p w14:paraId="17D36861">
            <w:pPr>
              <w:pStyle w:val="53"/>
              <w:rPr>
                <w:rFonts w:ascii="宋体" w:hAnsi="宋体"/>
                <w:highlight w:val="none"/>
              </w:rPr>
            </w:pPr>
          </w:p>
        </w:tc>
        <w:tc>
          <w:tcPr>
            <w:tcW w:w="5799" w:type="dxa"/>
            <w:gridSpan w:val="3"/>
            <w:vAlign w:val="center"/>
          </w:tcPr>
          <w:p w14:paraId="0634E6ED">
            <w:pPr>
              <w:pStyle w:val="53"/>
              <w:jc w:val="both"/>
              <w:rPr>
                <w:rFonts w:ascii="宋体" w:hAnsi="宋体" w:eastAsia="仿宋_GB2312"/>
                <w:highlight w:val="none"/>
              </w:rPr>
            </w:pPr>
            <w:r>
              <w:rPr>
                <w:rFonts w:hint="eastAsia" w:ascii="宋体" w:hAnsi="宋体" w:eastAsia="仿宋_GB2312"/>
                <w:highlight w:val="none"/>
              </w:rPr>
              <w:t>6.动力电路和控制电路对地绝缘值不超过0.5兆欧；</w:t>
            </w:r>
          </w:p>
        </w:tc>
        <w:tc>
          <w:tcPr>
            <w:tcW w:w="1618" w:type="dxa"/>
            <w:gridSpan w:val="2"/>
            <w:vMerge w:val="continue"/>
            <w:vAlign w:val="center"/>
          </w:tcPr>
          <w:p w14:paraId="0E85F9BC">
            <w:pPr>
              <w:pStyle w:val="53"/>
              <w:rPr>
                <w:rFonts w:ascii="宋体" w:hAnsi="宋体" w:eastAsia="仿宋_GB2312"/>
                <w:highlight w:val="none"/>
              </w:rPr>
            </w:pPr>
          </w:p>
        </w:tc>
        <w:tc>
          <w:tcPr>
            <w:tcW w:w="1116" w:type="dxa"/>
            <w:vAlign w:val="center"/>
          </w:tcPr>
          <w:p w14:paraId="6A1914BF">
            <w:pPr>
              <w:pStyle w:val="53"/>
              <w:rPr>
                <w:rFonts w:ascii="宋体" w:hAnsi="宋体"/>
                <w:highlight w:val="none"/>
              </w:rPr>
            </w:pPr>
          </w:p>
        </w:tc>
      </w:tr>
      <w:tr w14:paraId="7206B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3" w:hRule="atLeast"/>
          <w:jc w:val="center"/>
        </w:trPr>
        <w:tc>
          <w:tcPr>
            <w:tcW w:w="988" w:type="dxa"/>
            <w:gridSpan w:val="2"/>
            <w:vMerge w:val="restart"/>
            <w:vAlign w:val="center"/>
          </w:tcPr>
          <w:p w14:paraId="70154706">
            <w:pPr>
              <w:pStyle w:val="53"/>
              <w:rPr>
                <w:rFonts w:ascii="宋体" w:hAnsi="宋体"/>
                <w:highlight w:val="none"/>
              </w:rPr>
            </w:pPr>
            <w:r>
              <w:rPr>
                <w:rFonts w:hint="eastAsia" w:ascii="宋体" w:hAnsi="宋体"/>
                <w:highlight w:val="none"/>
              </w:rPr>
              <w:t>（十）机构油类</w:t>
            </w:r>
          </w:p>
        </w:tc>
        <w:tc>
          <w:tcPr>
            <w:tcW w:w="5799" w:type="dxa"/>
            <w:gridSpan w:val="3"/>
            <w:vAlign w:val="center"/>
          </w:tcPr>
          <w:p w14:paraId="6A1656D1">
            <w:pPr>
              <w:pStyle w:val="53"/>
              <w:jc w:val="both"/>
              <w:rPr>
                <w:rFonts w:ascii="宋体" w:hAnsi="宋体" w:eastAsia="仿宋_GB2312"/>
                <w:highlight w:val="none"/>
              </w:rPr>
            </w:pPr>
            <w:r>
              <w:rPr>
                <w:rFonts w:hint="eastAsia" w:ascii="宋体" w:hAnsi="宋体" w:eastAsia="仿宋_GB2312"/>
                <w:highlight w:val="none"/>
              </w:rPr>
              <w:t>1.减速机、卷扬机、回转机构、液压顶升系统部件齐全、工作正常；</w:t>
            </w:r>
          </w:p>
        </w:tc>
        <w:tc>
          <w:tcPr>
            <w:tcW w:w="1618" w:type="dxa"/>
            <w:gridSpan w:val="2"/>
            <w:vMerge w:val="restart"/>
            <w:vAlign w:val="center"/>
          </w:tcPr>
          <w:p w14:paraId="30A965A9">
            <w:pPr>
              <w:pStyle w:val="53"/>
              <w:rPr>
                <w:rFonts w:ascii="宋体" w:hAnsi="宋体" w:eastAsia="仿宋_GB2312"/>
                <w:highlight w:val="none"/>
              </w:rPr>
            </w:pPr>
            <w:r>
              <w:rPr>
                <w:rFonts w:ascii="宋体" w:hAnsi="宋体" w:eastAsia="仿宋_GB2312"/>
                <w:highlight w:val="none"/>
              </w:rPr>
              <w:t xml:space="preserve">GBT5031-2019 </w:t>
            </w:r>
          </w:p>
          <w:p w14:paraId="76B2A3B0">
            <w:pPr>
              <w:pStyle w:val="53"/>
              <w:rPr>
                <w:rFonts w:ascii="宋体" w:hAnsi="宋体" w:eastAsia="仿宋_GB2312"/>
                <w:highlight w:val="none"/>
              </w:rPr>
            </w:pPr>
            <w:r>
              <w:rPr>
                <w:rFonts w:hint="eastAsia" w:ascii="宋体" w:hAnsi="宋体" w:eastAsia="仿宋_GB2312"/>
                <w:highlight w:val="none"/>
              </w:rPr>
              <w:t>JGJ160-2016</w:t>
            </w:r>
          </w:p>
        </w:tc>
        <w:tc>
          <w:tcPr>
            <w:tcW w:w="1116" w:type="dxa"/>
            <w:vAlign w:val="center"/>
          </w:tcPr>
          <w:p w14:paraId="1E489E08">
            <w:pPr>
              <w:pStyle w:val="53"/>
              <w:rPr>
                <w:rFonts w:ascii="宋体" w:hAnsi="宋体"/>
                <w:highlight w:val="none"/>
              </w:rPr>
            </w:pPr>
          </w:p>
        </w:tc>
      </w:tr>
      <w:tr w14:paraId="49B83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988" w:type="dxa"/>
            <w:gridSpan w:val="2"/>
            <w:vMerge w:val="continue"/>
            <w:vAlign w:val="center"/>
          </w:tcPr>
          <w:p w14:paraId="08FD3018">
            <w:pPr>
              <w:pStyle w:val="53"/>
              <w:rPr>
                <w:rFonts w:ascii="宋体" w:hAnsi="宋体"/>
                <w:highlight w:val="none"/>
              </w:rPr>
            </w:pPr>
          </w:p>
        </w:tc>
        <w:tc>
          <w:tcPr>
            <w:tcW w:w="5799" w:type="dxa"/>
            <w:gridSpan w:val="3"/>
            <w:vAlign w:val="center"/>
          </w:tcPr>
          <w:p w14:paraId="165E6161">
            <w:pPr>
              <w:pStyle w:val="53"/>
              <w:jc w:val="both"/>
              <w:rPr>
                <w:rFonts w:ascii="宋体" w:hAnsi="宋体" w:eastAsia="仿宋_GB2312"/>
                <w:highlight w:val="none"/>
              </w:rPr>
            </w:pPr>
            <w:r>
              <w:rPr>
                <w:rFonts w:hint="eastAsia" w:ascii="宋体" w:hAnsi="宋体" w:eastAsia="仿宋_GB2312"/>
                <w:highlight w:val="none"/>
              </w:rPr>
              <w:t>2.传动部位有防护罩；</w:t>
            </w:r>
          </w:p>
        </w:tc>
        <w:tc>
          <w:tcPr>
            <w:tcW w:w="1618" w:type="dxa"/>
            <w:gridSpan w:val="2"/>
            <w:vMerge w:val="continue"/>
            <w:vAlign w:val="center"/>
          </w:tcPr>
          <w:p w14:paraId="3DEB9511">
            <w:pPr>
              <w:pStyle w:val="53"/>
              <w:rPr>
                <w:rFonts w:ascii="宋体" w:hAnsi="宋体" w:eastAsia="仿宋_GB2312"/>
                <w:highlight w:val="none"/>
              </w:rPr>
            </w:pPr>
          </w:p>
        </w:tc>
        <w:tc>
          <w:tcPr>
            <w:tcW w:w="1116" w:type="dxa"/>
            <w:vAlign w:val="center"/>
          </w:tcPr>
          <w:p w14:paraId="31879D61">
            <w:pPr>
              <w:pStyle w:val="53"/>
              <w:rPr>
                <w:rFonts w:ascii="宋体" w:hAnsi="宋体"/>
                <w:highlight w:val="none"/>
              </w:rPr>
            </w:pPr>
          </w:p>
        </w:tc>
      </w:tr>
      <w:tr w14:paraId="79401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988" w:type="dxa"/>
            <w:gridSpan w:val="2"/>
            <w:vMerge w:val="continue"/>
            <w:vAlign w:val="center"/>
          </w:tcPr>
          <w:p w14:paraId="7A0EDFDC">
            <w:pPr>
              <w:pStyle w:val="53"/>
              <w:rPr>
                <w:rFonts w:ascii="宋体" w:hAnsi="宋体"/>
                <w:highlight w:val="none"/>
              </w:rPr>
            </w:pPr>
          </w:p>
        </w:tc>
        <w:tc>
          <w:tcPr>
            <w:tcW w:w="5799" w:type="dxa"/>
            <w:gridSpan w:val="3"/>
            <w:vAlign w:val="center"/>
          </w:tcPr>
          <w:p w14:paraId="7B4FAF9B">
            <w:pPr>
              <w:pStyle w:val="53"/>
              <w:jc w:val="both"/>
              <w:rPr>
                <w:rFonts w:ascii="宋体" w:hAnsi="宋体" w:eastAsia="仿宋_GB2312"/>
                <w:highlight w:val="none"/>
              </w:rPr>
            </w:pPr>
            <w:r>
              <w:rPr>
                <w:rFonts w:hint="eastAsia" w:ascii="宋体" w:hAnsi="宋体" w:eastAsia="仿宋_GB2312"/>
                <w:highlight w:val="none"/>
              </w:rPr>
              <w:t>3.油箱有足够容量；</w:t>
            </w:r>
          </w:p>
        </w:tc>
        <w:tc>
          <w:tcPr>
            <w:tcW w:w="1618" w:type="dxa"/>
            <w:gridSpan w:val="2"/>
            <w:vMerge w:val="continue"/>
            <w:vAlign w:val="center"/>
          </w:tcPr>
          <w:p w14:paraId="2C4A34C6">
            <w:pPr>
              <w:pStyle w:val="53"/>
              <w:rPr>
                <w:rFonts w:ascii="宋体" w:hAnsi="宋体" w:eastAsia="仿宋_GB2312"/>
                <w:highlight w:val="none"/>
              </w:rPr>
            </w:pPr>
          </w:p>
        </w:tc>
        <w:tc>
          <w:tcPr>
            <w:tcW w:w="1116" w:type="dxa"/>
            <w:vAlign w:val="center"/>
          </w:tcPr>
          <w:p w14:paraId="56F86002">
            <w:pPr>
              <w:pStyle w:val="53"/>
              <w:rPr>
                <w:rFonts w:ascii="宋体" w:hAnsi="宋体"/>
                <w:highlight w:val="none"/>
              </w:rPr>
            </w:pPr>
          </w:p>
        </w:tc>
      </w:tr>
      <w:tr w14:paraId="25248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988" w:type="dxa"/>
            <w:gridSpan w:val="2"/>
            <w:vMerge w:val="continue"/>
            <w:vAlign w:val="center"/>
          </w:tcPr>
          <w:p w14:paraId="6C6296CD">
            <w:pPr>
              <w:pStyle w:val="53"/>
              <w:rPr>
                <w:rFonts w:ascii="宋体" w:hAnsi="宋体"/>
                <w:highlight w:val="none"/>
              </w:rPr>
            </w:pPr>
          </w:p>
        </w:tc>
        <w:tc>
          <w:tcPr>
            <w:tcW w:w="5799" w:type="dxa"/>
            <w:gridSpan w:val="3"/>
            <w:vAlign w:val="center"/>
          </w:tcPr>
          <w:p w14:paraId="009D812D">
            <w:pPr>
              <w:pStyle w:val="53"/>
              <w:jc w:val="both"/>
              <w:rPr>
                <w:rFonts w:ascii="宋体" w:hAnsi="宋体" w:eastAsia="仿宋_GB2312"/>
                <w:highlight w:val="none"/>
              </w:rPr>
            </w:pPr>
            <w:r>
              <w:rPr>
                <w:rFonts w:hint="eastAsia" w:ascii="宋体" w:hAnsi="宋体" w:eastAsia="仿宋_GB2312"/>
                <w:highlight w:val="none"/>
              </w:rPr>
              <w:t>4.油路无泄露、堵塞现象。</w:t>
            </w:r>
          </w:p>
        </w:tc>
        <w:tc>
          <w:tcPr>
            <w:tcW w:w="1618" w:type="dxa"/>
            <w:gridSpan w:val="2"/>
            <w:vMerge w:val="continue"/>
            <w:vAlign w:val="center"/>
          </w:tcPr>
          <w:p w14:paraId="0C786820">
            <w:pPr>
              <w:pStyle w:val="53"/>
              <w:rPr>
                <w:rFonts w:ascii="宋体" w:hAnsi="宋体" w:eastAsia="仿宋_GB2312"/>
                <w:highlight w:val="none"/>
              </w:rPr>
            </w:pPr>
          </w:p>
        </w:tc>
        <w:tc>
          <w:tcPr>
            <w:tcW w:w="1116" w:type="dxa"/>
            <w:vAlign w:val="center"/>
          </w:tcPr>
          <w:p w14:paraId="1253157B">
            <w:pPr>
              <w:pStyle w:val="53"/>
              <w:rPr>
                <w:rFonts w:ascii="宋体" w:hAnsi="宋体"/>
                <w:highlight w:val="none"/>
              </w:rPr>
            </w:pPr>
          </w:p>
        </w:tc>
      </w:tr>
      <w:tr w14:paraId="155CD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 w:hRule="atLeast"/>
          <w:jc w:val="center"/>
        </w:trPr>
        <w:tc>
          <w:tcPr>
            <w:tcW w:w="988" w:type="dxa"/>
            <w:gridSpan w:val="2"/>
            <w:vMerge w:val="restart"/>
            <w:vAlign w:val="center"/>
          </w:tcPr>
          <w:p w14:paraId="3028024C">
            <w:pPr>
              <w:pStyle w:val="53"/>
              <w:rPr>
                <w:rFonts w:ascii="宋体" w:hAnsi="宋体"/>
                <w:highlight w:val="none"/>
              </w:rPr>
            </w:pPr>
            <w:r>
              <w:rPr>
                <w:rFonts w:hint="eastAsia" w:ascii="宋体" w:hAnsi="宋体"/>
                <w:highlight w:val="none"/>
              </w:rPr>
              <w:t>十一</w:t>
            </w:r>
          </w:p>
          <w:p w14:paraId="5D161A47">
            <w:pPr>
              <w:pStyle w:val="53"/>
              <w:rPr>
                <w:rFonts w:ascii="宋体" w:hAnsi="宋体"/>
                <w:highlight w:val="none"/>
              </w:rPr>
            </w:pPr>
            <w:r>
              <w:rPr>
                <w:rFonts w:hint="eastAsia" w:ascii="宋体" w:hAnsi="宋体"/>
                <w:highlight w:val="none"/>
              </w:rPr>
              <w:t>制</w:t>
            </w:r>
          </w:p>
          <w:p w14:paraId="5B0A91C9">
            <w:pPr>
              <w:pStyle w:val="53"/>
              <w:rPr>
                <w:rFonts w:ascii="宋体" w:hAnsi="宋体"/>
                <w:highlight w:val="none"/>
              </w:rPr>
            </w:pPr>
            <w:r>
              <w:rPr>
                <w:rFonts w:hint="eastAsia" w:ascii="宋体" w:hAnsi="宋体"/>
                <w:highlight w:val="none"/>
              </w:rPr>
              <w:t>动</w:t>
            </w:r>
          </w:p>
          <w:p w14:paraId="2CE6FCEA">
            <w:pPr>
              <w:pStyle w:val="53"/>
              <w:rPr>
                <w:rFonts w:ascii="宋体" w:hAnsi="宋体"/>
                <w:highlight w:val="none"/>
              </w:rPr>
            </w:pPr>
            <w:r>
              <w:rPr>
                <w:rFonts w:hint="eastAsia" w:ascii="宋体" w:hAnsi="宋体"/>
                <w:highlight w:val="none"/>
              </w:rPr>
              <w:t>器</w:t>
            </w:r>
          </w:p>
        </w:tc>
        <w:tc>
          <w:tcPr>
            <w:tcW w:w="5799" w:type="dxa"/>
            <w:gridSpan w:val="3"/>
            <w:vAlign w:val="center"/>
          </w:tcPr>
          <w:p w14:paraId="09F8465A">
            <w:pPr>
              <w:pStyle w:val="53"/>
              <w:jc w:val="both"/>
              <w:rPr>
                <w:rFonts w:ascii="宋体" w:hAnsi="宋体" w:eastAsia="仿宋_GB2312"/>
                <w:highlight w:val="none"/>
              </w:rPr>
            </w:pPr>
            <w:r>
              <w:rPr>
                <w:rFonts w:hint="eastAsia" w:ascii="宋体" w:hAnsi="宋体" w:eastAsia="仿宋_GB2312"/>
                <w:highlight w:val="none"/>
              </w:rPr>
              <w:t>1.无可见裂纹;</w:t>
            </w:r>
          </w:p>
        </w:tc>
        <w:tc>
          <w:tcPr>
            <w:tcW w:w="1618" w:type="dxa"/>
            <w:gridSpan w:val="2"/>
            <w:vMerge w:val="restart"/>
            <w:vAlign w:val="center"/>
          </w:tcPr>
          <w:p w14:paraId="68EE00B9">
            <w:pPr>
              <w:pStyle w:val="53"/>
              <w:rPr>
                <w:rFonts w:ascii="宋体" w:hAnsi="宋体" w:eastAsia="仿宋_GB2312"/>
                <w:highlight w:val="none"/>
              </w:rPr>
            </w:pPr>
            <w:r>
              <w:rPr>
                <w:rFonts w:ascii="宋体" w:hAnsi="宋体" w:eastAsia="仿宋_GB2312"/>
                <w:highlight w:val="none"/>
              </w:rPr>
              <w:t>GB5144-2006</w:t>
            </w:r>
          </w:p>
          <w:p w14:paraId="57028F95">
            <w:pPr>
              <w:pStyle w:val="53"/>
              <w:rPr>
                <w:rFonts w:ascii="宋体" w:hAnsi="宋体" w:eastAsia="仿宋_GB2312"/>
                <w:highlight w:val="none"/>
              </w:rPr>
            </w:pPr>
            <w:r>
              <w:rPr>
                <w:rFonts w:hint="eastAsia" w:ascii="宋体" w:hAnsi="宋体" w:eastAsia="仿宋_GB2312"/>
                <w:highlight w:val="none"/>
              </w:rPr>
              <w:t>JGJ160-2016</w:t>
            </w:r>
          </w:p>
        </w:tc>
        <w:tc>
          <w:tcPr>
            <w:tcW w:w="1116" w:type="dxa"/>
            <w:vAlign w:val="center"/>
          </w:tcPr>
          <w:p w14:paraId="414274EA">
            <w:pPr>
              <w:pStyle w:val="53"/>
              <w:rPr>
                <w:rFonts w:ascii="宋体" w:hAnsi="宋体"/>
                <w:highlight w:val="none"/>
              </w:rPr>
            </w:pPr>
          </w:p>
        </w:tc>
      </w:tr>
      <w:tr w14:paraId="083E4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5" w:hRule="atLeast"/>
          <w:jc w:val="center"/>
        </w:trPr>
        <w:tc>
          <w:tcPr>
            <w:tcW w:w="988" w:type="dxa"/>
            <w:gridSpan w:val="2"/>
            <w:vMerge w:val="continue"/>
            <w:vAlign w:val="center"/>
          </w:tcPr>
          <w:p w14:paraId="5E9EA43C">
            <w:pPr>
              <w:pStyle w:val="53"/>
              <w:rPr>
                <w:rFonts w:ascii="宋体" w:hAnsi="宋体"/>
                <w:highlight w:val="none"/>
              </w:rPr>
            </w:pPr>
          </w:p>
        </w:tc>
        <w:tc>
          <w:tcPr>
            <w:tcW w:w="5799" w:type="dxa"/>
            <w:gridSpan w:val="3"/>
            <w:vAlign w:val="center"/>
          </w:tcPr>
          <w:p w14:paraId="1C378AA8">
            <w:pPr>
              <w:pStyle w:val="53"/>
              <w:jc w:val="both"/>
              <w:rPr>
                <w:rFonts w:ascii="宋体" w:hAnsi="宋体" w:eastAsia="仿宋_GB2312"/>
                <w:highlight w:val="none"/>
              </w:rPr>
            </w:pPr>
            <w:r>
              <w:rPr>
                <w:rFonts w:hint="eastAsia" w:ascii="宋体" w:hAnsi="宋体" w:eastAsia="仿宋_GB2312"/>
                <w:highlight w:val="none"/>
              </w:rPr>
              <w:t>2.制动块摩擦衬垫磨损量未达原厚度的50%;</w:t>
            </w:r>
          </w:p>
        </w:tc>
        <w:tc>
          <w:tcPr>
            <w:tcW w:w="1618" w:type="dxa"/>
            <w:gridSpan w:val="2"/>
            <w:vMerge w:val="continue"/>
            <w:vAlign w:val="center"/>
          </w:tcPr>
          <w:p w14:paraId="3E4E60B2">
            <w:pPr>
              <w:pStyle w:val="53"/>
              <w:rPr>
                <w:rFonts w:ascii="宋体" w:hAnsi="宋体" w:eastAsia="仿宋_GB2312"/>
                <w:highlight w:val="none"/>
              </w:rPr>
            </w:pPr>
          </w:p>
        </w:tc>
        <w:tc>
          <w:tcPr>
            <w:tcW w:w="1116" w:type="dxa"/>
            <w:vAlign w:val="center"/>
          </w:tcPr>
          <w:p w14:paraId="73226B77">
            <w:pPr>
              <w:pStyle w:val="53"/>
              <w:rPr>
                <w:rFonts w:ascii="宋体" w:hAnsi="宋体"/>
                <w:highlight w:val="none"/>
              </w:rPr>
            </w:pPr>
          </w:p>
        </w:tc>
      </w:tr>
      <w:tr w14:paraId="5022D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 w:hRule="atLeast"/>
          <w:jc w:val="center"/>
        </w:trPr>
        <w:tc>
          <w:tcPr>
            <w:tcW w:w="988" w:type="dxa"/>
            <w:gridSpan w:val="2"/>
            <w:vMerge w:val="continue"/>
            <w:vAlign w:val="center"/>
          </w:tcPr>
          <w:p w14:paraId="7CC0543F">
            <w:pPr>
              <w:pStyle w:val="53"/>
              <w:rPr>
                <w:rFonts w:ascii="宋体" w:hAnsi="宋体"/>
                <w:highlight w:val="none"/>
              </w:rPr>
            </w:pPr>
          </w:p>
        </w:tc>
        <w:tc>
          <w:tcPr>
            <w:tcW w:w="5799" w:type="dxa"/>
            <w:gridSpan w:val="3"/>
            <w:vAlign w:val="center"/>
          </w:tcPr>
          <w:p w14:paraId="6BA6D7A2">
            <w:pPr>
              <w:pStyle w:val="53"/>
              <w:jc w:val="both"/>
              <w:rPr>
                <w:rFonts w:ascii="宋体" w:hAnsi="宋体" w:eastAsia="仿宋_GB2312"/>
                <w:highlight w:val="none"/>
              </w:rPr>
            </w:pPr>
            <w:r>
              <w:rPr>
                <w:rFonts w:hint="eastAsia" w:ascii="宋体" w:hAnsi="宋体" w:eastAsia="仿宋_GB2312"/>
                <w:highlight w:val="none"/>
              </w:rPr>
              <w:t>3.制动轮表面磨损量未达1.5 mm ~2mm;</w:t>
            </w:r>
          </w:p>
        </w:tc>
        <w:tc>
          <w:tcPr>
            <w:tcW w:w="1618" w:type="dxa"/>
            <w:gridSpan w:val="2"/>
            <w:vMerge w:val="continue"/>
            <w:vAlign w:val="center"/>
          </w:tcPr>
          <w:p w14:paraId="1918954D">
            <w:pPr>
              <w:pStyle w:val="53"/>
              <w:rPr>
                <w:rFonts w:ascii="宋体" w:hAnsi="宋体" w:eastAsia="仿宋_GB2312"/>
                <w:highlight w:val="none"/>
              </w:rPr>
            </w:pPr>
          </w:p>
        </w:tc>
        <w:tc>
          <w:tcPr>
            <w:tcW w:w="1116" w:type="dxa"/>
            <w:vAlign w:val="center"/>
          </w:tcPr>
          <w:p w14:paraId="1C092407">
            <w:pPr>
              <w:pStyle w:val="53"/>
              <w:rPr>
                <w:rFonts w:ascii="宋体" w:hAnsi="宋体"/>
                <w:highlight w:val="none"/>
              </w:rPr>
            </w:pPr>
          </w:p>
        </w:tc>
      </w:tr>
      <w:tr w14:paraId="4BBD6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 w:hRule="atLeast"/>
          <w:jc w:val="center"/>
        </w:trPr>
        <w:tc>
          <w:tcPr>
            <w:tcW w:w="988" w:type="dxa"/>
            <w:gridSpan w:val="2"/>
            <w:vMerge w:val="continue"/>
            <w:vAlign w:val="center"/>
          </w:tcPr>
          <w:p w14:paraId="3982ABF6">
            <w:pPr>
              <w:pStyle w:val="53"/>
              <w:rPr>
                <w:rFonts w:ascii="宋体" w:hAnsi="宋体"/>
                <w:highlight w:val="none"/>
              </w:rPr>
            </w:pPr>
          </w:p>
        </w:tc>
        <w:tc>
          <w:tcPr>
            <w:tcW w:w="5799" w:type="dxa"/>
            <w:gridSpan w:val="3"/>
            <w:vAlign w:val="center"/>
          </w:tcPr>
          <w:p w14:paraId="391D6210">
            <w:pPr>
              <w:pStyle w:val="53"/>
              <w:jc w:val="both"/>
              <w:rPr>
                <w:rFonts w:ascii="宋体" w:hAnsi="宋体" w:eastAsia="仿宋_GB2312"/>
                <w:highlight w:val="none"/>
              </w:rPr>
            </w:pPr>
            <w:r>
              <w:rPr>
                <w:rFonts w:hint="eastAsia" w:ascii="宋体" w:hAnsi="宋体" w:eastAsia="仿宋_GB2312"/>
                <w:highlight w:val="none"/>
              </w:rPr>
              <w:t>4.弹簧未出现塑性变形;</w:t>
            </w:r>
          </w:p>
        </w:tc>
        <w:tc>
          <w:tcPr>
            <w:tcW w:w="1618" w:type="dxa"/>
            <w:gridSpan w:val="2"/>
            <w:vMerge w:val="continue"/>
            <w:vAlign w:val="center"/>
          </w:tcPr>
          <w:p w14:paraId="7BFF9616">
            <w:pPr>
              <w:pStyle w:val="53"/>
              <w:rPr>
                <w:rFonts w:ascii="宋体" w:hAnsi="宋体" w:eastAsia="仿宋_GB2312"/>
                <w:highlight w:val="none"/>
              </w:rPr>
            </w:pPr>
          </w:p>
        </w:tc>
        <w:tc>
          <w:tcPr>
            <w:tcW w:w="1116" w:type="dxa"/>
            <w:vAlign w:val="center"/>
          </w:tcPr>
          <w:p w14:paraId="62C300E3">
            <w:pPr>
              <w:pStyle w:val="53"/>
              <w:rPr>
                <w:rFonts w:ascii="宋体" w:hAnsi="宋体"/>
                <w:highlight w:val="none"/>
              </w:rPr>
            </w:pPr>
          </w:p>
        </w:tc>
      </w:tr>
      <w:tr w14:paraId="0DC2E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 w:hRule="atLeast"/>
          <w:jc w:val="center"/>
        </w:trPr>
        <w:tc>
          <w:tcPr>
            <w:tcW w:w="988" w:type="dxa"/>
            <w:gridSpan w:val="2"/>
            <w:vMerge w:val="restart"/>
            <w:vAlign w:val="center"/>
          </w:tcPr>
          <w:p w14:paraId="4935FBB2">
            <w:pPr>
              <w:pStyle w:val="53"/>
              <w:rPr>
                <w:rFonts w:ascii="仿宋_GB2312" w:hAnsi="宋体"/>
                <w:highlight w:val="none"/>
              </w:rPr>
            </w:pPr>
            <w:r>
              <w:rPr>
                <w:rFonts w:hint="eastAsia" w:ascii="仿宋_GB2312" w:hAnsi="宋体"/>
                <w:highlight w:val="none"/>
              </w:rPr>
              <w:t>十二</w:t>
            </w:r>
          </w:p>
          <w:p w14:paraId="1E7ECD25">
            <w:pPr>
              <w:pStyle w:val="53"/>
              <w:rPr>
                <w:rFonts w:ascii="仿宋_GB2312" w:hAnsi="宋体"/>
                <w:highlight w:val="none"/>
              </w:rPr>
            </w:pPr>
            <w:r>
              <w:rPr>
                <w:rFonts w:hint="eastAsia" w:ascii="仿宋_GB2312" w:hAnsi="宋体"/>
                <w:highlight w:val="none"/>
              </w:rPr>
              <w:t>安</w:t>
            </w:r>
          </w:p>
          <w:p w14:paraId="270ACFE0">
            <w:pPr>
              <w:pStyle w:val="53"/>
              <w:rPr>
                <w:rFonts w:ascii="仿宋_GB2312" w:hAnsi="宋体"/>
                <w:highlight w:val="none"/>
              </w:rPr>
            </w:pPr>
            <w:r>
              <w:rPr>
                <w:rFonts w:hint="eastAsia" w:ascii="仿宋_GB2312" w:hAnsi="宋体"/>
                <w:highlight w:val="none"/>
              </w:rPr>
              <w:t>全</w:t>
            </w:r>
          </w:p>
          <w:p w14:paraId="1D7C2179">
            <w:pPr>
              <w:pStyle w:val="53"/>
              <w:rPr>
                <w:rFonts w:ascii="仿宋_GB2312" w:hAnsi="宋体"/>
                <w:highlight w:val="none"/>
              </w:rPr>
            </w:pPr>
            <w:r>
              <w:rPr>
                <w:rFonts w:hint="eastAsia" w:ascii="仿宋_GB2312" w:hAnsi="宋体"/>
                <w:highlight w:val="none"/>
              </w:rPr>
              <w:t>距</w:t>
            </w:r>
          </w:p>
          <w:p w14:paraId="330FFC80">
            <w:pPr>
              <w:pStyle w:val="53"/>
              <w:rPr>
                <w:rFonts w:ascii="仿宋_GB2312" w:hAnsi="宋体"/>
                <w:highlight w:val="none"/>
              </w:rPr>
            </w:pPr>
            <w:r>
              <w:rPr>
                <w:rFonts w:hint="eastAsia" w:ascii="仿宋_GB2312" w:hAnsi="宋体"/>
                <w:highlight w:val="none"/>
              </w:rPr>
              <w:t>离</w:t>
            </w:r>
          </w:p>
        </w:tc>
        <w:tc>
          <w:tcPr>
            <w:tcW w:w="5799" w:type="dxa"/>
            <w:gridSpan w:val="3"/>
            <w:vAlign w:val="center"/>
          </w:tcPr>
          <w:p w14:paraId="63C70843">
            <w:pPr>
              <w:pStyle w:val="53"/>
              <w:jc w:val="both"/>
              <w:rPr>
                <w:rFonts w:ascii="仿宋_GB2312" w:hAnsi="宋体" w:eastAsia="仿宋_GB2312"/>
                <w:highlight w:val="none"/>
              </w:rPr>
            </w:pPr>
            <w:r>
              <w:rPr>
                <w:rFonts w:hint="eastAsia" w:ascii="仿宋_GB2312" w:hAnsi="宋体" w:eastAsia="仿宋_GB2312"/>
                <w:highlight w:val="none"/>
              </w:rPr>
              <w:t>1.与建筑物周围施工设施之间距离≥0.5米；</w:t>
            </w:r>
          </w:p>
        </w:tc>
        <w:tc>
          <w:tcPr>
            <w:tcW w:w="1618" w:type="dxa"/>
            <w:gridSpan w:val="2"/>
            <w:vMerge w:val="restart"/>
            <w:vAlign w:val="center"/>
          </w:tcPr>
          <w:p w14:paraId="3A0A3FBC">
            <w:pPr>
              <w:pStyle w:val="53"/>
              <w:rPr>
                <w:rFonts w:ascii="仿宋_GB2312" w:hAnsi="宋体" w:eastAsia="仿宋_GB2312"/>
                <w:highlight w:val="none"/>
              </w:rPr>
            </w:pPr>
            <w:r>
              <w:rPr>
                <w:rFonts w:hint="eastAsia" w:ascii="宋体" w:hAnsi="宋体" w:eastAsia="仿宋_GB2312"/>
                <w:highlight w:val="none"/>
              </w:rPr>
              <w:t>JGJ196-2010</w:t>
            </w:r>
          </w:p>
          <w:p w14:paraId="7A5B04D4">
            <w:pPr>
              <w:pStyle w:val="53"/>
              <w:rPr>
                <w:rFonts w:ascii="仿宋_GB2312" w:hAnsi="宋体" w:eastAsia="仿宋_GB2312"/>
                <w:highlight w:val="none"/>
              </w:rPr>
            </w:pPr>
            <w:r>
              <w:rPr>
                <w:rFonts w:hint="eastAsia" w:ascii="宋体" w:hAnsi="宋体" w:eastAsia="仿宋_GB2312"/>
                <w:highlight w:val="none"/>
              </w:rPr>
              <w:t>JGJ160-2016</w:t>
            </w:r>
          </w:p>
        </w:tc>
        <w:tc>
          <w:tcPr>
            <w:tcW w:w="1116" w:type="dxa"/>
            <w:vAlign w:val="center"/>
          </w:tcPr>
          <w:p w14:paraId="6A60E157">
            <w:pPr>
              <w:pStyle w:val="53"/>
              <w:rPr>
                <w:rFonts w:ascii="宋体" w:hAnsi="宋体"/>
                <w:highlight w:val="none"/>
              </w:rPr>
            </w:pPr>
          </w:p>
        </w:tc>
      </w:tr>
      <w:tr w14:paraId="448CF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988" w:type="dxa"/>
            <w:gridSpan w:val="2"/>
            <w:vMerge w:val="continue"/>
            <w:vAlign w:val="center"/>
          </w:tcPr>
          <w:p w14:paraId="15E94121">
            <w:pPr>
              <w:pStyle w:val="53"/>
              <w:rPr>
                <w:rFonts w:ascii="仿宋_GB2312" w:hAnsi="宋体"/>
                <w:highlight w:val="none"/>
              </w:rPr>
            </w:pPr>
          </w:p>
        </w:tc>
        <w:tc>
          <w:tcPr>
            <w:tcW w:w="5799" w:type="dxa"/>
            <w:gridSpan w:val="3"/>
            <w:vAlign w:val="center"/>
          </w:tcPr>
          <w:p w14:paraId="15DB3947">
            <w:pPr>
              <w:pStyle w:val="53"/>
              <w:jc w:val="both"/>
              <w:rPr>
                <w:rFonts w:ascii="仿宋_GB2312" w:hAnsi="宋体" w:eastAsia="仿宋_GB2312"/>
                <w:highlight w:val="none"/>
              </w:rPr>
            </w:pPr>
            <w:r>
              <w:rPr>
                <w:rFonts w:hint="eastAsia" w:ascii="仿宋_GB2312" w:hAnsi="宋体" w:eastAsia="仿宋_GB2312"/>
                <w:highlight w:val="none"/>
              </w:rPr>
              <w:t>2.多塔作业相互间应符合要求，有防碰撞措施；</w:t>
            </w:r>
          </w:p>
        </w:tc>
        <w:tc>
          <w:tcPr>
            <w:tcW w:w="1618" w:type="dxa"/>
            <w:gridSpan w:val="2"/>
            <w:vMerge w:val="continue"/>
            <w:vAlign w:val="center"/>
          </w:tcPr>
          <w:p w14:paraId="79B5F5E3">
            <w:pPr>
              <w:pStyle w:val="53"/>
              <w:rPr>
                <w:rFonts w:ascii="宋体" w:hAnsi="宋体" w:eastAsia="仿宋_GB2312"/>
                <w:highlight w:val="none"/>
              </w:rPr>
            </w:pPr>
          </w:p>
        </w:tc>
        <w:tc>
          <w:tcPr>
            <w:tcW w:w="1116" w:type="dxa"/>
            <w:vAlign w:val="center"/>
          </w:tcPr>
          <w:p w14:paraId="4E7274EE">
            <w:pPr>
              <w:pStyle w:val="53"/>
              <w:rPr>
                <w:rFonts w:ascii="宋体" w:hAnsi="宋体"/>
                <w:highlight w:val="none"/>
              </w:rPr>
            </w:pPr>
          </w:p>
        </w:tc>
      </w:tr>
      <w:tr w14:paraId="0A756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0" w:hRule="atLeast"/>
          <w:jc w:val="center"/>
        </w:trPr>
        <w:tc>
          <w:tcPr>
            <w:tcW w:w="988" w:type="dxa"/>
            <w:gridSpan w:val="2"/>
            <w:vMerge w:val="continue"/>
            <w:vAlign w:val="center"/>
          </w:tcPr>
          <w:p w14:paraId="07D0C2D0">
            <w:pPr>
              <w:pStyle w:val="53"/>
              <w:rPr>
                <w:rFonts w:ascii="仿宋_GB2312" w:hAnsi="宋体"/>
                <w:highlight w:val="none"/>
              </w:rPr>
            </w:pPr>
          </w:p>
        </w:tc>
        <w:tc>
          <w:tcPr>
            <w:tcW w:w="5799" w:type="dxa"/>
            <w:gridSpan w:val="3"/>
            <w:vAlign w:val="center"/>
          </w:tcPr>
          <w:p w14:paraId="62E7471A">
            <w:pPr>
              <w:pStyle w:val="53"/>
              <w:jc w:val="both"/>
              <w:rPr>
                <w:rFonts w:ascii="仿宋_GB2312" w:hAnsi="宋体" w:eastAsia="仿宋_GB2312"/>
                <w:highlight w:val="none"/>
              </w:rPr>
            </w:pPr>
            <w:r>
              <w:rPr>
                <w:rFonts w:hint="eastAsia" w:ascii="仿宋_GB2312" w:hAnsi="宋体" w:eastAsia="仿宋_GB2312"/>
                <w:highlight w:val="none"/>
              </w:rPr>
              <w:t>3.各部位与外电线路保持安全距离，达不到要求的必须按规定采取防护措施，防护措施应达到电业部门规定要求。</w:t>
            </w:r>
          </w:p>
        </w:tc>
        <w:tc>
          <w:tcPr>
            <w:tcW w:w="1618" w:type="dxa"/>
            <w:gridSpan w:val="2"/>
            <w:vMerge w:val="continue"/>
            <w:vAlign w:val="center"/>
          </w:tcPr>
          <w:p w14:paraId="78C67FB3">
            <w:pPr>
              <w:pStyle w:val="53"/>
              <w:rPr>
                <w:rFonts w:ascii="宋体" w:hAnsi="宋体" w:eastAsia="仿宋_GB2312"/>
                <w:highlight w:val="none"/>
              </w:rPr>
            </w:pPr>
          </w:p>
        </w:tc>
        <w:tc>
          <w:tcPr>
            <w:tcW w:w="1116" w:type="dxa"/>
            <w:vAlign w:val="center"/>
          </w:tcPr>
          <w:p w14:paraId="58D60F76">
            <w:pPr>
              <w:pStyle w:val="53"/>
              <w:rPr>
                <w:rFonts w:ascii="宋体" w:hAnsi="宋体"/>
                <w:highlight w:val="none"/>
              </w:rPr>
            </w:pPr>
          </w:p>
        </w:tc>
      </w:tr>
      <w:tr w14:paraId="730C1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0" w:hRule="atLeast"/>
          <w:jc w:val="center"/>
        </w:trPr>
        <w:tc>
          <w:tcPr>
            <w:tcW w:w="988" w:type="dxa"/>
            <w:gridSpan w:val="2"/>
            <w:vMerge w:val="restart"/>
            <w:vAlign w:val="center"/>
          </w:tcPr>
          <w:p w14:paraId="6CDA999B">
            <w:pPr>
              <w:pStyle w:val="53"/>
              <w:rPr>
                <w:rFonts w:ascii="仿宋_GB2312" w:hAnsi="宋体"/>
                <w:highlight w:val="none"/>
              </w:rPr>
            </w:pPr>
            <w:r>
              <w:rPr>
                <w:rFonts w:hint="eastAsia" w:ascii="仿宋_GB2312" w:hAnsi="宋体"/>
                <w:highlight w:val="none"/>
              </w:rPr>
              <w:t>十三</w:t>
            </w:r>
          </w:p>
          <w:p w14:paraId="1A2FFCED">
            <w:pPr>
              <w:pStyle w:val="53"/>
              <w:rPr>
                <w:rFonts w:ascii="仿宋_GB2312" w:hAnsi="宋体"/>
                <w:highlight w:val="none"/>
              </w:rPr>
            </w:pPr>
            <w:r>
              <w:rPr>
                <w:rFonts w:hint="eastAsia" w:ascii="仿宋_GB2312" w:hAnsi="宋体"/>
                <w:highlight w:val="none"/>
              </w:rPr>
              <w:t>卷</w:t>
            </w:r>
          </w:p>
          <w:p w14:paraId="47565CB8">
            <w:pPr>
              <w:pStyle w:val="53"/>
              <w:rPr>
                <w:rFonts w:ascii="仿宋_GB2312" w:hAnsi="宋体"/>
                <w:highlight w:val="none"/>
              </w:rPr>
            </w:pPr>
            <w:r>
              <w:rPr>
                <w:rFonts w:hint="eastAsia" w:ascii="仿宋_GB2312" w:hAnsi="宋体"/>
                <w:highlight w:val="none"/>
              </w:rPr>
              <w:t>筒</w:t>
            </w:r>
          </w:p>
          <w:p w14:paraId="340D3567">
            <w:pPr>
              <w:pStyle w:val="53"/>
              <w:rPr>
                <w:rFonts w:ascii="仿宋_GB2312" w:hAnsi="宋体"/>
                <w:highlight w:val="none"/>
              </w:rPr>
            </w:pPr>
            <w:r>
              <w:rPr>
                <w:rFonts w:hint="eastAsia" w:ascii="仿宋_GB2312" w:hAnsi="宋体"/>
                <w:highlight w:val="none"/>
              </w:rPr>
              <w:t>滑</w:t>
            </w:r>
          </w:p>
          <w:p w14:paraId="13EE4D03">
            <w:pPr>
              <w:pStyle w:val="53"/>
              <w:rPr>
                <w:rFonts w:ascii="仿宋_GB2312" w:hAnsi="宋体"/>
                <w:highlight w:val="none"/>
              </w:rPr>
            </w:pPr>
            <w:r>
              <w:rPr>
                <w:rFonts w:hint="eastAsia" w:ascii="仿宋_GB2312" w:hAnsi="宋体"/>
                <w:highlight w:val="none"/>
              </w:rPr>
              <w:t>轮</w:t>
            </w:r>
          </w:p>
        </w:tc>
        <w:tc>
          <w:tcPr>
            <w:tcW w:w="5799" w:type="dxa"/>
            <w:gridSpan w:val="3"/>
            <w:vAlign w:val="center"/>
          </w:tcPr>
          <w:p w14:paraId="0A053BFC">
            <w:pPr>
              <w:pStyle w:val="53"/>
              <w:jc w:val="both"/>
              <w:rPr>
                <w:rFonts w:ascii="仿宋_GB2312" w:hAnsi="宋体" w:eastAsia="仿宋_GB2312"/>
                <w:highlight w:val="none"/>
              </w:rPr>
            </w:pPr>
            <w:r>
              <w:rPr>
                <w:rFonts w:hint="eastAsia" w:ascii="仿宋_GB2312" w:hAnsi="宋体" w:eastAsia="仿宋_GB2312"/>
                <w:highlight w:val="none"/>
              </w:rPr>
              <w:t>1.卷筒两侧边沿的高度大于钢丝绳直径2倍；</w:t>
            </w:r>
          </w:p>
        </w:tc>
        <w:tc>
          <w:tcPr>
            <w:tcW w:w="1618" w:type="dxa"/>
            <w:gridSpan w:val="2"/>
            <w:vMerge w:val="restart"/>
            <w:vAlign w:val="center"/>
          </w:tcPr>
          <w:p w14:paraId="0E170BC2">
            <w:pPr>
              <w:pStyle w:val="53"/>
              <w:rPr>
                <w:rFonts w:ascii="宋体" w:hAnsi="宋体" w:eastAsia="仿宋_GB2312"/>
                <w:highlight w:val="none"/>
              </w:rPr>
            </w:pPr>
            <w:r>
              <w:rPr>
                <w:rFonts w:hint="eastAsia" w:ascii="宋体" w:hAnsi="宋体" w:eastAsia="仿宋_GB2312"/>
                <w:highlight w:val="none"/>
              </w:rPr>
              <w:t>GBT13752</w:t>
            </w:r>
            <w:r>
              <w:rPr>
                <w:rFonts w:ascii="宋体" w:hAnsi="宋体" w:eastAsia="仿宋_GB2312"/>
                <w:highlight w:val="none"/>
              </w:rPr>
              <w:t>-2017</w:t>
            </w:r>
          </w:p>
          <w:p w14:paraId="620F2C8D">
            <w:pPr>
              <w:pStyle w:val="53"/>
              <w:rPr>
                <w:rFonts w:ascii="仿宋_GB2312" w:hAnsi="宋体" w:eastAsia="仿宋_GB2312"/>
                <w:highlight w:val="none"/>
              </w:rPr>
            </w:pPr>
            <w:r>
              <w:rPr>
                <w:rFonts w:hint="eastAsia" w:ascii="宋体" w:hAnsi="宋体" w:eastAsia="仿宋_GB2312"/>
                <w:highlight w:val="none"/>
              </w:rPr>
              <w:t>JGJ160-2016</w:t>
            </w:r>
          </w:p>
        </w:tc>
        <w:tc>
          <w:tcPr>
            <w:tcW w:w="1116" w:type="dxa"/>
            <w:vAlign w:val="center"/>
          </w:tcPr>
          <w:p w14:paraId="5955FAF3">
            <w:pPr>
              <w:pStyle w:val="53"/>
              <w:rPr>
                <w:rFonts w:ascii="宋体" w:hAnsi="宋体"/>
                <w:highlight w:val="none"/>
              </w:rPr>
            </w:pPr>
          </w:p>
        </w:tc>
      </w:tr>
      <w:tr w14:paraId="58156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988" w:type="dxa"/>
            <w:gridSpan w:val="2"/>
            <w:vMerge w:val="continue"/>
            <w:vAlign w:val="center"/>
          </w:tcPr>
          <w:p w14:paraId="73895117">
            <w:pPr>
              <w:pStyle w:val="53"/>
              <w:rPr>
                <w:rFonts w:ascii="仿宋_GB2312" w:hAnsi="宋体"/>
                <w:highlight w:val="none"/>
              </w:rPr>
            </w:pPr>
          </w:p>
        </w:tc>
        <w:tc>
          <w:tcPr>
            <w:tcW w:w="5799" w:type="dxa"/>
            <w:gridSpan w:val="3"/>
            <w:vAlign w:val="center"/>
          </w:tcPr>
          <w:p w14:paraId="2B882E98">
            <w:pPr>
              <w:pStyle w:val="53"/>
              <w:jc w:val="both"/>
              <w:rPr>
                <w:rFonts w:ascii="仿宋_GB2312" w:hAnsi="宋体" w:eastAsia="仿宋_GB2312"/>
                <w:highlight w:val="none"/>
              </w:rPr>
            </w:pPr>
            <w:r>
              <w:rPr>
                <w:rFonts w:hint="eastAsia" w:ascii="仿宋_GB2312" w:hAnsi="宋体" w:eastAsia="仿宋_GB2312"/>
                <w:highlight w:val="none"/>
              </w:rPr>
              <w:t>2.卷筒上的钢丝绳至少保留3圈；</w:t>
            </w:r>
          </w:p>
        </w:tc>
        <w:tc>
          <w:tcPr>
            <w:tcW w:w="1618" w:type="dxa"/>
            <w:gridSpan w:val="2"/>
            <w:vMerge w:val="continue"/>
            <w:vAlign w:val="center"/>
          </w:tcPr>
          <w:p w14:paraId="7B616FC2">
            <w:pPr>
              <w:pStyle w:val="53"/>
              <w:rPr>
                <w:rFonts w:ascii="仿宋_GB2312" w:hAnsi="宋体" w:eastAsia="仿宋_GB2312"/>
                <w:highlight w:val="none"/>
              </w:rPr>
            </w:pPr>
          </w:p>
        </w:tc>
        <w:tc>
          <w:tcPr>
            <w:tcW w:w="1116" w:type="dxa"/>
            <w:vAlign w:val="center"/>
          </w:tcPr>
          <w:p w14:paraId="6EEA070E">
            <w:pPr>
              <w:pStyle w:val="53"/>
              <w:rPr>
                <w:rFonts w:ascii="宋体" w:hAnsi="宋体"/>
                <w:highlight w:val="none"/>
              </w:rPr>
            </w:pPr>
          </w:p>
        </w:tc>
      </w:tr>
      <w:tr w14:paraId="1A577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jc w:val="center"/>
        </w:trPr>
        <w:tc>
          <w:tcPr>
            <w:tcW w:w="988" w:type="dxa"/>
            <w:gridSpan w:val="2"/>
            <w:vMerge w:val="continue"/>
            <w:vAlign w:val="center"/>
          </w:tcPr>
          <w:p w14:paraId="2CC5A589">
            <w:pPr>
              <w:pStyle w:val="53"/>
              <w:rPr>
                <w:rFonts w:ascii="仿宋_GB2312" w:hAnsi="宋体"/>
                <w:highlight w:val="none"/>
              </w:rPr>
            </w:pPr>
          </w:p>
        </w:tc>
        <w:tc>
          <w:tcPr>
            <w:tcW w:w="5799" w:type="dxa"/>
            <w:gridSpan w:val="3"/>
            <w:vAlign w:val="center"/>
          </w:tcPr>
          <w:p w14:paraId="45B1D17F">
            <w:pPr>
              <w:pStyle w:val="53"/>
              <w:jc w:val="both"/>
              <w:rPr>
                <w:rFonts w:ascii="仿宋_GB2312" w:hAnsi="宋体" w:eastAsia="仿宋_GB2312"/>
                <w:highlight w:val="none"/>
              </w:rPr>
            </w:pPr>
            <w:r>
              <w:rPr>
                <w:rFonts w:hint="eastAsia" w:ascii="仿宋_GB2312" w:hAnsi="宋体" w:eastAsia="仿宋_GB2312"/>
                <w:highlight w:val="none"/>
              </w:rPr>
              <w:t>3.滑轮应设有防绳跳槽装置，且与滑轮最外沿间隙不得超过钢丝绳直径的20％；</w:t>
            </w:r>
          </w:p>
        </w:tc>
        <w:tc>
          <w:tcPr>
            <w:tcW w:w="1618" w:type="dxa"/>
            <w:gridSpan w:val="2"/>
            <w:vMerge w:val="continue"/>
            <w:vAlign w:val="center"/>
          </w:tcPr>
          <w:p w14:paraId="3DE91597">
            <w:pPr>
              <w:pStyle w:val="53"/>
              <w:rPr>
                <w:rFonts w:ascii="宋体" w:hAnsi="宋体" w:eastAsia="仿宋_GB2312"/>
                <w:highlight w:val="none"/>
              </w:rPr>
            </w:pPr>
          </w:p>
        </w:tc>
        <w:tc>
          <w:tcPr>
            <w:tcW w:w="1116" w:type="dxa"/>
            <w:vAlign w:val="center"/>
          </w:tcPr>
          <w:p w14:paraId="293558DA">
            <w:pPr>
              <w:pStyle w:val="53"/>
              <w:rPr>
                <w:rFonts w:ascii="宋体" w:hAnsi="宋体"/>
                <w:highlight w:val="none"/>
              </w:rPr>
            </w:pPr>
          </w:p>
        </w:tc>
      </w:tr>
      <w:tr w14:paraId="45053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988" w:type="dxa"/>
            <w:gridSpan w:val="2"/>
            <w:vMerge w:val="continue"/>
            <w:vAlign w:val="center"/>
          </w:tcPr>
          <w:p w14:paraId="6540FF8C">
            <w:pPr>
              <w:pStyle w:val="53"/>
              <w:rPr>
                <w:rFonts w:ascii="仿宋_GB2312" w:hAnsi="宋体"/>
                <w:highlight w:val="none"/>
              </w:rPr>
            </w:pPr>
          </w:p>
        </w:tc>
        <w:tc>
          <w:tcPr>
            <w:tcW w:w="5799" w:type="dxa"/>
            <w:gridSpan w:val="3"/>
            <w:vAlign w:val="center"/>
          </w:tcPr>
          <w:p w14:paraId="4A0B971B">
            <w:pPr>
              <w:pStyle w:val="53"/>
              <w:jc w:val="both"/>
              <w:rPr>
                <w:rFonts w:ascii="仿宋_GB2312" w:hAnsi="宋体" w:eastAsia="仿宋_GB2312"/>
                <w:highlight w:val="none"/>
              </w:rPr>
            </w:pPr>
            <w:r>
              <w:rPr>
                <w:rFonts w:hint="eastAsia" w:ascii="仿宋_GB2312" w:hAnsi="宋体" w:eastAsia="仿宋_GB2312"/>
                <w:highlight w:val="none"/>
              </w:rPr>
              <w:t>4.滑轮转动灵活、无卡塞现象。</w:t>
            </w:r>
          </w:p>
        </w:tc>
        <w:tc>
          <w:tcPr>
            <w:tcW w:w="1618" w:type="dxa"/>
            <w:gridSpan w:val="2"/>
            <w:vMerge w:val="continue"/>
            <w:vAlign w:val="center"/>
          </w:tcPr>
          <w:p w14:paraId="73296BC0">
            <w:pPr>
              <w:pStyle w:val="53"/>
              <w:rPr>
                <w:rFonts w:ascii="宋体" w:hAnsi="宋体" w:eastAsia="仿宋_GB2312"/>
                <w:highlight w:val="none"/>
              </w:rPr>
            </w:pPr>
          </w:p>
        </w:tc>
        <w:tc>
          <w:tcPr>
            <w:tcW w:w="1116" w:type="dxa"/>
            <w:vAlign w:val="center"/>
          </w:tcPr>
          <w:p w14:paraId="0C7F8F05">
            <w:pPr>
              <w:pStyle w:val="53"/>
              <w:rPr>
                <w:rFonts w:ascii="宋体" w:hAnsi="宋体"/>
                <w:highlight w:val="none"/>
              </w:rPr>
            </w:pPr>
          </w:p>
        </w:tc>
      </w:tr>
      <w:tr w14:paraId="31DAD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1" w:hRule="atLeast"/>
          <w:jc w:val="center"/>
        </w:trPr>
        <w:tc>
          <w:tcPr>
            <w:tcW w:w="988" w:type="dxa"/>
            <w:gridSpan w:val="2"/>
            <w:vAlign w:val="center"/>
          </w:tcPr>
          <w:p w14:paraId="77E19219">
            <w:pPr>
              <w:pStyle w:val="53"/>
              <w:rPr>
                <w:rFonts w:ascii="宋体" w:hAnsi="宋体"/>
                <w:highlight w:val="none"/>
              </w:rPr>
            </w:pPr>
            <w:r>
              <w:rPr>
                <w:rFonts w:hint="eastAsia" w:ascii="宋体" w:hAnsi="宋体"/>
                <w:highlight w:val="none"/>
              </w:rPr>
              <w:t>十四</w:t>
            </w:r>
          </w:p>
          <w:p w14:paraId="532669D1">
            <w:pPr>
              <w:pStyle w:val="53"/>
              <w:rPr>
                <w:rFonts w:ascii="宋体" w:hAnsi="宋体"/>
                <w:highlight w:val="none"/>
              </w:rPr>
            </w:pPr>
            <w:r>
              <w:rPr>
                <w:rFonts w:hint="eastAsia" w:ascii="宋体" w:hAnsi="宋体"/>
                <w:highlight w:val="none"/>
              </w:rPr>
              <w:t>持证上岗</w:t>
            </w:r>
          </w:p>
        </w:tc>
        <w:tc>
          <w:tcPr>
            <w:tcW w:w="5799" w:type="dxa"/>
            <w:gridSpan w:val="3"/>
            <w:vAlign w:val="center"/>
          </w:tcPr>
          <w:p w14:paraId="0D970293">
            <w:pPr>
              <w:pStyle w:val="53"/>
              <w:jc w:val="both"/>
              <w:rPr>
                <w:rFonts w:ascii="宋体" w:hAnsi="宋体" w:eastAsia="仿宋_GB2312"/>
                <w:highlight w:val="none"/>
              </w:rPr>
            </w:pPr>
            <w:r>
              <w:rPr>
                <w:rFonts w:hint="eastAsia" w:ascii="宋体" w:hAnsi="宋体" w:eastAsia="仿宋_GB2312"/>
                <w:highlight w:val="none"/>
              </w:rPr>
              <w:t>1.使用过程中塔吊司机必须持证上岗。</w:t>
            </w:r>
          </w:p>
        </w:tc>
        <w:tc>
          <w:tcPr>
            <w:tcW w:w="1618" w:type="dxa"/>
            <w:gridSpan w:val="2"/>
            <w:vAlign w:val="center"/>
          </w:tcPr>
          <w:p w14:paraId="35EF1BD9">
            <w:pPr>
              <w:pStyle w:val="53"/>
              <w:rPr>
                <w:rFonts w:ascii="宋体" w:hAnsi="宋体" w:eastAsia="仿宋_GB2312"/>
                <w:highlight w:val="none"/>
              </w:rPr>
            </w:pPr>
            <w:r>
              <w:rPr>
                <w:rFonts w:ascii="宋体" w:hAnsi="宋体" w:eastAsia="仿宋_GB2312"/>
                <w:highlight w:val="none"/>
              </w:rPr>
              <w:t>JGJ196-2010</w:t>
            </w:r>
          </w:p>
        </w:tc>
        <w:tc>
          <w:tcPr>
            <w:tcW w:w="1116" w:type="dxa"/>
            <w:vAlign w:val="center"/>
          </w:tcPr>
          <w:p w14:paraId="5FB36C85">
            <w:pPr>
              <w:pStyle w:val="53"/>
              <w:rPr>
                <w:rFonts w:ascii="宋体" w:hAnsi="宋体"/>
                <w:highlight w:val="none"/>
              </w:rPr>
            </w:pPr>
          </w:p>
        </w:tc>
      </w:tr>
      <w:tr w14:paraId="083EF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30" w:hRule="atLeast"/>
          <w:jc w:val="center"/>
        </w:trPr>
        <w:tc>
          <w:tcPr>
            <w:tcW w:w="808" w:type="dxa"/>
            <w:tcBorders>
              <w:bottom w:val="single" w:color="auto" w:sz="4" w:space="0"/>
            </w:tcBorders>
            <w:vAlign w:val="center"/>
          </w:tcPr>
          <w:p w14:paraId="3E9D8302">
            <w:pPr>
              <w:pStyle w:val="53"/>
              <w:rPr>
                <w:rFonts w:ascii="宋体" w:hAnsi="宋体"/>
                <w:highlight w:val="none"/>
              </w:rPr>
            </w:pPr>
            <w:r>
              <w:rPr>
                <w:rFonts w:hint="eastAsia" w:ascii="宋体" w:hAnsi="宋体"/>
                <w:highlight w:val="none"/>
              </w:rPr>
              <w:t>十五</w:t>
            </w:r>
          </w:p>
          <w:p w14:paraId="4E705CAA">
            <w:pPr>
              <w:pStyle w:val="53"/>
              <w:rPr>
                <w:rFonts w:ascii="宋体" w:hAnsi="宋体"/>
                <w:highlight w:val="none"/>
              </w:rPr>
            </w:pPr>
            <w:r>
              <w:rPr>
                <w:rFonts w:hint="eastAsia" w:ascii="宋体" w:hAnsi="宋体"/>
                <w:highlight w:val="none"/>
              </w:rPr>
              <w:t>检查结论及整改措施</w:t>
            </w:r>
          </w:p>
        </w:tc>
        <w:tc>
          <w:tcPr>
            <w:tcW w:w="8713" w:type="dxa"/>
            <w:gridSpan w:val="7"/>
            <w:tcBorders>
              <w:bottom w:val="single" w:color="auto" w:sz="4" w:space="0"/>
            </w:tcBorders>
            <w:vAlign w:val="center"/>
          </w:tcPr>
          <w:p w14:paraId="1EC6D59F">
            <w:pPr>
              <w:pStyle w:val="53"/>
              <w:rPr>
                <w:rFonts w:ascii="宋体" w:hAnsi="宋体"/>
                <w:highlight w:val="none"/>
              </w:rPr>
            </w:pPr>
          </w:p>
          <w:p w14:paraId="5BDE27B4">
            <w:pPr>
              <w:pStyle w:val="53"/>
              <w:rPr>
                <w:rFonts w:ascii="宋体" w:hAnsi="宋体"/>
                <w:highlight w:val="none"/>
              </w:rPr>
            </w:pPr>
          </w:p>
          <w:p w14:paraId="1D623B89">
            <w:pPr>
              <w:pStyle w:val="53"/>
              <w:rPr>
                <w:rFonts w:ascii="宋体" w:hAnsi="宋体"/>
                <w:highlight w:val="none"/>
              </w:rPr>
            </w:pPr>
          </w:p>
        </w:tc>
      </w:tr>
    </w:tbl>
    <w:p w14:paraId="7F184B1F">
      <w:pPr>
        <w:pStyle w:val="5"/>
        <w:bidi w:val="0"/>
        <w:ind w:left="0" w:leftChars="0" w:firstLine="0" w:firstLineChars="0"/>
        <w:rPr>
          <w:highlight w:val="none"/>
        </w:rPr>
      </w:pPr>
      <w:r>
        <w:rPr>
          <w:rFonts w:hint="eastAsia"/>
          <w:highlight w:val="none"/>
        </w:rPr>
        <w:t>联合验收</w:t>
      </w:r>
    </w:p>
    <w:p w14:paraId="3A859100">
      <w:pPr>
        <w:ind w:firstLine="480"/>
        <w:rPr>
          <w:highlight w:val="none"/>
        </w:rPr>
      </w:pPr>
      <w:r>
        <w:rPr>
          <w:rFonts w:hint="eastAsia"/>
          <w:highlight w:val="none"/>
        </w:rPr>
        <w:t>塔式起重机安装工程验收内容详见</w:t>
      </w:r>
    </w:p>
    <w:p w14:paraId="68AA3302">
      <w:pPr>
        <w:pStyle w:val="18"/>
        <w:rPr>
          <w:highlight w:val="none"/>
        </w:rPr>
      </w:pPr>
      <w:r>
        <w:rPr>
          <w:rFonts w:hint="eastAsia"/>
          <w:highlight w:val="none"/>
        </w:rPr>
        <w:t xml:space="preserve">表 </w:t>
      </w:r>
      <w:r>
        <w:rPr>
          <w:highlight w:val="none"/>
        </w:rPr>
        <w:fldChar w:fldCharType="begin"/>
      </w:r>
      <w:r>
        <w:rPr>
          <w:highlight w:val="none"/>
        </w:rPr>
        <w:instrText xml:space="preserve"> </w:instrText>
      </w:r>
      <w:r>
        <w:rPr>
          <w:rFonts w:hint="eastAsia"/>
          <w:highlight w:val="none"/>
        </w:rPr>
        <w:instrText xml:space="preserve">STYLEREF 3 \s</w:instrText>
      </w:r>
      <w:r>
        <w:rPr>
          <w:highlight w:val="none"/>
        </w:rPr>
        <w:instrText xml:space="preserve"> </w:instrText>
      </w:r>
      <w:r>
        <w:rPr>
          <w:highlight w:val="none"/>
        </w:rPr>
        <w:fldChar w:fldCharType="separate"/>
      </w:r>
      <w:r>
        <w:rPr>
          <w:highlight w:val="none"/>
        </w:rPr>
        <w:t>8.3.2</w:t>
      </w:r>
      <w:r>
        <w:rPr>
          <w:highlight w:val="none"/>
        </w:rPr>
        <w:fldChar w:fldCharType="end"/>
      </w:r>
      <w:r>
        <w:rPr>
          <w:highlight w:val="none"/>
        </w:rPr>
        <w:noBreakHyphen/>
      </w:r>
      <w:r>
        <w:rPr>
          <w:highlight w:val="none"/>
        </w:rPr>
        <w:fldChar w:fldCharType="begin"/>
      </w:r>
      <w:r>
        <w:rPr>
          <w:highlight w:val="none"/>
        </w:rPr>
        <w:instrText xml:space="preserve"> </w:instrText>
      </w:r>
      <w:r>
        <w:rPr>
          <w:rFonts w:hint="eastAsia"/>
          <w:highlight w:val="none"/>
        </w:rPr>
        <w:instrText xml:space="preserve">SEQ 表 \* ARABIC \s 3</w:instrText>
      </w:r>
      <w:r>
        <w:rPr>
          <w:highlight w:val="none"/>
        </w:rPr>
        <w:instrText xml:space="preserve"> </w:instrText>
      </w:r>
      <w:r>
        <w:rPr>
          <w:highlight w:val="none"/>
        </w:rPr>
        <w:fldChar w:fldCharType="separate"/>
      </w:r>
      <w:r>
        <w:rPr>
          <w:highlight w:val="none"/>
        </w:rPr>
        <w:t>1</w:t>
      </w:r>
      <w:r>
        <w:rPr>
          <w:highlight w:val="none"/>
        </w:rPr>
        <w:fldChar w:fldCharType="end"/>
      </w:r>
      <w:r>
        <w:rPr>
          <w:rFonts w:hint="eastAsia"/>
          <w:highlight w:val="none"/>
        </w:rPr>
        <w:t>塔式起重机工程验收内容</w:t>
      </w:r>
    </w:p>
    <w:tbl>
      <w:tblPr>
        <w:tblStyle w:val="44"/>
        <w:tblW w:w="9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666"/>
        <w:gridCol w:w="594"/>
        <w:gridCol w:w="1440"/>
        <w:gridCol w:w="1082"/>
        <w:gridCol w:w="435"/>
        <w:gridCol w:w="1902"/>
        <w:gridCol w:w="1103"/>
        <w:gridCol w:w="1092"/>
      </w:tblGrid>
      <w:tr w14:paraId="059EE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52" w:type="dxa"/>
            <w:gridSpan w:val="2"/>
            <w:tcBorders>
              <w:top w:val="single" w:color="auto" w:sz="4" w:space="0"/>
              <w:left w:val="single" w:color="auto" w:sz="4" w:space="0"/>
              <w:bottom w:val="single" w:color="auto" w:sz="4" w:space="0"/>
              <w:right w:val="single" w:color="auto" w:sz="4" w:space="0"/>
            </w:tcBorders>
            <w:vAlign w:val="center"/>
          </w:tcPr>
          <w:p w14:paraId="7CFE309B">
            <w:pPr>
              <w:pStyle w:val="53"/>
              <w:rPr>
                <w:highlight w:val="none"/>
              </w:rPr>
            </w:pPr>
            <w:r>
              <w:rPr>
                <w:rFonts w:hint="eastAsia"/>
                <w:highlight w:val="none"/>
              </w:rPr>
              <w:t>工程名称</w:t>
            </w:r>
          </w:p>
        </w:tc>
        <w:tc>
          <w:tcPr>
            <w:tcW w:w="3551" w:type="dxa"/>
            <w:gridSpan w:val="4"/>
            <w:tcBorders>
              <w:top w:val="single" w:color="auto" w:sz="4" w:space="0"/>
              <w:left w:val="single" w:color="auto" w:sz="4" w:space="0"/>
              <w:bottom w:val="single" w:color="auto" w:sz="4" w:space="0"/>
              <w:right w:val="single" w:color="auto" w:sz="4" w:space="0"/>
            </w:tcBorders>
            <w:vAlign w:val="center"/>
          </w:tcPr>
          <w:p w14:paraId="13203EDC">
            <w:pPr>
              <w:pStyle w:val="53"/>
              <w:rPr>
                <w:highlight w:val="none"/>
              </w:rPr>
            </w:pPr>
          </w:p>
        </w:tc>
        <w:tc>
          <w:tcPr>
            <w:tcW w:w="1902" w:type="dxa"/>
            <w:tcBorders>
              <w:top w:val="single" w:color="auto" w:sz="4" w:space="0"/>
              <w:left w:val="single" w:color="auto" w:sz="4" w:space="0"/>
              <w:bottom w:val="single" w:color="auto" w:sz="4" w:space="0"/>
              <w:right w:val="single" w:color="auto" w:sz="4" w:space="0"/>
            </w:tcBorders>
            <w:vAlign w:val="center"/>
          </w:tcPr>
          <w:p w14:paraId="5832B28A">
            <w:pPr>
              <w:pStyle w:val="53"/>
              <w:rPr>
                <w:highlight w:val="none"/>
              </w:rPr>
            </w:pPr>
            <w:r>
              <w:rPr>
                <w:rFonts w:hint="eastAsia"/>
                <w:highlight w:val="none"/>
              </w:rPr>
              <w:t>安装日期</w:t>
            </w:r>
          </w:p>
        </w:tc>
        <w:tc>
          <w:tcPr>
            <w:tcW w:w="2195" w:type="dxa"/>
            <w:gridSpan w:val="2"/>
            <w:tcBorders>
              <w:top w:val="single" w:color="auto" w:sz="4" w:space="0"/>
              <w:left w:val="single" w:color="auto" w:sz="4" w:space="0"/>
              <w:bottom w:val="single" w:color="auto" w:sz="4" w:space="0"/>
              <w:right w:val="single" w:color="auto" w:sz="4" w:space="0"/>
            </w:tcBorders>
            <w:vAlign w:val="center"/>
          </w:tcPr>
          <w:p w14:paraId="006584FA">
            <w:pPr>
              <w:pStyle w:val="53"/>
              <w:rPr>
                <w:highlight w:val="none"/>
              </w:rPr>
            </w:pPr>
          </w:p>
        </w:tc>
      </w:tr>
      <w:tr w14:paraId="3B4B2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52" w:type="dxa"/>
            <w:gridSpan w:val="2"/>
            <w:tcBorders>
              <w:top w:val="single" w:color="auto" w:sz="4" w:space="0"/>
              <w:left w:val="single" w:color="auto" w:sz="4" w:space="0"/>
              <w:bottom w:val="single" w:color="auto" w:sz="4" w:space="0"/>
              <w:right w:val="single" w:color="auto" w:sz="4" w:space="0"/>
            </w:tcBorders>
            <w:vAlign w:val="center"/>
          </w:tcPr>
          <w:p w14:paraId="4A34C89E">
            <w:pPr>
              <w:pStyle w:val="53"/>
              <w:rPr>
                <w:highlight w:val="none"/>
              </w:rPr>
            </w:pPr>
            <w:r>
              <w:rPr>
                <w:rFonts w:hint="eastAsia"/>
                <w:highlight w:val="none"/>
              </w:rPr>
              <w:t>建机一体化企业</w:t>
            </w:r>
          </w:p>
        </w:tc>
        <w:tc>
          <w:tcPr>
            <w:tcW w:w="3551" w:type="dxa"/>
            <w:gridSpan w:val="4"/>
            <w:tcBorders>
              <w:top w:val="single" w:color="auto" w:sz="4" w:space="0"/>
              <w:left w:val="single" w:color="auto" w:sz="4" w:space="0"/>
              <w:bottom w:val="single" w:color="auto" w:sz="4" w:space="0"/>
              <w:right w:val="single" w:color="auto" w:sz="4" w:space="0"/>
            </w:tcBorders>
            <w:vAlign w:val="center"/>
          </w:tcPr>
          <w:p w14:paraId="6740FBCF">
            <w:pPr>
              <w:pStyle w:val="53"/>
              <w:rPr>
                <w:highlight w:val="none"/>
              </w:rPr>
            </w:pPr>
          </w:p>
        </w:tc>
        <w:tc>
          <w:tcPr>
            <w:tcW w:w="1902" w:type="dxa"/>
            <w:tcBorders>
              <w:top w:val="single" w:color="auto" w:sz="4" w:space="0"/>
              <w:left w:val="single" w:color="auto" w:sz="4" w:space="0"/>
              <w:bottom w:val="single" w:color="auto" w:sz="4" w:space="0"/>
              <w:right w:val="single" w:color="auto" w:sz="4" w:space="0"/>
            </w:tcBorders>
            <w:vAlign w:val="center"/>
          </w:tcPr>
          <w:p w14:paraId="494CEBA7">
            <w:pPr>
              <w:pStyle w:val="53"/>
              <w:rPr>
                <w:highlight w:val="none"/>
              </w:rPr>
            </w:pPr>
            <w:r>
              <w:rPr>
                <w:rFonts w:hint="eastAsia"/>
                <w:highlight w:val="none"/>
              </w:rPr>
              <w:t>安装资质编号</w:t>
            </w:r>
          </w:p>
        </w:tc>
        <w:tc>
          <w:tcPr>
            <w:tcW w:w="2195" w:type="dxa"/>
            <w:gridSpan w:val="2"/>
            <w:tcBorders>
              <w:top w:val="single" w:color="auto" w:sz="4" w:space="0"/>
              <w:left w:val="single" w:color="auto" w:sz="4" w:space="0"/>
              <w:bottom w:val="single" w:color="auto" w:sz="4" w:space="0"/>
              <w:right w:val="single" w:color="auto" w:sz="4" w:space="0"/>
            </w:tcBorders>
            <w:vAlign w:val="center"/>
          </w:tcPr>
          <w:p w14:paraId="66FE03AA">
            <w:pPr>
              <w:pStyle w:val="53"/>
              <w:rPr>
                <w:highlight w:val="none"/>
              </w:rPr>
            </w:pPr>
          </w:p>
        </w:tc>
      </w:tr>
      <w:tr w14:paraId="0B9A8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52" w:type="dxa"/>
            <w:gridSpan w:val="2"/>
            <w:tcBorders>
              <w:top w:val="single" w:color="auto" w:sz="4" w:space="0"/>
              <w:left w:val="single" w:color="auto" w:sz="4" w:space="0"/>
              <w:bottom w:val="single" w:color="auto" w:sz="4" w:space="0"/>
              <w:right w:val="single" w:color="auto" w:sz="4" w:space="0"/>
            </w:tcBorders>
            <w:vAlign w:val="center"/>
          </w:tcPr>
          <w:p w14:paraId="5A3DB5F1">
            <w:pPr>
              <w:pStyle w:val="53"/>
              <w:rPr>
                <w:highlight w:val="none"/>
              </w:rPr>
            </w:pPr>
            <w:r>
              <w:rPr>
                <w:rFonts w:hint="eastAsia"/>
                <w:highlight w:val="none"/>
              </w:rPr>
              <w:t>制造厂家</w:t>
            </w:r>
          </w:p>
        </w:tc>
        <w:tc>
          <w:tcPr>
            <w:tcW w:w="3551" w:type="dxa"/>
            <w:gridSpan w:val="4"/>
            <w:tcBorders>
              <w:top w:val="single" w:color="auto" w:sz="4" w:space="0"/>
              <w:left w:val="single" w:color="auto" w:sz="4" w:space="0"/>
              <w:bottom w:val="single" w:color="auto" w:sz="4" w:space="0"/>
              <w:right w:val="single" w:color="auto" w:sz="4" w:space="0"/>
            </w:tcBorders>
            <w:vAlign w:val="center"/>
          </w:tcPr>
          <w:p w14:paraId="2F6BD8E4">
            <w:pPr>
              <w:pStyle w:val="53"/>
              <w:rPr>
                <w:highlight w:val="none"/>
              </w:rPr>
            </w:pPr>
          </w:p>
        </w:tc>
        <w:tc>
          <w:tcPr>
            <w:tcW w:w="1902" w:type="dxa"/>
            <w:tcBorders>
              <w:top w:val="single" w:color="auto" w:sz="4" w:space="0"/>
              <w:left w:val="single" w:color="auto" w:sz="4" w:space="0"/>
              <w:bottom w:val="single" w:color="auto" w:sz="4" w:space="0"/>
              <w:right w:val="single" w:color="auto" w:sz="4" w:space="0"/>
            </w:tcBorders>
            <w:vAlign w:val="center"/>
          </w:tcPr>
          <w:p w14:paraId="29DC06AC">
            <w:pPr>
              <w:pStyle w:val="53"/>
              <w:rPr>
                <w:highlight w:val="none"/>
              </w:rPr>
            </w:pPr>
            <w:r>
              <w:rPr>
                <w:rFonts w:hint="eastAsia"/>
                <w:highlight w:val="none"/>
              </w:rPr>
              <w:t>使用单位</w:t>
            </w:r>
          </w:p>
        </w:tc>
        <w:tc>
          <w:tcPr>
            <w:tcW w:w="2195" w:type="dxa"/>
            <w:gridSpan w:val="2"/>
            <w:tcBorders>
              <w:top w:val="single" w:color="auto" w:sz="4" w:space="0"/>
              <w:left w:val="single" w:color="auto" w:sz="4" w:space="0"/>
              <w:bottom w:val="single" w:color="auto" w:sz="4" w:space="0"/>
              <w:right w:val="single" w:color="auto" w:sz="4" w:space="0"/>
            </w:tcBorders>
            <w:vAlign w:val="center"/>
          </w:tcPr>
          <w:p w14:paraId="04892FC4">
            <w:pPr>
              <w:pStyle w:val="53"/>
              <w:rPr>
                <w:highlight w:val="none"/>
              </w:rPr>
            </w:pPr>
          </w:p>
        </w:tc>
      </w:tr>
      <w:tr w14:paraId="517FB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52" w:type="dxa"/>
            <w:gridSpan w:val="2"/>
            <w:tcBorders>
              <w:top w:val="single" w:color="auto" w:sz="4" w:space="0"/>
              <w:left w:val="single" w:color="auto" w:sz="4" w:space="0"/>
              <w:bottom w:val="single" w:color="auto" w:sz="4" w:space="0"/>
              <w:right w:val="single" w:color="auto" w:sz="4" w:space="0"/>
            </w:tcBorders>
            <w:vAlign w:val="center"/>
          </w:tcPr>
          <w:p w14:paraId="0928D052">
            <w:pPr>
              <w:pStyle w:val="53"/>
              <w:rPr>
                <w:highlight w:val="none"/>
              </w:rPr>
            </w:pPr>
            <w:r>
              <w:rPr>
                <w:rFonts w:hint="eastAsia"/>
                <w:highlight w:val="none"/>
              </w:rPr>
              <w:t>规格型号</w:t>
            </w:r>
          </w:p>
        </w:tc>
        <w:tc>
          <w:tcPr>
            <w:tcW w:w="3551" w:type="dxa"/>
            <w:gridSpan w:val="4"/>
            <w:tcBorders>
              <w:top w:val="single" w:color="auto" w:sz="4" w:space="0"/>
              <w:left w:val="single" w:color="auto" w:sz="4" w:space="0"/>
              <w:bottom w:val="single" w:color="auto" w:sz="4" w:space="0"/>
              <w:right w:val="single" w:color="auto" w:sz="4" w:space="0"/>
            </w:tcBorders>
            <w:vAlign w:val="center"/>
          </w:tcPr>
          <w:p w14:paraId="4722021F">
            <w:pPr>
              <w:pStyle w:val="53"/>
              <w:rPr>
                <w:highlight w:val="none"/>
              </w:rPr>
            </w:pPr>
          </w:p>
        </w:tc>
        <w:tc>
          <w:tcPr>
            <w:tcW w:w="1902" w:type="dxa"/>
            <w:tcBorders>
              <w:top w:val="single" w:color="auto" w:sz="4" w:space="0"/>
              <w:left w:val="single" w:color="auto" w:sz="4" w:space="0"/>
              <w:bottom w:val="single" w:color="auto" w:sz="4" w:space="0"/>
              <w:right w:val="single" w:color="auto" w:sz="4" w:space="0"/>
            </w:tcBorders>
            <w:vAlign w:val="center"/>
          </w:tcPr>
          <w:p w14:paraId="39E3A0AF">
            <w:pPr>
              <w:pStyle w:val="53"/>
              <w:rPr>
                <w:highlight w:val="none"/>
              </w:rPr>
            </w:pPr>
            <w:r>
              <w:rPr>
                <w:rFonts w:hint="eastAsia"/>
                <w:highlight w:val="none"/>
              </w:rPr>
              <w:t>备案编号</w:t>
            </w:r>
          </w:p>
        </w:tc>
        <w:tc>
          <w:tcPr>
            <w:tcW w:w="2195" w:type="dxa"/>
            <w:gridSpan w:val="2"/>
            <w:tcBorders>
              <w:top w:val="single" w:color="auto" w:sz="4" w:space="0"/>
              <w:left w:val="single" w:color="auto" w:sz="4" w:space="0"/>
              <w:bottom w:val="single" w:color="auto" w:sz="4" w:space="0"/>
              <w:right w:val="single" w:color="auto" w:sz="4" w:space="0"/>
            </w:tcBorders>
            <w:vAlign w:val="center"/>
          </w:tcPr>
          <w:p w14:paraId="50A1920A">
            <w:pPr>
              <w:pStyle w:val="53"/>
              <w:rPr>
                <w:highlight w:val="none"/>
              </w:rPr>
            </w:pPr>
          </w:p>
        </w:tc>
      </w:tr>
      <w:tr w14:paraId="1E12E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52" w:type="dxa"/>
            <w:gridSpan w:val="2"/>
            <w:tcBorders>
              <w:top w:val="single" w:color="auto" w:sz="4" w:space="0"/>
              <w:left w:val="single" w:color="auto" w:sz="4" w:space="0"/>
              <w:bottom w:val="single" w:color="auto" w:sz="4" w:space="0"/>
              <w:right w:val="single" w:color="auto" w:sz="4" w:space="0"/>
            </w:tcBorders>
            <w:vAlign w:val="center"/>
          </w:tcPr>
          <w:p w14:paraId="363D8914">
            <w:pPr>
              <w:pStyle w:val="53"/>
              <w:rPr>
                <w:highlight w:val="none"/>
              </w:rPr>
            </w:pPr>
            <w:r>
              <w:rPr>
                <w:rFonts w:hint="eastAsia"/>
                <w:highlight w:val="none"/>
              </w:rPr>
              <w:t>初始安装高度</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5C1E0123">
            <w:pPr>
              <w:pStyle w:val="53"/>
              <w:rPr>
                <w:highlight w:val="none"/>
              </w:rPr>
            </w:pPr>
          </w:p>
        </w:tc>
        <w:tc>
          <w:tcPr>
            <w:tcW w:w="1517" w:type="dxa"/>
            <w:gridSpan w:val="2"/>
            <w:tcBorders>
              <w:top w:val="single" w:color="auto" w:sz="4" w:space="0"/>
              <w:left w:val="single" w:color="auto" w:sz="4" w:space="0"/>
              <w:bottom w:val="single" w:color="auto" w:sz="4" w:space="0"/>
              <w:right w:val="single" w:color="auto" w:sz="4" w:space="0"/>
            </w:tcBorders>
            <w:vAlign w:val="center"/>
          </w:tcPr>
          <w:p w14:paraId="27B1228E">
            <w:pPr>
              <w:pStyle w:val="53"/>
              <w:rPr>
                <w:highlight w:val="none"/>
              </w:rPr>
            </w:pPr>
            <w:r>
              <w:rPr>
                <w:rFonts w:hint="eastAsia"/>
                <w:highlight w:val="none"/>
              </w:rPr>
              <w:t>本次自检高度</w:t>
            </w:r>
          </w:p>
        </w:tc>
        <w:tc>
          <w:tcPr>
            <w:tcW w:w="1902" w:type="dxa"/>
            <w:tcBorders>
              <w:top w:val="single" w:color="auto" w:sz="4" w:space="0"/>
              <w:left w:val="single" w:color="auto" w:sz="4" w:space="0"/>
              <w:bottom w:val="single" w:color="auto" w:sz="4" w:space="0"/>
              <w:right w:val="single" w:color="auto" w:sz="4" w:space="0"/>
            </w:tcBorders>
            <w:vAlign w:val="center"/>
          </w:tcPr>
          <w:p w14:paraId="4A0CCCBF">
            <w:pPr>
              <w:pStyle w:val="53"/>
              <w:rPr>
                <w:highlight w:val="none"/>
              </w:rPr>
            </w:pPr>
          </w:p>
        </w:tc>
        <w:tc>
          <w:tcPr>
            <w:tcW w:w="1103" w:type="dxa"/>
            <w:tcBorders>
              <w:top w:val="single" w:color="auto" w:sz="4" w:space="0"/>
              <w:left w:val="single" w:color="auto" w:sz="4" w:space="0"/>
              <w:bottom w:val="single" w:color="auto" w:sz="4" w:space="0"/>
              <w:right w:val="single" w:color="auto" w:sz="4" w:space="0"/>
            </w:tcBorders>
            <w:vAlign w:val="center"/>
          </w:tcPr>
          <w:p w14:paraId="78FD05C4">
            <w:pPr>
              <w:pStyle w:val="53"/>
              <w:rPr>
                <w:highlight w:val="none"/>
              </w:rPr>
            </w:pPr>
            <w:r>
              <w:rPr>
                <w:rFonts w:hint="eastAsia"/>
                <w:highlight w:val="none"/>
              </w:rPr>
              <w:t>计划安装</w:t>
            </w:r>
          </w:p>
          <w:p w14:paraId="55AE9160">
            <w:pPr>
              <w:pStyle w:val="53"/>
              <w:rPr>
                <w:highlight w:val="none"/>
              </w:rPr>
            </w:pPr>
            <w:r>
              <w:rPr>
                <w:rFonts w:hint="eastAsia"/>
                <w:highlight w:val="none"/>
              </w:rPr>
              <w:t>高度</w:t>
            </w:r>
          </w:p>
        </w:tc>
        <w:tc>
          <w:tcPr>
            <w:tcW w:w="1092" w:type="dxa"/>
            <w:tcBorders>
              <w:top w:val="single" w:color="auto" w:sz="4" w:space="0"/>
              <w:left w:val="single" w:color="auto" w:sz="4" w:space="0"/>
              <w:bottom w:val="single" w:color="auto" w:sz="4" w:space="0"/>
              <w:right w:val="single" w:color="auto" w:sz="4" w:space="0"/>
            </w:tcBorders>
            <w:vAlign w:val="center"/>
          </w:tcPr>
          <w:p w14:paraId="5CC8CA9E">
            <w:pPr>
              <w:pStyle w:val="53"/>
              <w:rPr>
                <w:highlight w:val="none"/>
              </w:rPr>
            </w:pPr>
          </w:p>
        </w:tc>
      </w:tr>
      <w:tr w14:paraId="4B1D4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852" w:type="dxa"/>
            <w:gridSpan w:val="2"/>
            <w:tcBorders>
              <w:top w:val="single" w:color="auto" w:sz="4" w:space="0"/>
              <w:left w:val="single" w:color="auto" w:sz="4" w:space="0"/>
              <w:bottom w:val="single" w:color="auto" w:sz="4" w:space="0"/>
              <w:right w:val="single" w:color="auto" w:sz="4" w:space="0"/>
            </w:tcBorders>
            <w:vAlign w:val="center"/>
          </w:tcPr>
          <w:p w14:paraId="205E2B25">
            <w:pPr>
              <w:pStyle w:val="53"/>
              <w:rPr>
                <w:highlight w:val="none"/>
              </w:rPr>
            </w:pPr>
            <w:r>
              <w:rPr>
                <w:rFonts w:hint="eastAsia"/>
                <w:highlight w:val="none"/>
              </w:rPr>
              <w:t>检查结果</w:t>
            </w:r>
          </w:p>
          <w:p w14:paraId="70E01AB8">
            <w:pPr>
              <w:pStyle w:val="53"/>
              <w:rPr>
                <w:highlight w:val="none"/>
              </w:rPr>
            </w:pPr>
            <w:r>
              <w:rPr>
                <w:rFonts w:hint="eastAsia"/>
                <w:highlight w:val="none"/>
              </w:rPr>
              <w:t>代号说明</w:t>
            </w:r>
          </w:p>
        </w:tc>
        <w:tc>
          <w:tcPr>
            <w:tcW w:w="7648" w:type="dxa"/>
            <w:gridSpan w:val="7"/>
            <w:tcBorders>
              <w:top w:val="single" w:color="auto" w:sz="4" w:space="0"/>
              <w:left w:val="single" w:color="auto" w:sz="4" w:space="0"/>
              <w:bottom w:val="single" w:color="auto" w:sz="4" w:space="0"/>
              <w:right w:val="single" w:color="auto" w:sz="4" w:space="0"/>
            </w:tcBorders>
            <w:vAlign w:val="center"/>
          </w:tcPr>
          <w:p w14:paraId="0EAFC5C7">
            <w:pPr>
              <w:pStyle w:val="53"/>
              <w:rPr>
                <w:highlight w:val="none"/>
              </w:rPr>
            </w:pPr>
            <w:r>
              <w:rPr>
                <w:rFonts w:hint="eastAsia"/>
                <w:highlight w:val="none"/>
              </w:rPr>
              <w:t>“√”=合格  “○”=整改后合格  “×”=不合格  “/”=无此项</w:t>
            </w:r>
          </w:p>
        </w:tc>
      </w:tr>
      <w:tr w14:paraId="6181D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tcBorders>
              <w:top w:val="single" w:color="auto" w:sz="4" w:space="0"/>
              <w:left w:val="single" w:color="auto" w:sz="4" w:space="0"/>
              <w:bottom w:val="single" w:color="auto" w:sz="4" w:space="0"/>
              <w:right w:val="single" w:color="auto" w:sz="4" w:space="0"/>
            </w:tcBorders>
            <w:vAlign w:val="center"/>
          </w:tcPr>
          <w:p w14:paraId="6838EE97">
            <w:pPr>
              <w:pStyle w:val="53"/>
              <w:rPr>
                <w:highlight w:val="none"/>
              </w:rPr>
            </w:pPr>
            <w:r>
              <w:rPr>
                <w:rFonts w:hint="eastAsia"/>
                <w:highlight w:val="none"/>
              </w:rPr>
              <w:t>名称</w:t>
            </w:r>
          </w:p>
        </w:tc>
        <w:tc>
          <w:tcPr>
            <w:tcW w:w="666" w:type="dxa"/>
            <w:tcBorders>
              <w:top w:val="single" w:color="auto" w:sz="4" w:space="0"/>
              <w:left w:val="single" w:color="auto" w:sz="4" w:space="0"/>
              <w:bottom w:val="single" w:color="auto" w:sz="4" w:space="0"/>
              <w:right w:val="single" w:color="auto" w:sz="4" w:space="0"/>
            </w:tcBorders>
            <w:vAlign w:val="center"/>
          </w:tcPr>
          <w:p w14:paraId="0E49CDBD">
            <w:pPr>
              <w:pStyle w:val="53"/>
              <w:rPr>
                <w:highlight w:val="none"/>
              </w:rPr>
            </w:pPr>
            <w:r>
              <w:rPr>
                <w:rFonts w:hint="eastAsia"/>
                <w:highlight w:val="none"/>
              </w:rPr>
              <w:t>序号</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030087A5">
            <w:pPr>
              <w:pStyle w:val="53"/>
              <w:rPr>
                <w:highlight w:val="none"/>
              </w:rPr>
            </w:pPr>
            <w:r>
              <w:rPr>
                <w:rFonts w:hint="eastAsia"/>
                <w:highlight w:val="none"/>
              </w:rPr>
              <w:t>检查项目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23BBB160">
            <w:pPr>
              <w:pStyle w:val="53"/>
              <w:rPr>
                <w:highlight w:val="none"/>
              </w:rPr>
            </w:pPr>
            <w:r>
              <w:rPr>
                <w:rFonts w:hint="eastAsia"/>
                <w:highlight w:val="none"/>
              </w:rPr>
              <w:t>要求</w:t>
            </w:r>
          </w:p>
        </w:tc>
        <w:tc>
          <w:tcPr>
            <w:tcW w:w="1103" w:type="dxa"/>
            <w:tcBorders>
              <w:top w:val="single" w:color="auto" w:sz="4" w:space="0"/>
              <w:left w:val="single" w:color="auto" w:sz="4" w:space="0"/>
              <w:bottom w:val="single" w:color="auto" w:sz="4" w:space="0"/>
              <w:right w:val="single" w:color="auto" w:sz="4" w:space="0"/>
            </w:tcBorders>
            <w:vAlign w:val="center"/>
          </w:tcPr>
          <w:p w14:paraId="2C238626">
            <w:pPr>
              <w:pStyle w:val="53"/>
              <w:rPr>
                <w:highlight w:val="none"/>
              </w:rPr>
            </w:pPr>
            <w:r>
              <w:rPr>
                <w:rFonts w:hint="eastAsia"/>
                <w:highlight w:val="none"/>
              </w:rPr>
              <w:t>检查结果</w:t>
            </w:r>
          </w:p>
        </w:tc>
        <w:tc>
          <w:tcPr>
            <w:tcW w:w="1092" w:type="dxa"/>
            <w:tcBorders>
              <w:top w:val="single" w:color="auto" w:sz="4" w:space="0"/>
              <w:left w:val="single" w:color="auto" w:sz="4" w:space="0"/>
              <w:bottom w:val="single" w:color="auto" w:sz="4" w:space="0"/>
              <w:right w:val="single" w:color="auto" w:sz="4" w:space="0"/>
            </w:tcBorders>
            <w:vAlign w:val="center"/>
          </w:tcPr>
          <w:p w14:paraId="1DE764A8">
            <w:pPr>
              <w:pStyle w:val="53"/>
              <w:rPr>
                <w:highlight w:val="none"/>
              </w:rPr>
            </w:pPr>
            <w:r>
              <w:rPr>
                <w:rFonts w:hint="eastAsia"/>
                <w:highlight w:val="none"/>
              </w:rPr>
              <w:t>备注</w:t>
            </w:r>
          </w:p>
        </w:tc>
      </w:tr>
      <w:tr w14:paraId="5883E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restart"/>
            <w:tcBorders>
              <w:top w:val="single" w:color="auto" w:sz="4" w:space="0"/>
              <w:left w:val="single" w:color="auto" w:sz="4" w:space="0"/>
              <w:bottom w:val="single" w:color="auto" w:sz="4" w:space="0"/>
              <w:right w:val="single" w:color="auto" w:sz="4" w:space="0"/>
            </w:tcBorders>
            <w:vAlign w:val="center"/>
          </w:tcPr>
          <w:p w14:paraId="72B6EE0A">
            <w:pPr>
              <w:pStyle w:val="53"/>
              <w:rPr>
                <w:highlight w:val="none"/>
              </w:rPr>
            </w:pPr>
            <w:r>
              <w:rPr>
                <w:rFonts w:hint="eastAsia"/>
                <w:highlight w:val="none"/>
              </w:rPr>
              <w:t>资料</w:t>
            </w:r>
          </w:p>
        </w:tc>
        <w:tc>
          <w:tcPr>
            <w:tcW w:w="666" w:type="dxa"/>
            <w:tcBorders>
              <w:top w:val="single" w:color="auto" w:sz="4" w:space="0"/>
              <w:left w:val="single" w:color="auto" w:sz="4" w:space="0"/>
              <w:bottom w:val="single" w:color="auto" w:sz="4" w:space="0"/>
              <w:right w:val="single" w:color="auto" w:sz="4" w:space="0"/>
            </w:tcBorders>
            <w:vAlign w:val="center"/>
          </w:tcPr>
          <w:p w14:paraId="6E167A49">
            <w:pPr>
              <w:pStyle w:val="53"/>
              <w:rPr>
                <w:highlight w:val="none"/>
              </w:rPr>
            </w:pPr>
            <w:r>
              <w:rPr>
                <w:rFonts w:hint="eastAsia"/>
                <w:highlight w:val="none"/>
              </w:rPr>
              <w:t>1*</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4F80EF0E">
            <w:pPr>
              <w:pStyle w:val="53"/>
              <w:rPr>
                <w:highlight w:val="none"/>
              </w:rPr>
            </w:pPr>
            <w:r>
              <w:rPr>
                <w:rFonts w:hint="eastAsia"/>
                <w:highlight w:val="none"/>
              </w:rPr>
              <w:t>基础验收表</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207E5CB8">
            <w:pPr>
              <w:pStyle w:val="53"/>
              <w:rPr>
                <w:highlight w:val="none"/>
              </w:rPr>
            </w:pPr>
            <w:r>
              <w:rPr>
                <w:rFonts w:hint="eastAsia"/>
                <w:highlight w:val="none"/>
              </w:rPr>
              <w:t>检查或实测记录、应附资料及签章齐全</w:t>
            </w:r>
          </w:p>
        </w:tc>
        <w:tc>
          <w:tcPr>
            <w:tcW w:w="1103" w:type="dxa"/>
            <w:tcBorders>
              <w:top w:val="single" w:color="auto" w:sz="4" w:space="0"/>
              <w:left w:val="single" w:color="auto" w:sz="4" w:space="0"/>
              <w:bottom w:val="single" w:color="auto" w:sz="4" w:space="0"/>
              <w:right w:val="single" w:color="auto" w:sz="4" w:space="0"/>
            </w:tcBorders>
            <w:vAlign w:val="center"/>
          </w:tcPr>
          <w:p w14:paraId="2044C79B">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68012289">
            <w:pPr>
              <w:pStyle w:val="53"/>
              <w:rPr>
                <w:highlight w:val="none"/>
              </w:rPr>
            </w:pPr>
          </w:p>
        </w:tc>
      </w:tr>
      <w:tr w14:paraId="09BD9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3A2BADD2">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2EAA8F01">
            <w:pPr>
              <w:pStyle w:val="53"/>
              <w:rPr>
                <w:highlight w:val="none"/>
              </w:rPr>
            </w:pPr>
            <w:r>
              <w:rPr>
                <w:rFonts w:hint="eastAsia"/>
                <w:highlight w:val="none"/>
              </w:rPr>
              <w:t>2</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43E07BF7">
            <w:pPr>
              <w:pStyle w:val="53"/>
              <w:rPr>
                <w:highlight w:val="none"/>
              </w:rPr>
            </w:pPr>
            <w:r>
              <w:rPr>
                <w:rFonts w:hint="eastAsia"/>
                <w:highlight w:val="none"/>
              </w:rPr>
              <w:t>安装方案、安全技术交底记录</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5E853348">
            <w:pPr>
              <w:pStyle w:val="53"/>
              <w:rPr>
                <w:highlight w:val="none"/>
              </w:rPr>
            </w:pPr>
            <w:r>
              <w:rPr>
                <w:rFonts w:hint="eastAsia"/>
                <w:highlight w:val="none"/>
              </w:rPr>
              <w:t>内容及签章齐全</w:t>
            </w:r>
          </w:p>
        </w:tc>
        <w:tc>
          <w:tcPr>
            <w:tcW w:w="1103" w:type="dxa"/>
            <w:tcBorders>
              <w:top w:val="single" w:color="auto" w:sz="4" w:space="0"/>
              <w:left w:val="single" w:color="auto" w:sz="4" w:space="0"/>
              <w:bottom w:val="single" w:color="auto" w:sz="4" w:space="0"/>
              <w:right w:val="single" w:color="auto" w:sz="4" w:space="0"/>
            </w:tcBorders>
            <w:vAlign w:val="center"/>
          </w:tcPr>
          <w:p w14:paraId="06A5734F">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48B91239">
            <w:pPr>
              <w:pStyle w:val="53"/>
              <w:rPr>
                <w:highlight w:val="none"/>
              </w:rPr>
            </w:pPr>
          </w:p>
        </w:tc>
      </w:tr>
      <w:tr w14:paraId="1FC3C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1025660E">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67181021">
            <w:pPr>
              <w:pStyle w:val="53"/>
              <w:rPr>
                <w:highlight w:val="none"/>
              </w:rPr>
            </w:pPr>
            <w:r>
              <w:rPr>
                <w:rFonts w:hint="eastAsia"/>
                <w:highlight w:val="none"/>
              </w:rPr>
              <w:t>3</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4FBD8AB5">
            <w:pPr>
              <w:pStyle w:val="53"/>
              <w:rPr>
                <w:highlight w:val="none"/>
              </w:rPr>
            </w:pPr>
            <w:r>
              <w:rPr>
                <w:rFonts w:hint="eastAsia"/>
                <w:highlight w:val="none"/>
              </w:rPr>
              <w:t>塔式起重机进场检查核验表</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7662C8CF">
            <w:pPr>
              <w:pStyle w:val="53"/>
              <w:rPr>
                <w:highlight w:val="none"/>
              </w:rPr>
            </w:pPr>
            <w:r>
              <w:rPr>
                <w:rFonts w:hint="eastAsia"/>
                <w:highlight w:val="none"/>
              </w:rPr>
              <w:t>内容及签章齐全</w:t>
            </w:r>
          </w:p>
        </w:tc>
        <w:tc>
          <w:tcPr>
            <w:tcW w:w="1103" w:type="dxa"/>
            <w:tcBorders>
              <w:top w:val="single" w:color="auto" w:sz="4" w:space="0"/>
              <w:left w:val="single" w:color="auto" w:sz="4" w:space="0"/>
              <w:bottom w:val="single" w:color="auto" w:sz="4" w:space="0"/>
              <w:right w:val="single" w:color="auto" w:sz="4" w:space="0"/>
            </w:tcBorders>
            <w:vAlign w:val="center"/>
          </w:tcPr>
          <w:p w14:paraId="3CC37B7D">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051D4C64">
            <w:pPr>
              <w:pStyle w:val="53"/>
              <w:rPr>
                <w:highlight w:val="none"/>
              </w:rPr>
            </w:pPr>
          </w:p>
        </w:tc>
      </w:tr>
      <w:tr w14:paraId="70728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restart"/>
            <w:tcBorders>
              <w:top w:val="single" w:color="auto" w:sz="4" w:space="0"/>
              <w:left w:val="single" w:color="auto" w:sz="4" w:space="0"/>
              <w:bottom w:val="single" w:color="auto" w:sz="4" w:space="0"/>
              <w:right w:val="single" w:color="auto" w:sz="4" w:space="0"/>
            </w:tcBorders>
            <w:vAlign w:val="center"/>
          </w:tcPr>
          <w:p w14:paraId="320EEA83">
            <w:pPr>
              <w:pStyle w:val="53"/>
              <w:rPr>
                <w:highlight w:val="none"/>
              </w:rPr>
            </w:pPr>
            <w:r>
              <w:rPr>
                <w:rFonts w:hint="eastAsia"/>
                <w:highlight w:val="none"/>
              </w:rPr>
              <w:t>基础</w:t>
            </w:r>
          </w:p>
        </w:tc>
        <w:tc>
          <w:tcPr>
            <w:tcW w:w="666" w:type="dxa"/>
            <w:tcBorders>
              <w:top w:val="single" w:color="auto" w:sz="4" w:space="0"/>
              <w:left w:val="single" w:color="auto" w:sz="4" w:space="0"/>
              <w:bottom w:val="single" w:color="auto" w:sz="4" w:space="0"/>
              <w:right w:val="single" w:color="auto" w:sz="4" w:space="0"/>
            </w:tcBorders>
            <w:vAlign w:val="center"/>
          </w:tcPr>
          <w:p w14:paraId="05578FDB">
            <w:pPr>
              <w:pStyle w:val="53"/>
              <w:rPr>
                <w:highlight w:val="none"/>
              </w:rPr>
            </w:pPr>
            <w:r>
              <w:rPr>
                <w:rFonts w:hint="eastAsia"/>
                <w:highlight w:val="none"/>
              </w:rPr>
              <w:t>4</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2799A03A">
            <w:pPr>
              <w:pStyle w:val="53"/>
              <w:rPr>
                <w:highlight w:val="none"/>
              </w:rPr>
            </w:pPr>
            <w:r>
              <w:rPr>
                <w:rFonts w:hint="eastAsia"/>
                <w:highlight w:val="none"/>
              </w:rPr>
              <w:t>塔式起重机底架水平度</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729EF357">
            <w:pPr>
              <w:pStyle w:val="53"/>
              <w:rPr>
                <w:highlight w:val="none"/>
              </w:rPr>
            </w:pPr>
            <w:r>
              <w:rPr>
                <w:rFonts w:hint="eastAsia"/>
                <w:highlight w:val="none"/>
              </w:rPr>
              <w:t>符合使用说明书要求</w:t>
            </w:r>
          </w:p>
        </w:tc>
        <w:tc>
          <w:tcPr>
            <w:tcW w:w="1103" w:type="dxa"/>
            <w:tcBorders>
              <w:top w:val="single" w:color="auto" w:sz="4" w:space="0"/>
              <w:left w:val="single" w:color="auto" w:sz="4" w:space="0"/>
              <w:bottom w:val="single" w:color="auto" w:sz="4" w:space="0"/>
              <w:right w:val="single" w:color="auto" w:sz="4" w:space="0"/>
            </w:tcBorders>
            <w:vAlign w:val="center"/>
          </w:tcPr>
          <w:p w14:paraId="1B1894B6">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54908224">
            <w:pPr>
              <w:pStyle w:val="53"/>
              <w:rPr>
                <w:highlight w:val="none"/>
              </w:rPr>
            </w:pPr>
          </w:p>
        </w:tc>
      </w:tr>
      <w:tr w14:paraId="3876D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0B1CEB05">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387B1719">
            <w:pPr>
              <w:pStyle w:val="53"/>
              <w:rPr>
                <w:highlight w:val="none"/>
              </w:rPr>
            </w:pPr>
            <w:r>
              <w:rPr>
                <w:rFonts w:hint="eastAsia"/>
                <w:highlight w:val="none"/>
              </w:rPr>
              <w:t>5</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60F22158">
            <w:pPr>
              <w:pStyle w:val="53"/>
              <w:rPr>
                <w:highlight w:val="none"/>
              </w:rPr>
            </w:pPr>
            <w:r>
              <w:rPr>
                <w:rFonts w:hint="eastAsia"/>
                <w:highlight w:val="none"/>
              </w:rPr>
              <w:t>行走式塔式起重机导轨的水平度</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3C3DDC60">
            <w:pPr>
              <w:pStyle w:val="53"/>
              <w:rPr>
                <w:highlight w:val="none"/>
              </w:rPr>
            </w:pPr>
            <w:r>
              <w:rPr>
                <w:rFonts w:hint="eastAsia"/>
                <w:highlight w:val="none"/>
              </w:rPr>
              <w:t>符合使用说明书要求</w:t>
            </w:r>
          </w:p>
        </w:tc>
        <w:tc>
          <w:tcPr>
            <w:tcW w:w="1103" w:type="dxa"/>
            <w:tcBorders>
              <w:top w:val="single" w:color="auto" w:sz="4" w:space="0"/>
              <w:left w:val="single" w:color="auto" w:sz="4" w:space="0"/>
              <w:bottom w:val="single" w:color="auto" w:sz="4" w:space="0"/>
              <w:right w:val="single" w:color="auto" w:sz="4" w:space="0"/>
            </w:tcBorders>
            <w:vAlign w:val="center"/>
          </w:tcPr>
          <w:p w14:paraId="49A6DFA8">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4E2858F0">
            <w:pPr>
              <w:pStyle w:val="53"/>
              <w:rPr>
                <w:highlight w:val="none"/>
              </w:rPr>
            </w:pPr>
          </w:p>
        </w:tc>
      </w:tr>
      <w:tr w14:paraId="26263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10D3D6CC">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05A38B4A">
            <w:pPr>
              <w:pStyle w:val="53"/>
              <w:rPr>
                <w:highlight w:val="none"/>
              </w:rPr>
            </w:pPr>
            <w:r>
              <w:rPr>
                <w:rFonts w:hint="eastAsia"/>
                <w:highlight w:val="none"/>
              </w:rPr>
              <w:t>6</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7D23946B">
            <w:pPr>
              <w:pStyle w:val="53"/>
              <w:rPr>
                <w:highlight w:val="none"/>
              </w:rPr>
            </w:pPr>
            <w:r>
              <w:rPr>
                <w:rFonts w:hint="eastAsia"/>
                <w:highlight w:val="none"/>
              </w:rPr>
              <w:t>塔式起重机接地装置的设置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1765E03D">
            <w:pPr>
              <w:pStyle w:val="53"/>
              <w:rPr>
                <w:highlight w:val="none"/>
              </w:rPr>
            </w:pPr>
            <w:r>
              <w:rPr>
                <w:rFonts w:hint="eastAsia"/>
                <w:highlight w:val="none"/>
              </w:rPr>
              <w:t>符合规范要求</w:t>
            </w:r>
          </w:p>
        </w:tc>
        <w:tc>
          <w:tcPr>
            <w:tcW w:w="1103" w:type="dxa"/>
            <w:tcBorders>
              <w:top w:val="single" w:color="auto" w:sz="4" w:space="0"/>
              <w:left w:val="single" w:color="auto" w:sz="4" w:space="0"/>
              <w:bottom w:val="single" w:color="auto" w:sz="4" w:space="0"/>
              <w:right w:val="single" w:color="auto" w:sz="4" w:space="0"/>
            </w:tcBorders>
            <w:vAlign w:val="center"/>
          </w:tcPr>
          <w:p w14:paraId="6B0C2F27">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1FFEBC72">
            <w:pPr>
              <w:pStyle w:val="53"/>
              <w:rPr>
                <w:highlight w:val="none"/>
              </w:rPr>
            </w:pPr>
          </w:p>
        </w:tc>
      </w:tr>
      <w:tr w14:paraId="70FDB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71FA4B1F">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454AB4F1">
            <w:pPr>
              <w:pStyle w:val="53"/>
              <w:rPr>
                <w:highlight w:val="none"/>
              </w:rPr>
            </w:pPr>
            <w:r>
              <w:rPr>
                <w:rFonts w:hint="eastAsia"/>
                <w:highlight w:val="none"/>
              </w:rPr>
              <w:t>7</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06521AB4">
            <w:pPr>
              <w:pStyle w:val="53"/>
              <w:rPr>
                <w:highlight w:val="none"/>
              </w:rPr>
            </w:pPr>
            <w:r>
              <w:rPr>
                <w:rFonts w:hint="eastAsia"/>
                <w:highlight w:val="none"/>
              </w:rPr>
              <w:t>排水措施</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5D77F734">
            <w:pPr>
              <w:pStyle w:val="53"/>
              <w:rPr>
                <w:highlight w:val="none"/>
              </w:rPr>
            </w:pPr>
            <w:r>
              <w:rPr>
                <w:rFonts w:hint="eastAsia"/>
                <w:highlight w:val="none"/>
              </w:rPr>
              <w:t>有排水措施，且无积水</w:t>
            </w:r>
          </w:p>
        </w:tc>
        <w:tc>
          <w:tcPr>
            <w:tcW w:w="1103" w:type="dxa"/>
            <w:tcBorders>
              <w:top w:val="single" w:color="auto" w:sz="4" w:space="0"/>
              <w:left w:val="single" w:color="auto" w:sz="4" w:space="0"/>
              <w:bottom w:val="single" w:color="auto" w:sz="4" w:space="0"/>
              <w:right w:val="single" w:color="auto" w:sz="4" w:space="0"/>
            </w:tcBorders>
            <w:vAlign w:val="center"/>
          </w:tcPr>
          <w:p w14:paraId="0191714F">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31DFC782">
            <w:pPr>
              <w:pStyle w:val="53"/>
              <w:rPr>
                <w:highlight w:val="none"/>
              </w:rPr>
            </w:pPr>
          </w:p>
        </w:tc>
      </w:tr>
      <w:tr w14:paraId="284CD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restart"/>
            <w:tcBorders>
              <w:top w:val="single" w:color="auto" w:sz="4" w:space="0"/>
              <w:left w:val="single" w:color="auto" w:sz="4" w:space="0"/>
              <w:bottom w:val="single" w:color="auto" w:sz="4" w:space="0"/>
              <w:right w:val="single" w:color="auto" w:sz="4" w:space="0"/>
            </w:tcBorders>
            <w:vAlign w:val="center"/>
          </w:tcPr>
          <w:p w14:paraId="7A8CD87E">
            <w:pPr>
              <w:pStyle w:val="53"/>
              <w:rPr>
                <w:highlight w:val="none"/>
              </w:rPr>
            </w:pPr>
            <w:r>
              <w:rPr>
                <w:rFonts w:hint="eastAsia"/>
                <w:highlight w:val="none"/>
              </w:rPr>
              <w:t>标识与环境</w:t>
            </w:r>
          </w:p>
        </w:tc>
        <w:tc>
          <w:tcPr>
            <w:tcW w:w="666" w:type="dxa"/>
            <w:tcBorders>
              <w:top w:val="single" w:color="auto" w:sz="4" w:space="0"/>
              <w:left w:val="single" w:color="auto" w:sz="4" w:space="0"/>
              <w:bottom w:val="single" w:color="auto" w:sz="4" w:space="0"/>
              <w:right w:val="single" w:color="auto" w:sz="4" w:space="0"/>
            </w:tcBorders>
            <w:vAlign w:val="center"/>
          </w:tcPr>
          <w:p w14:paraId="19443632">
            <w:pPr>
              <w:pStyle w:val="53"/>
              <w:rPr>
                <w:highlight w:val="none"/>
              </w:rPr>
            </w:pPr>
            <w:r>
              <w:rPr>
                <w:rFonts w:hint="eastAsia"/>
                <w:highlight w:val="none"/>
              </w:rPr>
              <w:t>8</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0EA61E6D">
            <w:pPr>
              <w:pStyle w:val="53"/>
              <w:rPr>
                <w:highlight w:val="none"/>
              </w:rPr>
            </w:pPr>
            <w:r>
              <w:rPr>
                <w:rFonts w:hint="eastAsia"/>
                <w:highlight w:val="none"/>
              </w:rPr>
              <w:t>产品标牌</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5B6CFE2D">
            <w:pPr>
              <w:pStyle w:val="53"/>
              <w:rPr>
                <w:highlight w:val="none"/>
              </w:rPr>
            </w:pPr>
            <w:r>
              <w:rPr>
                <w:rFonts w:hint="eastAsia"/>
                <w:highlight w:val="none"/>
              </w:rPr>
              <w:t>符合使用说明书和规范要求</w:t>
            </w:r>
          </w:p>
        </w:tc>
        <w:tc>
          <w:tcPr>
            <w:tcW w:w="1103" w:type="dxa"/>
            <w:tcBorders>
              <w:top w:val="single" w:color="auto" w:sz="4" w:space="0"/>
              <w:left w:val="single" w:color="auto" w:sz="4" w:space="0"/>
              <w:bottom w:val="single" w:color="auto" w:sz="4" w:space="0"/>
              <w:right w:val="single" w:color="auto" w:sz="4" w:space="0"/>
            </w:tcBorders>
            <w:vAlign w:val="center"/>
          </w:tcPr>
          <w:p w14:paraId="228D0001">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627C67B1">
            <w:pPr>
              <w:pStyle w:val="53"/>
              <w:rPr>
                <w:highlight w:val="none"/>
              </w:rPr>
            </w:pPr>
          </w:p>
        </w:tc>
      </w:tr>
      <w:tr w14:paraId="51F5E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08C80E9C">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754C0A4A">
            <w:pPr>
              <w:pStyle w:val="53"/>
              <w:rPr>
                <w:highlight w:val="none"/>
              </w:rPr>
            </w:pPr>
            <w:r>
              <w:rPr>
                <w:rFonts w:hint="eastAsia"/>
                <w:highlight w:val="none"/>
              </w:rPr>
              <w:t>9*</w:t>
            </w:r>
          </w:p>
        </w:tc>
        <w:tc>
          <w:tcPr>
            <w:tcW w:w="2034" w:type="dxa"/>
            <w:gridSpan w:val="2"/>
            <w:vMerge w:val="restart"/>
            <w:tcBorders>
              <w:top w:val="single" w:color="auto" w:sz="4" w:space="0"/>
              <w:left w:val="single" w:color="auto" w:sz="4" w:space="0"/>
              <w:bottom w:val="single" w:color="auto" w:sz="4" w:space="0"/>
              <w:right w:val="single" w:color="auto" w:sz="4" w:space="0"/>
            </w:tcBorders>
            <w:vAlign w:val="center"/>
          </w:tcPr>
          <w:p w14:paraId="27B4A4EA">
            <w:pPr>
              <w:pStyle w:val="53"/>
              <w:rPr>
                <w:highlight w:val="none"/>
              </w:rPr>
            </w:pPr>
            <w:r>
              <w:rPr>
                <w:rFonts w:hint="eastAsia"/>
                <w:highlight w:val="none"/>
              </w:rPr>
              <w:t>塔式起重机与周围环境关系</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1B32D001">
            <w:pPr>
              <w:pStyle w:val="53"/>
              <w:rPr>
                <w:highlight w:val="none"/>
              </w:rPr>
            </w:pPr>
            <w:r>
              <w:rPr>
                <w:rFonts w:hint="eastAsia"/>
                <w:highlight w:val="none"/>
              </w:rPr>
              <w:t>尾部与建(构)筑物及施工设施之间的距离不小于0.6m</w:t>
            </w:r>
          </w:p>
        </w:tc>
        <w:tc>
          <w:tcPr>
            <w:tcW w:w="1103" w:type="dxa"/>
            <w:tcBorders>
              <w:top w:val="single" w:color="auto" w:sz="4" w:space="0"/>
              <w:left w:val="single" w:color="auto" w:sz="4" w:space="0"/>
              <w:bottom w:val="single" w:color="auto" w:sz="4" w:space="0"/>
              <w:right w:val="single" w:color="auto" w:sz="4" w:space="0"/>
            </w:tcBorders>
            <w:vAlign w:val="center"/>
          </w:tcPr>
          <w:p w14:paraId="2B5B00FC">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4D436564">
            <w:pPr>
              <w:pStyle w:val="53"/>
              <w:rPr>
                <w:highlight w:val="none"/>
              </w:rPr>
            </w:pPr>
          </w:p>
        </w:tc>
      </w:tr>
      <w:tr w14:paraId="0A020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50C7A04D">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63577A4F">
            <w:pPr>
              <w:pStyle w:val="53"/>
              <w:rPr>
                <w:highlight w:val="none"/>
              </w:rPr>
            </w:pPr>
            <w:r>
              <w:rPr>
                <w:rFonts w:hint="eastAsia"/>
                <w:highlight w:val="none"/>
              </w:rPr>
              <w:t>10*</w:t>
            </w:r>
          </w:p>
        </w:tc>
        <w:tc>
          <w:tcPr>
            <w:tcW w:w="2034" w:type="dxa"/>
            <w:gridSpan w:val="2"/>
            <w:vMerge w:val="continue"/>
            <w:tcBorders>
              <w:top w:val="single" w:color="auto" w:sz="4" w:space="0"/>
              <w:left w:val="single" w:color="auto" w:sz="4" w:space="0"/>
              <w:bottom w:val="single" w:color="auto" w:sz="4" w:space="0"/>
              <w:right w:val="single" w:color="auto" w:sz="4" w:space="0"/>
            </w:tcBorders>
            <w:vAlign w:val="center"/>
          </w:tcPr>
          <w:p w14:paraId="79919DF5">
            <w:pPr>
              <w:pStyle w:val="53"/>
              <w:rPr>
                <w:highlight w:val="none"/>
              </w:rPr>
            </w:pP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6C444C26">
            <w:pPr>
              <w:pStyle w:val="53"/>
              <w:rPr>
                <w:highlight w:val="none"/>
              </w:rPr>
            </w:pPr>
            <w:r>
              <w:rPr>
                <w:rFonts w:hint="eastAsia"/>
                <w:highlight w:val="none"/>
              </w:rPr>
              <w:t>两台塔式起重机之间的最小架设距离应保证处于低位塔式起重机的起重臂端部与另一塔式起重机的塔身之间至少有2m的距离；处于高位塔式起重机的最低位置的部件与低位塔式起重机中处于最高位置部件之间的垂直距离不应小于2m</w:t>
            </w:r>
          </w:p>
        </w:tc>
        <w:tc>
          <w:tcPr>
            <w:tcW w:w="1103" w:type="dxa"/>
            <w:tcBorders>
              <w:top w:val="single" w:color="auto" w:sz="4" w:space="0"/>
              <w:left w:val="single" w:color="auto" w:sz="4" w:space="0"/>
              <w:bottom w:val="single" w:color="auto" w:sz="4" w:space="0"/>
              <w:right w:val="single" w:color="auto" w:sz="4" w:space="0"/>
            </w:tcBorders>
            <w:vAlign w:val="center"/>
          </w:tcPr>
          <w:p w14:paraId="6948AC28">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23EED366">
            <w:pPr>
              <w:pStyle w:val="53"/>
              <w:rPr>
                <w:highlight w:val="none"/>
              </w:rPr>
            </w:pPr>
          </w:p>
        </w:tc>
      </w:tr>
      <w:tr w14:paraId="3ED1B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6B473E06">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3D35CEF4">
            <w:pPr>
              <w:pStyle w:val="53"/>
              <w:rPr>
                <w:highlight w:val="none"/>
              </w:rPr>
            </w:pPr>
            <w:r>
              <w:rPr>
                <w:rFonts w:hint="eastAsia"/>
                <w:highlight w:val="none"/>
              </w:rPr>
              <w:t>11*</w:t>
            </w:r>
          </w:p>
        </w:tc>
        <w:tc>
          <w:tcPr>
            <w:tcW w:w="2034" w:type="dxa"/>
            <w:gridSpan w:val="2"/>
            <w:vMerge w:val="continue"/>
            <w:tcBorders>
              <w:top w:val="single" w:color="auto" w:sz="4" w:space="0"/>
              <w:left w:val="single" w:color="auto" w:sz="4" w:space="0"/>
              <w:bottom w:val="single" w:color="auto" w:sz="4" w:space="0"/>
              <w:right w:val="single" w:color="auto" w:sz="4" w:space="0"/>
            </w:tcBorders>
            <w:vAlign w:val="center"/>
          </w:tcPr>
          <w:p w14:paraId="2861E53C">
            <w:pPr>
              <w:pStyle w:val="53"/>
              <w:rPr>
                <w:highlight w:val="none"/>
              </w:rPr>
            </w:pP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2D24D25A">
            <w:pPr>
              <w:pStyle w:val="53"/>
              <w:rPr>
                <w:highlight w:val="none"/>
              </w:rPr>
            </w:pPr>
            <w:r>
              <w:rPr>
                <w:rFonts w:hint="eastAsia"/>
                <w:highlight w:val="none"/>
              </w:rPr>
              <w:t>与输电线的距离应不小于《</w:t>
            </w:r>
            <w:r>
              <w:rPr>
                <w:rFonts w:hint="eastAsia"/>
                <w:highlight w:val="none"/>
                <w:lang w:eastAsia="zh-CN"/>
              </w:rPr>
              <w:t>建筑与市政工程施工现场临时用电安全技术标准</w:t>
            </w:r>
            <w:r>
              <w:rPr>
                <w:rFonts w:hint="eastAsia"/>
                <w:highlight w:val="none"/>
              </w:rPr>
              <w:t>》JGJ</w:t>
            </w:r>
            <w:r>
              <w:rPr>
                <w:rFonts w:hint="eastAsia"/>
                <w:highlight w:val="none"/>
                <w:lang w:val="en-US" w:eastAsia="zh-CN"/>
              </w:rPr>
              <w:t>/T</w:t>
            </w:r>
            <w:r>
              <w:rPr>
                <w:rFonts w:hint="eastAsia"/>
                <w:highlight w:val="none"/>
              </w:rPr>
              <w:t>46</w:t>
            </w:r>
            <w:r>
              <w:rPr>
                <w:rFonts w:hint="eastAsia"/>
                <w:highlight w:val="none"/>
                <w:lang w:val="en-US" w:eastAsia="zh-CN"/>
              </w:rPr>
              <w:t>-2024</w:t>
            </w:r>
            <w:r>
              <w:rPr>
                <w:rFonts w:hint="eastAsia"/>
                <w:highlight w:val="none"/>
              </w:rPr>
              <w:t>的规定</w:t>
            </w:r>
          </w:p>
        </w:tc>
        <w:tc>
          <w:tcPr>
            <w:tcW w:w="1103" w:type="dxa"/>
            <w:tcBorders>
              <w:top w:val="single" w:color="auto" w:sz="4" w:space="0"/>
              <w:left w:val="single" w:color="auto" w:sz="4" w:space="0"/>
              <w:bottom w:val="single" w:color="auto" w:sz="4" w:space="0"/>
              <w:right w:val="single" w:color="auto" w:sz="4" w:space="0"/>
            </w:tcBorders>
            <w:vAlign w:val="center"/>
          </w:tcPr>
          <w:p w14:paraId="6C413DDF">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49C6823C">
            <w:pPr>
              <w:pStyle w:val="53"/>
              <w:rPr>
                <w:highlight w:val="none"/>
              </w:rPr>
            </w:pPr>
          </w:p>
        </w:tc>
      </w:tr>
      <w:tr w14:paraId="36329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restart"/>
            <w:tcBorders>
              <w:top w:val="single" w:color="auto" w:sz="4" w:space="0"/>
              <w:left w:val="single" w:color="auto" w:sz="4" w:space="0"/>
              <w:bottom w:val="single" w:color="auto" w:sz="4" w:space="0"/>
              <w:right w:val="single" w:color="auto" w:sz="4" w:space="0"/>
            </w:tcBorders>
            <w:vAlign w:val="center"/>
          </w:tcPr>
          <w:p w14:paraId="67D7F249">
            <w:pPr>
              <w:pStyle w:val="53"/>
              <w:rPr>
                <w:highlight w:val="none"/>
              </w:rPr>
            </w:pPr>
          </w:p>
          <w:p w14:paraId="75CC556D">
            <w:pPr>
              <w:pStyle w:val="53"/>
              <w:rPr>
                <w:highlight w:val="none"/>
              </w:rPr>
            </w:pPr>
          </w:p>
          <w:p w14:paraId="19CC0CF5">
            <w:pPr>
              <w:pStyle w:val="53"/>
              <w:rPr>
                <w:highlight w:val="none"/>
              </w:rPr>
            </w:pPr>
          </w:p>
          <w:p w14:paraId="55C1A6AD">
            <w:pPr>
              <w:pStyle w:val="53"/>
              <w:rPr>
                <w:highlight w:val="none"/>
              </w:rPr>
            </w:pPr>
            <w:r>
              <w:rPr>
                <w:rFonts w:hint="eastAsia"/>
                <w:highlight w:val="none"/>
              </w:rPr>
              <w:t>金属结构件</w:t>
            </w:r>
          </w:p>
          <w:p w14:paraId="092D4EB3">
            <w:pPr>
              <w:pStyle w:val="53"/>
              <w:rPr>
                <w:highlight w:val="none"/>
              </w:rPr>
            </w:pPr>
          </w:p>
          <w:p w14:paraId="3AB23782">
            <w:pPr>
              <w:pStyle w:val="53"/>
              <w:rPr>
                <w:highlight w:val="none"/>
              </w:rPr>
            </w:pPr>
          </w:p>
          <w:p w14:paraId="4266EA9B">
            <w:pPr>
              <w:pStyle w:val="53"/>
              <w:rPr>
                <w:highlight w:val="none"/>
              </w:rPr>
            </w:pPr>
          </w:p>
          <w:p w14:paraId="1504C980">
            <w:pPr>
              <w:pStyle w:val="53"/>
              <w:rPr>
                <w:highlight w:val="none"/>
              </w:rPr>
            </w:pPr>
          </w:p>
          <w:p w14:paraId="07C820E1">
            <w:pPr>
              <w:pStyle w:val="53"/>
              <w:rPr>
                <w:highlight w:val="none"/>
              </w:rPr>
            </w:pPr>
          </w:p>
          <w:p w14:paraId="690702AD">
            <w:pPr>
              <w:pStyle w:val="53"/>
              <w:rPr>
                <w:highlight w:val="none"/>
              </w:rPr>
            </w:pPr>
          </w:p>
          <w:p w14:paraId="55A88FC5">
            <w:pPr>
              <w:pStyle w:val="53"/>
              <w:rPr>
                <w:highlight w:val="none"/>
              </w:rPr>
            </w:pPr>
          </w:p>
          <w:p w14:paraId="4626144D">
            <w:pPr>
              <w:pStyle w:val="53"/>
              <w:rPr>
                <w:highlight w:val="none"/>
              </w:rPr>
            </w:pPr>
          </w:p>
          <w:p w14:paraId="295B416B">
            <w:pPr>
              <w:pStyle w:val="53"/>
              <w:rPr>
                <w:highlight w:val="none"/>
              </w:rPr>
            </w:pPr>
            <w:r>
              <w:rPr>
                <w:rFonts w:hint="eastAsia"/>
                <w:highlight w:val="none"/>
              </w:rPr>
              <w:t>金属结构件</w:t>
            </w:r>
          </w:p>
        </w:tc>
        <w:tc>
          <w:tcPr>
            <w:tcW w:w="666" w:type="dxa"/>
            <w:tcBorders>
              <w:top w:val="single" w:color="auto" w:sz="4" w:space="0"/>
              <w:left w:val="single" w:color="auto" w:sz="4" w:space="0"/>
              <w:bottom w:val="single" w:color="auto" w:sz="4" w:space="0"/>
              <w:right w:val="single" w:color="auto" w:sz="4" w:space="0"/>
            </w:tcBorders>
            <w:vAlign w:val="center"/>
          </w:tcPr>
          <w:p w14:paraId="100926C7">
            <w:pPr>
              <w:pStyle w:val="53"/>
              <w:rPr>
                <w:highlight w:val="none"/>
              </w:rPr>
            </w:pPr>
            <w:r>
              <w:rPr>
                <w:rFonts w:hint="eastAsia"/>
                <w:highlight w:val="none"/>
              </w:rPr>
              <w:t>12*</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7A39E8BB">
            <w:pPr>
              <w:pStyle w:val="53"/>
              <w:rPr>
                <w:highlight w:val="none"/>
              </w:rPr>
            </w:pPr>
            <w:r>
              <w:rPr>
                <w:rFonts w:hint="eastAsia"/>
                <w:highlight w:val="none"/>
              </w:rPr>
              <w:t>主要结构件</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25008B0B">
            <w:pPr>
              <w:pStyle w:val="53"/>
              <w:rPr>
                <w:highlight w:val="none"/>
              </w:rPr>
            </w:pPr>
            <w:r>
              <w:rPr>
                <w:rFonts w:hint="eastAsia"/>
                <w:highlight w:val="none"/>
              </w:rPr>
              <w:t>无可见裂纹和明显变形</w:t>
            </w:r>
          </w:p>
        </w:tc>
        <w:tc>
          <w:tcPr>
            <w:tcW w:w="1103" w:type="dxa"/>
            <w:tcBorders>
              <w:top w:val="single" w:color="auto" w:sz="4" w:space="0"/>
              <w:left w:val="single" w:color="auto" w:sz="4" w:space="0"/>
              <w:bottom w:val="single" w:color="auto" w:sz="4" w:space="0"/>
              <w:right w:val="single" w:color="auto" w:sz="4" w:space="0"/>
            </w:tcBorders>
            <w:vAlign w:val="center"/>
          </w:tcPr>
          <w:p w14:paraId="69DD8DE7">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29E9041F">
            <w:pPr>
              <w:pStyle w:val="53"/>
              <w:rPr>
                <w:highlight w:val="none"/>
              </w:rPr>
            </w:pPr>
          </w:p>
        </w:tc>
      </w:tr>
      <w:tr w14:paraId="7454D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44AD5886">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2BF4BB19">
            <w:pPr>
              <w:pStyle w:val="53"/>
              <w:rPr>
                <w:highlight w:val="none"/>
              </w:rPr>
            </w:pPr>
            <w:r>
              <w:rPr>
                <w:rFonts w:hint="eastAsia"/>
                <w:highlight w:val="none"/>
              </w:rPr>
              <w:t>13*</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418D7FA7">
            <w:pPr>
              <w:pStyle w:val="53"/>
              <w:rPr>
                <w:highlight w:val="none"/>
              </w:rPr>
            </w:pPr>
            <w:r>
              <w:rPr>
                <w:rFonts w:hint="eastAsia"/>
                <w:highlight w:val="none"/>
              </w:rPr>
              <w:t>主要连接螺栓</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4205FAA6">
            <w:pPr>
              <w:pStyle w:val="53"/>
              <w:rPr>
                <w:highlight w:val="none"/>
              </w:rPr>
            </w:pPr>
            <w:r>
              <w:rPr>
                <w:rFonts w:hint="eastAsia"/>
                <w:highlight w:val="none"/>
              </w:rPr>
              <w:t>齐全，规格和预紧力达到使用说明书要求</w:t>
            </w:r>
          </w:p>
        </w:tc>
        <w:tc>
          <w:tcPr>
            <w:tcW w:w="1103" w:type="dxa"/>
            <w:tcBorders>
              <w:top w:val="single" w:color="auto" w:sz="4" w:space="0"/>
              <w:left w:val="single" w:color="auto" w:sz="4" w:space="0"/>
              <w:bottom w:val="single" w:color="auto" w:sz="4" w:space="0"/>
              <w:right w:val="single" w:color="auto" w:sz="4" w:space="0"/>
            </w:tcBorders>
            <w:vAlign w:val="center"/>
          </w:tcPr>
          <w:p w14:paraId="6CE527C3">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7DE794F7">
            <w:pPr>
              <w:pStyle w:val="53"/>
              <w:rPr>
                <w:highlight w:val="none"/>
              </w:rPr>
            </w:pPr>
          </w:p>
        </w:tc>
      </w:tr>
      <w:tr w14:paraId="576ED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41A1FAFB">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798CED59">
            <w:pPr>
              <w:pStyle w:val="53"/>
              <w:rPr>
                <w:highlight w:val="none"/>
              </w:rPr>
            </w:pPr>
            <w:r>
              <w:rPr>
                <w:rFonts w:hint="eastAsia"/>
                <w:highlight w:val="none"/>
              </w:rPr>
              <w:t>14*</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030581F9">
            <w:pPr>
              <w:pStyle w:val="53"/>
              <w:rPr>
                <w:highlight w:val="none"/>
              </w:rPr>
            </w:pPr>
            <w:r>
              <w:rPr>
                <w:rFonts w:hint="eastAsia"/>
                <w:highlight w:val="none"/>
              </w:rPr>
              <w:t>主要连接销轴</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35607C61">
            <w:pPr>
              <w:pStyle w:val="53"/>
              <w:rPr>
                <w:highlight w:val="none"/>
              </w:rPr>
            </w:pPr>
            <w:r>
              <w:rPr>
                <w:rFonts w:hint="eastAsia"/>
                <w:highlight w:val="none"/>
              </w:rPr>
              <w:t>销轴符合出厂要求，连接可靠</w:t>
            </w:r>
          </w:p>
        </w:tc>
        <w:tc>
          <w:tcPr>
            <w:tcW w:w="1103" w:type="dxa"/>
            <w:tcBorders>
              <w:top w:val="single" w:color="auto" w:sz="4" w:space="0"/>
              <w:left w:val="single" w:color="auto" w:sz="4" w:space="0"/>
              <w:bottom w:val="single" w:color="auto" w:sz="4" w:space="0"/>
              <w:right w:val="single" w:color="auto" w:sz="4" w:space="0"/>
            </w:tcBorders>
            <w:vAlign w:val="center"/>
          </w:tcPr>
          <w:p w14:paraId="452ED53F">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297D735E">
            <w:pPr>
              <w:pStyle w:val="53"/>
              <w:rPr>
                <w:highlight w:val="none"/>
              </w:rPr>
            </w:pPr>
          </w:p>
        </w:tc>
      </w:tr>
      <w:tr w14:paraId="630E0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3747ED4C">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101B3382">
            <w:pPr>
              <w:pStyle w:val="53"/>
              <w:rPr>
                <w:highlight w:val="none"/>
              </w:rPr>
            </w:pPr>
            <w:r>
              <w:rPr>
                <w:rFonts w:hint="eastAsia"/>
                <w:highlight w:val="none"/>
              </w:rPr>
              <w:t>15</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4189D9C6">
            <w:pPr>
              <w:pStyle w:val="53"/>
              <w:rPr>
                <w:highlight w:val="none"/>
              </w:rPr>
            </w:pPr>
            <w:r>
              <w:rPr>
                <w:rFonts w:hint="eastAsia"/>
                <w:highlight w:val="none"/>
              </w:rPr>
              <w:t>过道、平台、栏杆、踏板</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193BC1B1">
            <w:pPr>
              <w:pStyle w:val="53"/>
              <w:rPr>
                <w:highlight w:val="none"/>
              </w:rPr>
            </w:pPr>
            <w:r>
              <w:rPr>
                <w:rFonts w:hint="eastAsia"/>
                <w:highlight w:val="none"/>
              </w:rPr>
              <w:t>符合《塔式起重机安全规程》（GB5144-2006）的规定</w:t>
            </w:r>
          </w:p>
        </w:tc>
        <w:tc>
          <w:tcPr>
            <w:tcW w:w="1103" w:type="dxa"/>
            <w:tcBorders>
              <w:top w:val="single" w:color="auto" w:sz="4" w:space="0"/>
              <w:left w:val="single" w:color="auto" w:sz="4" w:space="0"/>
              <w:bottom w:val="single" w:color="auto" w:sz="4" w:space="0"/>
              <w:right w:val="single" w:color="auto" w:sz="4" w:space="0"/>
            </w:tcBorders>
            <w:vAlign w:val="center"/>
          </w:tcPr>
          <w:p w14:paraId="4C165FBE">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0C937077">
            <w:pPr>
              <w:pStyle w:val="53"/>
              <w:rPr>
                <w:highlight w:val="none"/>
              </w:rPr>
            </w:pPr>
          </w:p>
        </w:tc>
      </w:tr>
      <w:tr w14:paraId="67D07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5FCD92D4">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72987A9C">
            <w:pPr>
              <w:pStyle w:val="53"/>
              <w:rPr>
                <w:highlight w:val="none"/>
              </w:rPr>
            </w:pPr>
            <w:r>
              <w:rPr>
                <w:rFonts w:hint="eastAsia"/>
                <w:highlight w:val="none"/>
              </w:rPr>
              <w:t>16</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13FA5A05">
            <w:pPr>
              <w:pStyle w:val="53"/>
              <w:rPr>
                <w:highlight w:val="none"/>
              </w:rPr>
            </w:pPr>
            <w:r>
              <w:rPr>
                <w:rFonts w:hint="eastAsia"/>
                <w:highlight w:val="none"/>
              </w:rPr>
              <w:t>梯子、护圈、休息平台</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1B2A5004">
            <w:pPr>
              <w:pStyle w:val="53"/>
              <w:rPr>
                <w:highlight w:val="none"/>
              </w:rPr>
            </w:pPr>
            <w:r>
              <w:rPr>
                <w:rFonts w:hint="eastAsia"/>
                <w:highlight w:val="none"/>
              </w:rPr>
              <w:t>符合《塔式起重机安全规程》（GB5144-2006）的规定</w:t>
            </w:r>
          </w:p>
        </w:tc>
        <w:tc>
          <w:tcPr>
            <w:tcW w:w="1103" w:type="dxa"/>
            <w:tcBorders>
              <w:top w:val="single" w:color="auto" w:sz="4" w:space="0"/>
              <w:left w:val="single" w:color="auto" w:sz="4" w:space="0"/>
              <w:bottom w:val="single" w:color="auto" w:sz="4" w:space="0"/>
              <w:right w:val="single" w:color="auto" w:sz="4" w:space="0"/>
            </w:tcBorders>
            <w:vAlign w:val="center"/>
          </w:tcPr>
          <w:p w14:paraId="07B2E117">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0120E2CE">
            <w:pPr>
              <w:pStyle w:val="53"/>
              <w:rPr>
                <w:highlight w:val="none"/>
              </w:rPr>
            </w:pPr>
          </w:p>
        </w:tc>
      </w:tr>
      <w:tr w14:paraId="713A1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0DF5141E">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53A424E0">
            <w:pPr>
              <w:pStyle w:val="53"/>
              <w:rPr>
                <w:highlight w:val="none"/>
              </w:rPr>
            </w:pPr>
            <w:r>
              <w:rPr>
                <w:rFonts w:hint="eastAsia"/>
                <w:highlight w:val="none"/>
              </w:rPr>
              <w:t>17*</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6D17B43A">
            <w:pPr>
              <w:pStyle w:val="53"/>
              <w:rPr>
                <w:highlight w:val="none"/>
              </w:rPr>
            </w:pPr>
            <w:r>
              <w:rPr>
                <w:rFonts w:hint="eastAsia"/>
                <w:highlight w:val="none"/>
              </w:rPr>
              <w:t>塔身高度</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15ED87FA">
            <w:pPr>
              <w:pStyle w:val="53"/>
              <w:rPr>
                <w:highlight w:val="none"/>
              </w:rPr>
            </w:pPr>
            <w:r>
              <w:rPr>
                <w:rFonts w:hint="eastAsia"/>
                <w:highlight w:val="none"/>
              </w:rPr>
              <w:t>塔身独立状态下的高度符合使用说明书要求</w:t>
            </w:r>
          </w:p>
        </w:tc>
        <w:tc>
          <w:tcPr>
            <w:tcW w:w="1103" w:type="dxa"/>
            <w:tcBorders>
              <w:top w:val="single" w:color="auto" w:sz="4" w:space="0"/>
              <w:left w:val="single" w:color="auto" w:sz="4" w:space="0"/>
              <w:bottom w:val="single" w:color="auto" w:sz="4" w:space="0"/>
              <w:right w:val="single" w:color="auto" w:sz="4" w:space="0"/>
            </w:tcBorders>
            <w:vAlign w:val="center"/>
          </w:tcPr>
          <w:p w14:paraId="6E22E16F">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666CEAFC">
            <w:pPr>
              <w:pStyle w:val="53"/>
              <w:rPr>
                <w:highlight w:val="none"/>
              </w:rPr>
            </w:pPr>
          </w:p>
        </w:tc>
      </w:tr>
      <w:tr w14:paraId="39C2B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0E864ED4">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59F412A6">
            <w:pPr>
              <w:pStyle w:val="53"/>
              <w:rPr>
                <w:highlight w:val="none"/>
              </w:rPr>
            </w:pPr>
            <w:r>
              <w:rPr>
                <w:rFonts w:hint="eastAsia"/>
                <w:highlight w:val="none"/>
              </w:rPr>
              <w:t>18*</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68FE90EC">
            <w:pPr>
              <w:pStyle w:val="53"/>
              <w:rPr>
                <w:highlight w:val="none"/>
              </w:rPr>
            </w:pPr>
            <w:r>
              <w:rPr>
                <w:rFonts w:hint="eastAsia"/>
                <w:highlight w:val="none"/>
              </w:rPr>
              <w:t>平衡重、压重</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7C85F646">
            <w:pPr>
              <w:pStyle w:val="53"/>
              <w:rPr>
                <w:highlight w:val="none"/>
              </w:rPr>
            </w:pPr>
            <w:r>
              <w:rPr>
                <w:rFonts w:hint="eastAsia"/>
                <w:highlight w:val="none"/>
              </w:rPr>
              <w:t>平衡重、压重的重量与位置符合使用说明书要求，且安装牢固。</w:t>
            </w:r>
          </w:p>
        </w:tc>
        <w:tc>
          <w:tcPr>
            <w:tcW w:w="1103" w:type="dxa"/>
            <w:tcBorders>
              <w:top w:val="single" w:color="auto" w:sz="4" w:space="0"/>
              <w:left w:val="single" w:color="auto" w:sz="4" w:space="0"/>
              <w:bottom w:val="single" w:color="auto" w:sz="4" w:space="0"/>
              <w:right w:val="single" w:color="auto" w:sz="4" w:space="0"/>
            </w:tcBorders>
            <w:vAlign w:val="center"/>
          </w:tcPr>
          <w:p w14:paraId="5B0BFD8B">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5D132CB4">
            <w:pPr>
              <w:pStyle w:val="53"/>
              <w:rPr>
                <w:highlight w:val="none"/>
              </w:rPr>
            </w:pPr>
          </w:p>
        </w:tc>
      </w:tr>
      <w:tr w14:paraId="4CF73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1254DC14">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7C78DFE8">
            <w:pPr>
              <w:pStyle w:val="53"/>
              <w:rPr>
                <w:highlight w:val="none"/>
              </w:rPr>
            </w:pPr>
            <w:r>
              <w:rPr>
                <w:rFonts w:hint="eastAsia"/>
                <w:highlight w:val="none"/>
              </w:rPr>
              <w:t>19</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07DE5D7C">
            <w:pPr>
              <w:pStyle w:val="53"/>
              <w:rPr>
                <w:highlight w:val="none"/>
              </w:rPr>
            </w:pPr>
            <w:r>
              <w:rPr>
                <w:rFonts w:hint="eastAsia"/>
                <w:highlight w:val="none"/>
              </w:rPr>
              <w:t>塔身垂直度偏差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40AD05AC">
            <w:pPr>
              <w:pStyle w:val="53"/>
              <w:rPr>
                <w:highlight w:val="none"/>
              </w:rPr>
            </w:pPr>
            <w:r>
              <w:rPr>
                <w:rFonts w:hint="eastAsia"/>
                <w:highlight w:val="none"/>
              </w:rPr>
              <w:t>在空载、风速不大于3m/s状态下，塔身独立状态的轴心线对支承面的垂直度≤4／1000</w:t>
            </w:r>
          </w:p>
        </w:tc>
        <w:tc>
          <w:tcPr>
            <w:tcW w:w="1103" w:type="dxa"/>
            <w:tcBorders>
              <w:top w:val="single" w:color="auto" w:sz="4" w:space="0"/>
              <w:left w:val="single" w:color="auto" w:sz="4" w:space="0"/>
              <w:bottom w:val="single" w:color="auto" w:sz="4" w:space="0"/>
              <w:right w:val="single" w:color="auto" w:sz="4" w:space="0"/>
            </w:tcBorders>
            <w:vAlign w:val="center"/>
          </w:tcPr>
          <w:p w14:paraId="6AA4AF18">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0066F36B">
            <w:pPr>
              <w:pStyle w:val="53"/>
              <w:rPr>
                <w:highlight w:val="none"/>
              </w:rPr>
            </w:pPr>
          </w:p>
        </w:tc>
      </w:tr>
      <w:tr w14:paraId="40164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6AAEA427">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1AA1D1EA">
            <w:pPr>
              <w:pStyle w:val="53"/>
              <w:rPr>
                <w:highlight w:val="none"/>
              </w:rPr>
            </w:pPr>
            <w:r>
              <w:rPr>
                <w:rFonts w:hint="eastAsia"/>
                <w:highlight w:val="none"/>
              </w:rPr>
              <w:t>20</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5567B7EA">
            <w:pPr>
              <w:pStyle w:val="53"/>
              <w:rPr>
                <w:highlight w:val="none"/>
              </w:rPr>
            </w:pPr>
            <w:r>
              <w:rPr>
                <w:rFonts w:hint="eastAsia"/>
                <w:spacing w:val="-11"/>
                <w:highlight w:val="none"/>
              </w:rPr>
              <w:t>内爬式塔式起重机的爬升框与支承钢梁、支承钢梁与建筑结构之间的连接</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170B4D20">
            <w:pPr>
              <w:pStyle w:val="53"/>
              <w:rPr>
                <w:highlight w:val="none"/>
              </w:rPr>
            </w:pPr>
            <w:r>
              <w:rPr>
                <w:rFonts w:hint="eastAsia"/>
                <w:highlight w:val="none"/>
              </w:rPr>
              <w:t>连接可靠</w:t>
            </w:r>
          </w:p>
        </w:tc>
        <w:tc>
          <w:tcPr>
            <w:tcW w:w="1103" w:type="dxa"/>
            <w:tcBorders>
              <w:top w:val="single" w:color="auto" w:sz="4" w:space="0"/>
              <w:left w:val="single" w:color="auto" w:sz="4" w:space="0"/>
              <w:bottom w:val="single" w:color="auto" w:sz="4" w:space="0"/>
              <w:right w:val="single" w:color="auto" w:sz="4" w:space="0"/>
            </w:tcBorders>
            <w:vAlign w:val="center"/>
          </w:tcPr>
          <w:p w14:paraId="789C25F6">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62FFD9FA">
            <w:pPr>
              <w:pStyle w:val="53"/>
              <w:rPr>
                <w:highlight w:val="none"/>
              </w:rPr>
            </w:pPr>
          </w:p>
        </w:tc>
      </w:tr>
      <w:tr w14:paraId="19D62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restart"/>
            <w:tcBorders>
              <w:top w:val="single" w:color="auto" w:sz="4" w:space="0"/>
              <w:left w:val="single" w:color="auto" w:sz="4" w:space="0"/>
              <w:bottom w:val="single" w:color="auto" w:sz="4" w:space="0"/>
              <w:right w:val="single" w:color="auto" w:sz="4" w:space="0"/>
            </w:tcBorders>
            <w:vAlign w:val="center"/>
          </w:tcPr>
          <w:p w14:paraId="3821D83E">
            <w:pPr>
              <w:pStyle w:val="53"/>
              <w:rPr>
                <w:highlight w:val="none"/>
              </w:rPr>
            </w:pPr>
            <w:r>
              <w:rPr>
                <w:rFonts w:hint="eastAsia"/>
                <w:highlight w:val="none"/>
              </w:rPr>
              <w:t>爬升与回转</w:t>
            </w:r>
          </w:p>
        </w:tc>
        <w:tc>
          <w:tcPr>
            <w:tcW w:w="666" w:type="dxa"/>
            <w:tcBorders>
              <w:top w:val="single" w:color="auto" w:sz="4" w:space="0"/>
              <w:left w:val="single" w:color="auto" w:sz="4" w:space="0"/>
              <w:bottom w:val="single" w:color="auto" w:sz="4" w:space="0"/>
              <w:right w:val="single" w:color="auto" w:sz="4" w:space="0"/>
            </w:tcBorders>
            <w:vAlign w:val="center"/>
          </w:tcPr>
          <w:p w14:paraId="43339F26">
            <w:pPr>
              <w:pStyle w:val="53"/>
              <w:rPr>
                <w:highlight w:val="none"/>
              </w:rPr>
            </w:pPr>
            <w:r>
              <w:rPr>
                <w:rFonts w:hint="eastAsia"/>
                <w:highlight w:val="none"/>
              </w:rPr>
              <w:t>21*</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27DCFE49">
            <w:pPr>
              <w:pStyle w:val="53"/>
              <w:rPr>
                <w:highlight w:val="none"/>
              </w:rPr>
            </w:pPr>
            <w:r>
              <w:rPr>
                <w:rFonts w:hint="eastAsia"/>
                <w:highlight w:val="none"/>
              </w:rPr>
              <w:t>平衡阀或液压锁与油缸间连接</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3ECF83A6">
            <w:pPr>
              <w:pStyle w:val="53"/>
              <w:rPr>
                <w:highlight w:val="none"/>
              </w:rPr>
            </w:pPr>
            <w:r>
              <w:rPr>
                <w:rFonts w:hint="eastAsia"/>
                <w:highlight w:val="none"/>
              </w:rPr>
              <w:t>设平衡阀或液压锁，且与油缸用硬管连接</w:t>
            </w:r>
          </w:p>
        </w:tc>
        <w:tc>
          <w:tcPr>
            <w:tcW w:w="1103" w:type="dxa"/>
            <w:tcBorders>
              <w:top w:val="single" w:color="auto" w:sz="4" w:space="0"/>
              <w:left w:val="single" w:color="auto" w:sz="4" w:space="0"/>
              <w:bottom w:val="single" w:color="auto" w:sz="4" w:space="0"/>
              <w:right w:val="single" w:color="auto" w:sz="4" w:space="0"/>
            </w:tcBorders>
            <w:vAlign w:val="center"/>
          </w:tcPr>
          <w:p w14:paraId="1567E339">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04A16A80">
            <w:pPr>
              <w:pStyle w:val="53"/>
              <w:rPr>
                <w:highlight w:val="none"/>
              </w:rPr>
            </w:pPr>
          </w:p>
        </w:tc>
      </w:tr>
      <w:tr w14:paraId="027A6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06A0D71E">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6CA927F4">
            <w:pPr>
              <w:pStyle w:val="53"/>
              <w:rPr>
                <w:highlight w:val="none"/>
              </w:rPr>
            </w:pPr>
            <w:r>
              <w:rPr>
                <w:rFonts w:hint="eastAsia"/>
                <w:highlight w:val="none"/>
              </w:rPr>
              <w:t>22</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628EA472">
            <w:pPr>
              <w:pStyle w:val="53"/>
              <w:rPr>
                <w:highlight w:val="none"/>
              </w:rPr>
            </w:pPr>
            <w:r>
              <w:rPr>
                <w:rFonts w:hint="eastAsia"/>
                <w:highlight w:val="none"/>
              </w:rPr>
              <w:t>爬升装置防脱功能</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390467BF">
            <w:pPr>
              <w:pStyle w:val="53"/>
              <w:rPr>
                <w:highlight w:val="none"/>
              </w:rPr>
            </w:pPr>
            <w:r>
              <w:rPr>
                <w:rFonts w:hint="eastAsia"/>
                <w:highlight w:val="none"/>
              </w:rPr>
              <w:t>自升式塔式起重在正常加节、降节作业时，具有可靠的防止爬升装置在塔身支承中或油缸端头从其连接结构中自行(非人为操作)脱出的功能</w:t>
            </w:r>
          </w:p>
        </w:tc>
        <w:tc>
          <w:tcPr>
            <w:tcW w:w="1103" w:type="dxa"/>
            <w:tcBorders>
              <w:top w:val="single" w:color="auto" w:sz="4" w:space="0"/>
              <w:left w:val="single" w:color="auto" w:sz="4" w:space="0"/>
              <w:bottom w:val="single" w:color="auto" w:sz="4" w:space="0"/>
              <w:right w:val="single" w:color="auto" w:sz="4" w:space="0"/>
            </w:tcBorders>
            <w:vAlign w:val="center"/>
          </w:tcPr>
          <w:p w14:paraId="434B9F49">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3E2847BD">
            <w:pPr>
              <w:pStyle w:val="53"/>
              <w:rPr>
                <w:highlight w:val="none"/>
              </w:rPr>
            </w:pPr>
          </w:p>
        </w:tc>
      </w:tr>
      <w:tr w14:paraId="44DB4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3C6D2EBA">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41A12E23">
            <w:pPr>
              <w:pStyle w:val="53"/>
              <w:rPr>
                <w:highlight w:val="none"/>
              </w:rPr>
            </w:pPr>
            <w:r>
              <w:rPr>
                <w:rFonts w:hint="eastAsia"/>
                <w:highlight w:val="none"/>
              </w:rPr>
              <w:t>23</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7DB58A8D">
            <w:pPr>
              <w:pStyle w:val="53"/>
              <w:rPr>
                <w:highlight w:val="none"/>
              </w:rPr>
            </w:pPr>
            <w:r>
              <w:rPr>
                <w:rFonts w:hint="eastAsia"/>
                <w:highlight w:val="none"/>
              </w:rPr>
              <w:t>回转限位器</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6F899F26">
            <w:pPr>
              <w:pStyle w:val="53"/>
              <w:rPr>
                <w:highlight w:val="none"/>
              </w:rPr>
            </w:pPr>
            <w:r>
              <w:rPr>
                <w:rFonts w:hint="eastAsia"/>
                <w:highlight w:val="none"/>
              </w:rPr>
              <w:t>对回转处不设集电器供电的塔式起重机，设置正反两个方向回转限位开关。开关动作时臂架旋转角度不大于±540°</w:t>
            </w:r>
          </w:p>
        </w:tc>
        <w:tc>
          <w:tcPr>
            <w:tcW w:w="1103" w:type="dxa"/>
            <w:tcBorders>
              <w:top w:val="single" w:color="auto" w:sz="4" w:space="0"/>
              <w:left w:val="single" w:color="auto" w:sz="4" w:space="0"/>
              <w:bottom w:val="single" w:color="auto" w:sz="4" w:space="0"/>
              <w:right w:val="single" w:color="auto" w:sz="4" w:space="0"/>
            </w:tcBorders>
            <w:vAlign w:val="center"/>
          </w:tcPr>
          <w:p w14:paraId="2ACBA068">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1A1332E9">
            <w:pPr>
              <w:pStyle w:val="53"/>
              <w:rPr>
                <w:highlight w:val="none"/>
              </w:rPr>
            </w:pPr>
          </w:p>
        </w:tc>
      </w:tr>
      <w:tr w14:paraId="79210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restart"/>
            <w:tcBorders>
              <w:top w:val="single" w:color="auto" w:sz="4" w:space="0"/>
              <w:left w:val="single" w:color="auto" w:sz="4" w:space="0"/>
              <w:bottom w:val="single" w:color="auto" w:sz="4" w:space="0"/>
              <w:right w:val="single" w:color="auto" w:sz="4" w:space="0"/>
            </w:tcBorders>
            <w:vAlign w:val="center"/>
          </w:tcPr>
          <w:p w14:paraId="536C0162">
            <w:pPr>
              <w:pStyle w:val="53"/>
              <w:rPr>
                <w:highlight w:val="none"/>
              </w:rPr>
            </w:pPr>
            <w:r>
              <w:rPr>
                <w:rFonts w:hint="eastAsia"/>
                <w:highlight w:val="none"/>
              </w:rPr>
              <w:t>起升系统</w:t>
            </w:r>
          </w:p>
        </w:tc>
        <w:tc>
          <w:tcPr>
            <w:tcW w:w="666" w:type="dxa"/>
            <w:tcBorders>
              <w:top w:val="single" w:color="auto" w:sz="4" w:space="0"/>
              <w:left w:val="single" w:color="auto" w:sz="4" w:space="0"/>
              <w:bottom w:val="single" w:color="auto" w:sz="4" w:space="0"/>
              <w:right w:val="single" w:color="auto" w:sz="4" w:space="0"/>
            </w:tcBorders>
            <w:vAlign w:val="center"/>
          </w:tcPr>
          <w:p w14:paraId="126474BC">
            <w:pPr>
              <w:pStyle w:val="53"/>
              <w:rPr>
                <w:highlight w:val="none"/>
              </w:rPr>
            </w:pPr>
            <w:r>
              <w:rPr>
                <w:rFonts w:hint="eastAsia"/>
                <w:highlight w:val="none"/>
              </w:rPr>
              <w:t>24*</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76AAD6A2">
            <w:pPr>
              <w:pStyle w:val="53"/>
              <w:rPr>
                <w:highlight w:val="none"/>
              </w:rPr>
            </w:pPr>
            <w:r>
              <w:rPr>
                <w:rFonts w:hint="eastAsia"/>
                <w:highlight w:val="none"/>
              </w:rPr>
              <w:t>起重力矩限制器</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467827A5">
            <w:pPr>
              <w:pStyle w:val="53"/>
              <w:rPr>
                <w:highlight w:val="none"/>
              </w:rPr>
            </w:pPr>
            <w:r>
              <w:rPr>
                <w:rFonts w:hint="eastAsia"/>
                <w:highlight w:val="none"/>
              </w:rPr>
              <w:t>灵敏可靠，限制值＜额定载荷ll0％，且显示误差≤±5%</w:t>
            </w:r>
          </w:p>
        </w:tc>
        <w:tc>
          <w:tcPr>
            <w:tcW w:w="1103" w:type="dxa"/>
            <w:tcBorders>
              <w:top w:val="single" w:color="auto" w:sz="4" w:space="0"/>
              <w:left w:val="single" w:color="auto" w:sz="4" w:space="0"/>
              <w:bottom w:val="single" w:color="auto" w:sz="4" w:space="0"/>
              <w:right w:val="single" w:color="auto" w:sz="4" w:space="0"/>
            </w:tcBorders>
            <w:vAlign w:val="center"/>
          </w:tcPr>
          <w:p w14:paraId="6B7E3BBC">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24AAA094">
            <w:pPr>
              <w:pStyle w:val="53"/>
              <w:rPr>
                <w:highlight w:val="none"/>
              </w:rPr>
            </w:pPr>
          </w:p>
        </w:tc>
      </w:tr>
      <w:tr w14:paraId="7232A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11C4EC24">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6D068E1A">
            <w:pPr>
              <w:pStyle w:val="53"/>
              <w:rPr>
                <w:highlight w:val="none"/>
              </w:rPr>
            </w:pPr>
            <w:r>
              <w:rPr>
                <w:rFonts w:hint="eastAsia"/>
                <w:highlight w:val="none"/>
              </w:rPr>
              <w:t>25*</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1745BFEA">
            <w:pPr>
              <w:pStyle w:val="53"/>
              <w:rPr>
                <w:highlight w:val="none"/>
              </w:rPr>
            </w:pPr>
            <w:r>
              <w:rPr>
                <w:rFonts w:hint="eastAsia"/>
                <w:highlight w:val="none"/>
              </w:rPr>
              <w:t>起升高度限位</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2A771B91">
            <w:pPr>
              <w:pStyle w:val="53"/>
              <w:rPr>
                <w:highlight w:val="none"/>
              </w:rPr>
            </w:pPr>
            <w:r>
              <w:rPr>
                <w:rFonts w:hint="eastAsia"/>
                <w:highlight w:val="none"/>
              </w:rPr>
              <w:t>对动臂变幅和小车变幅的塔式起重机，当吊钩装置顶部升至起重臂下端的最小距离为800mm处时，能立即停止起升运动</w:t>
            </w:r>
          </w:p>
        </w:tc>
        <w:tc>
          <w:tcPr>
            <w:tcW w:w="1103" w:type="dxa"/>
            <w:tcBorders>
              <w:top w:val="single" w:color="auto" w:sz="4" w:space="0"/>
              <w:left w:val="single" w:color="auto" w:sz="4" w:space="0"/>
              <w:bottom w:val="single" w:color="auto" w:sz="4" w:space="0"/>
              <w:right w:val="single" w:color="auto" w:sz="4" w:space="0"/>
            </w:tcBorders>
            <w:vAlign w:val="center"/>
          </w:tcPr>
          <w:p w14:paraId="50B65FD4">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65DDBD32">
            <w:pPr>
              <w:pStyle w:val="53"/>
              <w:rPr>
                <w:highlight w:val="none"/>
              </w:rPr>
            </w:pPr>
          </w:p>
        </w:tc>
      </w:tr>
      <w:tr w14:paraId="6C76F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440BAC03">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2CCEE175">
            <w:pPr>
              <w:pStyle w:val="53"/>
              <w:rPr>
                <w:highlight w:val="none"/>
              </w:rPr>
            </w:pPr>
            <w:r>
              <w:rPr>
                <w:rFonts w:hint="eastAsia"/>
                <w:highlight w:val="none"/>
              </w:rPr>
              <w:t>26*</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4D531678">
            <w:pPr>
              <w:pStyle w:val="53"/>
              <w:rPr>
                <w:highlight w:val="none"/>
              </w:rPr>
            </w:pPr>
            <w:r>
              <w:rPr>
                <w:rFonts w:hint="eastAsia"/>
                <w:highlight w:val="none"/>
              </w:rPr>
              <w:t>起重量限制器</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5E29ECAC">
            <w:pPr>
              <w:pStyle w:val="53"/>
              <w:rPr>
                <w:highlight w:val="none"/>
              </w:rPr>
            </w:pPr>
            <w:r>
              <w:rPr>
                <w:rFonts w:hint="eastAsia"/>
                <w:highlight w:val="none"/>
              </w:rPr>
              <w:t>灵敏可靠，限制值＜额定载荷110％，且显示误差≤±5％</w:t>
            </w:r>
          </w:p>
        </w:tc>
        <w:tc>
          <w:tcPr>
            <w:tcW w:w="1103" w:type="dxa"/>
            <w:tcBorders>
              <w:top w:val="single" w:color="auto" w:sz="4" w:space="0"/>
              <w:left w:val="single" w:color="auto" w:sz="4" w:space="0"/>
              <w:bottom w:val="single" w:color="auto" w:sz="4" w:space="0"/>
              <w:right w:val="single" w:color="auto" w:sz="4" w:space="0"/>
            </w:tcBorders>
            <w:vAlign w:val="center"/>
          </w:tcPr>
          <w:p w14:paraId="5EF18FAA">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16911F14">
            <w:pPr>
              <w:pStyle w:val="53"/>
              <w:rPr>
                <w:highlight w:val="none"/>
              </w:rPr>
            </w:pPr>
          </w:p>
        </w:tc>
      </w:tr>
      <w:tr w14:paraId="57374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restart"/>
            <w:tcBorders>
              <w:top w:val="single" w:color="auto" w:sz="4" w:space="0"/>
              <w:left w:val="single" w:color="auto" w:sz="4" w:space="0"/>
              <w:bottom w:val="single" w:color="auto" w:sz="4" w:space="0"/>
              <w:right w:val="single" w:color="auto" w:sz="4" w:space="0"/>
            </w:tcBorders>
            <w:vAlign w:val="center"/>
          </w:tcPr>
          <w:p w14:paraId="7E38586E">
            <w:pPr>
              <w:pStyle w:val="53"/>
              <w:rPr>
                <w:highlight w:val="none"/>
              </w:rPr>
            </w:pPr>
            <w:r>
              <w:rPr>
                <w:rFonts w:hint="eastAsia"/>
                <w:highlight w:val="none"/>
              </w:rPr>
              <w:t>变幅系统</w:t>
            </w:r>
          </w:p>
        </w:tc>
        <w:tc>
          <w:tcPr>
            <w:tcW w:w="666" w:type="dxa"/>
            <w:tcBorders>
              <w:top w:val="single" w:color="auto" w:sz="4" w:space="0"/>
              <w:left w:val="single" w:color="auto" w:sz="4" w:space="0"/>
              <w:bottom w:val="single" w:color="auto" w:sz="4" w:space="0"/>
              <w:right w:val="single" w:color="auto" w:sz="4" w:space="0"/>
            </w:tcBorders>
            <w:vAlign w:val="center"/>
          </w:tcPr>
          <w:p w14:paraId="2E22EC67">
            <w:pPr>
              <w:pStyle w:val="53"/>
              <w:rPr>
                <w:highlight w:val="none"/>
              </w:rPr>
            </w:pPr>
            <w:r>
              <w:rPr>
                <w:rFonts w:hint="eastAsia"/>
                <w:highlight w:val="none"/>
              </w:rPr>
              <w:t>27</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4AA5142C">
            <w:pPr>
              <w:pStyle w:val="53"/>
              <w:rPr>
                <w:highlight w:val="none"/>
              </w:rPr>
            </w:pPr>
            <w:r>
              <w:rPr>
                <w:rFonts w:hint="eastAsia"/>
                <w:highlight w:val="none"/>
              </w:rPr>
              <w:t>小车断绳保护装置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14FA7B7F">
            <w:pPr>
              <w:pStyle w:val="53"/>
              <w:rPr>
                <w:highlight w:val="none"/>
              </w:rPr>
            </w:pPr>
            <w:r>
              <w:rPr>
                <w:rFonts w:hint="eastAsia"/>
                <w:highlight w:val="none"/>
              </w:rPr>
              <w:t>双向均设置</w:t>
            </w:r>
          </w:p>
        </w:tc>
        <w:tc>
          <w:tcPr>
            <w:tcW w:w="1103" w:type="dxa"/>
            <w:tcBorders>
              <w:top w:val="single" w:color="auto" w:sz="4" w:space="0"/>
              <w:left w:val="single" w:color="auto" w:sz="4" w:space="0"/>
              <w:bottom w:val="single" w:color="auto" w:sz="4" w:space="0"/>
              <w:right w:val="single" w:color="auto" w:sz="4" w:space="0"/>
            </w:tcBorders>
            <w:vAlign w:val="center"/>
          </w:tcPr>
          <w:p w14:paraId="77C47E65">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730B6C88">
            <w:pPr>
              <w:pStyle w:val="53"/>
              <w:rPr>
                <w:highlight w:val="none"/>
              </w:rPr>
            </w:pPr>
          </w:p>
        </w:tc>
      </w:tr>
      <w:tr w14:paraId="70914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2D356966">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01659517">
            <w:pPr>
              <w:pStyle w:val="53"/>
              <w:rPr>
                <w:highlight w:val="none"/>
              </w:rPr>
            </w:pPr>
            <w:r>
              <w:rPr>
                <w:rFonts w:hint="eastAsia"/>
                <w:highlight w:val="none"/>
              </w:rPr>
              <w:t>28</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2FA6CC6A">
            <w:pPr>
              <w:pStyle w:val="53"/>
              <w:rPr>
                <w:highlight w:val="none"/>
              </w:rPr>
            </w:pPr>
            <w:r>
              <w:rPr>
                <w:rFonts w:hint="eastAsia"/>
                <w:highlight w:val="none"/>
              </w:rPr>
              <w:t>小车断轴保护装置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6761AA3A">
            <w:pPr>
              <w:pStyle w:val="53"/>
              <w:rPr>
                <w:highlight w:val="none"/>
              </w:rPr>
            </w:pPr>
            <w:r>
              <w:rPr>
                <w:rFonts w:hint="eastAsia"/>
                <w:highlight w:val="none"/>
              </w:rPr>
              <w:t>齐全，设置位置合理</w:t>
            </w:r>
          </w:p>
        </w:tc>
        <w:tc>
          <w:tcPr>
            <w:tcW w:w="1103" w:type="dxa"/>
            <w:tcBorders>
              <w:top w:val="single" w:color="auto" w:sz="4" w:space="0"/>
              <w:left w:val="single" w:color="auto" w:sz="4" w:space="0"/>
              <w:bottom w:val="single" w:color="auto" w:sz="4" w:space="0"/>
              <w:right w:val="single" w:color="auto" w:sz="4" w:space="0"/>
            </w:tcBorders>
            <w:vAlign w:val="center"/>
          </w:tcPr>
          <w:p w14:paraId="34F54EB0">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0AB820CC">
            <w:pPr>
              <w:pStyle w:val="53"/>
              <w:rPr>
                <w:highlight w:val="none"/>
              </w:rPr>
            </w:pPr>
          </w:p>
        </w:tc>
      </w:tr>
      <w:tr w14:paraId="15DCA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2F7B5ACF">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1553E43A">
            <w:pPr>
              <w:pStyle w:val="53"/>
              <w:rPr>
                <w:highlight w:val="none"/>
              </w:rPr>
            </w:pPr>
            <w:r>
              <w:rPr>
                <w:rFonts w:hint="eastAsia"/>
                <w:highlight w:val="none"/>
              </w:rPr>
              <w:t>29</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214BEFD7">
            <w:pPr>
              <w:pStyle w:val="53"/>
              <w:rPr>
                <w:highlight w:val="none"/>
              </w:rPr>
            </w:pPr>
            <w:r>
              <w:rPr>
                <w:rFonts w:hint="eastAsia"/>
                <w:highlight w:val="none"/>
              </w:rPr>
              <w:t>小车变幅检修挂篮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543DCA41">
            <w:pPr>
              <w:pStyle w:val="53"/>
              <w:rPr>
                <w:highlight w:val="none"/>
              </w:rPr>
            </w:pPr>
            <w:r>
              <w:rPr>
                <w:rFonts w:hint="eastAsia"/>
                <w:highlight w:val="none"/>
              </w:rPr>
              <w:t>连接可靠</w:t>
            </w:r>
          </w:p>
        </w:tc>
        <w:tc>
          <w:tcPr>
            <w:tcW w:w="1103" w:type="dxa"/>
            <w:tcBorders>
              <w:top w:val="single" w:color="auto" w:sz="4" w:space="0"/>
              <w:left w:val="single" w:color="auto" w:sz="4" w:space="0"/>
              <w:bottom w:val="single" w:color="auto" w:sz="4" w:space="0"/>
              <w:right w:val="single" w:color="auto" w:sz="4" w:space="0"/>
            </w:tcBorders>
            <w:vAlign w:val="center"/>
          </w:tcPr>
          <w:p w14:paraId="19FFF506">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7CE28B18">
            <w:pPr>
              <w:pStyle w:val="53"/>
              <w:rPr>
                <w:highlight w:val="none"/>
              </w:rPr>
            </w:pPr>
          </w:p>
        </w:tc>
      </w:tr>
      <w:tr w14:paraId="613A5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6CC56A4B">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7B8A6F5D">
            <w:pPr>
              <w:pStyle w:val="53"/>
              <w:rPr>
                <w:highlight w:val="none"/>
              </w:rPr>
            </w:pPr>
            <w:r>
              <w:rPr>
                <w:rFonts w:hint="eastAsia"/>
                <w:highlight w:val="none"/>
              </w:rPr>
              <w:t>30*</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70779067">
            <w:pPr>
              <w:pStyle w:val="53"/>
              <w:rPr>
                <w:highlight w:val="none"/>
              </w:rPr>
            </w:pPr>
            <w:r>
              <w:rPr>
                <w:rFonts w:hint="eastAsia"/>
                <w:highlight w:val="none"/>
              </w:rPr>
              <w:t>小车变幅限位和终端止挡装置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3C785CE2">
            <w:pPr>
              <w:pStyle w:val="53"/>
              <w:rPr>
                <w:highlight w:val="none"/>
              </w:rPr>
            </w:pPr>
            <w:r>
              <w:rPr>
                <w:rFonts w:hint="eastAsia"/>
                <w:highlight w:val="none"/>
              </w:rPr>
              <w:t>对小车变幅的塔机，设置小车行程限位开关和终端缓冲装置。限位开关动作后应保证小车停车时其端部距缓冲装置最小距离为200mm</w:t>
            </w:r>
          </w:p>
        </w:tc>
        <w:tc>
          <w:tcPr>
            <w:tcW w:w="1103" w:type="dxa"/>
            <w:tcBorders>
              <w:top w:val="single" w:color="auto" w:sz="4" w:space="0"/>
              <w:left w:val="single" w:color="auto" w:sz="4" w:space="0"/>
              <w:bottom w:val="single" w:color="auto" w:sz="4" w:space="0"/>
              <w:right w:val="single" w:color="auto" w:sz="4" w:space="0"/>
            </w:tcBorders>
            <w:vAlign w:val="center"/>
          </w:tcPr>
          <w:p w14:paraId="7B5EE06B">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2BA59705">
            <w:pPr>
              <w:pStyle w:val="53"/>
              <w:rPr>
                <w:highlight w:val="none"/>
              </w:rPr>
            </w:pPr>
          </w:p>
        </w:tc>
      </w:tr>
      <w:tr w14:paraId="4CA53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5CFA958D">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2F0F452C">
            <w:pPr>
              <w:pStyle w:val="53"/>
              <w:rPr>
                <w:highlight w:val="none"/>
              </w:rPr>
            </w:pPr>
            <w:r>
              <w:rPr>
                <w:rFonts w:hint="eastAsia"/>
                <w:highlight w:val="none"/>
              </w:rPr>
              <w:t>31*</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76CD2DDE">
            <w:pPr>
              <w:pStyle w:val="53"/>
              <w:rPr>
                <w:highlight w:val="none"/>
              </w:rPr>
            </w:pPr>
            <w:r>
              <w:rPr>
                <w:rFonts w:hint="eastAsia"/>
                <w:highlight w:val="none"/>
              </w:rPr>
              <w:t>动臂式变幅限位和防臂架后翻装置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309678CC">
            <w:pPr>
              <w:pStyle w:val="53"/>
              <w:rPr>
                <w:highlight w:val="none"/>
              </w:rPr>
            </w:pPr>
            <w:r>
              <w:rPr>
                <w:rFonts w:hint="eastAsia"/>
                <w:highlight w:val="none"/>
              </w:rPr>
              <w:t>动臂变幅有最大和最小幅度限位器，限制范围符合使用说明书要求；防止臂架反弹后翻的装置牢固可靠</w:t>
            </w:r>
          </w:p>
        </w:tc>
        <w:tc>
          <w:tcPr>
            <w:tcW w:w="1103" w:type="dxa"/>
            <w:tcBorders>
              <w:top w:val="single" w:color="auto" w:sz="4" w:space="0"/>
              <w:left w:val="single" w:color="auto" w:sz="4" w:space="0"/>
              <w:bottom w:val="single" w:color="auto" w:sz="4" w:space="0"/>
              <w:right w:val="single" w:color="auto" w:sz="4" w:space="0"/>
            </w:tcBorders>
            <w:vAlign w:val="center"/>
          </w:tcPr>
          <w:p w14:paraId="3F6FC352">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4B0E8DD6">
            <w:pPr>
              <w:pStyle w:val="53"/>
              <w:rPr>
                <w:highlight w:val="none"/>
              </w:rPr>
            </w:pPr>
          </w:p>
        </w:tc>
      </w:tr>
      <w:tr w14:paraId="1E106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restart"/>
            <w:tcBorders>
              <w:top w:val="single" w:color="auto" w:sz="4" w:space="0"/>
              <w:left w:val="single" w:color="auto" w:sz="4" w:space="0"/>
              <w:bottom w:val="single" w:color="auto" w:sz="4" w:space="0"/>
              <w:right w:val="single" w:color="auto" w:sz="4" w:space="0"/>
            </w:tcBorders>
            <w:vAlign w:val="center"/>
          </w:tcPr>
          <w:p w14:paraId="2D9441ED">
            <w:pPr>
              <w:pStyle w:val="53"/>
              <w:rPr>
                <w:highlight w:val="none"/>
              </w:rPr>
            </w:pPr>
          </w:p>
          <w:p w14:paraId="0C8F035A">
            <w:pPr>
              <w:pStyle w:val="53"/>
              <w:rPr>
                <w:highlight w:val="none"/>
              </w:rPr>
            </w:pPr>
          </w:p>
          <w:p w14:paraId="31962473">
            <w:pPr>
              <w:pStyle w:val="53"/>
              <w:rPr>
                <w:highlight w:val="none"/>
              </w:rPr>
            </w:pPr>
          </w:p>
          <w:p w14:paraId="22B9893C">
            <w:pPr>
              <w:pStyle w:val="53"/>
              <w:rPr>
                <w:highlight w:val="none"/>
              </w:rPr>
            </w:pPr>
          </w:p>
          <w:p w14:paraId="25E4FED5">
            <w:pPr>
              <w:pStyle w:val="53"/>
              <w:rPr>
                <w:highlight w:val="none"/>
              </w:rPr>
            </w:pPr>
            <w:r>
              <w:rPr>
                <w:rFonts w:hint="eastAsia"/>
                <w:highlight w:val="none"/>
              </w:rPr>
              <w:t>机构及</w:t>
            </w:r>
          </w:p>
          <w:p w14:paraId="73E702C2">
            <w:pPr>
              <w:pStyle w:val="53"/>
              <w:rPr>
                <w:highlight w:val="none"/>
              </w:rPr>
            </w:pPr>
            <w:r>
              <w:rPr>
                <w:rFonts w:hint="eastAsia"/>
                <w:highlight w:val="none"/>
              </w:rPr>
              <w:t>零部件</w:t>
            </w:r>
          </w:p>
          <w:p w14:paraId="3F500B7E">
            <w:pPr>
              <w:pStyle w:val="53"/>
              <w:rPr>
                <w:highlight w:val="none"/>
              </w:rPr>
            </w:pPr>
          </w:p>
          <w:p w14:paraId="01EBC114">
            <w:pPr>
              <w:pStyle w:val="53"/>
              <w:rPr>
                <w:highlight w:val="none"/>
              </w:rPr>
            </w:pPr>
          </w:p>
          <w:p w14:paraId="06BC22E2">
            <w:pPr>
              <w:pStyle w:val="53"/>
              <w:rPr>
                <w:highlight w:val="none"/>
              </w:rPr>
            </w:pPr>
          </w:p>
          <w:p w14:paraId="5FA9CAD7">
            <w:pPr>
              <w:pStyle w:val="53"/>
              <w:rPr>
                <w:highlight w:val="none"/>
              </w:rPr>
            </w:pPr>
          </w:p>
          <w:p w14:paraId="2D7DA73F">
            <w:pPr>
              <w:pStyle w:val="53"/>
              <w:rPr>
                <w:highlight w:val="none"/>
              </w:rPr>
            </w:pPr>
          </w:p>
          <w:p w14:paraId="19B2F44D">
            <w:pPr>
              <w:pStyle w:val="53"/>
              <w:rPr>
                <w:highlight w:val="none"/>
              </w:rPr>
            </w:pPr>
          </w:p>
          <w:p w14:paraId="1204A90B">
            <w:pPr>
              <w:pStyle w:val="53"/>
              <w:rPr>
                <w:highlight w:val="none"/>
              </w:rPr>
            </w:pPr>
          </w:p>
          <w:p w14:paraId="35B89832">
            <w:pPr>
              <w:pStyle w:val="53"/>
              <w:rPr>
                <w:highlight w:val="none"/>
              </w:rPr>
            </w:pPr>
          </w:p>
          <w:p w14:paraId="495ABCC5">
            <w:pPr>
              <w:pStyle w:val="53"/>
              <w:rPr>
                <w:highlight w:val="none"/>
              </w:rPr>
            </w:pPr>
          </w:p>
          <w:p w14:paraId="6E0D5199">
            <w:pPr>
              <w:pStyle w:val="53"/>
              <w:rPr>
                <w:highlight w:val="none"/>
              </w:rPr>
            </w:pPr>
          </w:p>
          <w:p w14:paraId="7181BE07">
            <w:pPr>
              <w:pStyle w:val="53"/>
              <w:rPr>
                <w:highlight w:val="none"/>
              </w:rPr>
            </w:pPr>
          </w:p>
          <w:p w14:paraId="52A59ED8">
            <w:pPr>
              <w:pStyle w:val="53"/>
              <w:rPr>
                <w:highlight w:val="none"/>
              </w:rPr>
            </w:pPr>
          </w:p>
          <w:p w14:paraId="0142A9FD">
            <w:pPr>
              <w:pStyle w:val="53"/>
              <w:rPr>
                <w:highlight w:val="none"/>
              </w:rPr>
            </w:pPr>
          </w:p>
          <w:p w14:paraId="77379849">
            <w:pPr>
              <w:pStyle w:val="53"/>
              <w:rPr>
                <w:highlight w:val="none"/>
              </w:rPr>
            </w:pPr>
          </w:p>
          <w:p w14:paraId="45CB773A">
            <w:pPr>
              <w:pStyle w:val="53"/>
              <w:rPr>
                <w:highlight w:val="none"/>
              </w:rPr>
            </w:pPr>
          </w:p>
          <w:p w14:paraId="435CEC93">
            <w:pPr>
              <w:pStyle w:val="53"/>
              <w:rPr>
                <w:highlight w:val="none"/>
              </w:rPr>
            </w:pPr>
          </w:p>
          <w:p w14:paraId="2479515B">
            <w:pPr>
              <w:pStyle w:val="53"/>
              <w:rPr>
                <w:highlight w:val="none"/>
              </w:rPr>
            </w:pPr>
          </w:p>
          <w:p w14:paraId="3FBC46F4">
            <w:pPr>
              <w:pStyle w:val="53"/>
              <w:rPr>
                <w:highlight w:val="none"/>
              </w:rPr>
            </w:pPr>
          </w:p>
          <w:p w14:paraId="45197E5D">
            <w:pPr>
              <w:pStyle w:val="53"/>
              <w:rPr>
                <w:highlight w:val="none"/>
              </w:rPr>
            </w:pPr>
          </w:p>
          <w:p w14:paraId="2F83073E">
            <w:pPr>
              <w:pStyle w:val="53"/>
              <w:rPr>
                <w:highlight w:val="none"/>
              </w:rPr>
            </w:pPr>
          </w:p>
          <w:p w14:paraId="2C10706B">
            <w:pPr>
              <w:pStyle w:val="53"/>
              <w:rPr>
                <w:highlight w:val="none"/>
              </w:rPr>
            </w:pPr>
          </w:p>
          <w:p w14:paraId="6908D250">
            <w:pPr>
              <w:pStyle w:val="53"/>
              <w:rPr>
                <w:highlight w:val="none"/>
              </w:rPr>
            </w:pPr>
          </w:p>
          <w:p w14:paraId="46DA65F8">
            <w:pPr>
              <w:pStyle w:val="53"/>
              <w:rPr>
                <w:highlight w:val="none"/>
              </w:rPr>
            </w:pPr>
          </w:p>
          <w:p w14:paraId="1FD0B383">
            <w:pPr>
              <w:pStyle w:val="53"/>
              <w:rPr>
                <w:highlight w:val="none"/>
              </w:rPr>
            </w:pPr>
          </w:p>
          <w:p w14:paraId="4251B0C9">
            <w:pPr>
              <w:pStyle w:val="53"/>
              <w:rPr>
                <w:highlight w:val="none"/>
              </w:rPr>
            </w:pPr>
          </w:p>
          <w:p w14:paraId="2F5A914D">
            <w:pPr>
              <w:pStyle w:val="53"/>
              <w:rPr>
                <w:highlight w:val="none"/>
              </w:rPr>
            </w:pPr>
            <w:r>
              <w:rPr>
                <w:rFonts w:hint="eastAsia"/>
                <w:highlight w:val="none"/>
              </w:rPr>
              <w:t>机构及</w:t>
            </w:r>
          </w:p>
          <w:p w14:paraId="03D1930B">
            <w:pPr>
              <w:pStyle w:val="53"/>
              <w:rPr>
                <w:highlight w:val="none"/>
              </w:rPr>
            </w:pPr>
            <w:r>
              <w:rPr>
                <w:rFonts w:hint="eastAsia"/>
                <w:highlight w:val="none"/>
              </w:rPr>
              <w:t>零部件</w:t>
            </w:r>
          </w:p>
        </w:tc>
        <w:tc>
          <w:tcPr>
            <w:tcW w:w="666" w:type="dxa"/>
            <w:tcBorders>
              <w:top w:val="single" w:color="auto" w:sz="4" w:space="0"/>
              <w:left w:val="single" w:color="auto" w:sz="4" w:space="0"/>
              <w:bottom w:val="single" w:color="auto" w:sz="4" w:space="0"/>
              <w:right w:val="single" w:color="auto" w:sz="4" w:space="0"/>
            </w:tcBorders>
            <w:vAlign w:val="center"/>
          </w:tcPr>
          <w:p w14:paraId="5B07FC06">
            <w:pPr>
              <w:pStyle w:val="53"/>
              <w:rPr>
                <w:highlight w:val="none"/>
              </w:rPr>
            </w:pPr>
            <w:r>
              <w:rPr>
                <w:rFonts w:hint="eastAsia"/>
                <w:highlight w:val="none"/>
              </w:rPr>
              <w:t>32</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4814EE21">
            <w:pPr>
              <w:pStyle w:val="53"/>
              <w:rPr>
                <w:highlight w:val="none"/>
              </w:rPr>
            </w:pPr>
            <w:r>
              <w:rPr>
                <w:rFonts w:hint="eastAsia"/>
                <w:highlight w:val="none"/>
              </w:rPr>
              <w:t>吊钩</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10CE2D14">
            <w:pPr>
              <w:pStyle w:val="53"/>
              <w:rPr>
                <w:highlight w:val="none"/>
              </w:rPr>
            </w:pPr>
            <w:r>
              <w:rPr>
                <w:rFonts w:hint="eastAsia"/>
                <w:highlight w:val="none"/>
              </w:rPr>
              <w:t>钩体无裂纹、磨损、补焊，危险截面，钩筋无塑性变形</w:t>
            </w:r>
          </w:p>
        </w:tc>
        <w:tc>
          <w:tcPr>
            <w:tcW w:w="1103" w:type="dxa"/>
            <w:tcBorders>
              <w:top w:val="single" w:color="auto" w:sz="4" w:space="0"/>
              <w:left w:val="single" w:color="auto" w:sz="4" w:space="0"/>
              <w:bottom w:val="single" w:color="auto" w:sz="4" w:space="0"/>
              <w:right w:val="single" w:color="auto" w:sz="4" w:space="0"/>
            </w:tcBorders>
            <w:vAlign w:val="center"/>
          </w:tcPr>
          <w:p w14:paraId="07A090C6">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765C2577">
            <w:pPr>
              <w:pStyle w:val="53"/>
              <w:rPr>
                <w:highlight w:val="none"/>
              </w:rPr>
            </w:pPr>
          </w:p>
        </w:tc>
      </w:tr>
      <w:tr w14:paraId="21509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4B0F0961">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0D206E0C">
            <w:pPr>
              <w:pStyle w:val="53"/>
              <w:rPr>
                <w:highlight w:val="none"/>
              </w:rPr>
            </w:pPr>
            <w:r>
              <w:rPr>
                <w:rFonts w:hint="eastAsia"/>
                <w:highlight w:val="none"/>
              </w:rPr>
              <w:t>33</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4793F898">
            <w:pPr>
              <w:pStyle w:val="53"/>
              <w:rPr>
                <w:highlight w:val="none"/>
              </w:rPr>
            </w:pPr>
            <w:r>
              <w:rPr>
                <w:rFonts w:hint="eastAsia"/>
                <w:highlight w:val="none"/>
              </w:rPr>
              <w:t>吊钩防钢丝绳脱钩装置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3681A7EC">
            <w:pPr>
              <w:pStyle w:val="53"/>
              <w:rPr>
                <w:highlight w:val="none"/>
              </w:rPr>
            </w:pPr>
            <w:r>
              <w:rPr>
                <w:rFonts w:hint="eastAsia"/>
                <w:highlight w:val="none"/>
              </w:rPr>
              <w:t>完整、可靠</w:t>
            </w:r>
          </w:p>
        </w:tc>
        <w:tc>
          <w:tcPr>
            <w:tcW w:w="1103" w:type="dxa"/>
            <w:tcBorders>
              <w:top w:val="single" w:color="auto" w:sz="4" w:space="0"/>
              <w:left w:val="single" w:color="auto" w:sz="4" w:space="0"/>
              <w:bottom w:val="single" w:color="auto" w:sz="4" w:space="0"/>
              <w:right w:val="single" w:color="auto" w:sz="4" w:space="0"/>
            </w:tcBorders>
            <w:vAlign w:val="center"/>
          </w:tcPr>
          <w:p w14:paraId="799A3A81">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6255455A">
            <w:pPr>
              <w:pStyle w:val="53"/>
              <w:rPr>
                <w:highlight w:val="none"/>
              </w:rPr>
            </w:pPr>
          </w:p>
        </w:tc>
      </w:tr>
      <w:tr w14:paraId="3D653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0AFA9D44">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06D680EA">
            <w:pPr>
              <w:pStyle w:val="53"/>
              <w:rPr>
                <w:highlight w:val="none"/>
              </w:rPr>
            </w:pPr>
            <w:r>
              <w:rPr>
                <w:rFonts w:hint="eastAsia"/>
                <w:highlight w:val="none"/>
              </w:rPr>
              <w:t>34</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3C199156">
            <w:pPr>
              <w:pStyle w:val="53"/>
              <w:rPr>
                <w:highlight w:val="none"/>
              </w:rPr>
            </w:pPr>
            <w:r>
              <w:rPr>
                <w:rFonts w:hint="eastAsia"/>
                <w:highlight w:val="none"/>
              </w:rPr>
              <w:t>滑轮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07D2A7A0">
            <w:pPr>
              <w:pStyle w:val="53"/>
              <w:rPr>
                <w:highlight w:val="none"/>
              </w:rPr>
            </w:pPr>
            <w:r>
              <w:rPr>
                <w:rFonts w:hint="eastAsia"/>
                <w:highlight w:val="none"/>
              </w:rPr>
              <w:t>滑轮转动良好，出现下列情况应报废：1．裂纹或轮缘破损；2.滑轮绳槽壁厚磨损量达原壁厚的20％；3．滑轮槽底的磨损量超过相应钢丝绳直径的25％</w:t>
            </w:r>
          </w:p>
        </w:tc>
        <w:tc>
          <w:tcPr>
            <w:tcW w:w="1103" w:type="dxa"/>
            <w:tcBorders>
              <w:top w:val="single" w:color="auto" w:sz="4" w:space="0"/>
              <w:left w:val="single" w:color="auto" w:sz="4" w:space="0"/>
              <w:bottom w:val="single" w:color="auto" w:sz="4" w:space="0"/>
              <w:right w:val="single" w:color="auto" w:sz="4" w:space="0"/>
            </w:tcBorders>
            <w:vAlign w:val="center"/>
          </w:tcPr>
          <w:p w14:paraId="73DF100F">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0FD3F92D">
            <w:pPr>
              <w:pStyle w:val="53"/>
              <w:rPr>
                <w:highlight w:val="none"/>
              </w:rPr>
            </w:pPr>
          </w:p>
        </w:tc>
      </w:tr>
      <w:tr w14:paraId="3C87E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37167285">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0A548F25">
            <w:pPr>
              <w:pStyle w:val="53"/>
              <w:rPr>
                <w:highlight w:val="none"/>
              </w:rPr>
            </w:pPr>
            <w:r>
              <w:rPr>
                <w:rFonts w:hint="eastAsia"/>
                <w:highlight w:val="none"/>
              </w:rPr>
              <w:t>35</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7E6B5B41">
            <w:pPr>
              <w:pStyle w:val="53"/>
              <w:rPr>
                <w:highlight w:val="none"/>
              </w:rPr>
            </w:pPr>
            <w:r>
              <w:rPr>
                <w:rFonts w:hint="eastAsia"/>
                <w:highlight w:val="none"/>
              </w:rPr>
              <w:t>滑轮上钢丝绳防脱装置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08E95AB5">
            <w:pPr>
              <w:pStyle w:val="53"/>
              <w:rPr>
                <w:highlight w:val="none"/>
              </w:rPr>
            </w:pPr>
            <w:r>
              <w:rPr>
                <w:rFonts w:hint="eastAsia"/>
                <w:highlight w:val="none"/>
              </w:rPr>
              <w:t>完整、可靠，该装置与滑轮最外缘的间隙不应超过钢丝绳直径的20％</w:t>
            </w:r>
          </w:p>
        </w:tc>
        <w:tc>
          <w:tcPr>
            <w:tcW w:w="1103" w:type="dxa"/>
            <w:tcBorders>
              <w:top w:val="single" w:color="auto" w:sz="4" w:space="0"/>
              <w:left w:val="single" w:color="auto" w:sz="4" w:space="0"/>
              <w:bottom w:val="single" w:color="auto" w:sz="4" w:space="0"/>
              <w:right w:val="single" w:color="auto" w:sz="4" w:space="0"/>
            </w:tcBorders>
            <w:vAlign w:val="center"/>
          </w:tcPr>
          <w:p w14:paraId="601B3875">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378E029A">
            <w:pPr>
              <w:pStyle w:val="53"/>
              <w:rPr>
                <w:highlight w:val="none"/>
              </w:rPr>
            </w:pPr>
          </w:p>
        </w:tc>
      </w:tr>
      <w:tr w14:paraId="3633E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5010888F">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18C95C5B">
            <w:pPr>
              <w:pStyle w:val="53"/>
              <w:rPr>
                <w:highlight w:val="none"/>
              </w:rPr>
            </w:pPr>
            <w:r>
              <w:rPr>
                <w:rFonts w:hint="eastAsia"/>
                <w:highlight w:val="none"/>
              </w:rPr>
              <w:t>36</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1E97E958">
            <w:pPr>
              <w:pStyle w:val="53"/>
              <w:rPr>
                <w:highlight w:val="none"/>
              </w:rPr>
            </w:pPr>
            <w:r>
              <w:rPr>
                <w:rFonts w:hint="eastAsia"/>
                <w:highlight w:val="none"/>
              </w:rPr>
              <w:t>卷筒</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72E5E135">
            <w:pPr>
              <w:pStyle w:val="53"/>
              <w:rPr>
                <w:highlight w:val="none"/>
              </w:rPr>
            </w:pPr>
            <w:r>
              <w:rPr>
                <w:rFonts w:hint="eastAsia"/>
                <w:highlight w:val="none"/>
              </w:rPr>
              <w:t>卷筒壁不应有裂纹。筒壁磨损量不应大于原壁厚的10％；多层缠绕的卷筒，端部应有比最外层钢丝绳高出2倍钢丝绳直径的凸缘</w:t>
            </w:r>
          </w:p>
        </w:tc>
        <w:tc>
          <w:tcPr>
            <w:tcW w:w="1103" w:type="dxa"/>
            <w:tcBorders>
              <w:top w:val="single" w:color="auto" w:sz="4" w:space="0"/>
              <w:left w:val="single" w:color="auto" w:sz="4" w:space="0"/>
              <w:bottom w:val="single" w:color="auto" w:sz="4" w:space="0"/>
              <w:right w:val="single" w:color="auto" w:sz="4" w:space="0"/>
            </w:tcBorders>
            <w:vAlign w:val="center"/>
          </w:tcPr>
          <w:p w14:paraId="7941B391">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43F2361D">
            <w:pPr>
              <w:pStyle w:val="53"/>
              <w:rPr>
                <w:highlight w:val="none"/>
              </w:rPr>
            </w:pPr>
          </w:p>
        </w:tc>
      </w:tr>
      <w:tr w14:paraId="2BE8F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151C9549">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564BDBCA">
            <w:pPr>
              <w:pStyle w:val="53"/>
              <w:rPr>
                <w:highlight w:val="none"/>
              </w:rPr>
            </w:pPr>
            <w:r>
              <w:rPr>
                <w:rFonts w:hint="eastAsia"/>
                <w:highlight w:val="none"/>
              </w:rPr>
              <w:t>37</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66530F8C">
            <w:pPr>
              <w:pStyle w:val="53"/>
              <w:rPr>
                <w:highlight w:val="none"/>
              </w:rPr>
            </w:pPr>
            <w:r>
              <w:rPr>
                <w:rFonts w:hint="eastAsia"/>
                <w:highlight w:val="none"/>
              </w:rPr>
              <w:t>卷筒上钢丝绳防脱装置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62A06E42">
            <w:pPr>
              <w:pStyle w:val="53"/>
              <w:rPr>
                <w:highlight w:val="none"/>
              </w:rPr>
            </w:pPr>
            <w:r>
              <w:rPr>
                <w:rFonts w:hint="eastAsia"/>
                <w:highlight w:val="none"/>
              </w:rPr>
              <w:t>卷筒上钢丝绳,应排列有序，设有防钢丝绳脱槽装置。该装置与卷筒最外缘的间隙不应超过钢丝绳直径的20%</w:t>
            </w:r>
          </w:p>
        </w:tc>
        <w:tc>
          <w:tcPr>
            <w:tcW w:w="1103" w:type="dxa"/>
            <w:tcBorders>
              <w:top w:val="single" w:color="auto" w:sz="4" w:space="0"/>
              <w:left w:val="single" w:color="auto" w:sz="4" w:space="0"/>
              <w:bottom w:val="single" w:color="auto" w:sz="4" w:space="0"/>
              <w:right w:val="single" w:color="auto" w:sz="4" w:space="0"/>
            </w:tcBorders>
            <w:vAlign w:val="center"/>
          </w:tcPr>
          <w:p w14:paraId="40802381">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244F4CCF">
            <w:pPr>
              <w:pStyle w:val="53"/>
              <w:rPr>
                <w:highlight w:val="none"/>
              </w:rPr>
            </w:pPr>
          </w:p>
        </w:tc>
      </w:tr>
      <w:tr w14:paraId="1445B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66CA7664">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18E6AD0B">
            <w:pPr>
              <w:pStyle w:val="53"/>
              <w:rPr>
                <w:highlight w:val="none"/>
              </w:rPr>
            </w:pPr>
            <w:r>
              <w:rPr>
                <w:rFonts w:hint="eastAsia"/>
                <w:highlight w:val="none"/>
              </w:rPr>
              <w:t>38</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3CACD1FC">
            <w:pPr>
              <w:pStyle w:val="53"/>
              <w:rPr>
                <w:highlight w:val="none"/>
              </w:rPr>
            </w:pPr>
            <w:r>
              <w:rPr>
                <w:rFonts w:hint="eastAsia"/>
                <w:highlight w:val="none"/>
              </w:rPr>
              <w:t>钢丝绳端部固定</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1B5371F4">
            <w:pPr>
              <w:pStyle w:val="53"/>
              <w:rPr>
                <w:highlight w:val="none"/>
              </w:rPr>
            </w:pPr>
            <w:r>
              <w:rPr>
                <w:rFonts w:hint="eastAsia"/>
                <w:highlight w:val="none"/>
              </w:rPr>
              <w:t>符合使用说明书规定</w:t>
            </w:r>
          </w:p>
        </w:tc>
        <w:tc>
          <w:tcPr>
            <w:tcW w:w="1103" w:type="dxa"/>
            <w:tcBorders>
              <w:top w:val="single" w:color="auto" w:sz="4" w:space="0"/>
              <w:left w:val="single" w:color="auto" w:sz="4" w:space="0"/>
              <w:bottom w:val="single" w:color="auto" w:sz="4" w:space="0"/>
              <w:right w:val="single" w:color="auto" w:sz="4" w:space="0"/>
            </w:tcBorders>
            <w:vAlign w:val="center"/>
          </w:tcPr>
          <w:p w14:paraId="252C7F3F">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2E2F0E57">
            <w:pPr>
              <w:pStyle w:val="53"/>
              <w:rPr>
                <w:highlight w:val="none"/>
              </w:rPr>
            </w:pPr>
          </w:p>
        </w:tc>
      </w:tr>
      <w:tr w14:paraId="4185A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1158E615">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072124EB">
            <w:pPr>
              <w:pStyle w:val="53"/>
              <w:rPr>
                <w:highlight w:val="none"/>
              </w:rPr>
            </w:pPr>
            <w:r>
              <w:rPr>
                <w:rFonts w:hint="eastAsia"/>
                <w:highlight w:val="none"/>
              </w:rPr>
              <w:t>39</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534F05B6">
            <w:pPr>
              <w:pStyle w:val="53"/>
              <w:rPr>
                <w:highlight w:val="none"/>
              </w:rPr>
            </w:pPr>
            <w:r>
              <w:rPr>
                <w:rFonts w:hint="eastAsia"/>
                <w:highlight w:val="none"/>
              </w:rPr>
              <w:t>钢丝绳穿绕方式、润</w:t>
            </w:r>
          </w:p>
          <w:p w14:paraId="4CE70933">
            <w:pPr>
              <w:pStyle w:val="53"/>
              <w:rPr>
                <w:highlight w:val="none"/>
              </w:rPr>
            </w:pPr>
            <w:r>
              <w:rPr>
                <w:rFonts w:hint="eastAsia"/>
                <w:highlight w:val="none"/>
              </w:rPr>
              <w:t>滑与干涉</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2021B48C">
            <w:pPr>
              <w:pStyle w:val="53"/>
              <w:rPr>
                <w:highlight w:val="none"/>
              </w:rPr>
            </w:pPr>
            <w:r>
              <w:rPr>
                <w:rFonts w:hint="eastAsia"/>
                <w:highlight w:val="none"/>
              </w:rPr>
              <w:t>穿绕正确，润滑良好，无干涉</w:t>
            </w:r>
          </w:p>
        </w:tc>
        <w:tc>
          <w:tcPr>
            <w:tcW w:w="1103" w:type="dxa"/>
            <w:tcBorders>
              <w:top w:val="single" w:color="auto" w:sz="4" w:space="0"/>
              <w:left w:val="single" w:color="auto" w:sz="4" w:space="0"/>
              <w:bottom w:val="single" w:color="auto" w:sz="4" w:space="0"/>
              <w:right w:val="single" w:color="auto" w:sz="4" w:space="0"/>
            </w:tcBorders>
            <w:vAlign w:val="center"/>
          </w:tcPr>
          <w:p w14:paraId="0ADF1491">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28AA13F8">
            <w:pPr>
              <w:pStyle w:val="53"/>
              <w:rPr>
                <w:highlight w:val="none"/>
              </w:rPr>
            </w:pPr>
          </w:p>
        </w:tc>
      </w:tr>
      <w:tr w14:paraId="5D5C9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7A12A908">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47C92C59">
            <w:pPr>
              <w:pStyle w:val="53"/>
              <w:rPr>
                <w:highlight w:val="none"/>
              </w:rPr>
            </w:pPr>
            <w:r>
              <w:rPr>
                <w:rFonts w:hint="eastAsia"/>
                <w:highlight w:val="none"/>
              </w:rPr>
              <w:t>40</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45516777">
            <w:pPr>
              <w:pStyle w:val="53"/>
              <w:rPr>
                <w:highlight w:val="none"/>
              </w:rPr>
            </w:pPr>
            <w:r>
              <w:rPr>
                <w:rFonts w:hint="eastAsia"/>
                <w:highlight w:val="none"/>
              </w:rPr>
              <w:t>钢丝绳磨损量</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223F9465">
            <w:pPr>
              <w:pStyle w:val="53"/>
              <w:rPr>
                <w:highlight w:val="none"/>
              </w:rPr>
            </w:pPr>
            <w:r>
              <w:rPr>
                <w:rFonts w:hint="eastAsia"/>
                <w:highlight w:val="none"/>
              </w:rPr>
              <w:t>钢丝绳实测直径相对于公称直径减小7％或更多时，应报废</w:t>
            </w:r>
          </w:p>
        </w:tc>
        <w:tc>
          <w:tcPr>
            <w:tcW w:w="1103" w:type="dxa"/>
            <w:tcBorders>
              <w:top w:val="single" w:color="auto" w:sz="4" w:space="0"/>
              <w:left w:val="single" w:color="auto" w:sz="4" w:space="0"/>
              <w:bottom w:val="single" w:color="auto" w:sz="4" w:space="0"/>
              <w:right w:val="single" w:color="auto" w:sz="4" w:space="0"/>
            </w:tcBorders>
            <w:vAlign w:val="center"/>
          </w:tcPr>
          <w:p w14:paraId="1D795E3E">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12CEB285">
            <w:pPr>
              <w:pStyle w:val="53"/>
              <w:rPr>
                <w:highlight w:val="none"/>
              </w:rPr>
            </w:pPr>
          </w:p>
        </w:tc>
      </w:tr>
      <w:tr w14:paraId="2A2E0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655C0364">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482D7C7D">
            <w:pPr>
              <w:pStyle w:val="53"/>
              <w:rPr>
                <w:highlight w:val="none"/>
              </w:rPr>
            </w:pPr>
            <w:r>
              <w:rPr>
                <w:rFonts w:hint="eastAsia"/>
                <w:highlight w:val="none"/>
              </w:rPr>
              <w:t>41</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11029DDE">
            <w:pPr>
              <w:pStyle w:val="53"/>
              <w:rPr>
                <w:highlight w:val="none"/>
              </w:rPr>
            </w:pPr>
            <w:r>
              <w:rPr>
                <w:rFonts w:hint="eastAsia"/>
                <w:highlight w:val="none"/>
              </w:rPr>
              <w:t>常用规格钢丝绳规定长度内达到报废标准的断丝数</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6BBA3E5D">
            <w:pPr>
              <w:pStyle w:val="53"/>
              <w:rPr>
                <w:highlight w:val="none"/>
              </w:rPr>
            </w:pPr>
            <w:r>
              <w:rPr>
                <w:rFonts w:hint="eastAsia"/>
                <w:highlight w:val="none"/>
              </w:rPr>
              <w:t>钢制滑轮上工作的圆股钢丝绳、抗扭钢丝绳中断丝根数的控制标准参照《起重机用钢丝绳检验和报废实用规范》GB/T 5972，达到报废标准应报废</w:t>
            </w:r>
          </w:p>
        </w:tc>
        <w:tc>
          <w:tcPr>
            <w:tcW w:w="1103" w:type="dxa"/>
            <w:tcBorders>
              <w:top w:val="single" w:color="auto" w:sz="4" w:space="0"/>
              <w:left w:val="single" w:color="auto" w:sz="4" w:space="0"/>
              <w:bottom w:val="single" w:color="auto" w:sz="4" w:space="0"/>
              <w:right w:val="single" w:color="auto" w:sz="4" w:space="0"/>
            </w:tcBorders>
            <w:vAlign w:val="center"/>
          </w:tcPr>
          <w:p w14:paraId="794355B9">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018C86AA">
            <w:pPr>
              <w:pStyle w:val="53"/>
              <w:rPr>
                <w:highlight w:val="none"/>
              </w:rPr>
            </w:pPr>
          </w:p>
        </w:tc>
      </w:tr>
      <w:tr w14:paraId="5F084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4AAB2632">
            <w:pPr>
              <w:pStyle w:val="53"/>
              <w:rPr>
                <w:highlight w:val="none"/>
              </w:rPr>
            </w:pPr>
          </w:p>
        </w:tc>
        <w:tc>
          <w:tcPr>
            <w:tcW w:w="666" w:type="dxa"/>
            <w:vMerge w:val="restart"/>
            <w:tcBorders>
              <w:top w:val="single" w:color="auto" w:sz="4" w:space="0"/>
              <w:left w:val="single" w:color="auto" w:sz="4" w:space="0"/>
              <w:bottom w:val="single" w:color="auto" w:sz="4" w:space="0"/>
              <w:right w:val="single" w:color="auto" w:sz="4" w:space="0"/>
            </w:tcBorders>
            <w:vAlign w:val="center"/>
          </w:tcPr>
          <w:p w14:paraId="690D4B87">
            <w:pPr>
              <w:pStyle w:val="53"/>
              <w:rPr>
                <w:highlight w:val="none"/>
              </w:rPr>
            </w:pPr>
            <w:r>
              <w:rPr>
                <w:rFonts w:hint="eastAsia"/>
                <w:highlight w:val="none"/>
              </w:rPr>
              <w:t>42</w:t>
            </w:r>
          </w:p>
        </w:tc>
        <w:tc>
          <w:tcPr>
            <w:tcW w:w="2034" w:type="dxa"/>
            <w:gridSpan w:val="2"/>
            <w:vMerge w:val="restart"/>
            <w:tcBorders>
              <w:top w:val="single" w:color="auto" w:sz="4" w:space="0"/>
              <w:left w:val="single" w:color="auto" w:sz="4" w:space="0"/>
              <w:bottom w:val="single" w:color="auto" w:sz="4" w:space="0"/>
              <w:right w:val="single" w:color="auto" w:sz="4" w:space="0"/>
            </w:tcBorders>
            <w:vAlign w:val="center"/>
          </w:tcPr>
          <w:p w14:paraId="41BD7B28">
            <w:pPr>
              <w:pStyle w:val="53"/>
              <w:rPr>
                <w:highlight w:val="none"/>
              </w:rPr>
            </w:pPr>
            <w:r>
              <w:rPr>
                <w:rFonts w:hint="eastAsia"/>
                <w:highlight w:val="none"/>
              </w:rPr>
              <w:t>钢丝绳的变形</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5B40EC70">
            <w:pPr>
              <w:pStyle w:val="53"/>
              <w:rPr>
                <w:highlight w:val="none"/>
              </w:rPr>
            </w:pPr>
            <w:r>
              <w:rPr>
                <w:rFonts w:hint="eastAsia"/>
                <w:highlight w:val="none"/>
              </w:rPr>
              <w:t>出现波浪形时，在钢丝绳长度不超过25d范围内，若波形幅度值达到4d／3或以上，则钢丝绳应报废</w:t>
            </w:r>
          </w:p>
        </w:tc>
        <w:tc>
          <w:tcPr>
            <w:tcW w:w="1103" w:type="dxa"/>
            <w:tcBorders>
              <w:top w:val="single" w:color="auto" w:sz="4" w:space="0"/>
              <w:left w:val="single" w:color="auto" w:sz="4" w:space="0"/>
              <w:bottom w:val="single" w:color="auto" w:sz="4" w:space="0"/>
              <w:right w:val="single" w:color="auto" w:sz="4" w:space="0"/>
            </w:tcBorders>
            <w:vAlign w:val="center"/>
          </w:tcPr>
          <w:p w14:paraId="2492225D">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5620FCF1">
            <w:pPr>
              <w:pStyle w:val="53"/>
              <w:rPr>
                <w:highlight w:val="none"/>
              </w:rPr>
            </w:pPr>
          </w:p>
        </w:tc>
      </w:tr>
      <w:tr w14:paraId="42454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3DA8B6B4">
            <w:pPr>
              <w:pStyle w:val="53"/>
              <w:rPr>
                <w:highlight w:val="none"/>
              </w:rPr>
            </w:pPr>
          </w:p>
        </w:tc>
        <w:tc>
          <w:tcPr>
            <w:tcW w:w="666" w:type="dxa"/>
            <w:vMerge w:val="continue"/>
            <w:tcBorders>
              <w:top w:val="single" w:color="auto" w:sz="4" w:space="0"/>
              <w:left w:val="single" w:color="auto" w:sz="4" w:space="0"/>
              <w:bottom w:val="single" w:color="auto" w:sz="4" w:space="0"/>
              <w:right w:val="single" w:color="auto" w:sz="4" w:space="0"/>
            </w:tcBorders>
            <w:vAlign w:val="center"/>
          </w:tcPr>
          <w:p w14:paraId="238546C8">
            <w:pPr>
              <w:pStyle w:val="53"/>
              <w:rPr>
                <w:highlight w:val="none"/>
              </w:rPr>
            </w:pPr>
          </w:p>
        </w:tc>
        <w:tc>
          <w:tcPr>
            <w:tcW w:w="2034" w:type="dxa"/>
            <w:gridSpan w:val="2"/>
            <w:vMerge w:val="continue"/>
            <w:tcBorders>
              <w:top w:val="single" w:color="auto" w:sz="4" w:space="0"/>
              <w:left w:val="single" w:color="auto" w:sz="4" w:space="0"/>
              <w:bottom w:val="single" w:color="auto" w:sz="4" w:space="0"/>
              <w:right w:val="single" w:color="auto" w:sz="4" w:space="0"/>
            </w:tcBorders>
            <w:vAlign w:val="center"/>
          </w:tcPr>
          <w:p w14:paraId="65829B01">
            <w:pPr>
              <w:pStyle w:val="53"/>
              <w:rPr>
                <w:highlight w:val="none"/>
              </w:rPr>
            </w:pP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04422714">
            <w:pPr>
              <w:pStyle w:val="53"/>
              <w:rPr>
                <w:highlight w:val="none"/>
              </w:rPr>
            </w:pPr>
            <w:r>
              <w:rPr>
                <w:rFonts w:hint="eastAsia"/>
                <w:highlight w:val="none"/>
              </w:rPr>
              <w:t>笼状畸变、绳股挤出或钢丝挤出变形严重的钢丝绳应报废</w:t>
            </w:r>
          </w:p>
        </w:tc>
        <w:tc>
          <w:tcPr>
            <w:tcW w:w="1103" w:type="dxa"/>
            <w:tcBorders>
              <w:top w:val="single" w:color="auto" w:sz="4" w:space="0"/>
              <w:left w:val="single" w:color="auto" w:sz="4" w:space="0"/>
              <w:bottom w:val="single" w:color="auto" w:sz="4" w:space="0"/>
              <w:right w:val="single" w:color="auto" w:sz="4" w:space="0"/>
            </w:tcBorders>
            <w:vAlign w:val="center"/>
          </w:tcPr>
          <w:p w14:paraId="215ACB32">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651A25F6">
            <w:pPr>
              <w:pStyle w:val="53"/>
              <w:rPr>
                <w:highlight w:val="none"/>
              </w:rPr>
            </w:pPr>
          </w:p>
        </w:tc>
      </w:tr>
      <w:tr w14:paraId="2015B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1825D519">
            <w:pPr>
              <w:pStyle w:val="53"/>
              <w:rPr>
                <w:highlight w:val="none"/>
              </w:rPr>
            </w:pPr>
          </w:p>
        </w:tc>
        <w:tc>
          <w:tcPr>
            <w:tcW w:w="666" w:type="dxa"/>
            <w:vMerge w:val="continue"/>
            <w:tcBorders>
              <w:top w:val="single" w:color="auto" w:sz="4" w:space="0"/>
              <w:left w:val="single" w:color="auto" w:sz="4" w:space="0"/>
              <w:bottom w:val="single" w:color="auto" w:sz="4" w:space="0"/>
              <w:right w:val="single" w:color="auto" w:sz="4" w:space="0"/>
            </w:tcBorders>
            <w:vAlign w:val="center"/>
          </w:tcPr>
          <w:p w14:paraId="2666056A">
            <w:pPr>
              <w:pStyle w:val="53"/>
              <w:rPr>
                <w:highlight w:val="none"/>
              </w:rPr>
            </w:pPr>
          </w:p>
        </w:tc>
        <w:tc>
          <w:tcPr>
            <w:tcW w:w="2034" w:type="dxa"/>
            <w:gridSpan w:val="2"/>
            <w:vMerge w:val="continue"/>
            <w:tcBorders>
              <w:top w:val="single" w:color="auto" w:sz="4" w:space="0"/>
              <w:left w:val="single" w:color="auto" w:sz="4" w:space="0"/>
              <w:bottom w:val="single" w:color="auto" w:sz="4" w:space="0"/>
              <w:right w:val="single" w:color="auto" w:sz="4" w:space="0"/>
            </w:tcBorders>
            <w:vAlign w:val="center"/>
          </w:tcPr>
          <w:p w14:paraId="61B64F0A">
            <w:pPr>
              <w:pStyle w:val="53"/>
              <w:rPr>
                <w:highlight w:val="none"/>
              </w:rPr>
            </w:pP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52174E74">
            <w:pPr>
              <w:pStyle w:val="53"/>
              <w:rPr>
                <w:highlight w:val="none"/>
              </w:rPr>
            </w:pPr>
            <w:r>
              <w:rPr>
                <w:rFonts w:hint="eastAsia"/>
                <w:highlight w:val="none"/>
              </w:rPr>
              <w:t>钢丝绳出现严重的扭结、压扁和弯折现象应报废</w:t>
            </w:r>
          </w:p>
        </w:tc>
        <w:tc>
          <w:tcPr>
            <w:tcW w:w="1103" w:type="dxa"/>
            <w:tcBorders>
              <w:top w:val="single" w:color="auto" w:sz="4" w:space="0"/>
              <w:left w:val="single" w:color="auto" w:sz="4" w:space="0"/>
              <w:bottom w:val="single" w:color="auto" w:sz="4" w:space="0"/>
              <w:right w:val="single" w:color="auto" w:sz="4" w:space="0"/>
            </w:tcBorders>
            <w:vAlign w:val="center"/>
          </w:tcPr>
          <w:p w14:paraId="3BD555DC">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3ED37BB6">
            <w:pPr>
              <w:pStyle w:val="53"/>
              <w:rPr>
                <w:highlight w:val="none"/>
              </w:rPr>
            </w:pPr>
          </w:p>
        </w:tc>
      </w:tr>
      <w:tr w14:paraId="63C50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76FFCDE8">
            <w:pPr>
              <w:pStyle w:val="53"/>
              <w:rPr>
                <w:highlight w:val="none"/>
              </w:rPr>
            </w:pPr>
          </w:p>
        </w:tc>
        <w:tc>
          <w:tcPr>
            <w:tcW w:w="666" w:type="dxa"/>
            <w:vMerge w:val="continue"/>
            <w:tcBorders>
              <w:top w:val="single" w:color="auto" w:sz="4" w:space="0"/>
              <w:left w:val="single" w:color="auto" w:sz="4" w:space="0"/>
              <w:bottom w:val="single" w:color="auto" w:sz="4" w:space="0"/>
              <w:right w:val="single" w:color="auto" w:sz="4" w:space="0"/>
            </w:tcBorders>
            <w:vAlign w:val="center"/>
          </w:tcPr>
          <w:p w14:paraId="7259C290">
            <w:pPr>
              <w:pStyle w:val="53"/>
              <w:rPr>
                <w:highlight w:val="none"/>
              </w:rPr>
            </w:pPr>
          </w:p>
        </w:tc>
        <w:tc>
          <w:tcPr>
            <w:tcW w:w="2034" w:type="dxa"/>
            <w:gridSpan w:val="2"/>
            <w:vMerge w:val="continue"/>
            <w:tcBorders>
              <w:top w:val="single" w:color="auto" w:sz="4" w:space="0"/>
              <w:left w:val="single" w:color="auto" w:sz="4" w:space="0"/>
              <w:bottom w:val="single" w:color="auto" w:sz="4" w:space="0"/>
              <w:right w:val="single" w:color="auto" w:sz="4" w:space="0"/>
            </w:tcBorders>
            <w:vAlign w:val="center"/>
          </w:tcPr>
          <w:p w14:paraId="0D7137EF">
            <w:pPr>
              <w:pStyle w:val="53"/>
              <w:rPr>
                <w:highlight w:val="none"/>
              </w:rPr>
            </w:pP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57EDC341">
            <w:pPr>
              <w:pStyle w:val="53"/>
              <w:rPr>
                <w:highlight w:val="none"/>
              </w:rPr>
            </w:pPr>
            <w:r>
              <w:rPr>
                <w:rFonts w:hint="eastAsia"/>
                <w:highlight w:val="none"/>
              </w:rPr>
              <w:t>绳径局部严重增大或减小均应报废</w:t>
            </w:r>
          </w:p>
        </w:tc>
        <w:tc>
          <w:tcPr>
            <w:tcW w:w="1103" w:type="dxa"/>
            <w:tcBorders>
              <w:top w:val="single" w:color="auto" w:sz="4" w:space="0"/>
              <w:left w:val="single" w:color="auto" w:sz="4" w:space="0"/>
              <w:bottom w:val="single" w:color="auto" w:sz="4" w:space="0"/>
              <w:right w:val="single" w:color="auto" w:sz="4" w:space="0"/>
            </w:tcBorders>
            <w:vAlign w:val="center"/>
          </w:tcPr>
          <w:p w14:paraId="14D839F3">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418ED25F">
            <w:pPr>
              <w:pStyle w:val="53"/>
              <w:rPr>
                <w:highlight w:val="none"/>
              </w:rPr>
            </w:pPr>
          </w:p>
        </w:tc>
      </w:tr>
      <w:tr w14:paraId="35117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78BB0CAB">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3948AC18">
            <w:pPr>
              <w:pStyle w:val="53"/>
              <w:rPr>
                <w:highlight w:val="none"/>
              </w:rPr>
            </w:pPr>
            <w:r>
              <w:rPr>
                <w:rFonts w:hint="eastAsia"/>
                <w:highlight w:val="none"/>
              </w:rPr>
              <w:t>43</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6E8D1CE8">
            <w:pPr>
              <w:pStyle w:val="53"/>
              <w:rPr>
                <w:highlight w:val="none"/>
              </w:rPr>
            </w:pPr>
            <w:r>
              <w:rPr>
                <w:rFonts w:hint="eastAsia"/>
                <w:highlight w:val="none"/>
              </w:rPr>
              <w:t>制动器</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056DA273">
            <w:pPr>
              <w:pStyle w:val="53"/>
              <w:rPr>
                <w:highlight w:val="none"/>
              </w:rPr>
            </w:pPr>
            <w:r>
              <w:rPr>
                <w:rFonts w:hint="eastAsia"/>
                <w:highlight w:val="none"/>
              </w:rPr>
              <w:t>起升、回转、变幅、行走机构都应配备制动器，制动器不应有裂纹、过度磨损、塑性变形、缺件等缺陷。调整适宜，制动平稳可靠</w:t>
            </w:r>
          </w:p>
        </w:tc>
        <w:tc>
          <w:tcPr>
            <w:tcW w:w="1103" w:type="dxa"/>
            <w:tcBorders>
              <w:top w:val="single" w:color="auto" w:sz="4" w:space="0"/>
              <w:left w:val="single" w:color="auto" w:sz="4" w:space="0"/>
              <w:bottom w:val="single" w:color="auto" w:sz="4" w:space="0"/>
              <w:right w:val="single" w:color="auto" w:sz="4" w:space="0"/>
            </w:tcBorders>
            <w:vAlign w:val="center"/>
          </w:tcPr>
          <w:p w14:paraId="11D5600D">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541A8D97">
            <w:pPr>
              <w:pStyle w:val="53"/>
              <w:rPr>
                <w:highlight w:val="none"/>
              </w:rPr>
            </w:pPr>
          </w:p>
        </w:tc>
      </w:tr>
      <w:tr w14:paraId="5A9DA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03468DBB">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13FFD193">
            <w:pPr>
              <w:pStyle w:val="53"/>
              <w:rPr>
                <w:highlight w:val="none"/>
              </w:rPr>
            </w:pPr>
            <w:r>
              <w:rPr>
                <w:rFonts w:hint="eastAsia"/>
                <w:highlight w:val="none"/>
              </w:rPr>
              <w:t>44</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0F1908DB">
            <w:pPr>
              <w:pStyle w:val="53"/>
              <w:rPr>
                <w:highlight w:val="none"/>
              </w:rPr>
            </w:pPr>
            <w:r>
              <w:rPr>
                <w:rFonts w:hint="eastAsia"/>
                <w:highlight w:val="none"/>
              </w:rPr>
              <w:t>传动装置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6D125B06">
            <w:pPr>
              <w:pStyle w:val="53"/>
              <w:rPr>
                <w:highlight w:val="none"/>
              </w:rPr>
            </w:pPr>
            <w:r>
              <w:rPr>
                <w:rFonts w:hint="eastAsia"/>
                <w:highlight w:val="none"/>
              </w:rPr>
              <w:t>固定牢固，运行平稳</w:t>
            </w:r>
          </w:p>
        </w:tc>
        <w:tc>
          <w:tcPr>
            <w:tcW w:w="1103" w:type="dxa"/>
            <w:tcBorders>
              <w:top w:val="single" w:color="auto" w:sz="4" w:space="0"/>
              <w:left w:val="single" w:color="auto" w:sz="4" w:space="0"/>
              <w:bottom w:val="single" w:color="auto" w:sz="4" w:space="0"/>
              <w:right w:val="single" w:color="auto" w:sz="4" w:space="0"/>
            </w:tcBorders>
            <w:vAlign w:val="center"/>
          </w:tcPr>
          <w:p w14:paraId="1392C0CA">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1C5BB17D">
            <w:pPr>
              <w:pStyle w:val="53"/>
              <w:rPr>
                <w:highlight w:val="none"/>
              </w:rPr>
            </w:pPr>
          </w:p>
        </w:tc>
      </w:tr>
      <w:tr w14:paraId="5CE69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54A9F46E">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28A3BB63">
            <w:pPr>
              <w:pStyle w:val="53"/>
              <w:rPr>
                <w:highlight w:val="none"/>
              </w:rPr>
            </w:pPr>
            <w:r>
              <w:rPr>
                <w:rFonts w:hint="eastAsia"/>
                <w:highlight w:val="none"/>
              </w:rPr>
              <w:t>45</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5D7A1871">
            <w:pPr>
              <w:pStyle w:val="53"/>
              <w:rPr>
                <w:highlight w:val="none"/>
              </w:rPr>
            </w:pPr>
            <w:r>
              <w:rPr>
                <w:rFonts w:hint="eastAsia"/>
                <w:highlight w:val="none"/>
              </w:rPr>
              <w:t>有可能伤人的活动零部件外露部分</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40C1DF3D">
            <w:pPr>
              <w:pStyle w:val="53"/>
              <w:rPr>
                <w:highlight w:val="none"/>
              </w:rPr>
            </w:pPr>
            <w:r>
              <w:rPr>
                <w:rFonts w:hint="eastAsia"/>
                <w:highlight w:val="none"/>
              </w:rPr>
              <w:t>防护罩齐全</w:t>
            </w:r>
          </w:p>
        </w:tc>
        <w:tc>
          <w:tcPr>
            <w:tcW w:w="1103" w:type="dxa"/>
            <w:tcBorders>
              <w:top w:val="single" w:color="auto" w:sz="4" w:space="0"/>
              <w:left w:val="single" w:color="auto" w:sz="4" w:space="0"/>
              <w:bottom w:val="single" w:color="auto" w:sz="4" w:space="0"/>
              <w:right w:val="single" w:color="auto" w:sz="4" w:space="0"/>
            </w:tcBorders>
            <w:vAlign w:val="center"/>
          </w:tcPr>
          <w:p w14:paraId="62F6FDDC">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04F122FE">
            <w:pPr>
              <w:pStyle w:val="53"/>
              <w:rPr>
                <w:highlight w:val="none"/>
              </w:rPr>
            </w:pPr>
          </w:p>
        </w:tc>
      </w:tr>
      <w:tr w14:paraId="33A7E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restart"/>
            <w:tcBorders>
              <w:top w:val="single" w:color="auto" w:sz="4" w:space="0"/>
              <w:left w:val="single" w:color="auto" w:sz="4" w:space="0"/>
              <w:bottom w:val="single" w:color="auto" w:sz="4" w:space="0"/>
              <w:right w:val="single" w:color="auto" w:sz="4" w:space="0"/>
            </w:tcBorders>
            <w:vAlign w:val="center"/>
          </w:tcPr>
          <w:p w14:paraId="133F33E1">
            <w:pPr>
              <w:pStyle w:val="53"/>
              <w:rPr>
                <w:highlight w:val="none"/>
              </w:rPr>
            </w:pPr>
            <w:r>
              <w:rPr>
                <w:rFonts w:hint="eastAsia"/>
                <w:highlight w:val="none"/>
              </w:rPr>
              <w:t>电气及保护</w:t>
            </w:r>
          </w:p>
        </w:tc>
        <w:tc>
          <w:tcPr>
            <w:tcW w:w="666" w:type="dxa"/>
            <w:tcBorders>
              <w:top w:val="single" w:color="auto" w:sz="4" w:space="0"/>
              <w:left w:val="single" w:color="auto" w:sz="4" w:space="0"/>
              <w:bottom w:val="single" w:color="auto" w:sz="4" w:space="0"/>
              <w:right w:val="single" w:color="auto" w:sz="4" w:space="0"/>
            </w:tcBorders>
            <w:vAlign w:val="center"/>
          </w:tcPr>
          <w:p w14:paraId="2E869B73">
            <w:pPr>
              <w:pStyle w:val="53"/>
              <w:rPr>
                <w:highlight w:val="none"/>
              </w:rPr>
            </w:pPr>
            <w:r>
              <w:rPr>
                <w:rFonts w:hint="eastAsia"/>
                <w:highlight w:val="none"/>
              </w:rPr>
              <w:t>46*</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7E4F6081">
            <w:pPr>
              <w:pStyle w:val="53"/>
              <w:rPr>
                <w:highlight w:val="none"/>
              </w:rPr>
            </w:pPr>
            <w:r>
              <w:rPr>
                <w:rFonts w:hint="eastAsia"/>
                <w:highlight w:val="none"/>
              </w:rPr>
              <w:t>紧急断电开关</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384F4500">
            <w:pPr>
              <w:pStyle w:val="53"/>
              <w:rPr>
                <w:highlight w:val="none"/>
              </w:rPr>
            </w:pPr>
            <w:r>
              <w:rPr>
                <w:rFonts w:hint="eastAsia"/>
                <w:highlight w:val="none"/>
              </w:rPr>
              <w:t>非自动复位，有效，且便于司机操作</w:t>
            </w:r>
          </w:p>
        </w:tc>
        <w:tc>
          <w:tcPr>
            <w:tcW w:w="1103" w:type="dxa"/>
            <w:tcBorders>
              <w:top w:val="single" w:color="auto" w:sz="4" w:space="0"/>
              <w:left w:val="single" w:color="auto" w:sz="4" w:space="0"/>
              <w:bottom w:val="single" w:color="auto" w:sz="4" w:space="0"/>
              <w:right w:val="single" w:color="auto" w:sz="4" w:space="0"/>
            </w:tcBorders>
            <w:vAlign w:val="center"/>
          </w:tcPr>
          <w:p w14:paraId="7CB67297">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3C72FECE">
            <w:pPr>
              <w:pStyle w:val="53"/>
              <w:rPr>
                <w:highlight w:val="none"/>
              </w:rPr>
            </w:pPr>
          </w:p>
        </w:tc>
      </w:tr>
      <w:tr w14:paraId="6F5B4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4372E0C5">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186D0B3C">
            <w:pPr>
              <w:pStyle w:val="53"/>
              <w:rPr>
                <w:highlight w:val="none"/>
              </w:rPr>
            </w:pPr>
            <w:r>
              <w:rPr>
                <w:rFonts w:hint="eastAsia"/>
                <w:highlight w:val="none"/>
              </w:rPr>
              <w:t>47*</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365F2783">
            <w:pPr>
              <w:pStyle w:val="53"/>
              <w:rPr>
                <w:highlight w:val="none"/>
              </w:rPr>
            </w:pPr>
            <w:r>
              <w:rPr>
                <w:rFonts w:hint="eastAsia"/>
                <w:highlight w:val="none"/>
              </w:rPr>
              <w:t>绝缘电阻</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118B099F">
            <w:pPr>
              <w:pStyle w:val="53"/>
              <w:rPr>
                <w:highlight w:val="none"/>
              </w:rPr>
            </w:pPr>
            <w:r>
              <w:rPr>
                <w:rFonts w:hint="eastAsia"/>
                <w:highlight w:val="none"/>
              </w:rPr>
              <w:t>主电路和控制电路的对地绝缘电阻不应小于0.5MΩ</w:t>
            </w:r>
          </w:p>
        </w:tc>
        <w:tc>
          <w:tcPr>
            <w:tcW w:w="1103" w:type="dxa"/>
            <w:tcBorders>
              <w:top w:val="single" w:color="auto" w:sz="4" w:space="0"/>
              <w:left w:val="single" w:color="auto" w:sz="4" w:space="0"/>
              <w:bottom w:val="single" w:color="auto" w:sz="4" w:space="0"/>
              <w:right w:val="single" w:color="auto" w:sz="4" w:space="0"/>
            </w:tcBorders>
            <w:vAlign w:val="center"/>
          </w:tcPr>
          <w:p w14:paraId="128A55D4">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3F63E746">
            <w:pPr>
              <w:pStyle w:val="53"/>
              <w:rPr>
                <w:highlight w:val="none"/>
              </w:rPr>
            </w:pPr>
          </w:p>
        </w:tc>
      </w:tr>
      <w:tr w14:paraId="705E4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2824D95F">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76378432">
            <w:pPr>
              <w:pStyle w:val="53"/>
              <w:rPr>
                <w:highlight w:val="none"/>
              </w:rPr>
            </w:pPr>
            <w:r>
              <w:rPr>
                <w:rFonts w:hint="eastAsia"/>
                <w:highlight w:val="none"/>
              </w:rPr>
              <w:t>48</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731D1BFE">
            <w:pPr>
              <w:pStyle w:val="53"/>
              <w:rPr>
                <w:highlight w:val="none"/>
              </w:rPr>
            </w:pPr>
            <w:r>
              <w:rPr>
                <w:rFonts w:hint="eastAsia"/>
                <w:highlight w:val="none"/>
              </w:rPr>
              <w:t>接地电阻</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010AEB34">
            <w:pPr>
              <w:pStyle w:val="53"/>
              <w:rPr>
                <w:highlight w:val="none"/>
              </w:rPr>
            </w:pPr>
            <w:r>
              <w:rPr>
                <w:rFonts w:hint="eastAsia"/>
                <w:highlight w:val="none"/>
              </w:rPr>
              <w:t>接地系统应便于复核检查，接地电阻不大于4Ω</w:t>
            </w:r>
          </w:p>
        </w:tc>
        <w:tc>
          <w:tcPr>
            <w:tcW w:w="1103" w:type="dxa"/>
            <w:tcBorders>
              <w:top w:val="single" w:color="auto" w:sz="4" w:space="0"/>
              <w:left w:val="single" w:color="auto" w:sz="4" w:space="0"/>
              <w:bottom w:val="single" w:color="auto" w:sz="4" w:space="0"/>
              <w:right w:val="single" w:color="auto" w:sz="4" w:space="0"/>
            </w:tcBorders>
            <w:vAlign w:val="center"/>
          </w:tcPr>
          <w:p w14:paraId="337EEE0D">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5F08DD31">
            <w:pPr>
              <w:pStyle w:val="53"/>
              <w:rPr>
                <w:highlight w:val="none"/>
              </w:rPr>
            </w:pPr>
          </w:p>
        </w:tc>
      </w:tr>
      <w:tr w14:paraId="663BE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65CC0965">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38A9217E">
            <w:pPr>
              <w:pStyle w:val="53"/>
              <w:rPr>
                <w:highlight w:val="none"/>
              </w:rPr>
            </w:pPr>
            <w:r>
              <w:rPr>
                <w:rFonts w:hint="eastAsia"/>
                <w:highlight w:val="none"/>
              </w:rPr>
              <w:t>49</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0B99A617">
            <w:pPr>
              <w:pStyle w:val="53"/>
              <w:rPr>
                <w:highlight w:val="none"/>
              </w:rPr>
            </w:pPr>
            <w:r>
              <w:rPr>
                <w:rFonts w:hint="eastAsia"/>
                <w:highlight w:val="none"/>
              </w:rPr>
              <w:t>专用开关箱</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1FDE2FEF">
            <w:pPr>
              <w:pStyle w:val="53"/>
              <w:rPr>
                <w:highlight w:val="none"/>
              </w:rPr>
            </w:pPr>
            <w:r>
              <w:rPr>
                <w:rFonts w:hint="eastAsia"/>
                <w:highlight w:val="none"/>
              </w:rPr>
              <w:t>单独设置并有警示标志</w:t>
            </w:r>
          </w:p>
        </w:tc>
        <w:tc>
          <w:tcPr>
            <w:tcW w:w="1103" w:type="dxa"/>
            <w:tcBorders>
              <w:top w:val="single" w:color="auto" w:sz="4" w:space="0"/>
              <w:left w:val="single" w:color="auto" w:sz="4" w:space="0"/>
              <w:bottom w:val="single" w:color="auto" w:sz="4" w:space="0"/>
              <w:right w:val="single" w:color="auto" w:sz="4" w:space="0"/>
            </w:tcBorders>
            <w:vAlign w:val="center"/>
          </w:tcPr>
          <w:p w14:paraId="3BDCC0FD">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52DA01B8">
            <w:pPr>
              <w:pStyle w:val="53"/>
              <w:rPr>
                <w:highlight w:val="none"/>
              </w:rPr>
            </w:pPr>
          </w:p>
        </w:tc>
      </w:tr>
      <w:tr w14:paraId="73FC3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4540906E">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2BEFF8B9">
            <w:pPr>
              <w:pStyle w:val="53"/>
              <w:rPr>
                <w:highlight w:val="none"/>
              </w:rPr>
            </w:pPr>
            <w:r>
              <w:rPr>
                <w:rFonts w:hint="eastAsia"/>
                <w:highlight w:val="none"/>
              </w:rPr>
              <w:t>50</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2FAF5933">
            <w:pPr>
              <w:pStyle w:val="53"/>
              <w:rPr>
                <w:highlight w:val="none"/>
              </w:rPr>
            </w:pPr>
            <w:r>
              <w:rPr>
                <w:rFonts w:hint="eastAsia"/>
                <w:highlight w:val="none"/>
              </w:rPr>
              <w:t>声响信号器</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1FCB6F91">
            <w:pPr>
              <w:pStyle w:val="53"/>
              <w:rPr>
                <w:highlight w:val="none"/>
              </w:rPr>
            </w:pPr>
            <w:r>
              <w:rPr>
                <w:rFonts w:hint="eastAsia"/>
                <w:highlight w:val="none"/>
              </w:rPr>
              <w:t>完好</w:t>
            </w:r>
          </w:p>
        </w:tc>
        <w:tc>
          <w:tcPr>
            <w:tcW w:w="1103" w:type="dxa"/>
            <w:tcBorders>
              <w:top w:val="single" w:color="auto" w:sz="4" w:space="0"/>
              <w:left w:val="single" w:color="auto" w:sz="4" w:space="0"/>
              <w:bottom w:val="single" w:color="auto" w:sz="4" w:space="0"/>
              <w:right w:val="single" w:color="auto" w:sz="4" w:space="0"/>
            </w:tcBorders>
            <w:vAlign w:val="center"/>
          </w:tcPr>
          <w:p w14:paraId="5D2E2390">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4C8E8A9E">
            <w:pPr>
              <w:pStyle w:val="53"/>
              <w:rPr>
                <w:highlight w:val="none"/>
              </w:rPr>
            </w:pPr>
          </w:p>
        </w:tc>
      </w:tr>
      <w:tr w14:paraId="27BBA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22D2561D">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1F9099A2">
            <w:pPr>
              <w:pStyle w:val="53"/>
              <w:rPr>
                <w:highlight w:val="none"/>
              </w:rPr>
            </w:pPr>
            <w:r>
              <w:rPr>
                <w:rFonts w:hint="eastAsia"/>
                <w:highlight w:val="none"/>
              </w:rPr>
              <w:t>51</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286D7E83">
            <w:pPr>
              <w:pStyle w:val="53"/>
              <w:rPr>
                <w:highlight w:val="none"/>
              </w:rPr>
            </w:pPr>
            <w:r>
              <w:rPr>
                <w:rFonts w:hint="eastAsia"/>
                <w:highlight w:val="none"/>
              </w:rPr>
              <w:t>保护零线</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52353864">
            <w:pPr>
              <w:pStyle w:val="53"/>
              <w:rPr>
                <w:highlight w:val="none"/>
              </w:rPr>
            </w:pPr>
            <w:r>
              <w:rPr>
                <w:rFonts w:hint="eastAsia"/>
                <w:highlight w:val="none"/>
              </w:rPr>
              <w:t>绿/黄双色绝缘铜芯线，且不得作为载流回路</w:t>
            </w:r>
          </w:p>
        </w:tc>
        <w:tc>
          <w:tcPr>
            <w:tcW w:w="1103" w:type="dxa"/>
            <w:tcBorders>
              <w:top w:val="single" w:color="auto" w:sz="4" w:space="0"/>
              <w:left w:val="single" w:color="auto" w:sz="4" w:space="0"/>
              <w:bottom w:val="single" w:color="auto" w:sz="4" w:space="0"/>
              <w:right w:val="single" w:color="auto" w:sz="4" w:space="0"/>
            </w:tcBorders>
            <w:vAlign w:val="center"/>
          </w:tcPr>
          <w:p w14:paraId="34160E7E">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1E08825C">
            <w:pPr>
              <w:pStyle w:val="53"/>
              <w:rPr>
                <w:highlight w:val="none"/>
              </w:rPr>
            </w:pPr>
          </w:p>
        </w:tc>
      </w:tr>
      <w:tr w14:paraId="25CB5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18E1CA0D">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38FD2596">
            <w:pPr>
              <w:pStyle w:val="53"/>
              <w:rPr>
                <w:highlight w:val="none"/>
              </w:rPr>
            </w:pPr>
            <w:r>
              <w:rPr>
                <w:rFonts w:hint="eastAsia"/>
                <w:highlight w:val="none"/>
              </w:rPr>
              <w:t>52</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43DCEF49">
            <w:pPr>
              <w:pStyle w:val="53"/>
              <w:rPr>
                <w:highlight w:val="none"/>
              </w:rPr>
            </w:pPr>
            <w:r>
              <w:rPr>
                <w:rFonts w:hint="eastAsia"/>
                <w:highlight w:val="none"/>
              </w:rPr>
              <w:t>电源电缆与电缆保护</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027A0722">
            <w:pPr>
              <w:pStyle w:val="53"/>
              <w:rPr>
                <w:highlight w:val="none"/>
              </w:rPr>
            </w:pPr>
            <w:r>
              <w:rPr>
                <w:rFonts w:hint="eastAsia"/>
                <w:highlight w:val="none"/>
              </w:rPr>
              <w:t>无破损，老化。与金属接触处有绝缘材料隔离，移动电缆有电缆卷筒或其他防止磨损措施</w:t>
            </w:r>
          </w:p>
        </w:tc>
        <w:tc>
          <w:tcPr>
            <w:tcW w:w="1103" w:type="dxa"/>
            <w:tcBorders>
              <w:top w:val="single" w:color="auto" w:sz="4" w:space="0"/>
              <w:left w:val="single" w:color="auto" w:sz="4" w:space="0"/>
              <w:bottom w:val="single" w:color="auto" w:sz="4" w:space="0"/>
              <w:right w:val="single" w:color="auto" w:sz="4" w:space="0"/>
            </w:tcBorders>
            <w:vAlign w:val="center"/>
          </w:tcPr>
          <w:p w14:paraId="3F42AD1D">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09020CAE">
            <w:pPr>
              <w:pStyle w:val="53"/>
              <w:rPr>
                <w:highlight w:val="none"/>
              </w:rPr>
            </w:pPr>
          </w:p>
        </w:tc>
      </w:tr>
      <w:tr w14:paraId="51449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6C1A9232">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6D0AF4D5">
            <w:pPr>
              <w:pStyle w:val="53"/>
              <w:rPr>
                <w:highlight w:val="none"/>
              </w:rPr>
            </w:pPr>
            <w:r>
              <w:rPr>
                <w:rFonts w:hint="eastAsia"/>
                <w:highlight w:val="none"/>
              </w:rPr>
              <w:t>53</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09A148FE">
            <w:pPr>
              <w:pStyle w:val="53"/>
              <w:rPr>
                <w:highlight w:val="none"/>
              </w:rPr>
            </w:pPr>
            <w:r>
              <w:rPr>
                <w:rFonts w:hint="eastAsia"/>
                <w:highlight w:val="none"/>
              </w:rPr>
              <w:t>障碍指示灯</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6E14108A">
            <w:pPr>
              <w:pStyle w:val="53"/>
              <w:rPr>
                <w:highlight w:val="none"/>
              </w:rPr>
            </w:pPr>
            <w:r>
              <w:rPr>
                <w:rFonts w:hint="eastAsia"/>
                <w:highlight w:val="none"/>
              </w:rPr>
              <w:t>回转塔身高度大于30m且高于周围建筑物时应安装，该指示灯的供电不应受停机的影响</w:t>
            </w:r>
          </w:p>
        </w:tc>
        <w:tc>
          <w:tcPr>
            <w:tcW w:w="1103" w:type="dxa"/>
            <w:tcBorders>
              <w:top w:val="single" w:color="auto" w:sz="4" w:space="0"/>
              <w:left w:val="single" w:color="auto" w:sz="4" w:space="0"/>
              <w:bottom w:val="single" w:color="auto" w:sz="4" w:space="0"/>
              <w:right w:val="single" w:color="auto" w:sz="4" w:space="0"/>
            </w:tcBorders>
            <w:vAlign w:val="center"/>
          </w:tcPr>
          <w:p w14:paraId="39CA1E64">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2A482860">
            <w:pPr>
              <w:pStyle w:val="53"/>
              <w:rPr>
                <w:highlight w:val="none"/>
              </w:rPr>
            </w:pPr>
          </w:p>
        </w:tc>
      </w:tr>
      <w:tr w14:paraId="4773E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restart"/>
            <w:tcBorders>
              <w:top w:val="single" w:color="auto" w:sz="4" w:space="0"/>
              <w:left w:val="single" w:color="auto" w:sz="4" w:space="0"/>
              <w:bottom w:val="single" w:color="auto" w:sz="4" w:space="0"/>
              <w:right w:val="single" w:color="auto" w:sz="4" w:space="0"/>
            </w:tcBorders>
            <w:vAlign w:val="center"/>
          </w:tcPr>
          <w:p w14:paraId="116B841F">
            <w:pPr>
              <w:pStyle w:val="53"/>
              <w:rPr>
                <w:highlight w:val="none"/>
              </w:rPr>
            </w:pPr>
            <w:r>
              <w:rPr>
                <w:rFonts w:hint="eastAsia"/>
                <w:highlight w:val="none"/>
              </w:rPr>
              <w:t>轨道</w:t>
            </w:r>
          </w:p>
        </w:tc>
        <w:tc>
          <w:tcPr>
            <w:tcW w:w="666" w:type="dxa"/>
            <w:tcBorders>
              <w:top w:val="single" w:color="auto" w:sz="4" w:space="0"/>
              <w:left w:val="single" w:color="auto" w:sz="4" w:space="0"/>
              <w:bottom w:val="single" w:color="auto" w:sz="4" w:space="0"/>
              <w:right w:val="single" w:color="auto" w:sz="4" w:space="0"/>
            </w:tcBorders>
            <w:vAlign w:val="center"/>
          </w:tcPr>
          <w:p w14:paraId="77E70D6E">
            <w:pPr>
              <w:pStyle w:val="53"/>
              <w:rPr>
                <w:highlight w:val="none"/>
              </w:rPr>
            </w:pPr>
            <w:r>
              <w:rPr>
                <w:rFonts w:hint="eastAsia"/>
                <w:highlight w:val="none"/>
              </w:rPr>
              <w:t>54</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2439A7AB">
            <w:pPr>
              <w:pStyle w:val="53"/>
              <w:rPr>
                <w:highlight w:val="none"/>
              </w:rPr>
            </w:pPr>
            <w:r>
              <w:rPr>
                <w:rFonts w:hint="eastAsia"/>
                <w:highlight w:val="none"/>
              </w:rPr>
              <w:t>行走轨道端部止挡装置与缓冲</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1A060062">
            <w:pPr>
              <w:pStyle w:val="53"/>
              <w:rPr>
                <w:highlight w:val="none"/>
              </w:rPr>
            </w:pPr>
            <w:r>
              <w:rPr>
                <w:rFonts w:hint="eastAsia"/>
                <w:highlight w:val="none"/>
              </w:rPr>
              <w:t>齐全，有效</w:t>
            </w:r>
          </w:p>
        </w:tc>
        <w:tc>
          <w:tcPr>
            <w:tcW w:w="1103" w:type="dxa"/>
            <w:tcBorders>
              <w:top w:val="single" w:color="auto" w:sz="4" w:space="0"/>
              <w:left w:val="single" w:color="auto" w:sz="4" w:space="0"/>
              <w:bottom w:val="single" w:color="auto" w:sz="4" w:space="0"/>
              <w:right w:val="single" w:color="auto" w:sz="4" w:space="0"/>
            </w:tcBorders>
            <w:vAlign w:val="center"/>
          </w:tcPr>
          <w:p w14:paraId="441D9A0A">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66FC769A">
            <w:pPr>
              <w:pStyle w:val="53"/>
              <w:rPr>
                <w:highlight w:val="none"/>
              </w:rPr>
            </w:pPr>
          </w:p>
        </w:tc>
      </w:tr>
      <w:tr w14:paraId="5614F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1FFC7F34">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1D50E834">
            <w:pPr>
              <w:pStyle w:val="53"/>
              <w:rPr>
                <w:highlight w:val="none"/>
              </w:rPr>
            </w:pPr>
            <w:r>
              <w:rPr>
                <w:rFonts w:hint="eastAsia"/>
                <w:highlight w:val="none"/>
              </w:rPr>
              <w:t>55*</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1E7F6F52">
            <w:pPr>
              <w:pStyle w:val="53"/>
              <w:rPr>
                <w:highlight w:val="none"/>
              </w:rPr>
            </w:pPr>
            <w:r>
              <w:rPr>
                <w:rFonts w:hint="eastAsia"/>
                <w:highlight w:val="none"/>
              </w:rPr>
              <w:t>行走限位装置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7B9846A7">
            <w:pPr>
              <w:pStyle w:val="53"/>
              <w:rPr>
                <w:highlight w:val="none"/>
              </w:rPr>
            </w:pPr>
            <w:r>
              <w:rPr>
                <w:rFonts w:hint="eastAsia"/>
                <w:highlight w:val="none"/>
              </w:rPr>
              <w:t>制停后距止档装置≥1m</w:t>
            </w:r>
          </w:p>
        </w:tc>
        <w:tc>
          <w:tcPr>
            <w:tcW w:w="1103" w:type="dxa"/>
            <w:tcBorders>
              <w:top w:val="single" w:color="auto" w:sz="4" w:space="0"/>
              <w:left w:val="single" w:color="auto" w:sz="4" w:space="0"/>
              <w:bottom w:val="single" w:color="auto" w:sz="4" w:space="0"/>
              <w:right w:val="single" w:color="auto" w:sz="4" w:space="0"/>
            </w:tcBorders>
            <w:vAlign w:val="center"/>
          </w:tcPr>
          <w:p w14:paraId="666CC455">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1B781A9C">
            <w:pPr>
              <w:pStyle w:val="53"/>
              <w:rPr>
                <w:highlight w:val="none"/>
              </w:rPr>
            </w:pPr>
          </w:p>
        </w:tc>
      </w:tr>
      <w:tr w14:paraId="359D9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475384A3">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238F3E46">
            <w:pPr>
              <w:pStyle w:val="53"/>
              <w:rPr>
                <w:highlight w:val="none"/>
              </w:rPr>
            </w:pPr>
            <w:r>
              <w:rPr>
                <w:rFonts w:hint="eastAsia"/>
                <w:highlight w:val="none"/>
              </w:rPr>
              <w:t>56</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36B1145C">
            <w:pPr>
              <w:pStyle w:val="53"/>
              <w:rPr>
                <w:highlight w:val="none"/>
              </w:rPr>
            </w:pPr>
            <w:r>
              <w:rPr>
                <w:rFonts w:hint="eastAsia"/>
                <w:highlight w:val="none"/>
              </w:rPr>
              <w:t>防风夹轨器</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322B4002">
            <w:pPr>
              <w:pStyle w:val="53"/>
              <w:rPr>
                <w:highlight w:val="none"/>
              </w:rPr>
            </w:pPr>
            <w:r>
              <w:rPr>
                <w:rFonts w:hint="eastAsia"/>
                <w:highlight w:val="none"/>
              </w:rPr>
              <w:t>齐全，有效</w:t>
            </w:r>
          </w:p>
        </w:tc>
        <w:tc>
          <w:tcPr>
            <w:tcW w:w="1103" w:type="dxa"/>
            <w:tcBorders>
              <w:top w:val="single" w:color="auto" w:sz="4" w:space="0"/>
              <w:left w:val="single" w:color="auto" w:sz="4" w:space="0"/>
              <w:bottom w:val="single" w:color="auto" w:sz="4" w:space="0"/>
              <w:right w:val="single" w:color="auto" w:sz="4" w:space="0"/>
            </w:tcBorders>
            <w:vAlign w:val="center"/>
          </w:tcPr>
          <w:p w14:paraId="27EFF0E9">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2458D5CA">
            <w:pPr>
              <w:pStyle w:val="53"/>
              <w:rPr>
                <w:highlight w:val="none"/>
              </w:rPr>
            </w:pPr>
          </w:p>
        </w:tc>
      </w:tr>
      <w:tr w14:paraId="62CB0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53215B10">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0A72A673">
            <w:pPr>
              <w:pStyle w:val="53"/>
              <w:rPr>
                <w:highlight w:val="none"/>
              </w:rPr>
            </w:pPr>
            <w:r>
              <w:rPr>
                <w:rFonts w:hint="eastAsia"/>
                <w:highlight w:val="none"/>
              </w:rPr>
              <w:t>57</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207E3032">
            <w:pPr>
              <w:pStyle w:val="53"/>
              <w:rPr>
                <w:highlight w:val="none"/>
              </w:rPr>
            </w:pPr>
            <w:r>
              <w:rPr>
                <w:rFonts w:hint="eastAsia"/>
                <w:highlight w:val="none"/>
              </w:rPr>
              <w:t>排障清轨板</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679E28E5">
            <w:pPr>
              <w:pStyle w:val="53"/>
              <w:rPr>
                <w:highlight w:val="none"/>
              </w:rPr>
            </w:pPr>
            <w:r>
              <w:rPr>
                <w:rFonts w:hint="eastAsia"/>
                <w:highlight w:val="none"/>
              </w:rPr>
              <w:t>清孰板与轨道之目的间隙不应大于5mm</w:t>
            </w:r>
          </w:p>
        </w:tc>
        <w:tc>
          <w:tcPr>
            <w:tcW w:w="1103" w:type="dxa"/>
            <w:tcBorders>
              <w:top w:val="single" w:color="auto" w:sz="4" w:space="0"/>
              <w:left w:val="single" w:color="auto" w:sz="4" w:space="0"/>
              <w:bottom w:val="single" w:color="auto" w:sz="4" w:space="0"/>
              <w:right w:val="single" w:color="auto" w:sz="4" w:space="0"/>
            </w:tcBorders>
            <w:vAlign w:val="center"/>
          </w:tcPr>
          <w:p w14:paraId="5B50EE0D">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4251D586">
            <w:pPr>
              <w:pStyle w:val="53"/>
              <w:rPr>
                <w:highlight w:val="none"/>
              </w:rPr>
            </w:pPr>
          </w:p>
        </w:tc>
      </w:tr>
      <w:tr w14:paraId="306D9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0A132300">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79957095">
            <w:pPr>
              <w:pStyle w:val="53"/>
              <w:rPr>
                <w:highlight w:val="none"/>
              </w:rPr>
            </w:pPr>
            <w:r>
              <w:rPr>
                <w:rFonts w:hint="eastAsia"/>
                <w:highlight w:val="none"/>
              </w:rPr>
              <w:t>58</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4F9D670B">
            <w:pPr>
              <w:pStyle w:val="53"/>
              <w:rPr>
                <w:highlight w:val="none"/>
              </w:rPr>
            </w:pPr>
            <w:r>
              <w:rPr>
                <w:rFonts w:hint="eastAsia"/>
                <w:highlight w:val="none"/>
              </w:rPr>
              <w:t>钢轨接头位置及误差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4ED96EF8">
            <w:pPr>
              <w:pStyle w:val="53"/>
              <w:rPr>
                <w:highlight w:val="none"/>
              </w:rPr>
            </w:pPr>
            <w:r>
              <w:rPr>
                <w:rFonts w:hint="eastAsia"/>
                <w:highlight w:val="none"/>
              </w:rPr>
              <w:t>支承在道木或路基箱上时，两侧错开≥1.5m；间隙≤4mm；高差≤2mm</w:t>
            </w:r>
          </w:p>
        </w:tc>
        <w:tc>
          <w:tcPr>
            <w:tcW w:w="1103" w:type="dxa"/>
            <w:tcBorders>
              <w:top w:val="single" w:color="auto" w:sz="4" w:space="0"/>
              <w:left w:val="single" w:color="auto" w:sz="4" w:space="0"/>
              <w:bottom w:val="single" w:color="auto" w:sz="4" w:space="0"/>
              <w:right w:val="single" w:color="auto" w:sz="4" w:space="0"/>
            </w:tcBorders>
            <w:vAlign w:val="center"/>
          </w:tcPr>
          <w:p w14:paraId="5C8326CA">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7DCF889C">
            <w:pPr>
              <w:pStyle w:val="53"/>
              <w:rPr>
                <w:highlight w:val="none"/>
              </w:rPr>
            </w:pPr>
          </w:p>
        </w:tc>
      </w:tr>
      <w:tr w14:paraId="30153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771A2D85">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140C1A4C">
            <w:pPr>
              <w:pStyle w:val="53"/>
              <w:rPr>
                <w:highlight w:val="none"/>
              </w:rPr>
            </w:pPr>
            <w:r>
              <w:rPr>
                <w:rFonts w:hint="eastAsia"/>
                <w:highlight w:val="none"/>
              </w:rPr>
              <w:t>59</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76420775">
            <w:pPr>
              <w:pStyle w:val="53"/>
              <w:rPr>
                <w:highlight w:val="none"/>
              </w:rPr>
            </w:pPr>
            <w:r>
              <w:rPr>
                <w:rFonts w:hint="eastAsia"/>
                <w:highlight w:val="none"/>
              </w:rPr>
              <w:t>轨距误差及轨距拉杆设置</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38AFA0CB">
            <w:pPr>
              <w:pStyle w:val="53"/>
              <w:rPr>
                <w:highlight w:val="none"/>
              </w:rPr>
            </w:pPr>
            <w:r>
              <w:rPr>
                <w:rFonts w:hint="eastAsia"/>
                <w:highlight w:val="none"/>
              </w:rPr>
              <w:t>＜1／1000且最大应＜6mm；相邻两根间距≤6m</w:t>
            </w:r>
          </w:p>
        </w:tc>
        <w:tc>
          <w:tcPr>
            <w:tcW w:w="1103" w:type="dxa"/>
            <w:tcBorders>
              <w:top w:val="single" w:color="auto" w:sz="4" w:space="0"/>
              <w:left w:val="single" w:color="auto" w:sz="4" w:space="0"/>
              <w:bottom w:val="single" w:color="auto" w:sz="4" w:space="0"/>
              <w:right w:val="single" w:color="auto" w:sz="4" w:space="0"/>
            </w:tcBorders>
            <w:vAlign w:val="center"/>
          </w:tcPr>
          <w:p w14:paraId="3B01FAB7">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2BD31E93">
            <w:pPr>
              <w:pStyle w:val="53"/>
              <w:rPr>
                <w:highlight w:val="none"/>
              </w:rPr>
            </w:pPr>
          </w:p>
        </w:tc>
      </w:tr>
      <w:tr w14:paraId="6EE11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restart"/>
            <w:tcBorders>
              <w:top w:val="single" w:color="auto" w:sz="4" w:space="0"/>
              <w:left w:val="single" w:color="auto" w:sz="4" w:space="0"/>
              <w:bottom w:val="single" w:color="auto" w:sz="4" w:space="0"/>
              <w:right w:val="single" w:color="auto" w:sz="4" w:space="0"/>
            </w:tcBorders>
            <w:vAlign w:val="center"/>
          </w:tcPr>
          <w:p w14:paraId="5A8723E8">
            <w:pPr>
              <w:pStyle w:val="53"/>
              <w:rPr>
                <w:highlight w:val="none"/>
              </w:rPr>
            </w:pPr>
            <w:r>
              <w:rPr>
                <w:rFonts w:hint="eastAsia"/>
                <w:highlight w:val="none"/>
              </w:rPr>
              <w:t>司机室</w:t>
            </w:r>
          </w:p>
        </w:tc>
        <w:tc>
          <w:tcPr>
            <w:tcW w:w="666" w:type="dxa"/>
            <w:tcBorders>
              <w:top w:val="single" w:color="auto" w:sz="4" w:space="0"/>
              <w:left w:val="single" w:color="auto" w:sz="4" w:space="0"/>
              <w:bottom w:val="single" w:color="auto" w:sz="4" w:space="0"/>
              <w:right w:val="single" w:color="auto" w:sz="4" w:space="0"/>
            </w:tcBorders>
            <w:vAlign w:val="center"/>
          </w:tcPr>
          <w:p w14:paraId="68DFAD71">
            <w:pPr>
              <w:pStyle w:val="53"/>
              <w:rPr>
                <w:highlight w:val="none"/>
              </w:rPr>
            </w:pPr>
            <w:r>
              <w:rPr>
                <w:rFonts w:hint="eastAsia"/>
                <w:highlight w:val="none"/>
              </w:rPr>
              <w:t>60</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1426B4EF">
            <w:pPr>
              <w:pStyle w:val="53"/>
              <w:rPr>
                <w:highlight w:val="none"/>
              </w:rPr>
            </w:pPr>
            <w:r>
              <w:rPr>
                <w:rFonts w:hint="eastAsia"/>
                <w:highlight w:val="none"/>
              </w:rPr>
              <w:t>性能标牌(显示屏)</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73FD875A">
            <w:pPr>
              <w:pStyle w:val="53"/>
              <w:rPr>
                <w:highlight w:val="none"/>
              </w:rPr>
            </w:pPr>
            <w:r>
              <w:rPr>
                <w:rFonts w:hint="eastAsia"/>
                <w:highlight w:val="none"/>
              </w:rPr>
              <w:t>齐全，清晰</w:t>
            </w:r>
          </w:p>
        </w:tc>
        <w:tc>
          <w:tcPr>
            <w:tcW w:w="1103" w:type="dxa"/>
            <w:tcBorders>
              <w:top w:val="single" w:color="auto" w:sz="4" w:space="0"/>
              <w:left w:val="single" w:color="auto" w:sz="4" w:space="0"/>
              <w:bottom w:val="single" w:color="auto" w:sz="4" w:space="0"/>
              <w:right w:val="single" w:color="auto" w:sz="4" w:space="0"/>
            </w:tcBorders>
            <w:vAlign w:val="center"/>
          </w:tcPr>
          <w:p w14:paraId="54BAAB8B">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6727E907">
            <w:pPr>
              <w:pStyle w:val="53"/>
              <w:rPr>
                <w:highlight w:val="none"/>
              </w:rPr>
            </w:pPr>
          </w:p>
        </w:tc>
      </w:tr>
      <w:tr w14:paraId="290A9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vMerge w:val="continue"/>
            <w:tcBorders>
              <w:top w:val="single" w:color="auto" w:sz="4" w:space="0"/>
              <w:left w:val="single" w:color="auto" w:sz="4" w:space="0"/>
              <w:bottom w:val="single" w:color="auto" w:sz="4" w:space="0"/>
              <w:right w:val="single" w:color="auto" w:sz="4" w:space="0"/>
            </w:tcBorders>
            <w:vAlign w:val="center"/>
          </w:tcPr>
          <w:p w14:paraId="09D1483D">
            <w:pPr>
              <w:pStyle w:val="53"/>
              <w:rPr>
                <w:highlight w:val="none"/>
              </w:rPr>
            </w:pPr>
          </w:p>
        </w:tc>
        <w:tc>
          <w:tcPr>
            <w:tcW w:w="666" w:type="dxa"/>
            <w:tcBorders>
              <w:top w:val="single" w:color="auto" w:sz="4" w:space="0"/>
              <w:left w:val="single" w:color="auto" w:sz="4" w:space="0"/>
              <w:bottom w:val="single" w:color="auto" w:sz="4" w:space="0"/>
              <w:right w:val="single" w:color="auto" w:sz="4" w:space="0"/>
            </w:tcBorders>
            <w:vAlign w:val="center"/>
          </w:tcPr>
          <w:p w14:paraId="2ADFFB43">
            <w:pPr>
              <w:pStyle w:val="53"/>
              <w:rPr>
                <w:highlight w:val="none"/>
              </w:rPr>
            </w:pPr>
            <w:r>
              <w:rPr>
                <w:rFonts w:hint="eastAsia"/>
                <w:highlight w:val="none"/>
              </w:rPr>
              <w:t>61</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6590BC71">
            <w:pPr>
              <w:pStyle w:val="53"/>
              <w:rPr>
                <w:highlight w:val="none"/>
              </w:rPr>
            </w:pPr>
            <w:r>
              <w:rPr>
                <w:rFonts w:hint="eastAsia"/>
                <w:highlight w:val="none"/>
              </w:rPr>
              <w:t>门窗和灭火器、雨刷</w:t>
            </w:r>
          </w:p>
          <w:p w14:paraId="14407177">
            <w:pPr>
              <w:pStyle w:val="53"/>
              <w:rPr>
                <w:highlight w:val="none"/>
              </w:rPr>
            </w:pPr>
            <w:r>
              <w:rPr>
                <w:rFonts w:hint="eastAsia"/>
                <w:highlight w:val="none"/>
              </w:rPr>
              <w:t>等附属设施</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61C0628A">
            <w:pPr>
              <w:pStyle w:val="53"/>
              <w:rPr>
                <w:highlight w:val="none"/>
              </w:rPr>
            </w:pPr>
            <w:r>
              <w:rPr>
                <w:rFonts w:hint="eastAsia"/>
                <w:highlight w:val="none"/>
              </w:rPr>
              <w:t>齐全，有效</w:t>
            </w:r>
          </w:p>
        </w:tc>
        <w:tc>
          <w:tcPr>
            <w:tcW w:w="1103" w:type="dxa"/>
            <w:tcBorders>
              <w:top w:val="single" w:color="auto" w:sz="4" w:space="0"/>
              <w:left w:val="single" w:color="auto" w:sz="4" w:space="0"/>
              <w:bottom w:val="single" w:color="auto" w:sz="4" w:space="0"/>
              <w:right w:val="single" w:color="auto" w:sz="4" w:space="0"/>
            </w:tcBorders>
            <w:vAlign w:val="center"/>
          </w:tcPr>
          <w:p w14:paraId="7DC9FD7D">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50E11640">
            <w:pPr>
              <w:pStyle w:val="53"/>
              <w:rPr>
                <w:highlight w:val="none"/>
              </w:rPr>
            </w:pPr>
          </w:p>
        </w:tc>
      </w:tr>
      <w:tr w14:paraId="417D6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6" w:type="dxa"/>
            <w:tcBorders>
              <w:top w:val="single" w:color="auto" w:sz="4" w:space="0"/>
              <w:left w:val="single" w:color="auto" w:sz="4" w:space="0"/>
              <w:bottom w:val="single" w:color="auto" w:sz="4" w:space="0"/>
              <w:right w:val="single" w:color="auto" w:sz="4" w:space="0"/>
            </w:tcBorders>
            <w:vAlign w:val="center"/>
          </w:tcPr>
          <w:p w14:paraId="1C2D51ED">
            <w:pPr>
              <w:pStyle w:val="53"/>
              <w:rPr>
                <w:highlight w:val="none"/>
              </w:rPr>
            </w:pPr>
            <w:r>
              <w:rPr>
                <w:rFonts w:hint="eastAsia"/>
                <w:highlight w:val="none"/>
              </w:rPr>
              <w:t>其他</w:t>
            </w:r>
          </w:p>
        </w:tc>
        <w:tc>
          <w:tcPr>
            <w:tcW w:w="666" w:type="dxa"/>
            <w:tcBorders>
              <w:top w:val="single" w:color="auto" w:sz="4" w:space="0"/>
              <w:left w:val="single" w:color="auto" w:sz="4" w:space="0"/>
              <w:bottom w:val="single" w:color="auto" w:sz="4" w:space="0"/>
              <w:right w:val="single" w:color="auto" w:sz="4" w:space="0"/>
            </w:tcBorders>
            <w:vAlign w:val="center"/>
          </w:tcPr>
          <w:p w14:paraId="3568EBC7">
            <w:pPr>
              <w:pStyle w:val="53"/>
              <w:rPr>
                <w:highlight w:val="none"/>
              </w:rPr>
            </w:pPr>
            <w:r>
              <w:rPr>
                <w:rFonts w:hint="eastAsia"/>
                <w:highlight w:val="none"/>
              </w:rPr>
              <w:t>62</w:t>
            </w:r>
          </w:p>
        </w:tc>
        <w:tc>
          <w:tcPr>
            <w:tcW w:w="2034" w:type="dxa"/>
            <w:gridSpan w:val="2"/>
            <w:tcBorders>
              <w:top w:val="single" w:color="auto" w:sz="4" w:space="0"/>
              <w:left w:val="single" w:color="auto" w:sz="4" w:space="0"/>
              <w:bottom w:val="single" w:color="auto" w:sz="4" w:space="0"/>
              <w:right w:val="single" w:color="auto" w:sz="4" w:space="0"/>
            </w:tcBorders>
            <w:vAlign w:val="center"/>
          </w:tcPr>
          <w:p w14:paraId="69FE8D8C">
            <w:pPr>
              <w:pStyle w:val="53"/>
              <w:rPr>
                <w:highlight w:val="none"/>
              </w:rPr>
            </w:pPr>
            <w:r>
              <w:rPr>
                <w:rFonts w:hint="eastAsia"/>
                <w:highlight w:val="none"/>
              </w:rPr>
              <w:t>风速仪</w:t>
            </w:r>
          </w:p>
        </w:tc>
        <w:tc>
          <w:tcPr>
            <w:tcW w:w="3419" w:type="dxa"/>
            <w:gridSpan w:val="3"/>
            <w:tcBorders>
              <w:top w:val="single" w:color="auto" w:sz="4" w:space="0"/>
              <w:left w:val="single" w:color="auto" w:sz="4" w:space="0"/>
              <w:bottom w:val="single" w:color="auto" w:sz="4" w:space="0"/>
              <w:right w:val="single" w:color="auto" w:sz="4" w:space="0"/>
            </w:tcBorders>
            <w:vAlign w:val="center"/>
          </w:tcPr>
          <w:p w14:paraId="6CA4EFE7">
            <w:pPr>
              <w:pStyle w:val="53"/>
              <w:rPr>
                <w:highlight w:val="none"/>
              </w:rPr>
            </w:pPr>
            <w:r>
              <w:rPr>
                <w:rFonts w:hint="eastAsia"/>
                <w:highlight w:val="none"/>
              </w:rPr>
              <w:t>臂架根部铰点高于50m时应设置</w:t>
            </w:r>
          </w:p>
        </w:tc>
        <w:tc>
          <w:tcPr>
            <w:tcW w:w="1103" w:type="dxa"/>
            <w:tcBorders>
              <w:top w:val="single" w:color="auto" w:sz="4" w:space="0"/>
              <w:left w:val="single" w:color="auto" w:sz="4" w:space="0"/>
              <w:bottom w:val="single" w:color="auto" w:sz="4" w:space="0"/>
              <w:right w:val="single" w:color="auto" w:sz="4" w:space="0"/>
            </w:tcBorders>
            <w:vAlign w:val="center"/>
          </w:tcPr>
          <w:p w14:paraId="15A15BF7">
            <w:pPr>
              <w:pStyle w:val="53"/>
              <w:rPr>
                <w:highlight w:val="none"/>
              </w:rPr>
            </w:pPr>
          </w:p>
        </w:tc>
        <w:tc>
          <w:tcPr>
            <w:tcW w:w="1092" w:type="dxa"/>
            <w:tcBorders>
              <w:top w:val="single" w:color="auto" w:sz="4" w:space="0"/>
              <w:left w:val="single" w:color="auto" w:sz="4" w:space="0"/>
              <w:bottom w:val="single" w:color="auto" w:sz="4" w:space="0"/>
              <w:right w:val="single" w:color="auto" w:sz="4" w:space="0"/>
            </w:tcBorders>
            <w:vAlign w:val="center"/>
          </w:tcPr>
          <w:p w14:paraId="37FBCDB4">
            <w:pPr>
              <w:pStyle w:val="53"/>
              <w:rPr>
                <w:highlight w:val="none"/>
              </w:rPr>
            </w:pPr>
          </w:p>
        </w:tc>
      </w:tr>
      <w:tr w14:paraId="50878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500" w:type="dxa"/>
            <w:gridSpan w:val="9"/>
            <w:tcBorders>
              <w:top w:val="single" w:color="auto" w:sz="4" w:space="0"/>
              <w:left w:val="single" w:color="auto" w:sz="4" w:space="0"/>
              <w:bottom w:val="single" w:color="auto" w:sz="4" w:space="0"/>
              <w:right w:val="single" w:color="auto" w:sz="4" w:space="0"/>
            </w:tcBorders>
            <w:vAlign w:val="center"/>
          </w:tcPr>
          <w:p w14:paraId="42A69FFF">
            <w:pPr>
              <w:pStyle w:val="53"/>
              <w:rPr>
                <w:highlight w:val="none"/>
              </w:rPr>
            </w:pPr>
            <w:r>
              <w:rPr>
                <w:rFonts w:hint="eastAsia"/>
                <w:highlight w:val="none"/>
              </w:rPr>
              <w:t>检查结果</w:t>
            </w:r>
          </w:p>
        </w:tc>
      </w:tr>
      <w:tr w14:paraId="67D86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46" w:type="dxa"/>
            <w:gridSpan w:val="3"/>
            <w:tcBorders>
              <w:top w:val="single" w:color="auto" w:sz="4" w:space="0"/>
              <w:left w:val="single" w:color="auto" w:sz="4" w:space="0"/>
              <w:bottom w:val="single" w:color="auto" w:sz="4" w:space="0"/>
              <w:right w:val="single" w:color="auto" w:sz="4" w:space="0"/>
            </w:tcBorders>
            <w:vAlign w:val="center"/>
          </w:tcPr>
          <w:p w14:paraId="2AE0CFFC">
            <w:pPr>
              <w:pStyle w:val="53"/>
              <w:rPr>
                <w:highlight w:val="none"/>
              </w:rPr>
            </w:pPr>
            <w:r>
              <w:rPr>
                <w:rFonts w:hint="eastAsia"/>
                <w:highlight w:val="none"/>
              </w:rPr>
              <w:t>保证项目不合格项数</w:t>
            </w:r>
          </w:p>
        </w:tc>
        <w:tc>
          <w:tcPr>
            <w:tcW w:w="2522" w:type="dxa"/>
            <w:gridSpan w:val="2"/>
            <w:tcBorders>
              <w:top w:val="single" w:color="auto" w:sz="4" w:space="0"/>
              <w:left w:val="single" w:color="auto" w:sz="4" w:space="0"/>
              <w:bottom w:val="single" w:color="auto" w:sz="4" w:space="0"/>
              <w:right w:val="single" w:color="auto" w:sz="4" w:space="0"/>
            </w:tcBorders>
            <w:vAlign w:val="center"/>
          </w:tcPr>
          <w:p w14:paraId="708F9BDA">
            <w:pPr>
              <w:pStyle w:val="53"/>
              <w:rPr>
                <w:highlight w:val="none"/>
              </w:rPr>
            </w:pPr>
          </w:p>
        </w:tc>
        <w:tc>
          <w:tcPr>
            <w:tcW w:w="2337" w:type="dxa"/>
            <w:gridSpan w:val="2"/>
            <w:tcBorders>
              <w:top w:val="single" w:color="auto" w:sz="4" w:space="0"/>
              <w:left w:val="single" w:color="auto" w:sz="4" w:space="0"/>
              <w:bottom w:val="single" w:color="auto" w:sz="4" w:space="0"/>
              <w:right w:val="single" w:color="auto" w:sz="4" w:space="0"/>
            </w:tcBorders>
            <w:vAlign w:val="center"/>
          </w:tcPr>
          <w:p w14:paraId="70A580E4">
            <w:pPr>
              <w:pStyle w:val="53"/>
              <w:rPr>
                <w:highlight w:val="none"/>
              </w:rPr>
            </w:pPr>
            <w:r>
              <w:rPr>
                <w:rFonts w:hint="eastAsia"/>
                <w:highlight w:val="none"/>
              </w:rPr>
              <w:t>一般项目不合格项数</w:t>
            </w:r>
          </w:p>
        </w:tc>
        <w:tc>
          <w:tcPr>
            <w:tcW w:w="2195" w:type="dxa"/>
            <w:gridSpan w:val="2"/>
            <w:tcBorders>
              <w:top w:val="single" w:color="auto" w:sz="4" w:space="0"/>
              <w:left w:val="single" w:color="auto" w:sz="4" w:space="0"/>
              <w:bottom w:val="single" w:color="auto" w:sz="4" w:space="0"/>
              <w:right w:val="single" w:color="auto" w:sz="4" w:space="0"/>
            </w:tcBorders>
            <w:vAlign w:val="center"/>
          </w:tcPr>
          <w:p w14:paraId="5542D08C">
            <w:pPr>
              <w:pStyle w:val="53"/>
              <w:rPr>
                <w:highlight w:val="none"/>
              </w:rPr>
            </w:pPr>
          </w:p>
        </w:tc>
      </w:tr>
      <w:tr w14:paraId="690B4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8" w:type="dxa"/>
            <w:gridSpan w:val="5"/>
            <w:tcBorders>
              <w:top w:val="single" w:color="auto" w:sz="4" w:space="0"/>
              <w:left w:val="single" w:color="auto" w:sz="4" w:space="0"/>
              <w:bottom w:val="single" w:color="auto" w:sz="4" w:space="0"/>
              <w:right w:val="single" w:color="auto" w:sz="4" w:space="0"/>
            </w:tcBorders>
            <w:vAlign w:val="center"/>
          </w:tcPr>
          <w:p w14:paraId="5BD5B655">
            <w:pPr>
              <w:pStyle w:val="53"/>
              <w:rPr>
                <w:kern w:val="0"/>
                <w:highlight w:val="none"/>
                <w:lang w:bidi="ar"/>
              </w:rPr>
            </w:pPr>
            <w:r>
              <w:rPr>
                <w:rFonts w:hint="eastAsia"/>
                <w:kern w:val="0"/>
                <w:highlight w:val="none"/>
                <w:lang w:bidi="ar"/>
              </w:rPr>
              <w:t>租赁单位意见：</w:t>
            </w:r>
          </w:p>
          <w:p w14:paraId="40FFF343">
            <w:pPr>
              <w:pStyle w:val="53"/>
              <w:rPr>
                <w:kern w:val="0"/>
                <w:highlight w:val="none"/>
                <w:lang w:bidi="ar"/>
              </w:rPr>
            </w:pPr>
          </w:p>
          <w:p w14:paraId="7183A9B0">
            <w:pPr>
              <w:pStyle w:val="53"/>
              <w:rPr>
                <w:kern w:val="0"/>
                <w:highlight w:val="none"/>
                <w:lang w:bidi="ar"/>
              </w:rPr>
            </w:pPr>
          </w:p>
          <w:p w14:paraId="2122549F">
            <w:pPr>
              <w:pStyle w:val="53"/>
              <w:rPr>
                <w:kern w:val="0"/>
                <w:highlight w:val="none"/>
                <w:lang w:bidi="ar"/>
              </w:rPr>
            </w:pPr>
            <w:r>
              <w:rPr>
                <w:rFonts w:hint="eastAsia"/>
                <w:kern w:val="0"/>
                <w:highlight w:val="none"/>
                <w:lang w:bidi="ar"/>
              </w:rPr>
              <w:t>租赁负责人（签字）：                      （盖章）</w:t>
            </w:r>
          </w:p>
          <w:p w14:paraId="76BE7E46">
            <w:pPr>
              <w:pStyle w:val="53"/>
              <w:rPr>
                <w:kern w:val="0"/>
                <w:highlight w:val="none"/>
                <w:lang w:bidi="ar"/>
              </w:rPr>
            </w:pPr>
          </w:p>
          <w:p w14:paraId="29AB35B5">
            <w:pPr>
              <w:pStyle w:val="53"/>
              <w:rPr>
                <w:highlight w:val="none"/>
              </w:rPr>
            </w:pPr>
            <w:r>
              <w:rPr>
                <w:rFonts w:hint="eastAsia"/>
                <w:kern w:val="0"/>
                <w:highlight w:val="none"/>
                <w:lang w:bidi="ar"/>
              </w:rPr>
              <w:t>年    月    日</w:t>
            </w:r>
          </w:p>
        </w:tc>
        <w:tc>
          <w:tcPr>
            <w:tcW w:w="4532" w:type="dxa"/>
            <w:gridSpan w:val="4"/>
            <w:tcBorders>
              <w:top w:val="single" w:color="auto" w:sz="4" w:space="0"/>
              <w:left w:val="single" w:color="auto" w:sz="4" w:space="0"/>
              <w:bottom w:val="single" w:color="auto" w:sz="4" w:space="0"/>
              <w:right w:val="single" w:color="auto" w:sz="4" w:space="0"/>
            </w:tcBorders>
            <w:vAlign w:val="center"/>
          </w:tcPr>
          <w:p w14:paraId="7618DB31">
            <w:pPr>
              <w:pStyle w:val="53"/>
              <w:rPr>
                <w:kern w:val="0"/>
                <w:highlight w:val="none"/>
                <w:lang w:bidi="ar"/>
              </w:rPr>
            </w:pPr>
            <w:r>
              <w:rPr>
                <w:rFonts w:hint="eastAsia"/>
                <w:kern w:val="0"/>
                <w:highlight w:val="none"/>
                <w:lang w:bidi="ar"/>
              </w:rPr>
              <w:t>使用单位意见：</w:t>
            </w:r>
          </w:p>
          <w:p w14:paraId="7CBAAFE9">
            <w:pPr>
              <w:pStyle w:val="53"/>
              <w:rPr>
                <w:kern w:val="0"/>
                <w:highlight w:val="none"/>
                <w:lang w:bidi="ar"/>
              </w:rPr>
            </w:pPr>
          </w:p>
          <w:p w14:paraId="4F5ED37E">
            <w:pPr>
              <w:pStyle w:val="53"/>
              <w:rPr>
                <w:kern w:val="0"/>
                <w:highlight w:val="none"/>
                <w:lang w:bidi="ar"/>
              </w:rPr>
            </w:pPr>
          </w:p>
          <w:p w14:paraId="52454DAD">
            <w:pPr>
              <w:pStyle w:val="53"/>
              <w:rPr>
                <w:kern w:val="0"/>
                <w:highlight w:val="none"/>
                <w:lang w:bidi="ar"/>
              </w:rPr>
            </w:pPr>
            <w:r>
              <w:rPr>
                <w:rFonts w:hint="eastAsia"/>
                <w:kern w:val="0"/>
                <w:highlight w:val="none"/>
                <w:lang w:bidi="ar"/>
              </w:rPr>
              <w:t>项目技术负责人或机械员（签字）            （盖章）</w:t>
            </w:r>
          </w:p>
          <w:p w14:paraId="47082B15">
            <w:pPr>
              <w:pStyle w:val="53"/>
              <w:rPr>
                <w:kern w:val="0"/>
                <w:highlight w:val="none"/>
                <w:lang w:bidi="ar"/>
              </w:rPr>
            </w:pPr>
          </w:p>
          <w:p w14:paraId="2E626858">
            <w:pPr>
              <w:pStyle w:val="53"/>
              <w:rPr>
                <w:highlight w:val="none"/>
              </w:rPr>
            </w:pPr>
            <w:r>
              <w:rPr>
                <w:rFonts w:hint="eastAsia"/>
                <w:kern w:val="0"/>
                <w:highlight w:val="none"/>
                <w:lang w:bidi="ar"/>
              </w:rPr>
              <w:t>年   月   日</w:t>
            </w:r>
          </w:p>
        </w:tc>
      </w:tr>
      <w:tr w14:paraId="110AA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968" w:type="dxa"/>
            <w:gridSpan w:val="5"/>
            <w:tcBorders>
              <w:top w:val="single" w:color="auto" w:sz="4" w:space="0"/>
              <w:left w:val="single" w:color="auto" w:sz="4" w:space="0"/>
              <w:bottom w:val="single" w:color="auto" w:sz="4" w:space="0"/>
              <w:right w:val="single" w:color="auto" w:sz="4" w:space="0"/>
            </w:tcBorders>
            <w:vAlign w:val="center"/>
          </w:tcPr>
          <w:p w14:paraId="4E72D416">
            <w:pPr>
              <w:pStyle w:val="53"/>
              <w:rPr>
                <w:kern w:val="0"/>
                <w:highlight w:val="none"/>
                <w:lang w:bidi="ar"/>
              </w:rPr>
            </w:pPr>
            <w:r>
              <w:rPr>
                <w:rFonts w:hint="eastAsia"/>
                <w:kern w:val="0"/>
                <w:highlight w:val="none"/>
                <w:lang w:bidi="ar"/>
              </w:rPr>
              <w:t>安装单位意见：</w:t>
            </w:r>
          </w:p>
          <w:p w14:paraId="2D7688AA">
            <w:pPr>
              <w:pStyle w:val="53"/>
              <w:rPr>
                <w:kern w:val="0"/>
                <w:highlight w:val="none"/>
                <w:lang w:bidi="ar"/>
              </w:rPr>
            </w:pPr>
          </w:p>
          <w:p w14:paraId="29852EAF">
            <w:pPr>
              <w:pStyle w:val="53"/>
              <w:rPr>
                <w:kern w:val="0"/>
                <w:highlight w:val="none"/>
                <w:lang w:bidi="ar"/>
              </w:rPr>
            </w:pPr>
          </w:p>
          <w:p w14:paraId="7E2B899A">
            <w:pPr>
              <w:pStyle w:val="53"/>
              <w:rPr>
                <w:kern w:val="0"/>
                <w:highlight w:val="none"/>
                <w:lang w:bidi="ar"/>
              </w:rPr>
            </w:pPr>
            <w:r>
              <w:rPr>
                <w:rFonts w:hint="eastAsia"/>
                <w:kern w:val="0"/>
                <w:highlight w:val="none"/>
                <w:lang w:bidi="ar"/>
              </w:rPr>
              <w:t xml:space="preserve"> 技术负责人（或受委托负责人）（签字）      （盖章）</w:t>
            </w:r>
          </w:p>
          <w:p w14:paraId="2E5A11B9">
            <w:pPr>
              <w:pStyle w:val="53"/>
              <w:rPr>
                <w:kern w:val="0"/>
                <w:highlight w:val="none"/>
                <w:lang w:bidi="ar"/>
              </w:rPr>
            </w:pPr>
          </w:p>
          <w:p w14:paraId="7E977483">
            <w:pPr>
              <w:pStyle w:val="53"/>
              <w:rPr>
                <w:highlight w:val="none"/>
              </w:rPr>
            </w:pPr>
            <w:r>
              <w:rPr>
                <w:rFonts w:hint="eastAsia"/>
                <w:kern w:val="0"/>
                <w:highlight w:val="none"/>
                <w:lang w:bidi="ar"/>
              </w:rPr>
              <w:t>年    月    日</w:t>
            </w:r>
          </w:p>
        </w:tc>
        <w:tc>
          <w:tcPr>
            <w:tcW w:w="4532" w:type="dxa"/>
            <w:gridSpan w:val="4"/>
            <w:tcBorders>
              <w:top w:val="single" w:color="auto" w:sz="4" w:space="0"/>
              <w:left w:val="single" w:color="auto" w:sz="4" w:space="0"/>
              <w:bottom w:val="single" w:color="auto" w:sz="4" w:space="0"/>
              <w:right w:val="single" w:color="auto" w:sz="4" w:space="0"/>
            </w:tcBorders>
            <w:vAlign w:val="center"/>
          </w:tcPr>
          <w:p w14:paraId="27DFB6F4">
            <w:pPr>
              <w:pStyle w:val="53"/>
              <w:rPr>
                <w:kern w:val="0"/>
                <w:highlight w:val="none"/>
                <w:lang w:bidi="ar"/>
              </w:rPr>
            </w:pPr>
            <w:r>
              <w:rPr>
                <w:rFonts w:hint="eastAsia"/>
                <w:kern w:val="0"/>
                <w:highlight w:val="none"/>
                <w:lang w:bidi="ar"/>
              </w:rPr>
              <w:t>监理单位意见：</w:t>
            </w:r>
          </w:p>
          <w:p w14:paraId="51A77B59">
            <w:pPr>
              <w:pStyle w:val="53"/>
              <w:rPr>
                <w:kern w:val="0"/>
                <w:highlight w:val="none"/>
                <w:lang w:bidi="ar"/>
              </w:rPr>
            </w:pPr>
          </w:p>
          <w:p w14:paraId="3EEC42D5">
            <w:pPr>
              <w:pStyle w:val="53"/>
              <w:rPr>
                <w:kern w:val="0"/>
                <w:highlight w:val="none"/>
                <w:lang w:bidi="ar"/>
              </w:rPr>
            </w:pPr>
          </w:p>
          <w:p w14:paraId="6537A996">
            <w:pPr>
              <w:pStyle w:val="53"/>
              <w:rPr>
                <w:kern w:val="0"/>
                <w:highlight w:val="none"/>
                <w:lang w:bidi="ar"/>
              </w:rPr>
            </w:pPr>
            <w:r>
              <w:rPr>
                <w:rFonts w:hint="eastAsia"/>
                <w:kern w:val="0"/>
                <w:highlight w:val="none"/>
                <w:lang w:bidi="ar"/>
              </w:rPr>
              <w:t>总监或专业监理工程师（签字）：             （盖章）</w:t>
            </w:r>
          </w:p>
          <w:p w14:paraId="6222FED9">
            <w:pPr>
              <w:pStyle w:val="53"/>
              <w:rPr>
                <w:kern w:val="0"/>
                <w:highlight w:val="none"/>
                <w:lang w:bidi="ar"/>
              </w:rPr>
            </w:pPr>
          </w:p>
          <w:p w14:paraId="75BC5491">
            <w:pPr>
              <w:pStyle w:val="53"/>
              <w:rPr>
                <w:highlight w:val="none"/>
              </w:rPr>
            </w:pPr>
            <w:r>
              <w:rPr>
                <w:rFonts w:hint="eastAsia"/>
                <w:kern w:val="0"/>
                <w:highlight w:val="none"/>
                <w:lang w:bidi="ar"/>
              </w:rPr>
              <w:t>年   月   日</w:t>
            </w:r>
          </w:p>
        </w:tc>
      </w:tr>
    </w:tbl>
    <w:p w14:paraId="51BDD441">
      <w:pPr>
        <w:pStyle w:val="3"/>
        <w:bidi w:val="0"/>
        <w:ind w:left="432" w:leftChars="0" w:hanging="432" w:firstLineChars="0"/>
        <w:rPr>
          <w:highlight w:val="none"/>
        </w:rPr>
      </w:pPr>
      <w:bookmarkStart w:id="118" w:name="_Toc14937"/>
      <w:bookmarkStart w:id="119" w:name="_Toc31953"/>
      <w:bookmarkStart w:id="120" w:name="_Toc24755"/>
      <w:r>
        <w:rPr>
          <w:rFonts w:hint="eastAsia"/>
          <w:highlight w:val="none"/>
        </w:rPr>
        <w:t>应急处置措施</w:t>
      </w:r>
      <w:bookmarkEnd w:id="118"/>
      <w:bookmarkEnd w:id="119"/>
      <w:bookmarkEnd w:id="120"/>
    </w:p>
    <w:p w14:paraId="4629031B">
      <w:pPr>
        <w:pStyle w:val="4"/>
        <w:bidi w:val="0"/>
        <w:ind w:left="0" w:leftChars="0" w:firstLine="0" w:firstLineChars="0"/>
        <w:rPr>
          <w:highlight w:val="none"/>
        </w:rPr>
      </w:pPr>
      <w:bookmarkStart w:id="121" w:name="_Toc23556"/>
      <w:bookmarkStart w:id="122" w:name="_Toc4956"/>
      <w:bookmarkStart w:id="123" w:name="_Toc102481275"/>
      <w:bookmarkStart w:id="124" w:name="_Toc18673"/>
      <w:bookmarkStart w:id="125" w:name="_Toc40778454"/>
      <w:bookmarkStart w:id="126" w:name="_Toc27559"/>
      <w:bookmarkStart w:id="127" w:name="_Toc121344359"/>
      <w:bookmarkStart w:id="128" w:name="_Toc28613977"/>
      <w:bookmarkStart w:id="129" w:name="_Toc102481224"/>
      <w:bookmarkStart w:id="130" w:name="_Toc102825399"/>
      <w:r>
        <w:rPr>
          <w:rFonts w:hint="eastAsia"/>
          <w:highlight w:val="none"/>
        </w:rPr>
        <w:t>组织机构</w:t>
      </w:r>
      <w:bookmarkEnd w:id="121"/>
      <w:bookmarkEnd w:id="122"/>
      <w:bookmarkEnd w:id="123"/>
      <w:bookmarkEnd w:id="124"/>
      <w:bookmarkEnd w:id="125"/>
      <w:bookmarkEnd w:id="126"/>
      <w:bookmarkEnd w:id="127"/>
      <w:bookmarkEnd w:id="128"/>
      <w:bookmarkEnd w:id="129"/>
      <w:bookmarkEnd w:id="130"/>
    </w:p>
    <w:p w14:paraId="289AEC52">
      <w:pPr>
        <w:ind w:firstLine="480"/>
        <w:rPr>
          <w:highlight w:val="none"/>
        </w:rPr>
      </w:pPr>
      <w:r>
        <w:rPr>
          <w:rFonts w:hint="eastAsia"/>
          <w:highlight w:val="none"/>
        </w:rPr>
        <w:t>根据本施工工程成立应急管理组织机构，其人员组成、工作职责详见表9.1-1所示.</w:t>
      </w:r>
    </w:p>
    <w:p w14:paraId="35D25C68">
      <w:pPr>
        <w:pStyle w:val="97"/>
        <w:rPr>
          <w:b/>
          <w:bCs/>
          <w:highlight w:val="none"/>
        </w:rPr>
      </w:pPr>
      <w:r>
        <w:rPr>
          <w:rFonts w:hint="eastAsia"/>
          <w:highlight w:val="none"/>
        </w:rPr>
        <w:t>表9.1-1应急管理组织机构</w:t>
      </w:r>
    </w:p>
    <w:tbl>
      <w:tblPr>
        <w:tblStyle w:val="3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01"/>
        <w:gridCol w:w="2150"/>
        <w:gridCol w:w="890"/>
        <w:gridCol w:w="4476"/>
        <w:gridCol w:w="505"/>
      </w:tblGrid>
      <w:tr w14:paraId="61D566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294" w:type="pct"/>
            <w:shd w:val="clear" w:color="auto" w:fill="auto"/>
            <w:vAlign w:val="center"/>
          </w:tcPr>
          <w:p w14:paraId="44910DBB">
            <w:pPr>
              <w:spacing w:line="240" w:lineRule="auto"/>
              <w:ind w:firstLine="0" w:firstLineChars="0"/>
              <w:jc w:val="center"/>
              <w:rPr>
                <w:b/>
                <w:sz w:val="21"/>
                <w:highlight w:val="none"/>
              </w:rPr>
            </w:pPr>
            <w:r>
              <w:rPr>
                <w:rFonts w:hint="eastAsia"/>
                <w:b/>
                <w:sz w:val="21"/>
                <w:highlight w:val="none"/>
              </w:rPr>
              <w:t>序号</w:t>
            </w:r>
          </w:p>
        </w:tc>
        <w:tc>
          <w:tcPr>
            <w:tcW w:w="1261" w:type="pct"/>
            <w:shd w:val="clear" w:color="auto" w:fill="auto"/>
            <w:vAlign w:val="center"/>
          </w:tcPr>
          <w:p w14:paraId="3AA1DC5B">
            <w:pPr>
              <w:spacing w:line="240" w:lineRule="auto"/>
              <w:ind w:firstLine="0" w:firstLineChars="0"/>
              <w:jc w:val="center"/>
              <w:rPr>
                <w:b/>
                <w:bCs/>
                <w:sz w:val="21"/>
                <w:highlight w:val="none"/>
              </w:rPr>
            </w:pPr>
            <w:r>
              <w:rPr>
                <w:rFonts w:hint="eastAsia"/>
                <w:b/>
                <w:bCs/>
                <w:sz w:val="21"/>
                <w:highlight w:val="none"/>
              </w:rPr>
              <w:t>岗位</w:t>
            </w:r>
          </w:p>
        </w:tc>
        <w:tc>
          <w:tcPr>
            <w:tcW w:w="522" w:type="pct"/>
            <w:shd w:val="clear" w:color="auto" w:fill="auto"/>
            <w:vAlign w:val="center"/>
          </w:tcPr>
          <w:p w14:paraId="235631DF">
            <w:pPr>
              <w:spacing w:line="240" w:lineRule="auto"/>
              <w:ind w:firstLine="0" w:firstLineChars="0"/>
              <w:jc w:val="center"/>
              <w:rPr>
                <w:b/>
                <w:sz w:val="21"/>
                <w:highlight w:val="none"/>
              </w:rPr>
            </w:pPr>
            <w:r>
              <w:rPr>
                <w:rFonts w:hint="eastAsia"/>
                <w:b/>
                <w:bCs/>
                <w:sz w:val="21"/>
                <w:highlight w:val="none"/>
              </w:rPr>
              <w:t>姓名</w:t>
            </w:r>
          </w:p>
        </w:tc>
        <w:tc>
          <w:tcPr>
            <w:tcW w:w="2625" w:type="pct"/>
            <w:shd w:val="clear" w:color="auto" w:fill="auto"/>
            <w:vAlign w:val="center"/>
          </w:tcPr>
          <w:p w14:paraId="28244BCA">
            <w:pPr>
              <w:spacing w:line="240" w:lineRule="auto"/>
              <w:ind w:firstLine="0" w:firstLineChars="0"/>
              <w:jc w:val="center"/>
              <w:rPr>
                <w:b/>
                <w:sz w:val="21"/>
                <w:highlight w:val="none"/>
              </w:rPr>
            </w:pPr>
            <w:r>
              <w:rPr>
                <w:rFonts w:hint="eastAsia"/>
                <w:b/>
                <w:sz w:val="21"/>
                <w:highlight w:val="none"/>
              </w:rPr>
              <w:t>工作职责</w:t>
            </w:r>
          </w:p>
        </w:tc>
        <w:tc>
          <w:tcPr>
            <w:tcW w:w="296" w:type="pct"/>
            <w:shd w:val="clear" w:color="auto" w:fill="auto"/>
            <w:vAlign w:val="center"/>
          </w:tcPr>
          <w:p w14:paraId="66BE61C3">
            <w:pPr>
              <w:spacing w:line="240" w:lineRule="auto"/>
              <w:ind w:firstLine="0" w:firstLineChars="0"/>
              <w:jc w:val="center"/>
              <w:rPr>
                <w:b/>
                <w:sz w:val="21"/>
                <w:highlight w:val="none"/>
              </w:rPr>
            </w:pPr>
            <w:r>
              <w:rPr>
                <w:rFonts w:hint="eastAsia"/>
                <w:b/>
                <w:sz w:val="21"/>
                <w:highlight w:val="none"/>
              </w:rPr>
              <w:t>备注</w:t>
            </w:r>
          </w:p>
        </w:tc>
      </w:tr>
      <w:tr w14:paraId="79FC3F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6825E421">
            <w:pPr>
              <w:numPr>
                <w:ilvl w:val="0"/>
                <w:numId w:val="43"/>
              </w:numPr>
              <w:spacing w:line="240" w:lineRule="auto"/>
              <w:ind w:firstLineChars="0"/>
              <w:jc w:val="center"/>
              <w:rPr>
                <w:sz w:val="21"/>
                <w:highlight w:val="none"/>
              </w:rPr>
            </w:pPr>
          </w:p>
        </w:tc>
        <w:tc>
          <w:tcPr>
            <w:tcW w:w="1261" w:type="pct"/>
            <w:shd w:val="clear" w:color="auto" w:fill="auto"/>
            <w:vAlign w:val="center"/>
          </w:tcPr>
          <w:p w14:paraId="248ECC1A">
            <w:pPr>
              <w:pStyle w:val="53"/>
              <w:rPr>
                <w:b w:val="0"/>
                <w:highlight w:val="none"/>
              </w:rPr>
            </w:pPr>
            <w:r>
              <w:rPr>
                <w:rFonts w:hint="eastAsia"/>
                <w:b w:val="0"/>
                <w:highlight w:val="none"/>
              </w:rPr>
              <w:t>技术负责人</w:t>
            </w:r>
          </w:p>
        </w:tc>
        <w:tc>
          <w:tcPr>
            <w:tcW w:w="522" w:type="pct"/>
            <w:shd w:val="clear" w:color="auto" w:fill="auto"/>
            <w:vAlign w:val="center"/>
          </w:tcPr>
          <w:p w14:paraId="3074305E">
            <w:pPr>
              <w:pStyle w:val="53"/>
              <w:rPr>
                <w:b w:val="0"/>
                <w:highlight w:val="none"/>
              </w:rPr>
            </w:pPr>
            <w:r>
              <w:rPr>
                <w:rFonts w:hint="eastAsia"/>
                <w:b w:val="0"/>
                <w:highlight w:val="none"/>
              </w:rPr>
              <w:t>温涛</w:t>
            </w:r>
          </w:p>
        </w:tc>
        <w:tc>
          <w:tcPr>
            <w:tcW w:w="2625" w:type="pct"/>
            <w:shd w:val="clear" w:color="auto" w:fill="auto"/>
            <w:vAlign w:val="center"/>
          </w:tcPr>
          <w:p w14:paraId="3934917D">
            <w:pPr>
              <w:pStyle w:val="53"/>
              <w:rPr>
                <w:b w:val="0"/>
                <w:highlight w:val="none"/>
              </w:rPr>
            </w:pPr>
            <w:r>
              <w:rPr>
                <w:rStyle w:val="220"/>
                <w:rFonts w:hint="eastAsia" w:cstheme="minorBidi"/>
                <w:b w:val="0"/>
                <w:color w:val="000000"/>
                <w:highlight w:val="none"/>
              </w:rPr>
              <w:t>技术负责人负责制定塔吊安装方案的技术细节，包括安装流程、技术参数、安全技术措施等内容；同时，在安装过程中提供技术指导，解决各类技术问题，监督技术方案执行情况并及时调整优化。</w:t>
            </w:r>
          </w:p>
        </w:tc>
        <w:tc>
          <w:tcPr>
            <w:tcW w:w="296" w:type="pct"/>
            <w:shd w:val="clear" w:color="auto" w:fill="auto"/>
            <w:vAlign w:val="center"/>
          </w:tcPr>
          <w:p w14:paraId="729E59CA">
            <w:pPr>
              <w:spacing w:line="240" w:lineRule="auto"/>
              <w:ind w:firstLine="0" w:firstLineChars="0"/>
              <w:jc w:val="center"/>
              <w:rPr>
                <w:sz w:val="21"/>
                <w:highlight w:val="none"/>
              </w:rPr>
            </w:pPr>
          </w:p>
        </w:tc>
      </w:tr>
      <w:tr w14:paraId="6D97AE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16D61FAE">
            <w:pPr>
              <w:numPr>
                <w:ilvl w:val="0"/>
                <w:numId w:val="43"/>
              </w:numPr>
              <w:spacing w:line="240" w:lineRule="auto"/>
              <w:ind w:firstLineChars="0"/>
              <w:jc w:val="center"/>
              <w:rPr>
                <w:sz w:val="21"/>
                <w:highlight w:val="none"/>
              </w:rPr>
            </w:pPr>
          </w:p>
        </w:tc>
        <w:tc>
          <w:tcPr>
            <w:tcW w:w="1261" w:type="pct"/>
            <w:shd w:val="clear" w:color="auto" w:fill="auto"/>
            <w:vAlign w:val="center"/>
          </w:tcPr>
          <w:p w14:paraId="2ABF75F5">
            <w:pPr>
              <w:pStyle w:val="53"/>
              <w:rPr>
                <w:b w:val="0"/>
                <w:highlight w:val="none"/>
              </w:rPr>
            </w:pPr>
            <w:r>
              <w:rPr>
                <w:rFonts w:hint="eastAsia"/>
                <w:b w:val="0"/>
                <w:highlight w:val="none"/>
              </w:rPr>
              <w:t>项目负责人</w:t>
            </w:r>
          </w:p>
        </w:tc>
        <w:tc>
          <w:tcPr>
            <w:tcW w:w="522" w:type="pct"/>
            <w:shd w:val="clear" w:color="auto" w:fill="auto"/>
            <w:vAlign w:val="center"/>
          </w:tcPr>
          <w:p w14:paraId="6FD7FC12">
            <w:pPr>
              <w:pStyle w:val="53"/>
              <w:rPr>
                <w:b w:val="0"/>
                <w:highlight w:val="none"/>
              </w:rPr>
            </w:pPr>
            <w:r>
              <w:rPr>
                <w:rFonts w:hint="eastAsia"/>
                <w:b w:val="0"/>
                <w:highlight w:val="none"/>
              </w:rPr>
              <w:t>吕仕昌</w:t>
            </w:r>
          </w:p>
        </w:tc>
        <w:tc>
          <w:tcPr>
            <w:tcW w:w="2625" w:type="pct"/>
            <w:shd w:val="clear" w:color="auto" w:fill="auto"/>
            <w:vAlign w:val="center"/>
          </w:tcPr>
          <w:p w14:paraId="0E9CFFD1">
            <w:pPr>
              <w:pStyle w:val="53"/>
              <w:rPr>
                <w:b w:val="0"/>
                <w:highlight w:val="none"/>
              </w:rPr>
            </w:pPr>
            <w:r>
              <w:rPr>
                <w:rFonts w:hint="eastAsia"/>
                <w:b w:val="0"/>
                <w:highlight w:val="none"/>
              </w:rPr>
              <w:t>负责现场安拆指导及安全管理</w:t>
            </w:r>
          </w:p>
        </w:tc>
        <w:tc>
          <w:tcPr>
            <w:tcW w:w="296" w:type="pct"/>
            <w:shd w:val="clear" w:color="auto" w:fill="auto"/>
            <w:vAlign w:val="center"/>
          </w:tcPr>
          <w:p w14:paraId="1F0DD619">
            <w:pPr>
              <w:spacing w:line="240" w:lineRule="auto"/>
              <w:ind w:firstLine="0" w:firstLineChars="0"/>
              <w:jc w:val="center"/>
              <w:rPr>
                <w:sz w:val="21"/>
                <w:highlight w:val="none"/>
              </w:rPr>
            </w:pPr>
          </w:p>
        </w:tc>
      </w:tr>
      <w:tr w14:paraId="07704D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4310763E">
            <w:pPr>
              <w:numPr>
                <w:ilvl w:val="0"/>
                <w:numId w:val="43"/>
              </w:numPr>
              <w:spacing w:line="240" w:lineRule="auto"/>
              <w:ind w:firstLineChars="0"/>
              <w:jc w:val="center"/>
              <w:rPr>
                <w:sz w:val="21"/>
                <w:highlight w:val="none"/>
              </w:rPr>
            </w:pPr>
          </w:p>
        </w:tc>
        <w:tc>
          <w:tcPr>
            <w:tcW w:w="1261" w:type="pct"/>
            <w:shd w:val="clear" w:color="auto" w:fill="auto"/>
            <w:vAlign w:val="center"/>
          </w:tcPr>
          <w:p w14:paraId="7A378424">
            <w:pPr>
              <w:pStyle w:val="53"/>
              <w:rPr>
                <w:b w:val="0"/>
                <w:highlight w:val="none"/>
              </w:rPr>
            </w:pPr>
            <w:r>
              <w:rPr>
                <w:rFonts w:hint="eastAsia"/>
                <w:b w:val="0"/>
                <w:highlight w:val="none"/>
              </w:rPr>
              <w:t>现场负责人</w:t>
            </w:r>
          </w:p>
        </w:tc>
        <w:tc>
          <w:tcPr>
            <w:tcW w:w="522" w:type="pct"/>
            <w:shd w:val="clear" w:color="auto" w:fill="auto"/>
            <w:vAlign w:val="center"/>
          </w:tcPr>
          <w:p w14:paraId="2224788A">
            <w:pPr>
              <w:pStyle w:val="53"/>
              <w:rPr>
                <w:b w:val="0"/>
                <w:highlight w:val="none"/>
              </w:rPr>
            </w:pPr>
            <w:r>
              <w:rPr>
                <w:rFonts w:hint="eastAsia"/>
                <w:b w:val="0"/>
                <w:highlight w:val="none"/>
              </w:rPr>
              <w:t>罗乾龙</w:t>
            </w:r>
          </w:p>
        </w:tc>
        <w:tc>
          <w:tcPr>
            <w:tcW w:w="2625" w:type="pct"/>
            <w:shd w:val="clear" w:color="auto" w:fill="auto"/>
            <w:vAlign w:val="center"/>
          </w:tcPr>
          <w:p w14:paraId="16D78940">
            <w:pPr>
              <w:pStyle w:val="53"/>
              <w:rPr>
                <w:b w:val="0"/>
                <w:highlight w:val="none"/>
              </w:rPr>
            </w:pPr>
            <w:r>
              <w:rPr>
                <w:rFonts w:hint="eastAsia"/>
                <w:b w:val="0"/>
                <w:highlight w:val="none"/>
              </w:rPr>
              <w:t>负责组织人员按安装工艺规程及塔吊使用说明书要求进行作业，负责每日的工作安排，安全交底、工作记录，制止任何违章作业。</w:t>
            </w:r>
          </w:p>
        </w:tc>
        <w:tc>
          <w:tcPr>
            <w:tcW w:w="296" w:type="pct"/>
            <w:shd w:val="clear" w:color="auto" w:fill="auto"/>
            <w:vAlign w:val="center"/>
          </w:tcPr>
          <w:p w14:paraId="23E8AD6C">
            <w:pPr>
              <w:spacing w:line="240" w:lineRule="auto"/>
              <w:ind w:firstLine="0" w:firstLineChars="0"/>
              <w:jc w:val="center"/>
              <w:rPr>
                <w:sz w:val="21"/>
                <w:highlight w:val="none"/>
              </w:rPr>
            </w:pPr>
          </w:p>
        </w:tc>
      </w:tr>
      <w:tr w14:paraId="291A56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3A0FC4DB">
            <w:pPr>
              <w:numPr>
                <w:ilvl w:val="0"/>
                <w:numId w:val="43"/>
              </w:numPr>
              <w:spacing w:line="240" w:lineRule="auto"/>
              <w:ind w:firstLineChars="0"/>
              <w:jc w:val="center"/>
              <w:rPr>
                <w:sz w:val="21"/>
                <w:highlight w:val="none"/>
              </w:rPr>
            </w:pPr>
          </w:p>
        </w:tc>
        <w:tc>
          <w:tcPr>
            <w:tcW w:w="1261" w:type="pct"/>
            <w:shd w:val="clear" w:color="auto" w:fill="auto"/>
            <w:vAlign w:val="center"/>
          </w:tcPr>
          <w:p w14:paraId="0EE5359B">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22" w:type="pct"/>
            <w:shd w:val="clear" w:color="auto" w:fill="auto"/>
            <w:vAlign w:val="center"/>
          </w:tcPr>
          <w:p w14:paraId="50E1AA87">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胡杰</w:t>
            </w:r>
          </w:p>
        </w:tc>
        <w:tc>
          <w:tcPr>
            <w:tcW w:w="2625" w:type="pct"/>
            <w:shd w:val="clear" w:color="auto" w:fill="auto"/>
            <w:vAlign w:val="center"/>
          </w:tcPr>
          <w:p w14:paraId="3A79DE1D">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w:t>
            </w:r>
          </w:p>
          <w:p w14:paraId="4C6B9D30">
            <w:pPr>
              <w:spacing w:line="240" w:lineRule="auto"/>
              <w:ind w:firstLine="0" w:firstLineChars="0"/>
              <w:jc w:val="center"/>
              <w:rPr>
                <w:bCs/>
                <w:color w:val="000000" w:themeColor="text1"/>
                <w:sz w:val="21"/>
                <w:highlight w:val="none"/>
                <w14:textFill>
                  <w14:solidFill>
                    <w14:schemeClr w14:val="tx1"/>
                  </w14:solidFill>
                </w14:textFill>
              </w:rPr>
            </w:pPr>
          </w:p>
          <w:p w14:paraId="19998576">
            <w:pPr>
              <w:spacing w:line="240" w:lineRule="auto"/>
              <w:ind w:firstLine="0" w:firstLineChars="0"/>
              <w:jc w:val="center"/>
              <w:rPr>
                <w:bCs/>
                <w:color w:val="000000" w:themeColor="text1"/>
                <w:sz w:val="21"/>
                <w:highlight w:val="none"/>
                <w14:textFill>
                  <w14:solidFill>
                    <w14:schemeClr w14:val="tx1"/>
                  </w14:solidFill>
                </w14:textFill>
              </w:rPr>
            </w:pPr>
          </w:p>
          <w:p w14:paraId="6595DE08">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及维保</w:t>
            </w:r>
          </w:p>
        </w:tc>
        <w:tc>
          <w:tcPr>
            <w:tcW w:w="296" w:type="pct"/>
            <w:shd w:val="clear" w:color="auto" w:fill="auto"/>
            <w:vAlign w:val="center"/>
          </w:tcPr>
          <w:p w14:paraId="547D5DA6">
            <w:pPr>
              <w:spacing w:line="240" w:lineRule="auto"/>
              <w:ind w:firstLine="0" w:firstLineChars="0"/>
              <w:jc w:val="center"/>
              <w:rPr>
                <w:sz w:val="21"/>
                <w:highlight w:val="none"/>
              </w:rPr>
            </w:pPr>
          </w:p>
        </w:tc>
      </w:tr>
      <w:tr w14:paraId="5A928C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2671EA40">
            <w:pPr>
              <w:numPr>
                <w:ilvl w:val="0"/>
                <w:numId w:val="43"/>
              </w:numPr>
              <w:spacing w:line="240" w:lineRule="auto"/>
              <w:ind w:firstLineChars="0"/>
              <w:jc w:val="center"/>
              <w:rPr>
                <w:sz w:val="21"/>
                <w:highlight w:val="none"/>
              </w:rPr>
            </w:pPr>
          </w:p>
        </w:tc>
        <w:tc>
          <w:tcPr>
            <w:tcW w:w="1261" w:type="pct"/>
            <w:shd w:val="clear" w:color="auto" w:fill="auto"/>
            <w:vAlign w:val="center"/>
          </w:tcPr>
          <w:p w14:paraId="22382FDE">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22" w:type="pct"/>
            <w:shd w:val="clear" w:color="auto" w:fill="auto"/>
            <w:vAlign w:val="center"/>
          </w:tcPr>
          <w:p w14:paraId="4C0564ED">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何小兵</w:t>
            </w:r>
          </w:p>
        </w:tc>
        <w:tc>
          <w:tcPr>
            <w:tcW w:w="2625" w:type="pct"/>
            <w:shd w:val="clear" w:color="auto" w:fill="auto"/>
            <w:vAlign w:val="center"/>
          </w:tcPr>
          <w:p w14:paraId="07A2220E">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负责设备安拆调试及维保</w:t>
            </w:r>
          </w:p>
        </w:tc>
        <w:tc>
          <w:tcPr>
            <w:tcW w:w="296" w:type="pct"/>
            <w:shd w:val="clear" w:color="auto" w:fill="auto"/>
            <w:vAlign w:val="center"/>
          </w:tcPr>
          <w:p w14:paraId="64726198">
            <w:pPr>
              <w:spacing w:line="240" w:lineRule="auto"/>
              <w:ind w:firstLine="0" w:firstLineChars="0"/>
              <w:jc w:val="center"/>
              <w:rPr>
                <w:sz w:val="21"/>
                <w:highlight w:val="none"/>
              </w:rPr>
            </w:pPr>
          </w:p>
        </w:tc>
      </w:tr>
      <w:tr w14:paraId="562DD0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2E6C6056">
            <w:pPr>
              <w:numPr>
                <w:ilvl w:val="0"/>
                <w:numId w:val="43"/>
              </w:numPr>
              <w:spacing w:line="240" w:lineRule="auto"/>
              <w:ind w:firstLineChars="0"/>
              <w:jc w:val="center"/>
              <w:rPr>
                <w:sz w:val="21"/>
                <w:highlight w:val="none"/>
              </w:rPr>
            </w:pPr>
          </w:p>
        </w:tc>
        <w:tc>
          <w:tcPr>
            <w:tcW w:w="1261" w:type="pct"/>
            <w:shd w:val="clear" w:color="auto" w:fill="auto"/>
            <w:vAlign w:val="center"/>
          </w:tcPr>
          <w:p w14:paraId="6DD3CB50">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22" w:type="pct"/>
            <w:shd w:val="clear" w:color="auto" w:fill="auto"/>
            <w:vAlign w:val="center"/>
          </w:tcPr>
          <w:p w14:paraId="20750B74">
            <w:pPr>
              <w:snapToGrid w:val="0"/>
              <w:spacing w:line="240" w:lineRule="auto"/>
              <w:ind w:firstLine="0" w:firstLineChars="0"/>
              <w:jc w:val="center"/>
              <w:rPr>
                <w:rFonts w:hint="eastAsia" w:eastAsia="宋体"/>
                <w:bCs/>
                <w:color w:val="000000" w:themeColor="text1"/>
                <w:sz w:val="21"/>
                <w:highlight w:val="none"/>
                <w:lang w:eastAsia="zh-CN"/>
                <w14:textFill>
                  <w14:solidFill>
                    <w14:schemeClr w14:val="tx1"/>
                  </w14:solidFill>
                </w14:textFill>
              </w:rPr>
            </w:pPr>
            <w:r>
              <w:rPr>
                <w:rFonts w:hint="eastAsia"/>
                <w:bCs/>
                <w:color w:val="000000" w:themeColor="text1"/>
                <w:sz w:val="21"/>
                <w:highlight w:val="none"/>
                <w:lang w:eastAsia="zh-CN"/>
                <w14:textFill>
                  <w14:solidFill>
                    <w14:schemeClr w14:val="tx1"/>
                  </w14:solidFill>
                </w14:textFill>
              </w:rPr>
              <w:t>李国林</w:t>
            </w:r>
          </w:p>
        </w:tc>
        <w:tc>
          <w:tcPr>
            <w:tcW w:w="2625" w:type="pct"/>
            <w:shd w:val="clear" w:color="auto" w:fill="auto"/>
            <w:vAlign w:val="center"/>
          </w:tcPr>
          <w:p w14:paraId="4F90F8CA">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负责设备安拆调试及维保</w:t>
            </w:r>
          </w:p>
        </w:tc>
        <w:tc>
          <w:tcPr>
            <w:tcW w:w="296" w:type="pct"/>
            <w:shd w:val="clear" w:color="auto" w:fill="auto"/>
            <w:vAlign w:val="center"/>
          </w:tcPr>
          <w:p w14:paraId="02FFEB98">
            <w:pPr>
              <w:spacing w:line="240" w:lineRule="auto"/>
              <w:ind w:firstLine="0" w:firstLineChars="0"/>
              <w:jc w:val="center"/>
              <w:rPr>
                <w:sz w:val="21"/>
                <w:highlight w:val="none"/>
              </w:rPr>
            </w:pPr>
          </w:p>
        </w:tc>
      </w:tr>
      <w:tr w14:paraId="58244F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11A0849E">
            <w:pPr>
              <w:numPr>
                <w:ilvl w:val="0"/>
                <w:numId w:val="43"/>
              </w:numPr>
              <w:spacing w:line="240" w:lineRule="auto"/>
              <w:ind w:firstLineChars="0"/>
              <w:jc w:val="center"/>
              <w:rPr>
                <w:sz w:val="21"/>
                <w:highlight w:val="none"/>
              </w:rPr>
            </w:pPr>
          </w:p>
        </w:tc>
        <w:tc>
          <w:tcPr>
            <w:tcW w:w="1261" w:type="pct"/>
            <w:shd w:val="clear" w:color="auto" w:fill="auto"/>
            <w:vAlign w:val="center"/>
          </w:tcPr>
          <w:p w14:paraId="24E3AA01">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22" w:type="pct"/>
            <w:shd w:val="clear" w:color="auto" w:fill="auto"/>
            <w:vAlign w:val="center"/>
          </w:tcPr>
          <w:p w14:paraId="618BB3CD">
            <w:pPr>
              <w:snapToGrid w:val="0"/>
              <w:spacing w:line="240" w:lineRule="auto"/>
              <w:ind w:firstLine="0" w:firstLineChars="0"/>
              <w:jc w:val="center"/>
              <w:rPr>
                <w:rFonts w:hint="eastAsia" w:eastAsia="宋体"/>
                <w:bCs/>
                <w:color w:val="000000" w:themeColor="text1"/>
                <w:sz w:val="21"/>
                <w:highlight w:val="none"/>
                <w:lang w:eastAsia="zh-CN"/>
                <w14:textFill>
                  <w14:solidFill>
                    <w14:schemeClr w14:val="tx1"/>
                  </w14:solidFill>
                </w14:textFill>
              </w:rPr>
            </w:pPr>
            <w:r>
              <w:rPr>
                <w:rFonts w:hint="eastAsia"/>
                <w:bCs/>
                <w:color w:val="000000" w:themeColor="text1"/>
                <w:sz w:val="21"/>
                <w:highlight w:val="none"/>
                <w:lang w:val="en-US" w:eastAsia="zh-CN"/>
                <w14:textFill>
                  <w14:solidFill>
                    <w14:schemeClr w14:val="tx1"/>
                  </w14:solidFill>
                </w14:textFill>
              </w:rPr>
              <w:t>薛强</w:t>
            </w:r>
          </w:p>
        </w:tc>
        <w:tc>
          <w:tcPr>
            <w:tcW w:w="2625" w:type="pct"/>
            <w:shd w:val="clear" w:color="auto" w:fill="auto"/>
            <w:vAlign w:val="center"/>
          </w:tcPr>
          <w:p w14:paraId="7AE7B1A0">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负责设备安拆调试及维保</w:t>
            </w:r>
          </w:p>
        </w:tc>
        <w:tc>
          <w:tcPr>
            <w:tcW w:w="296" w:type="pct"/>
            <w:shd w:val="clear" w:color="auto" w:fill="auto"/>
            <w:vAlign w:val="center"/>
          </w:tcPr>
          <w:p w14:paraId="6AFDE48E">
            <w:pPr>
              <w:spacing w:line="240" w:lineRule="auto"/>
              <w:ind w:firstLine="0" w:firstLineChars="0"/>
              <w:jc w:val="center"/>
              <w:rPr>
                <w:sz w:val="21"/>
                <w:highlight w:val="none"/>
              </w:rPr>
            </w:pPr>
          </w:p>
        </w:tc>
      </w:tr>
      <w:tr w14:paraId="05F9D5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548737E8">
            <w:pPr>
              <w:numPr>
                <w:ilvl w:val="0"/>
                <w:numId w:val="43"/>
              </w:numPr>
              <w:spacing w:line="240" w:lineRule="auto"/>
              <w:ind w:firstLineChars="0"/>
              <w:jc w:val="center"/>
              <w:rPr>
                <w:sz w:val="21"/>
                <w:highlight w:val="none"/>
              </w:rPr>
            </w:pPr>
          </w:p>
        </w:tc>
        <w:tc>
          <w:tcPr>
            <w:tcW w:w="1261" w:type="pct"/>
            <w:shd w:val="clear" w:color="auto" w:fill="auto"/>
            <w:vAlign w:val="center"/>
          </w:tcPr>
          <w:p w14:paraId="79D88E10">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建筑电工（维保人员）</w:t>
            </w:r>
          </w:p>
        </w:tc>
        <w:tc>
          <w:tcPr>
            <w:tcW w:w="522" w:type="pct"/>
            <w:shd w:val="clear" w:color="auto" w:fill="auto"/>
            <w:vAlign w:val="center"/>
          </w:tcPr>
          <w:p w14:paraId="306E01C2">
            <w:pPr>
              <w:snapToGrid w:val="0"/>
              <w:spacing w:line="240" w:lineRule="auto"/>
              <w:ind w:firstLine="0" w:firstLineChars="0"/>
              <w:jc w:val="center"/>
              <w:rPr>
                <w:rFonts w:hint="eastAsia" w:eastAsia="宋体"/>
                <w:bCs/>
                <w:color w:val="000000" w:themeColor="text1"/>
                <w:sz w:val="21"/>
                <w:highlight w:val="none"/>
                <w:lang w:eastAsia="zh-CN"/>
                <w14:textFill>
                  <w14:solidFill>
                    <w14:schemeClr w14:val="tx1"/>
                  </w14:solidFill>
                </w14:textFill>
              </w:rPr>
            </w:pPr>
            <w:r>
              <w:rPr>
                <w:rFonts w:hint="eastAsia"/>
                <w:bCs/>
                <w:color w:val="000000" w:themeColor="text1"/>
                <w:sz w:val="21"/>
                <w:highlight w:val="none"/>
                <w:lang w:eastAsia="zh-CN"/>
                <w14:textFill>
                  <w14:solidFill>
                    <w14:schemeClr w14:val="tx1"/>
                  </w14:solidFill>
                </w14:textFill>
              </w:rPr>
              <w:t>冯昌苹</w:t>
            </w:r>
          </w:p>
        </w:tc>
        <w:tc>
          <w:tcPr>
            <w:tcW w:w="2625" w:type="pct"/>
            <w:shd w:val="clear" w:color="auto" w:fill="auto"/>
            <w:vAlign w:val="center"/>
          </w:tcPr>
          <w:p w14:paraId="6C1384D0">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负责设备安拆电气调试及维保</w:t>
            </w:r>
          </w:p>
        </w:tc>
        <w:tc>
          <w:tcPr>
            <w:tcW w:w="296" w:type="pct"/>
            <w:shd w:val="clear" w:color="auto" w:fill="auto"/>
            <w:vAlign w:val="center"/>
          </w:tcPr>
          <w:p w14:paraId="2B9428C7">
            <w:pPr>
              <w:spacing w:line="240" w:lineRule="auto"/>
              <w:ind w:firstLine="0" w:firstLineChars="0"/>
              <w:jc w:val="center"/>
              <w:rPr>
                <w:sz w:val="21"/>
                <w:highlight w:val="none"/>
              </w:rPr>
            </w:pPr>
          </w:p>
        </w:tc>
      </w:tr>
    </w:tbl>
    <w:p w14:paraId="67E42F6A">
      <w:pPr>
        <w:pStyle w:val="5"/>
        <w:bidi w:val="0"/>
        <w:ind w:left="0" w:leftChars="0" w:firstLine="0" w:firstLineChars="0"/>
        <w:rPr>
          <w:highlight w:val="none"/>
        </w:rPr>
      </w:pPr>
      <w:r>
        <w:rPr>
          <w:rFonts w:hint="eastAsia"/>
          <w:highlight w:val="none"/>
        </w:rPr>
        <w:t>应急响应程序</w:t>
      </w:r>
    </w:p>
    <w:p w14:paraId="41A0CA02">
      <w:pPr>
        <w:ind w:firstLine="480"/>
        <w:rPr>
          <w:highlight w:val="none"/>
        </w:rPr>
      </w:pPr>
      <w:r>
        <w:rPr>
          <w:rFonts w:hint="eastAsia"/>
          <w:highlight w:val="none"/>
        </w:rPr>
        <w:t>事故应急救援系统的应急响应程序按照过程可分为接警、响应级别的确定、应急启动、救援行动、应急恢复和应急结束等几个过程。</w:t>
      </w:r>
    </w:p>
    <w:p w14:paraId="55E4DD5B">
      <w:pPr>
        <w:ind w:firstLine="480"/>
        <w:rPr>
          <w:highlight w:val="none"/>
        </w:rPr>
      </w:pPr>
      <w:r>
        <w:rPr>
          <w:rFonts w:hint="eastAsia"/>
          <w:highlight w:val="none"/>
        </w:rPr>
        <w:t>（1）</w:t>
      </w:r>
      <w:r>
        <w:rPr>
          <w:rFonts w:hint="eastAsia"/>
          <w:highlight w:val="none"/>
        </w:rPr>
        <w:tab/>
      </w:r>
      <w:r>
        <w:rPr>
          <w:rFonts w:hint="eastAsia"/>
          <w:highlight w:val="none"/>
        </w:rPr>
        <w:t>三级响应。事故事件类别为：一般等级以下事故。应急救援及处置由项目部主导和具体实施，所属分公司协助处理。</w:t>
      </w:r>
    </w:p>
    <w:p w14:paraId="31B28676">
      <w:pPr>
        <w:ind w:firstLine="480"/>
        <w:rPr>
          <w:highlight w:val="none"/>
        </w:rPr>
      </w:pPr>
      <w:r>
        <w:rPr>
          <w:rFonts w:hint="eastAsia"/>
          <w:highlight w:val="none"/>
        </w:rPr>
        <w:t>（2）</w:t>
      </w:r>
      <w:r>
        <w:rPr>
          <w:rFonts w:hint="eastAsia"/>
          <w:highlight w:val="none"/>
        </w:rPr>
        <w:tab/>
      </w:r>
      <w:r>
        <w:rPr>
          <w:rFonts w:hint="eastAsia"/>
          <w:highlight w:val="none"/>
        </w:rPr>
        <w:t>二级紧急情况。事故事件类别为：发生重伤事故或者可能造成较大伤害和影响的事故，且事态得以控制，不会造成严重社会影响。应急救援及处置协调由分公司主导，局综合协调，项目部具体实施。</w:t>
      </w:r>
    </w:p>
    <w:p w14:paraId="4EB12638">
      <w:pPr>
        <w:ind w:firstLine="480"/>
        <w:rPr>
          <w:highlight w:val="none"/>
        </w:rPr>
      </w:pPr>
      <w:r>
        <w:rPr>
          <w:rFonts w:hint="eastAsia"/>
          <w:highlight w:val="none"/>
        </w:rPr>
        <w:t>（3）</w:t>
      </w:r>
      <w:r>
        <w:rPr>
          <w:rFonts w:hint="eastAsia"/>
          <w:highlight w:val="none"/>
        </w:rPr>
        <w:tab/>
      </w:r>
      <w:r>
        <w:rPr>
          <w:rFonts w:hint="eastAsia"/>
          <w:highlight w:val="none"/>
        </w:rPr>
        <w:t>一级紧急情况。事故事件类别为：发生较大及以上等级生产安全事故；发生一般等级生产安全事故，但可能造成进一步损失或严重社会影响。应急救援及处置协调由二航局主导，分公司配合，项目部具体实施。</w:t>
      </w:r>
    </w:p>
    <w:p w14:paraId="5C35E202">
      <w:pPr>
        <w:pStyle w:val="5"/>
        <w:bidi w:val="0"/>
        <w:ind w:left="0" w:leftChars="0" w:firstLine="0" w:firstLineChars="0"/>
        <w:rPr>
          <w:highlight w:val="none"/>
        </w:rPr>
      </w:pPr>
      <w:r>
        <w:rPr>
          <w:rFonts w:hint="eastAsia"/>
          <w:highlight w:val="none"/>
        </w:rPr>
        <w:t>应急处置程序</w:t>
      </w:r>
    </w:p>
    <w:p w14:paraId="387417CE">
      <w:pPr>
        <w:ind w:firstLine="480"/>
        <w:rPr>
          <w:highlight w:val="none"/>
        </w:rPr>
      </w:pPr>
      <w:r>
        <w:rPr>
          <w:rFonts w:hint="eastAsia"/>
          <w:highlight w:val="none"/>
        </w:rPr>
        <w:t>施工过程中事故发生，应急处置流程见下图：</w:t>
      </w:r>
    </w:p>
    <w:p w14:paraId="72137481">
      <w:pPr>
        <w:keepNext/>
        <w:ind w:firstLine="480"/>
        <w:rPr>
          <w:highlight w:val="none"/>
        </w:rPr>
      </w:pPr>
      <w:r>
        <w:rPr>
          <w:highlight w:val="none"/>
        </w:rPr>
        <w:pict>
          <v:shape id="_x0000_i1028" o:spt="75" type="#_x0000_t75" style="height:317.5pt;width:366.45pt;" filled="f" o:preferrelative="t" stroked="f" coordsize="21600,21600">
            <v:path/>
            <v:fill on="f" focussize="0,0"/>
            <v:stroke on="f" joinstyle="miter"/>
            <v:imagedata r:id="rId138" o:title=""/>
            <o:lock v:ext="edit" aspectratio="f"/>
            <w10:wrap type="none"/>
            <w10:anchorlock/>
          </v:shape>
        </w:pict>
      </w:r>
    </w:p>
    <w:p w14:paraId="5C28E83D">
      <w:pPr>
        <w:pStyle w:val="18"/>
        <w:rPr>
          <w:highlight w:val="none"/>
        </w:rPr>
      </w:pPr>
      <w:r>
        <w:rPr>
          <w:rFonts w:hint="eastAsia"/>
          <w:highlight w:val="none"/>
        </w:rPr>
        <w:t>图</w:t>
      </w:r>
      <w:r>
        <w:rPr>
          <w:highlight w:val="none"/>
        </w:rPr>
        <w:fldChar w:fldCharType="begin"/>
      </w:r>
      <w:r>
        <w:rPr>
          <w:highlight w:val="none"/>
        </w:rPr>
        <w:instrText xml:space="preserve"> </w:instrText>
      </w:r>
      <w:r>
        <w:rPr>
          <w:rFonts w:hint="eastAsia"/>
          <w:highlight w:val="none"/>
        </w:rPr>
        <w:instrText xml:space="preserve">STYLEREF 3 \s</w:instrText>
      </w:r>
      <w:r>
        <w:rPr>
          <w:highlight w:val="none"/>
        </w:rPr>
        <w:instrText xml:space="preserve"> </w:instrText>
      </w:r>
      <w:r>
        <w:rPr>
          <w:highlight w:val="none"/>
        </w:rPr>
        <w:fldChar w:fldCharType="separate"/>
      </w:r>
      <w:r>
        <w:rPr>
          <w:rFonts w:hint="eastAsia"/>
          <w:highlight w:val="none"/>
        </w:rPr>
        <w:t>9.1.2</w:t>
      </w:r>
      <w:r>
        <w:rPr>
          <w:highlight w:val="none"/>
        </w:rPr>
        <w:fldChar w:fldCharType="end"/>
      </w:r>
      <w:r>
        <w:rPr>
          <w:highlight w:val="none"/>
        </w:rPr>
        <w:noBreakHyphen/>
      </w:r>
      <w:r>
        <w:rPr>
          <w:highlight w:val="none"/>
        </w:rPr>
        <w:fldChar w:fldCharType="begin"/>
      </w:r>
      <w:r>
        <w:rPr>
          <w:highlight w:val="none"/>
        </w:rPr>
        <w:instrText xml:space="preserve"> </w:instrText>
      </w:r>
      <w:r>
        <w:rPr>
          <w:rFonts w:hint="eastAsia"/>
          <w:highlight w:val="none"/>
        </w:rPr>
        <w:instrText xml:space="preserve">SEQ 图 \* ARABIC \s 3</w:instrText>
      </w:r>
      <w:r>
        <w:rPr>
          <w:highlight w:val="none"/>
        </w:rPr>
        <w:instrText xml:space="preserve"> </w:instrText>
      </w:r>
      <w:r>
        <w:rPr>
          <w:highlight w:val="none"/>
        </w:rPr>
        <w:fldChar w:fldCharType="separate"/>
      </w:r>
      <w:r>
        <w:rPr>
          <w:rFonts w:hint="eastAsia"/>
          <w:highlight w:val="none"/>
        </w:rPr>
        <w:t>1</w:t>
      </w:r>
      <w:r>
        <w:rPr>
          <w:highlight w:val="none"/>
        </w:rPr>
        <w:fldChar w:fldCharType="end"/>
      </w:r>
      <w:r>
        <w:rPr>
          <w:rFonts w:hint="eastAsia"/>
          <w:highlight w:val="none"/>
        </w:rPr>
        <w:t>事故应急处置流程</w:t>
      </w:r>
    </w:p>
    <w:p w14:paraId="41957299">
      <w:pPr>
        <w:pStyle w:val="5"/>
        <w:bidi w:val="0"/>
        <w:ind w:left="0" w:leftChars="0" w:firstLine="0" w:firstLineChars="0"/>
        <w:rPr>
          <w:highlight w:val="none"/>
        </w:rPr>
      </w:pPr>
      <w:r>
        <w:rPr>
          <w:rFonts w:hint="eastAsia"/>
          <w:highlight w:val="none"/>
        </w:rPr>
        <w:t>事故报告及内容</w:t>
      </w:r>
    </w:p>
    <w:p w14:paraId="2F37381E">
      <w:pPr>
        <w:ind w:firstLine="480"/>
        <w:rPr>
          <w:highlight w:val="none"/>
        </w:rPr>
      </w:pPr>
      <w:r>
        <w:rPr>
          <w:rFonts w:hint="eastAsia"/>
          <w:highlight w:val="none"/>
        </w:rPr>
        <w:t>安全事故或突发事件发生后，事故发现人应立即报告现场负责人，现场负责人向项目经理报告；现场负责人接报后，应第一时间启动现场处置方案，采取紧急措施抢救伤亡人员，控制事故，防止扩大；项目经理接报后，应当及时根据事故或突发事件情况，决定是否启动专项应急预案，并根据情况，决定是否请求外部协助。内部报告程序可越级报告，第一时间接报人要同时告知以上相关人员。</w:t>
      </w:r>
    </w:p>
    <w:p w14:paraId="7BE2C8C9">
      <w:pPr>
        <w:ind w:firstLine="480"/>
        <w:rPr>
          <w:highlight w:val="none"/>
        </w:rPr>
      </w:pPr>
      <w:r>
        <w:rPr>
          <w:rFonts w:hint="eastAsia"/>
          <w:highlight w:val="none"/>
        </w:rPr>
        <w:t>项目应急救援领导小组仔细了解事故情况，迅速确定事故书面简报材料。自接到事故报告半小时内同时向监理单位、建设单位及分公司安监部门负责人及当地安全生产监管部门报告。外部报告程序由项目部统一报告，不得越级。</w:t>
      </w:r>
    </w:p>
    <w:p w14:paraId="1B68BEE5">
      <w:pPr>
        <w:pStyle w:val="72"/>
        <w:widowControl/>
        <w:numPr>
          <w:ilvl w:val="0"/>
          <w:numId w:val="0"/>
        </w:numPr>
        <w:adjustRightInd w:val="0"/>
        <w:snapToGrid w:val="0"/>
        <w:ind w:left="480" w:leftChars="200"/>
        <w:jc w:val="both"/>
        <w:rPr>
          <w:highlight w:val="none"/>
        </w:rPr>
      </w:pPr>
      <w:r>
        <w:rPr>
          <w:rFonts w:hint="eastAsia"/>
          <w:highlight w:val="none"/>
        </w:rPr>
        <w:t>生产安全事故报告内容包括：</w:t>
      </w:r>
    </w:p>
    <w:p w14:paraId="037B8EFA">
      <w:pPr>
        <w:pStyle w:val="72"/>
        <w:widowControl/>
        <w:numPr>
          <w:ilvl w:val="0"/>
          <w:numId w:val="44"/>
        </w:numPr>
        <w:adjustRightInd w:val="0"/>
        <w:snapToGrid w:val="0"/>
        <w:ind w:left="0" w:firstLine="480" w:firstLineChars="200"/>
        <w:jc w:val="both"/>
        <w:rPr>
          <w:highlight w:val="none"/>
        </w:rPr>
      </w:pPr>
      <w:r>
        <w:rPr>
          <w:rFonts w:hint="eastAsia"/>
          <w:highlight w:val="none"/>
        </w:rPr>
        <w:t>事故发生单位概况；</w:t>
      </w:r>
    </w:p>
    <w:p w14:paraId="41ECD684">
      <w:pPr>
        <w:pStyle w:val="72"/>
        <w:widowControl/>
        <w:numPr>
          <w:ilvl w:val="0"/>
          <w:numId w:val="44"/>
        </w:numPr>
        <w:adjustRightInd w:val="0"/>
        <w:snapToGrid w:val="0"/>
        <w:ind w:left="0" w:firstLine="480" w:firstLineChars="200"/>
        <w:jc w:val="both"/>
        <w:rPr>
          <w:highlight w:val="none"/>
        </w:rPr>
      </w:pPr>
      <w:r>
        <w:rPr>
          <w:rFonts w:hint="eastAsia"/>
          <w:highlight w:val="none"/>
        </w:rPr>
        <w:t>事故发生的时间、地点以及事故现场情况；</w:t>
      </w:r>
    </w:p>
    <w:p w14:paraId="51B6DDDE">
      <w:pPr>
        <w:pStyle w:val="72"/>
        <w:widowControl/>
        <w:numPr>
          <w:ilvl w:val="0"/>
          <w:numId w:val="44"/>
        </w:numPr>
        <w:adjustRightInd w:val="0"/>
        <w:snapToGrid w:val="0"/>
        <w:ind w:left="0" w:firstLine="480" w:firstLineChars="200"/>
        <w:jc w:val="both"/>
        <w:rPr>
          <w:highlight w:val="none"/>
        </w:rPr>
      </w:pPr>
      <w:r>
        <w:rPr>
          <w:rFonts w:hint="eastAsia"/>
          <w:highlight w:val="none"/>
        </w:rPr>
        <w:t>事故的简要经过；</w:t>
      </w:r>
    </w:p>
    <w:p w14:paraId="4CEB29FB">
      <w:pPr>
        <w:pStyle w:val="72"/>
        <w:widowControl/>
        <w:numPr>
          <w:ilvl w:val="0"/>
          <w:numId w:val="44"/>
        </w:numPr>
        <w:adjustRightInd w:val="0"/>
        <w:snapToGrid w:val="0"/>
        <w:ind w:left="0" w:firstLine="480" w:firstLineChars="200"/>
        <w:jc w:val="both"/>
        <w:rPr>
          <w:highlight w:val="none"/>
        </w:rPr>
      </w:pPr>
      <w:r>
        <w:rPr>
          <w:rFonts w:hint="eastAsia"/>
          <w:highlight w:val="none"/>
        </w:rPr>
        <w:t>事故已经造成或者可能造成的伤亡人数和初步估计的直接经济损失；</w:t>
      </w:r>
    </w:p>
    <w:p w14:paraId="25958CFC">
      <w:pPr>
        <w:pStyle w:val="72"/>
        <w:widowControl/>
        <w:numPr>
          <w:ilvl w:val="0"/>
          <w:numId w:val="44"/>
        </w:numPr>
        <w:adjustRightInd w:val="0"/>
        <w:snapToGrid w:val="0"/>
        <w:ind w:left="0" w:firstLine="480" w:firstLineChars="200"/>
        <w:jc w:val="both"/>
        <w:rPr>
          <w:highlight w:val="none"/>
        </w:rPr>
      </w:pPr>
      <w:r>
        <w:rPr>
          <w:rFonts w:hint="eastAsia"/>
          <w:highlight w:val="none"/>
        </w:rPr>
        <w:t>已经采取的措施；</w:t>
      </w:r>
    </w:p>
    <w:p w14:paraId="19F85498">
      <w:pPr>
        <w:pStyle w:val="72"/>
        <w:widowControl/>
        <w:numPr>
          <w:ilvl w:val="0"/>
          <w:numId w:val="44"/>
        </w:numPr>
        <w:adjustRightInd w:val="0"/>
        <w:snapToGrid w:val="0"/>
        <w:ind w:left="0" w:firstLine="480" w:firstLineChars="200"/>
        <w:jc w:val="both"/>
        <w:rPr>
          <w:highlight w:val="none"/>
        </w:rPr>
      </w:pPr>
      <w:r>
        <w:rPr>
          <w:rFonts w:hint="eastAsia"/>
          <w:highlight w:val="none"/>
        </w:rPr>
        <w:t>其他应当报告的情况。</w:t>
      </w:r>
    </w:p>
    <w:p w14:paraId="34120036">
      <w:pPr>
        <w:pStyle w:val="4"/>
        <w:bidi w:val="0"/>
        <w:ind w:left="0" w:leftChars="0" w:firstLine="0" w:firstLineChars="0"/>
        <w:rPr>
          <w:highlight w:val="none"/>
        </w:rPr>
      </w:pPr>
      <w:bookmarkStart w:id="131" w:name="_Toc102825401"/>
      <w:bookmarkStart w:id="132" w:name="_Toc102481277"/>
      <w:bookmarkStart w:id="133" w:name="_Toc121344361"/>
      <w:bookmarkStart w:id="134" w:name="_Toc10063"/>
      <w:bookmarkStart w:id="135" w:name="_Toc25194"/>
      <w:bookmarkStart w:id="136" w:name="_Toc22714"/>
      <w:bookmarkStart w:id="137" w:name="_Toc102481226"/>
      <w:bookmarkStart w:id="138" w:name="_Toc3539"/>
      <w:bookmarkStart w:id="139" w:name="_Toc40778456"/>
      <w:r>
        <w:rPr>
          <w:rFonts w:hint="eastAsia"/>
          <w:highlight w:val="none"/>
        </w:rPr>
        <w:t>应急处置措施</w:t>
      </w:r>
      <w:bookmarkEnd w:id="131"/>
      <w:bookmarkEnd w:id="132"/>
      <w:bookmarkEnd w:id="133"/>
      <w:bookmarkEnd w:id="134"/>
      <w:bookmarkEnd w:id="135"/>
      <w:bookmarkEnd w:id="136"/>
      <w:bookmarkEnd w:id="137"/>
      <w:bookmarkEnd w:id="138"/>
      <w:bookmarkEnd w:id="139"/>
    </w:p>
    <w:p w14:paraId="386648F4">
      <w:pPr>
        <w:pStyle w:val="5"/>
        <w:bidi w:val="0"/>
        <w:ind w:left="0" w:leftChars="0" w:firstLine="0" w:firstLineChars="0"/>
        <w:rPr>
          <w:highlight w:val="none"/>
        </w:rPr>
      </w:pPr>
      <w:bookmarkStart w:id="140" w:name="_Toc113274132"/>
      <w:bookmarkStart w:id="141" w:name="_Toc113272900"/>
      <w:r>
        <w:rPr>
          <w:rFonts w:hint="eastAsia"/>
          <w:highlight w:val="none"/>
        </w:rPr>
        <w:t>高处坠落应急处置措施</w:t>
      </w:r>
      <w:bookmarkEnd w:id="140"/>
      <w:bookmarkEnd w:id="141"/>
    </w:p>
    <w:p w14:paraId="295B20EF">
      <w:pPr>
        <w:pStyle w:val="72"/>
        <w:numPr>
          <w:ilvl w:val="5"/>
          <w:numId w:val="45"/>
        </w:numPr>
        <w:ind w:firstLine="480"/>
        <w:jc w:val="both"/>
        <w:rPr>
          <w:highlight w:val="none"/>
        </w:rPr>
      </w:pPr>
      <w:r>
        <w:rPr>
          <w:rFonts w:hint="eastAsia"/>
          <w:highlight w:val="none"/>
        </w:rPr>
        <w:t>发生高处坠落事故，应马上组织抢救伤者，首先观察伤者的受伤情况、部位、伤害性质，如伤员发生休克，应先去除伤员身上的用具和口袋中的硬物。遇呼吸、心跳停止者，应立即进行人工呼吸，胸外心脏挤压。处于休克状态的伤员要让其安静、保暖、平卧、少动，并将下肢抬高约20度，尽快送医院进行抢救治疗。应采用担架或硬质木板搬运和转送伤员，避免颈部和躯干前屈或扭转，使脊柱伸直，绝对禁止一个抬肩一个抬腿的搬法，以免造成截瘫。</w:t>
      </w:r>
    </w:p>
    <w:p w14:paraId="6A852F24">
      <w:pPr>
        <w:pStyle w:val="72"/>
        <w:numPr>
          <w:ilvl w:val="5"/>
          <w:numId w:val="46"/>
        </w:numPr>
        <w:ind w:firstLine="480"/>
        <w:jc w:val="both"/>
        <w:rPr>
          <w:color w:val="000000" w:themeColor="text1"/>
          <w:highlight w:val="none"/>
          <w14:textFill>
            <w14:solidFill>
              <w14:schemeClr w14:val="tx1"/>
            </w14:solidFill>
          </w14:textFill>
        </w:rPr>
      </w:pPr>
      <w:r>
        <w:rPr>
          <w:rFonts w:hint="eastAsia"/>
          <w:highlight w:val="none"/>
        </w:rPr>
        <w:t>出现颅脑损伤，必须维持呼吸道通畅。昏迷者应平卧，面部转向一侧，以防舌根下坠或分泌物、呕吐物吸入，发生喉阻塞。有骨折者，应初步固定后再搬运。遇有凹陷骨折、严重的颅底骨折及严重的脑损伤症状出现，创伤处用消毒的纱布或清洁布</w:t>
      </w:r>
      <w:r>
        <w:rPr>
          <w:rFonts w:hint="eastAsia"/>
          <w:color w:val="000000" w:themeColor="text1"/>
          <w:highlight w:val="none"/>
          <w14:textFill>
            <w14:solidFill>
              <w14:schemeClr w14:val="tx1"/>
            </w14:solidFill>
          </w14:textFill>
        </w:rPr>
        <w:t>等覆盖伤口，用绷带或布条包扎后，及时送就近医院治疗。</w:t>
      </w:r>
    </w:p>
    <w:p w14:paraId="7182A838">
      <w:pPr>
        <w:pStyle w:val="72"/>
        <w:numPr>
          <w:ilvl w:val="5"/>
          <w:numId w:val="46"/>
        </w:numPr>
        <w:ind w:firstLine="480"/>
        <w:jc w:val="both"/>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颌面部伤员首先应保持呼吸道畅通，清除移位的组织碎片、血凝块、口腔分泌物等，同时松解伤员的颈、胸部纽扣。</w:t>
      </w:r>
    </w:p>
    <w:p w14:paraId="2E5AFC6C">
      <w:pPr>
        <w:pStyle w:val="72"/>
        <w:numPr>
          <w:ilvl w:val="5"/>
          <w:numId w:val="46"/>
        </w:numPr>
        <w:ind w:firstLine="480"/>
        <w:jc w:val="both"/>
        <w:rPr>
          <w:highlight w:val="none"/>
        </w:rPr>
      </w:pPr>
      <w:r>
        <w:rPr>
          <w:rFonts w:hint="eastAsia"/>
          <w:color w:val="000000" w:themeColor="text1"/>
          <w:highlight w:val="none"/>
          <w14:textFill>
            <w14:solidFill>
              <w14:schemeClr w14:val="tx1"/>
            </w14:solidFill>
          </w14:textFill>
        </w:rPr>
        <w:t>发现脊椎受伤者，创伤处用消毒的纱布或清洁布等覆盖伤口，用绷带或布条包扎。搬运时，将伤者平卧放在担架或硬板上，以免受伤的脊椎移位、断裂造成截瘫，甚至死亡。抢救脊椎受伤者，搬运过程严禁只</w:t>
      </w:r>
      <w:r>
        <w:rPr>
          <w:rFonts w:hint="eastAsia"/>
          <w:highlight w:val="none"/>
        </w:rPr>
        <w:t>抬伤者的两肩与两腿或单肩背运。</w:t>
      </w:r>
    </w:p>
    <w:p w14:paraId="197CFA83">
      <w:pPr>
        <w:pStyle w:val="72"/>
        <w:numPr>
          <w:ilvl w:val="5"/>
          <w:numId w:val="46"/>
        </w:numPr>
        <w:ind w:firstLine="480"/>
        <w:jc w:val="both"/>
        <w:rPr>
          <w:highlight w:val="none"/>
        </w:rPr>
      </w:pPr>
      <w:r>
        <w:rPr>
          <w:rFonts w:hint="eastAsia"/>
          <w:highlight w:val="none"/>
        </w:rPr>
        <w:t>发现伤者手足骨折，不要盲目搬动伤者。应在骨折部位用夹板把受伤位置临时固定，使断端不再移位或刺伤肌肉、神经或血管。固定方法：以固定骨折处上下关节为原则，可就地取材，用木板、竹片等。</w:t>
      </w:r>
    </w:p>
    <w:p w14:paraId="23A3A5E0">
      <w:pPr>
        <w:pStyle w:val="72"/>
        <w:numPr>
          <w:ilvl w:val="5"/>
          <w:numId w:val="46"/>
        </w:numPr>
        <w:ind w:firstLine="480"/>
        <w:jc w:val="both"/>
        <w:rPr>
          <w:highlight w:val="none"/>
        </w:rPr>
      </w:pPr>
      <w:r>
        <w:rPr>
          <w:rFonts w:hint="eastAsia"/>
          <w:highlight w:val="none"/>
        </w:rPr>
        <w:t>复合伤要求平仰卧位，保持呼吸道畅通，解开衣领扣。</w:t>
      </w:r>
    </w:p>
    <w:p w14:paraId="07FD95DE">
      <w:pPr>
        <w:pStyle w:val="72"/>
        <w:numPr>
          <w:ilvl w:val="5"/>
          <w:numId w:val="46"/>
        </w:numPr>
        <w:ind w:firstLine="480"/>
        <w:jc w:val="both"/>
        <w:rPr>
          <w:highlight w:val="none"/>
        </w:rPr>
      </w:pPr>
      <w:r>
        <w:rPr>
          <w:rFonts w:hint="eastAsia"/>
          <w:highlight w:val="none"/>
        </w:rPr>
        <w:t>遇有创伤性出血的伤员，应迅速包扎止血，使伤员保持在头低脚高的卧位，并注意保暖。及时把伤者送往邻近医院抢救，运送途中应尽量减少颠簸。同时，密切注意伤者的呼吸、脉搏、血压及伤口的情况。</w:t>
      </w:r>
    </w:p>
    <w:p w14:paraId="52613B61">
      <w:pPr>
        <w:pStyle w:val="72"/>
        <w:numPr>
          <w:ilvl w:val="5"/>
          <w:numId w:val="46"/>
        </w:numPr>
        <w:ind w:firstLine="480"/>
        <w:jc w:val="both"/>
        <w:rPr>
          <w:highlight w:val="none"/>
        </w:rPr>
      </w:pPr>
      <w:r>
        <w:rPr>
          <w:rFonts w:hint="eastAsia"/>
          <w:highlight w:val="none"/>
        </w:rPr>
        <w:t>配合上级主管部门和调查组开展调查处理，并做好伤员及家属善后工作。</w:t>
      </w:r>
    </w:p>
    <w:p w14:paraId="78285D27">
      <w:pPr>
        <w:pStyle w:val="5"/>
        <w:bidi w:val="0"/>
        <w:ind w:left="0" w:leftChars="0" w:firstLine="0" w:firstLineChars="0"/>
        <w:rPr>
          <w:highlight w:val="none"/>
        </w:rPr>
      </w:pPr>
      <w:bookmarkStart w:id="142" w:name="_Toc113274133"/>
      <w:bookmarkStart w:id="143" w:name="_Toc113272901"/>
      <w:r>
        <w:rPr>
          <w:rFonts w:hint="eastAsia"/>
          <w:highlight w:val="none"/>
        </w:rPr>
        <w:t>物体打击应急处置措施</w:t>
      </w:r>
      <w:bookmarkEnd w:id="142"/>
      <w:bookmarkEnd w:id="143"/>
    </w:p>
    <w:p w14:paraId="001A8FDC">
      <w:pPr>
        <w:pStyle w:val="72"/>
        <w:numPr>
          <w:ilvl w:val="5"/>
          <w:numId w:val="47"/>
        </w:numPr>
        <w:ind w:firstLine="480"/>
        <w:jc w:val="both"/>
        <w:rPr>
          <w:highlight w:val="none"/>
        </w:rPr>
      </w:pPr>
      <w:r>
        <w:rPr>
          <w:rFonts w:hint="eastAsia"/>
          <w:highlight w:val="none"/>
        </w:rPr>
        <w:t>当发生物体打击事故时，根据现场和受伤者的伤情的具体情况，立即打“120”急救电话，详细报告事故发生地址、人员受伤的情况和可能需要配合救援的设备。</w:t>
      </w:r>
    </w:p>
    <w:p w14:paraId="501F90F1">
      <w:pPr>
        <w:pStyle w:val="72"/>
        <w:numPr>
          <w:ilvl w:val="5"/>
          <w:numId w:val="46"/>
        </w:numPr>
        <w:ind w:firstLine="480"/>
        <w:jc w:val="both"/>
        <w:rPr>
          <w:highlight w:val="none"/>
        </w:rPr>
      </w:pPr>
      <w:r>
        <w:rPr>
          <w:rFonts w:hint="eastAsia"/>
          <w:highlight w:val="none"/>
        </w:rPr>
        <w:t>在急救中心专业人员未到达之前，应根据事故现场的整体情况、位置和伤者的伤情、部位，在排除人为加重伤者伤情的情况下，立即组织人员进行抢救。</w:t>
      </w:r>
    </w:p>
    <w:p w14:paraId="6DD10F68">
      <w:pPr>
        <w:pStyle w:val="72"/>
        <w:numPr>
          <w:ilvl w:val="5"/>
          <w:numId w:val="46"/>
        </w:numPr>
        <w:ind w:firstLine="480"/>
        <w:jc w:val="both"/>
        <w:rPr>
          <w:highlight w:val="none"/>
        </w:rPr>
      </w:pPr>
      <w:r>
        <w:rPr>
          <w:rFonts w:hint="eastAsia"/>
          <w:highlight w:val="none"/>
        </w:rPr>
        <w:t>抢救前首先观察伤者的受伤情况、部位、伤害性质，如伤者发生休克，应先处理休克。遇呼吸、心跳停止者，应当进行人工呼吸，胸外心脏挤压（但必须注意骨折的部位）。处于休克状态的伤员要让其安静、保暖、平卧、少动，并将下肢抬高约20度左右，尽快送医院进行抢救治疗。</w:t>
      </w:r>
    </w:p>
    <w:p w14:paraId="19377DE5">
      <w:pPr>
        <w:pStyle w:val="72"/>
        <w:numPr>
          <w:ilvl w:val="5"/>
          <w:numId w:val="46"/>
        </w:numPr>
        <w:ind w:firstLine="480"/>
        <w:jc w:val="both"/>
        <w:rPr>
          <w:highlight w:val="none"/>
        </w:rPr>
      </w:pPr>
      <w:r>
        <w:rPr>
          <w:rFonts w:hint="eastAsia"/>
          <w:highlight w:val="none"/>
        </w:rPr>
        <w:t>出现颅脑外伤，必须维持呼吸道通畅。昏迷者应平卧，面部转向一侧，以防舌根下坠或分泌物、呕吐物吸入，发生喉阻塞。有骨折者，应初步固定后再搬运。偶有凹陷骨折、严重的颅底骨折及严重的脑损伤症状出现，创伤处用消毒的纱布或清洁布等覆盖伤口，用绷带或布条包扎后，及时送就近有条件的医院治疗。</w:t>
      </w:r>
    </w:p>
    <w:p w14:paraId="7C74FDE1">
      <w:pPr>
        <w:pStyle w:val="72"/>
        <w:numPr>
          <w:ilvl w:val="5"/>
          <w:numId w:val="46"/>
        </w:numPr>
        <w:ind w:firstLine="480"/>
        <w:jc w:val="both"/>
        <w:rPr>
          <w:highlight w:val="none"/>
        </w:rPr>
      </w:pPr>
      <w:r>
        <w:rPr>
          <w:rFonts w:hint="eastAsia"/>
          <w:highlight w:val="none"/>
        </w:rPr>
        <w:t>发现脊椎受伤者，创伤处用消毒的纱布或清洁布等覆盖伤口，用绷带或布条包扎后。搬运时，将伤者平卧放在帆布担架或硬板上，以免受伤的脊椎移位、断裂造成截瘫，招致死亡。抢救脊椎受伤者，搬运过程，严禁只抬伤者的两肩与两腿或单肩背运。</w:t>
      </w:r>
    </w:p>
    <w:p w14:paraId="2D7B9DB7">
      <w:pPr>
        <w:pStyle w:val="72"/>
        <w:numPr>
          <w:ilvl w:val="5"/>
          <w:numId w:val="46"/>
        </w:numPr>
        <w:ind w:firstLine="480"/>
        <w:jc w:val="both"/>
        <w:rPr>
          <w:highlight w:val="none"/>
        </w:rPr>
      </w:pPr>
      <w:r>
        <w:rPr>
          <w:rFonts w:hint="eastAsia"/>
          <w:highlight w:val="none"/>
        </w:rPr>
        <w:t>发现伤者手足骨折或其他部位骨折的，不要盲目搬动伤者，应在骨折部位用夹板临时固定，使断端不再移位或刺伤肌肉、神经或血管。</w:t>
      </w:r>
    </w:p>
    <w:p w14:paraId="7FE772A7">
      <w:pPr>
        <w:pStyle w:val="72"/>
        <w:numPr>
          <w:ilvl w:val="5"/>
          <w:numId w:val="46"/>
        </w:numPr>
        <w:ind w:firstLine="480"/>
        <w:jc w:val="both"/>
        <w:rPr>
          <w:highlight w:val="none"/>
        </w:rPr>
      </w:pPr>
      <w:r>
        <w:rPr>
          <w:rFonts w:hint="eastAsia"/>
          <w:highlight w:val="none"/>
        </w:rPr>
        <w:t>遇有创伤性出血的伤员，应迅速包扎止血，使伤员保持头低脚高的卧位，并注意保暖；若伤员有断肢情况发生应尽早用干净的干布（灭菌敷料）包裹装入塑料袋内，随伤员一起转送。</w:t>
      </w:r>
    </w:p>
    <w:p w14:paraId="3BA3C45F">
      <w:pPr>
        <w:pStyle w:val="72"/>
        <w:numPr>
          <w:ilvl w:val="5"/>
          <w:numId w:val="46"/>
        </w:numPr>
        <w:ind w:firstLine="480"/>
        <w:jc w:val="both"/>
        <w:rPr>
          <w:highlight w:val="none"/>
        </w:rPr>
      </w:pPr>
      <w:r>
        <w:rPr>
          <w:rFonts w:hint="eastAsia"/>
          <w:highlight w:val="none"/>
        </w:rPr>
        <w:t>在施救的同时应尽快送往就近医院；伤者送往医院抢救时，途中尽量减少颠簸，同时，密切注意伤者的呼吸、脉搏、血压及伤口的情况。</w:t>
      </w:r>
    </w:p>
    <w:p w14:paraId="144217B8">
      <w:pPr>
        <w:pStyle w:val="72"/>
        <w:numPr>
          <w:ilvl w:val="5"/>
          <w:numId w:val="46"/>
        </w:numPr>
        <w:ind w:firstLine="480"/>
        <w:jc w:val="both"/>
        <w:rPr>
          <w:highlight w:val="none"/>
        </w:rPr>
      </w:pPr>
      <w:r>
        <w:rPr>
          <w:rFonts w:hint="eastAsia"/>
          <w:highlight w:val="none"/>
        </w:rPr>
        <w:t>如因长方形构件（钢管）打击（压倒）致伤，要根据现场的实际情况迅速调动起重机、手提点工具等机械设备配合施救。</w:t>
      </w:r>
    </w:p>
    <w:p w14:paraId="6C8BF8B2">
      <w:pPr>
        <w:pStyle w:val="72"/>
        <w:numPr>
          <w:ilvl w:val="5"/>
          <w:numId w:val="46"/>
        </w:numPr>
        <w:ind w:firstLine="480"/>
        <w:jc w:val="both"/>
        <w:rPr>
          <w:highlight w:val="none"/>
        </w:rPr>
      </w:pPr>
      <w:r>
        <w:rPr>
          <w:rFonts w:hint="eastAsia"/>
          <w:highlight w:val="none"/>
        </w:rPr>
        <w:t>现场应急指挥小组在抢救伤员的同时，应安排人员维护现场秩序，保护事故现场，并根据事态，迅速调动人员、设备进行现场救援，并做好现场警戒工作，以防事态扩大，同时向上级汇报。当现场救援力量控制不了现场事态的发展，应立即启动上一级应急响应，并根据实际情况借助于社会救援力量。现场应急救援指挥人员应充分听取专家和专业救援人员的意见，做好救援人员、设备、物资、器材的统一调配。</w:t>
      </w:r>
    </w:p>
    <w:p w14:paraId="2B1D3638">
      <w:pPr>
        <w:pStyle w:val="5"/>
        <w:bidi w:val="0"/>
        <w:ind w:left="0" w:leftChars="0" w:firstLine="0" w:firstLineChars="0"/>
        <w:rPr>
          <w:highlight w:val="none"/>
        </w:rPr>
      </w:pPr>
      <w:bookmarkStart w:id="144" w:name="_Toc113274134"/>
      <w:bookmarkStart w:id="145" w:name="_Toc113272902"/>
      <w:r>
        <w:rPr>
          <w:rFonts w:hint="eastAsia"/>
          <w:highlight w:val="none"/>
        </w:rPr>
        <w:t>起重伤害应急处置措施</w:t>
      </w:r>
      <w:bookmarkEnd w:id="144"/>
      <w:bookmarkEnd w:id="145"/>
    </w:p>
    <w:p w14:paraId="644C85F2">
      <w:pPr>
        <w:pStyle w:val="72"/>
        <w:numPr>
          <w:ilvl w:val="5"/>
          <w:numId w:val="48"/>
        </w:numPr>
        <w:ind w:firstLine="480"/>
        <w:jc w:val="both"/>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起重伤害事故目击者应高声呼救，并立即向安全人员报告，各单位其他管理人员也都有认真接收报告和向上级反映事故情况的责任。</w:t>
      </w:r>
    </w:p>
    <w:p w14:paraId="0C835017">
      <w:pPr>
        <w:pStyle w:val="72"/>
        <w:numPr>
          <w:ilvl w:val="5"/>
          <w:numId w:val="46"/>
        </w:numPr>
        <w:ind w:firstLine="480"/>
        <w:jc w:val="both"/>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事故发生后，应立即向当地救援机构、公安部门求援。</w:t>
      </w:r>
    </w:p>
    <w:p w14:paraId="1A78F560">
      <w:pPr>
        <w:pStyle w:val="72"/>
        <w:numPr>
          <w:ilvl w:val="5"/>
          <w:numId w:val="46"/>
        </w:numPr>
        <w:ind w:firstLine="480"/>
        <w:jc w:val="both"/>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安全人员应准确判断事故影响范围，协调各组之间的工作，派专人进行检查，确定抢救方案，保证事故现场相对安全和稳定时，抢救队员才可进入现场抢救受伤人员。</w:t>
      </w:r>
    </w:p>
    <w:p w14:paraId="226A3B66">
      <w:pPr>
        <w:pStyle w:val="72"/>
        <w:numPr>
          <w:ilvl w:val="5"/>
          <w:numId w:val="46"/>
        </w:numPr>
        <w:ind w:firstLine="480"/>
        <w:jc w:val="both"/>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安全人员与当地医院立即取得联系，利用现场车辆火速把伤者送往附近医院救治，但对伤势严重者应注意搬运方法，不得由此加重伤者伤情；在急救医疗机构人员赶到前抢险救护组应对受伤者进行必要的救助，根据伤情对伤者进行分类处理，处理的原则是先重后轻、先急后缓、先近后远。</w:t>
      </w:r>
    </w:p>
    <w:p w14:paraId="47AB5AEB">
      <w:pPr>
        <w:pStyle w:val="72"/>
        <w:numPr>
          <w:ilvl w:val="5"/>
          <w:numId w:val="46"/>
        </w:numPr>
        <w:ind w:firstLine="480"/>
        <w:jc w:val="both"/>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安全人员做好应急状态下现场所有设施和物资的安全，支援和保障现场抢救组的工作，负责事故现场的保护，并检查事故现场有无其它安全隐患。</w:t>
      </w:r>
    </w:p>
    <w:p w14:paraId="5D2569E5">
      <w:pPr>
        <w:pStyle w:val="5"/>
        <w:bidi w:val="0"/>
        <w:ind w:left="0" w:leftChars="0" w:firstLine="0" w:firstLineChars="0"/>
        <w:rPr>
          <w:highlight w:val="none"/>
        </w:rPr>
      </w:pPr>
      <w:r>
        <w:rPr>
          <w:rFonts w:hint="eastAsia"/>
          <w:highlight w:val="none"/>
        </w:rPr>
        <w:t>触电事故应急处置措施</w:t>
      </w:r>
    </w:p>
    <w:p w14:paraId="2B773526">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（1）首先要根据现场情况，使触电者迅速脱离电源，越快越好。</w:t>
      </w:r>
    </w:p>
    <w:p w14:paraId="0C095549">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（2）触电者未脱离电源前，救护人员不准直接用手触及伤员，防止再次触电。</w:t>
      </w:r>
    </w:p>
    <w:p w14:paraId="301A314F">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触电为低压时，救护人员应设法迅速切断电源，拉开电源开关或刀闸，拔除电源插头等；或使用绝缘工具、干燥的木棒、木板、绳索等不导电的东西解脱触电者；或抓住触电者干燥而不贴身的衣服，将其拖开，不得碰到金属物体和触电者的裸露身躯；也可戴绝缘手套或将手用干燥衣物等包起绝缘后解脱触电者；救护人员也可站在绝缘垫上或干木板上，绝缘自己进行救护。为使触电者与导电体解脱，最好用一只手进行。如果电流通过触电者入地，并且触电者紧握电线，可设法用干木板塞到身下，与地隔离，也可用干木把斧子或有绝缘柄的钳子等将电线剪断。剪断电线要分相，一根一根地剪断，并尽可能站在绝缘物体或干木板上。</w:t>
      </w:r>
    </w:p>
    <w:p w14:paraId="5822362D">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如触电为高压时，救护人员应迅速切断电源，或用适合该电压等级的绝缘工具（戴绝缘手套、穿绝缘靴并用绝缘棒）解脱触电者。只有在确证线路已经无电，才可在触电者离开触电导线后，立即就地进行急救。救护人员在抢救过程中应注意保持自身与周围带电部分的安全距离。</w:t>
      </w:r>
    </w:p>
    <w:p w14:paraId="4D67DB9F">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（5）救护触电伤员切除电源时，有时会同时使照明失电，应事故照明、应急灯等临时照明，新照明要符合使用场所防火、防爆要求，但不能因此延误切除电源和进行急救。</w:t>
      </w:r>
    </w:p>
    <w:p w14:paraId="62BCAB9C">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伤员脱离电源后，如神志清醒，应使其就地躺平，严密观察，暂时不要站立或走动；如神志不清，应就地仰面躺平，且确保气道通畅，并用5s时间用看、听、试的方法检查受伤情况，看受伤部位，听心跳，试脉搏，呼叫伤员或轻拍其肩部，以判定伤员是否意识丧失，禁止摇动伤员头部呼叫伤员。</w:t>
      </w:r>
    </w:p>
    <w:p w14:paraId="75B15E1C">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（7）需要抢救的伤员，应立即就地坚持正确抢救。</w:t>
      </w:r>
    </w:p>
    <w:p w14:paraId="7202E47E">
      <w:pPr>
        <w:pStyle w:val="5"/>
        <w:bidi w:val="0"/>
        <w:ind w:left="0" w:leftChars="0" w:firstLine="0" w:firstLineChars="0"/>
        <w:rPr>
          <w:highlight w:val="none"/>
        </w:rPr>
      </w:pPr>
      <w:r>
        <w:rPr>
          <w:rFonts w:hint="eastAsia"/>
          <w:highlight w:val="none"/>
        </w:rPr>
        <w:t>机械伤害应急处置措施</w:t>
      </w:r>
    </w:p>
    <w:p w14:paraId="454BD3AF">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当施工人员发生机械伤害事故时，迅速确定事故发生的准确位置、可能波及的范围、设备损坏的程度、人员伤亡等情况，观察伤者的受伤情况、部位、伤害性质，急救人员应尽快赶往出事地点。</w:t>
      </w:r>
    </w:p>
    <w:p w14:paraId="4A7948D2">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（1）休克、昏迷急救</w:t>
      </w:r>
    </w:p>
    <w:p w14:paraId="3B5A6D21">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让休克者平卧、不用枕头，腿部抬高30度。若属于心源性休克同时伴有心力衰竭、气急，不能平卧时，可采用半卧，注意保暖和安静，尽量不要搬动，如必须搬动时，动作要轻。</w:t>
      </w:r>
    </w:p>
    <w:p w14:paraId="30EB4333">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（2）骨折急救</w:t>
      </w:r>
    </w:p>
    <w:p w14:paraId="6B08D93C">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a.固定断骨的材料可就地取材，如棍、木板、拐杖、硬纸板等都可作为固定材料，长短要以能固定住骨折处上下两个关节或不使断骨错动为准。</w:t>
      </w:r>
    </w:p>
    <w:p w14:paraId="4C58922F">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b.脊柱骨折或颈部骨折时，除非是特殊情况如室内失火，否则应让伤者留在原地，等待携有医疗器材的医护人员来搬动。</w:t>
      </w:r>
    </w:p>
    <w:p w14:paraId="6A0B530B">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c.抬运伤者，从地上抬起时，要多人同时缓缓用力平托；运送时，必须用木板或硬材料，不能用布担架或绳床。木板上可垫棉被，但不能用枕头，颈椎骨骨折伤者的头须放正，两旁用沙袋将头夹住，不能让头随便晃动。</w:t>
      </w:r>
    </w:p>
    <w:p w14:paraId="4EB5643D">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（3）严重出血的急救</w:t>
      </w:r>
    </w:p>
    <w:p w14:paraId="0D3BE06A">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止血的方法：</w:t>
      </w:r>
    </w:p>
    <w:p w14:paraId="63483DC1">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a.一般止血法：一般伤口小的出血，先用生理盐水涂上红汞药水，然后盖上消毒纱布，用绷带较紧地包扎。</w:t>
      </w:r>
    </w:p>
    <w:p w14:paraId="2BC3AB05">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b.严重出血时，应使用压迫带止血法。这是一种最基本、最常用，也是最有效的止血方法。适用于头、颈、四肢动脉大血管出血的临时止血。即用手指或手掌用力压住比伤口靠近心脏更近部位的动脉跳动处（止血点）。只要位置找得准，这种方法能马上起到止血作用。</w:t>
      </w:r>
    </w:p>
    <w:p w14:paraId="5117900E">
      <w:pPr>
        <w:ind w:firstLine="480"/>
        <w:rPr>
          <w:highlight w:val="none"/>
        </w:rPr>
      </w:pPr>
      <w:r>
        <w:rPr>
          <w:rFonts w:hint="eastAsia"/>
          <w:color w:val="000000" w:themeColor="text1"/>
          <w:highlight w:val="none"/>
          <w14:textFill>
            <w14:solidFill>
              <w14:schemeClr w14:val="tx1"/>
            </w14:solidFill>
          </w14:textFill>
        </w:rPr>
        <w:t>（4）肢体切断断肢(指)后，有时即刻造成伤者因流血或疼</w:t>
      </w:r>
      <w:r>
        <w:rPr>
          <w:rFonts w:hint="eastAsia"/>
          <w:highlight w:val="none"/>
        </w:rPr>
        <w:t>痛而发生休克，所以应设法首先止血，防止伤员休克。其急救要点为：</w:t>
      </w:r>
    </w:p>
    <w:p w14:paraId="2D658BFF">
      <w:pPr>
        <w:ind w:firstLine="480"/>
        <w:rPr>
          <w:highlight w:val="none"/>
        </w:rPr>
      </w:pPr>
      <w:r>
        <w:rPr>
          <w:rFonts w:hint="eastAsia"/>
          <w:highlight w:val="none"/>
        </w:rPr>
        <w:t>a.让伤者躺下，用一块纱布或清洁布块(如翻出干净手帕的内面)，放在断肢伤口上，再用绷带固定位置。如果找不到绷带，也可用围巾包扎。</w:t>
      </w:r>
    </w:p>
    <w:p w14:paraId="4843F78E">
      <w:pPr>
        <w:ind w:firstLine="480"/>
        <w:rPr>
          <w:highlight w:val="none"/>
        </w:rPr>
      </w:pPr>
      <w:r>
        <w:rPr>
          <w:rFonts w:hint="eastAsia"/>
          <w:highlight w:val="none"/>
        </w:rPr>
        <w:t>b.如是手臂切断，用绷带把断臂挂在胸前，固定位置；若是一条腿断了，则与另一条腿扎在一起。</w:t>
      </w:r>
    </w:p>
    <w:p w14:paraId="30BC6C36">
      <w:pPr>
        <w:ind w:firstLine="480"/>
        <w:rPr>
          <w:color w:val="000000" w:themeColor="text1"/>
          <w:highlight w:val="none"/>
          <w14:textFill>
            <w14:solidFill>
              <w14:schemeClr w14:val="tx1"/>
            </w14:solidFill>
          </w14:textFill>
        </w:rPr>
      </w:pPr>
      <w:r>
        <w:rPr>
          <w:rFonts w:hint="eastAsia"/>
          <w:highlight w:val="none"/>
        </w:rPr>
        <w:t>c.料理好伤者后，设法找回断肢。倘若离断的伤肢(指)仍在机器中，千万不能将肢体强行拉出，或将机器倒开(转)，以免</w:t>
      </w:r>
      <w:r>
        <w:rPr>
          <w:rFonts w:hint="eastAsia"/>
          <w:color w:val="000000" w:themeColor="text1"/>
          <w:highlight w:val="none"/>
          <w14:textFill>
            <w14:solidFill>
              <w14:schemeClr w14:val="tx1"/>
            </w14:solidFill>
          </w14:textFill>
        </w:rPr>
        <w:t>增加损伤的机会。正确的方法应是拆开机器后取出。</w:t>
      </w:r>
    </w:p>
    <w:p w14:paraId="7651B963">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d.取下断落的肢(指)体后，立即用无菌纱布或干净布片包扎，然后放入塑料袋或橡皮袋中，结扎袋口。若一时未准备好袋子或消毒纱布，可暂置于4℃的冰箱内(不应放在冰冻室内，以免冻伤)。运送时应将装有断伤肢体的袋子放入合适的容器中，如广口保温桶等，周围用冰块或冰棍冷冻（注意防止冰块与其直接接触，以免冻伤），迅速同伤员一起送医院以备断肢(指)再植。</w:t>
      </w:r>
    </w:p>
    <w:p w14:paraId="7F15EB5A">
      <w:pPr>
        <w:ind w:firstLine="480"/>
        <w:rPr>
          <w:highlight w:val="none"/>
        </w:rPr>
      </w:pPr>
      <w:r>
        <w:rPr>
          <w:rFonts w:hint="eastAsia"/>
          <w:highlight w:val="none"/>
        </w:rPr>
        <w:t>e.离断后的伤肢，如有少许皮肤或其他肌腱相连，不能将其离断，应放在夹板或阔竹片上，然后包扎，立即送到医院作紧急处理。</w:t>
      </w:r>
    </w:p>
    <w:p w14:paraId="31EDBF61">
      <w:pPr>
        <w:ind w:firstLine="480"/>
        <w:rPr>
          <w:highlight w:val="none"/>
        </w:rPr>
      </w:pPr>
      <w:r>
        <w:rPr>
          <w:rFonts w:hint="eastAsia"/>
          <w:highlight w:val="none"/>
        </w:rPr>
        <w:t>f.严禁在离断伤肢(指)的断端涂抹各种药物及药水(包括消毒剂)，更不能涂抹牙膏、灶灰之类试图止血。</w:t>
      </w:r>
    </w:p>
    <w:p w14:paraId="7C50C685">
      <w:pPr>
        <w:ind w:firstLine="480"/>
        <w:rPr>
          <w:highlight w:val="none"/>
        </w:rPr>
      </w:pPr>
      <w:r>
        <w:rPr>
          <w:rFonts w:hint="eastAsia"/>
          <w:highlight w:val="none"/>
        </w:rPr>
        <w:t>（5）一般性外伤</w:t>
      </w:r>
    </w:p>
    <w:p w14:paraId="1EC19D15">
      <w:pPr>
        <w:ind w:firstLine="480"/>
        <w:rPr>
          <w:highlight w:val="none"/>
        </w:rPr>
      </w:pPr>
      <w:r>
        <w:rPr>
          <w:rFonts w:hint="eastAsia"/>
          <w:highlight w:val="none"/>
        </w:rPr>
        <w:t>a.视伤情送往医院，防止破伤风。</w:t>
      </w:r>
    </w:p>
    <w:p w14:paraId="317CC0A3">
      <w:pPr>
        <w:ind w:firstLine="480"/>
        <w:rPr>
          <w:highlight w:val="none"/>
        </w:rPr>
      </w:pPr>
      <w:r>
        <w:rPr>
          <w:rFonts w:hint="eastAsia"/>
          <w:highlight w:val="none"/>
        </w:rPr>
        <w:t>b.轻微内伤，送医院检查。</w:t>
      </w:r>
    </w:p>
    <w:p w14:paraId="392B1D60">
      <w:pPr>
        <w:pStyle w:val="5"/>
        <w:bidi w:val="0"/>
        <w:ind w:left="0" w:leftChars="0" w:firstLine="0" w:firstLineChars="0"/>
        <w:rPr>
          <w:highlight w:val="none"/>
        </w:rPr>
      </w:pPr>
      <w:r>
        <w:rPr>
          <w:rFonts w:hint="eastAsia"/>
          <w:highlight w:val="none"/>
        </w:rPr>
        <w:t>落水人员应急处置措施</w:t>
      </w:r>
    </w:p>
    <w:p w14:paraId="7441CBEC">
      <w:pPr>
        <w:ind w:firstLine="480"/>
        <w:rPr>
          <w:highlight w:val="none"/>
        </w:rPr>
      </w:pPr>
      <w:r>
        <w:rPr>
          <w:rFonts w:hint="eastAsia"/>
          <w:highlight w:val="none"/>
        </w:rPr>
        <w:t>（1）交通船舶必须符合水上航行安全要求，备妥救生工具如救生衣、救生圈、救生竹篙等救生器材。</w:t>
      </w:r>
    </w:p>
    <w:p w14:paraId="63B14FB2">
      <w:pPr>
        <w:ind w:firstLine="480"/>
        <w:rPr>
          <w:highlight w:val="none"/>
        </w:rPr>
      </w:pPr>
      <w:r>
        <w:rPr>
          <w:rFonts w:hint="eastAsia"/>
          <w:highlight w:val="none"/>
        </w:rPr>
        <w:t>（2）水上施工作业及船上流动作业人员应按规定穿着救生衣。符合高处作业条件的，还应按高处作业的规定系好安全带。</w:t>
      </w:r>
    </w:p>
    <w:p w14:paraId="3C1709E5">
      <w:pPr>
        <w:ind w:firstLine="480"/>
        <w:rPr>
          <w:highlight w:val="none"/>
        </w:rPr>
      </w:pPr>
      <w:r>
        <w:rPr>
          <w:rFonts w:hint="eastAsia"/>
          <w:highlight w:val="none"/>
        </w:rPr>
        <w:t>（3）交通船必须按定员，不准超载。乘坐人员应听从船员的指挥，船到位后，应待靠稳拴牢方可上、下。不得抢上抢下或船未靠稳就跳船。</w:t>
      </w:r>
    </w:p>
    <w:p w14:paraId="0263493C">
      <w:pPr>
        <w:ind w:firstLine="480"/>
        <w:rPr>
          <w:highlight w:val="none"/>
        </w:rPr>
      </w:pPr>
      <w:r>
        <w:rPr>
          <w:rFonts w:hint="eastAsia"/>
          <w:highlight w:val="none"/>
        </w:rPr>
        <w:t>（4）乘坐人员应听从船员的指挥，自觉入舱，不得站立和坐骑在船头、船尾和船帮上，遇有风浪时，船上乘坐人员不得来回走动。非本船驾驶人员严禁擅自操作。</w:t>
      </w:r>
    </w:p>
    <w:p w14:paraId="0BE6C892">
      <w:pPr>
        <w:ind w:firstLine="480"/>
        <w:rPr>
          <w:highlight w:val="none"/>
        </w:rPr>
      </w:pPr>
      <w:r>
        <w:rPr>
          <w:rFonts w:hint="eastAsia"/>
          <w:highlight w:val="none"/>
        </w:rPr>
        <w:t>（5）施工人员应开展游泳培训，加强自救和互救的能力。</w:t>
      </w:r>
    </w:p>
    <w:p w14:paraId="1A5C1BDC">
      <w:pPr>
        <w:ind w:firstLine="480"/>
        <w:rPr>
          <w:highlight w:val="none"/>
        </w:rPr>
      </w:pPr>
      <w:r>
        <w:rPr>
          <w:rFonts w:hint="eastAsia"/>
          <w:highlight w:val="none"/>
        </w:rPr>
        <w:t>（6）人员上下通道必须设安全网，跳板要固定。作业平台应满铺脚手板，周边必须有栏杆和安全网等可靠的临边维护。</w:t>
      </w:r>
    </w:p>
    <w:p w14:paraId="5CC837B1">
      <w:pPr>
        <w:ind w:firstLine="480"/>
        <w:rPr>
          <w:highlight w:val="none"/>
        </w:rPr>
      </w:pPr>
      <w:r>
        <w:rPr>
          <w:rFonts w:hint="eastAsia"/>
          <w:highlight w:val="none"/>
        </w:rPr>
        <w:t>（7）作业平台上应配置足够数量的救生圈等救生设备，并配备一定数量的固定式防水灯，保证夜间足够的照明。</w:t>
      </w:r>
    </w:p>
    <w:p w14:paraId="36FDB1F7">
      <w:pPr>
        <w:ind w:firstLine="480"/>
        <w:rPr>
          <w:highlight w:val="none"/>
        </w:rPr>
      </w:pPr>
      <w:r>
        <w:rPr>
          <w:rFonts w:hint="eastAsia"/>
          <w:highlight w:val="none"/>
        </w:rPr>
        <w:t>（8）作业平台上设置多条安全通道，以防不测时人员迅速疏散。</w:t>
      </w:r>
    </w:p>
    <w:p w14:paraId="61836E6D">
      <w:pPr>
        <w:pStyle w:val="5"/>
        <w:bidi w:val="0"/>
        <w:ind w:left="0" w:leftChars="0" w:firstLine="0" w:firstLineChars="0"/>
        <w:rPr>
          <w:highlight w:val="none"/>
        </w:rPr>
      </w:pPr>
      <w:r>
        <w:rPr>
          <w:rFonts w:hint="eastAsia"/>
          <w:highlight w:val="none"/>
        </w:rPr>
        <w:t>坍塌事故现场处置</w:t>
      </w:r>
    </w:p>
    <w:p w14:paraId="04CA9B4D">
      <w:pPr>
        <w:ind w:firstLine="480"/>
        <w:rPr>
          <w:highlight w:val="none"/>
        </w:rPr>
      </w:pPr>
      <w:r>
        <w:rPr>
          <w:rFonts w:hint="eastAsia"/>
          <w:highlight w:val="none"/>
        </w:rPr>
        <w:t>（1）坍塌事故发生后，事故现场有关人员立即向周围人员呼救，同时向现场负责人报告，现场负责人立即向现场处置小组报告，并立即到达事故现场。</w:t>
      </w:r>
    </w:p>
    <w:p w14:paraId="720BF543">
      <w:pPr>
        <w:ind w:firstLine="480"/>
        <w:rPr>
          <w:highlight w:val="none"/>
        </w:rPr>
      </w:pPr>
      <w:r>
        <w:rPr>
          <w:rFonts w:hint="eastAsia"/>
          <w:highlight w:val="none"/>
        </w:rPr>
        <w:t>（2）有人员被压埋，事故现场人员主动积极抢救被压埋人员。</w:t>
      </w:r>
    </w:p>
    <w:p w14:paraId="0D53F906">
      <w:pPr>
        <w:ind w:firstLine="480"/>
        <w:rPr>
          <w:highlight w:val="none"/>
        </w:rPr>
      </w:pPr>
      <w:r>
        <w:rPr>
          <w:rFonts w:hint="eastAsia"/>
          <w:highlight w:val="none"/>
        </w:rPr>
        <w:t>（3）现场处置小组到达事故现场后，立即启动应急预案，发出命令，应急小组履行职责，疏散无关人员。</w:t>
      </w:r>
    </w:p>
    <w:p w14:paraId="2C220811">
      <w:pPr>
        <w:ind w:firstLine="480"/>
        <w:rPr>
          <w:highlight w:val="none"/>
        </w:rPr>
      </w:pPr>
      <w:r>
        <w:rPr>
          <w:rFonts w:hint="eastAsia"/>
          <w:highlight w:val="none"/>
        </w:rPr>
        <w:t>（4）现场指挥人员及时拨打急救中心电话，医务人员赶到现场抢救受伤人员。</w:t>
      </w:r>
    </w:p>
    <w:p w14:paraId="35FA639D">
      <w:pPr>
        <w:ind w:firstLine="480"/>
        <w:rPr>
          <w:highlight w:val="none"/>
        </w:rPr>
      </w:pPr>
      <w:r>
        <w:rPr>
          <w:rFonts w:hint="eastAsia"/>
          <w:highlight w:val="none"/>
        </w:rPr>
        <w:t>（5）抢救中如遇到坍塌物人工搬运有困难时，现场指挥人员调集吊车进行吊运，在接近被压埋人员时停止机械作业，改用人工清理，防止误伤被压埋人员。</w:t>
      </w:r>
    </w:p>
    <w:p w14:paraId="3BCC2758">
      <w:pPr>
        <w:ind w:firstLine="480"/>
        <w:rPr>
          <w:highlight w:val="none"/>
        </w:rPr>
      </w:pPr>
      <w:r>
        <w:rPr>
          <w:rFonts w:hint="eastAsia"/>
          <w:highlight w:val="none"/>
        </w:rPr>
        <w:t>（6）人员被救出后，立即转移到安全地方，转移时注意不得造成二次伤害，按物体打击等伤害处理措施进行现场抢救，并立即安排车辆送往医院，与120急救车在途中交接。</w:t>
      </w:r>
    </w:p>
    <w:p w14:paraId="0080F3A1">
      <w:pPr>
        <w:ind w:firstLine="480"/>
        <w:rPr>
          <w:highlight w:val="none"/>
        </w:rPr>
      </w:pPr>
      <w:r>
        <w:rPr>
          <w:rFonts w:hint="eastAsia"/>
          <w:highlight w:val="none"/>
        </w:rPr>
        <w:t>（7）注意保护事故现场，对相关信息和证据进行收集整理，做好事故调查工作。</w:t>
      </w:r>
    </w:p>
    <w:p w14:paraId="2FEB245D">
      <w:pPr>
        <w:ind w:firstLine="480"/>
        <w:rPr>
          <w:highlight w:val="none"/>
        </w:rPr>
      </w:pPr>
      <w:r>
        <w:rPr>
          <w:rFonts w:hint="eastAsia"/>
          <w:highlight w:val="none"/>
        </w:rPr>
        <w:t>（8）救援人员要严格遵守安全操作规程，加强自我保护，确保应急救援人身和财产安全。</w:t>
      </w:r>
    </w:p>
    <w:p w14:paraId="45C9E77D">
      <w:pPr>
        <w:pStyle w:val="5"/>
        <w:bidi w:val="0"/>
        <w:ind w:left="0" w:leftChars="0" w:firstLine="0" w:firstLineChars="0"/>
        <w:rPr>
          <w:highlight w:val="none"/>
        </w:rPr>
      </w:pPr>
      <w:r>
        <w:rPr>
          <w:rFonts w:hint="eastAsia"/>
          <w:highlight w:val="none"/>
        </w:rPr>
        <w:t>交通事故应急处置措施</w:t>
      </w:r>
    </w:p>
    <w:p w14:paraId="5C283644">
      <w:pPr>
        <w:ind w:firstLine="480"/>
        <w:rPr>
          <w:highlight w:val="none"/>
        </w:rPr>
      </w:pPr>
      <w:r>
        <w:rPr>
          <w:rFonts w:hint="eastAsia"/>
          <w:highlight w:val="none"/>
        </w:rPr>
        <w:t>（1）发生车辆伤害事故，驾驶员立即停车，拉紧手制动，关闭钥匙，开启双闪警示灯；</w:t>
      </w:r>
    </w:p>
    <w:p w14:paraId="1C9C0244">
      <w:pPr>
        <w:ind w:firstLine="480"/>
        <w:rPr>
          <w:highlight w:val="none"/>
        </w:rPr>
      </w:pPr>
      <w:r>
        <w:rPr>
          <w:rFonts w:hint="eastAsia"/>
          <w:highlight w:val="none"/>
        </w:rPr>
        <w:t>（2）进入现场处置人员必须经过应急救援培训和安全知识培训；事故造成人身伤亡的，驾驶员和乘车人员应当立即抢救受伤人员，伤势严重立即送往医院，并通知医院做好抢救准备；</w:t>
      </w:r>
    </w:p>
    <w:p w14:paraId="5DDB5B21">
      <w:pPr>
        <w:ind w:firstLine="480"/>
        <w:rPr>
          <w:highlight w:val="none"/>
        </w:rPr>
      </w:pPr>
      <w:r>
        <w:rPr>
          <w:rFonts w:hint="eastAsia"/>
          <w:highlight w:val="none"/>
        </w:rPr>
        <w:t>（3）事故造成车辆燃烧时，应迅速确认火源，火灾初期立即灭火，并做好预防爆炸的安全措施；</w:t>
      </w:r>
    </w:p>
    <w:p w14:paraId="18343026">
      <w:pPr>
        <w:ind w:firstLine="480"/>
        <w:rPr>
          <w:highlight w:val="none"/>
        </w:rPr>
      </w:pPr>
      <w:r>
        <w:rPr>
          <w:rFonts w:hint="eastAsia"/>
          <w:highlight w:val="none"/>
        </w:rPr>
        <w:t>（4）使用各类灭火器材灭火。</w:t>
      </w:r>
    </w:p>
    <w:p w14:paraId="410925C2">
      <w:pPr>
        <w:pStyle w:val="4"/>
        <w:bidi w:val="0"/>
        <w:ind w:left="0" w:leftChars="0" w:firstLine="0" w:firstLineChars="0"/>
        <w:rPr>
          <w:highlight w:val="none"/>
        </w:rPr>
      </w:pPr>
      <w:bookmarkStart w:id="146" w:name="_Toc121344362"/>
      <w:bookmarkStart w:id="147" w:name="_Toc15327"/>
      <w:bookmarkStart w:id="148" w:name="_Toc102481227"/>
      <w:bookmarkStart w:id="149" w:name="_Toc4255"/>
      <w:bookmarkStart w:id="150" w:name="_Toc102481278"/>
      <w:bookmarkStart w:id="151" w:name="_Toc40778457"/>
      <w:bookmarkStart w:id="152" w:name="_Toc102825402"/>
      <w:bookmarkStart w:id="153" w:name="_Toc27571"/>
      <w:bookmarkStart w:id="154" w:name="_Toc23651"/>
      <w:r>
        <w:rPr>
          <w:rFonts w:hint="eastAsia"/>
          <w:highlight w:val="none"/>
        </w:rPr>
        <w:t>应急车辆、物资及设备</w:t>
      </w:r>
      <w:bookmarkEnd w:id="146"/>
      <w:bookmarkEnd w:id="147"/>
      <w:bookmarkEnd w:id="148"/>
      <w:bookmarkEnd w:id="149"/>
      <w:bookmarkEnd w:id="150"/>
      <w:bookmarkEnd w:id="151"/>
      <w:bookmarkEnd w:id="152"/>
      <w:bookmarkEnd w:id="153"/>
      <w:bookmarkEnd w:id="154"/>
    </w:p>
    <w:p w14:paraId="3F3071C9">
      <w:pPr>
        <w:ind w:firstLine="480"/>
        <w:rPr>
          <w:highlight w:val="none"/>
        </w:rPr>
      </w:pPr>
      <w:r>
        <w:rPr>
          <w:rFonts w:hint="eastAsia"/>
          <w:highlight w:val="none"/>
        </w:rPr>
        <w:t>应急资源的准备是应急救援工作的重要保障，项目部根据潜在事故性质和后果分析，配备足量应急救援中所需的救援机械和设备、交通工具、医疗设备和药品、生活保障物资。详见</w:t>
      </w:r>
      <w:r>
        <w:rPr>
          <w:highlight w:val="none"/>
        </w:rPr>
        <w:fldChar w:fldCharType="begin"/>
      </w:r>
      <w:r>
        <w:rPr>
          <w:highlight w:val="none"/>
        </w:rPr>
        <w:instrText xml:space="preserve"> </w:instrText>
      </w:r>
      <w:r>
        <w:rPr>
          <w:rFonts w:hint="eastAsia"/>
          <w:highlight w:val="none"/>
        </w:rPr>
        <w:instrText xml:space="preserve">REF _Ref114664593 \h</w:instrText>
      </w:r>
      <w:r>
        <w:rPr>
          <w:highlight w:val="none"/>
        </w:rPr>
        <w:instrText xml:space="preserve"> </w:instrText>
      </w:r>
      <w:r>
        <w:rPr>
          <w:highlight w:val="none"/>
        </w:rPr>
        <w:fldChar w:fldCharType="separate"/>
      </w:r>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2 \s</w:instrText>
      </w:r>
      <w:r>
        <w:rPr>
          <w:highlight w:val="none"/>
        </w:rPr>
        <w:instrText xml:space="preserve"> </w:instrText>
      </w:r>
      <w:r>
        <w:rPr>
          <w:highlight w:val="none"/>
        </w:rPr>
        <w:fldChar w:fldCharType="separate"/>
      </w:r>
      <w:r>
        <w:rPr>
          <w:rFonts w:hint="eastAsia"/>
          <w:highlight w:val="none"/>
        </w:rPr>
        <w:t>9.3</w:t>
      </w:r>
      <w:r>
        <w:rPr>
          <w:highlight w:val="none"/>
        </w:rPr>
        <w:fldChar w:fldCharType="end"/>
      </w:r>
      <w:r>
        <w:rPr>
          <w:rFonts w:hint="eastAsia"/>
          <w:highlight w:val="none"/>
        </w:rPr>
        <w:t>3</w:t>
      </w:r>
      <w:r>
        <w:rPr>
          <w:highlight w:val="none"/>
        </w:rPr>
        <w:noBreakHyphen/>
      </w:r>
      <w:r>
        <w:rPr>
          <w:rFonts w:hint="eastAsia"/>
          <w:highlight w:val="none"/>
        </w:rPr>
        <w:t>1</w:t>
      </w:r>
      <w:r>
        <w:rPr>
          <w:highlight w:val="none"/>
        </w:rPr>
        <w:fldChar w:fldCharType="end"/>
      </w:r>
      <w:r>
        <w:rPr>
          <w:rFonts w:hint="eastAsia"/>
          <w:highlight w:val="none"/>
        </w:rPr>
        <w:t>、</w:t>
      </w:r>
      <w:r>
        <w:rPr>
          <w:highlight w:val="none"/>
        </w:rPr>
        <w:fldChar w:fldCharType="begin"/>
      </w:r>
      <w:r>
        <w:rPr>
          <w:highlight w:val="none"/>
        </w:rPr>
        <w:instrText xml:space="preserve"> REF _Ref114664595 \h </w:instrText>
      </w:r>
      <w:r>
        <w:rPr>
          <w:highlight w:val="none"/>
        </w:rPr>
        <w:fldChar w:fldCharType="separate"/>
      </w:r>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2 \s</w:instrText>
      </w:r>
      <w:r>
        <w:rPr>
          <w:highlight w:val="none"/>
        </w:rPr>
        <w:instrText xml:space="preserve"> </w:instrText>
      </w:r>
      <w:r>
        <w:rPr>
          <w:highlight w:val="none"/>
        </w:rPr>
        <w:fldChar w:fldCharType="separate"/>
      </w:r>
      <w:r>
        <w:rPr>
          <w:rFonts w:hint="eastAsia"/>
          <w:highlight w:val="none"/>
        </w:rPr>
        <w:t>9.3</w:t>
      </w:r>
      <w:r>
        <w:rPr>
          <w:highlight w:val="none"/>
        </w:rPr>
        <w:fldChar w:fldCharType="end"/>
      </w:r>
      <w:r>
        <w:rPr>
          <w:rFonts w:hint="eastAsia"/>
          <w:highlight w:val="none"/>
        </w:rPr>
        <w:t>3</w:t>
      </w:r>
      <w:r>
        <w:rPr>
          <w:highlight w:val="none"/>
        </w:rPr>
        <w:noBreakHyphen/>
      </w:r>
      <w:r>
        <w:rPr>
          <w:rFonts w:hint="eastAsia"/>
          <w:highlight w:val="none"/>
        </w:rPr>
        <w:t>2</w:t>
      </w:r>
      <w:r>
        <w:rPr>
          <w:highlight w:val="none"/>
        </w:rPr>
        <w:fldChar w:fldCharType="end"/>
      </w:r>
      <w:r>
        <w:rPr>
          <w:rFonts w:hint="eastAsia"/>
          <w:highlight w:val="none"/>
        </w:rPr>
        <w:t>。</w:t>
      </w:r>
    </w:p>
    <w:p w14:paraId="03CCEB22">
      <w:pPr>
        <w:pStyle w:val="18"/>
        <w:keepNext/>
        <w:rPr>
          <w:highlight w:val="none"/>
        </w:rPr>
      </w:pPr>
      <w:bookmarkStart w:id="155" w:name="_Ref114664593"/>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2 \s</w:instrText>
      </w:r>
      <w:r>
        <w:rPr>
          <w:highlight w:val="none"/>
        </w:rPr>
        <w:instrText xml:space="preserve"> </w:instrText>
      </w:r>
      <w:r>
        <w:rPr>
          <w:highlight w:val="none"/>
        </w:rPr>
        <w:fldChar w:fldCharType="separate"/>
      </w:r>
      <w:r>
        <w:rPr>
          <w:rFonts w:hint="eastAsia"/>
          <w:highlight w:val="none"/>
        </w:rPr>
        <w:t>9.3</w:t>
      </w:r>
      <w:r>
        <w:rPr>
          <w:highlight w:val="none"/>
        </w:rPr>
        <w:fldChar w:fldCharType="end"/>
      </w:r>
      <w:r>
        <w:rPr>
          <w:rFonts w:hint="eastAsia"/>
          <w:highlight w:val="none"/>
        </w:rPr>
        <w:t>.3</w:t>
      </w:r>
      <w:r>
        <w:rPr>
          <w:highlight w:val="none"/>
        </w:rPr>
        <w:noBreakHyphen/>
      </w:r>
      <w:r>
        <w:rPr>
          <w:highlight w:val="none"/>
        </w:rPr>
        <w:fldChar w:fldCharType="begin"/>
      </w:r>
      <w:r>
        <w:rPr>
          <w:highlight w:val="none"/>
        </w:rPr>
        <w:instrText xml:space="preserve"> </w:instrText>
      </w:r>
      <w:r>
        <w:rPr>
          <w:rFonts w:hint="eastAsia"/>
          <w:highlight w:val="none"/>
        </w:rPr>
        <w:instrText xml:space="preserve">SEQ 表_ \* ARABIC \s 2</w:instrText>
      </w:r>
      <w:r>
        <w:rPr>
          <w:highlight w:val="none"/>
        </w:rPr>
        <w:instrText xml:space="preserve"> </w:instrText>
      </w:r>
      <w:r>
        <w:rPr>
          <w:highlight w:val="none"/>
        </w:rPr>
        <w:fldChar w:fldCharType="separate"/>
      </w:r>
      <w:r>
        <w:rPr>
          <w:rFonts w:hint="eastAsia"/>
          <w:highlight w:val="none"/>
        </w:rPr>
        <w:t>1</w:t>
      </w:r>
      <w:r>
        <w:rPr>
          <w:highlight w:val="none"/>
        </w:rPr>
        <w:fldChar w:fldCharType="end"/>
      </w:r>
      <w:bookmarkEnd w:id="155"/>
      <w:r>
        <w:rPr>
          <w:rFonts w:hint="eastAsia"/>
          <w:highlight w:val="none"/>
        </w:rPr>
        <w:t>项目部应急车辆</w:t>
      </w:r>
    </w:p>
    <w:tbl>
      <w:tblPr>
        <w:tblStyle w:val="74"/>
        <w:tblW w:w="5000" w:type="pct"/>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419"/>
        <w:gridCol w:w="1419"/>
        <w:gridCol w:w="1419"/>
        <w:gridCol w:w="1419"/>
        <w:gridCol w:w="1423"/>
        <w:gridCol w:w="1423"/>
      </w:tblGrid>
      <w:tr w14:paraId="7917A06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832"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52DD5E5E">
            <w:pPr>
              <w:pStyle w:val="53"/>
              <w:rPr>
                <w:rFonts w:ascii="Times New Roman" w:hAnsi="Times New Roman" w:eastAsia="宋体"/>
                <w:b w:val="0"/>
                <w:i w:val="0"/>
                <w:highlight w:val="none"/>
              </w:rPr>
            </w:pPr>
            <w:r>
              <w:rPr>
                <w:rFonts w:ascii="Times New Roman" w:hAnsi="Times New Roman" w:eastAsia="宋体"/>
                <w:b/>
                <w:i w:val="0"/>
                <w:highlight w:val="none"/>
              </w:rPr>
              <w:t>编号</w:t>
            </w:r>
          </w:p>
        </w:tc>
        <w:tc>
          <w:tcPr>
            <w:tcW w:w="832"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3A94A91F">
            <w:pPr>
              <w:pStyle w:val="53"/>
              <w:rPr>
                <w:rFonts w:ascii="Times New Roman" w:hAnsi="Times New Roman" w:eastAsia="宋体"/>
                <w:b w:val="0"/>
                <w:i w:val="0"/>
                <w:highlight w:val="none"/>
              </w:rPr>
            </w:pPr>
            <w:r>
              <w:rPr>
                <w:rFonts w:ascii="Times New Roman" w:hAnsi="Times New Roman" w:eastAsia="宋体"/>
                <w:b/>
                <w:i w:val="0"/>
                <w:highlight w:val="none"/>
              </w:rPr>
              <w:t>设备名称</w:t>
            </w:r>
          </w:p>
        </w:tc>
        <w:tc>
          <w:tcPr>
            <w:tcW w:w="832"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526907E3">
            <w:pPr>
              <w:pStyle w:val="53"/>
              <w:rPr>
                <w:rFonts w:ascii="Times New Roman" w:hAnsi="Times New Roman" w:eastAsia="宋体"/>
                <w:b w:val="0"/>
                <w:i w:val="0"/>
                <w:highlight w:val="none"/>
              </w:rPr>
            </w:pPr>
            <w:r>
              <w:rPr>
                <w:rFonts w:ascii="Times New Roman" w:hAnsi="Times New Roman" w:eastAsia="宋体"/>
                <w:b/>
                <w:i w:val="0"/>
                <w:highlight w:val="none"/>
              </w:rPr>
              <w:t>单位</w:t>
            </w:r>
          </w:p>
        </w:tc>
        <w:tc>
          <w:tcPr>
            <w:tcW w:w="832"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5A2FCFA2">
            <w:pPr>
              <w:pStyle w:val="53"/>
              <w:rPr>
                <w:rFonts w:ascii="Times New Roman" w:hAnsi="Times New Roman" w:eastAsia="宋体"/>
                <w:b w:val="0"/>
                <w:i w:val="0"/>
                <w:highlight w:val="none"/>
              </w:rPr>
            </w:pPr>
            <w:r>
              <w:rPr>
                <w:rFonts w:ascii="Times New Roman" w:hAnsi="Times New Roman" w:eastAsia="宋体"/>
                <w:b/>
                <w:i w:val="0"/>
                <w:highlight w:val="none"/>
              </w:rPr>
              <w:t>投入数量</w:t>
            </w:r>
          </w:p>
        </w:tc>
        <w:tc>
          <w:tcPr>
            <w:tcW w:w="834"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59A3D5A7">
            <w:pPr>
              <w:pStyle w:val="53"/>
              <w:rPr>
                <w:rFonts w:ascii="Times New Roman" w:hAnsi="Times New Roman" w:eastAsia="宋体"/>
                <w:b w:val="0"/>
                <w:i w:val="0"/>
                <w:highlight w:val="none"/>
              </w:rPr>
            </w:pPr>
            <w:r>
              <w:rPr>
                <w:rFonts w:ascii="Times New Roman" w:hAnsi="Times New Roman" w:eastAsia="宋体"/>
                <w:b/>
                <w:i w:val="0"/>
                <w:highlight w:val="none"/>
              </w:rPr>
              <w:t>性能</w:t>
            </w:r>
          </w:p>
        </w:tc>
        <w:tc>
          <w:tcPr>
            <w:tcW w:w="834"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19BB5CC8">
            <w:pPr>
              <w:pStyle w:val="53"/>
              <w:rPr>
                <w:rFonts w:ascii="Times New Roman" w:hAnsi="Times New Roman" w:eastAsia="宋体"/>
                <w:b w:val="0"/>
                <w:i w:val="0"/>
                <w:highlight w:val="none"/>
              </w:rPr>
            </w:pPr>
            <w:r>
              <w:rPr>
                <w:rFonts w:ascii="Times New Roman" w:hAnsi="Times New Roman" w:eastAsia="宋体"/>
                <w:b/>
                <w:i w:val="0"/>
                <w:highlight w:val="none"/>
              </w:rPr>
              <w:t>存放地点</w:t>
            </w:r>
          </w:p>
        </w:tc>
      </w:tr>
      <w:tr w14:paraId="1107575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832"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9E50A99">
            <w:pPr>
              <w:pStyle w:val="53"/>
              <w:rPr>
                <w:rFonts w:ascii="Times New Roman" w:hAnsi="Times New Roman" w:eastAsia="宋体"/>
                <w:b w:val="0"/>
                <w:i w:val="0"/>
                <w:highlight w:val="none"/>
              </w:rPr>
            </w:pPr>
            <w:r>
              <w:rPr>
                <w:rFonts w:ascii="Times New Roman" w:hAnsi="Times New Roman" w:eastAsia="宋体"/>
                <w:b w:val="0"/>
                <w:i w:val="0"/>
                <w:highlight w:val="none"/>
              </w:rPr>
              <w:t>1</w:t>
            </w:r>
          </w:p>
        </w:tc>
        <w:tc>
          <w:tcPr>
            <w:tcW w:w="83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671CE5">
            <w:pPr>
              <w:pStyle w:val="53"/>
              <w:rPr>
                <w:b w:val="0"/>
                <w:highlight w:val="none"/>
              </w:rPr>
            </w:pPr>
            <w:r>
              <w:rPr>
                <w:b w:val="0"/>
                <w:highlight w:val="none"/>
              </w:rPr>
              <w:t>轿车</w:t>
            </w:r>
          </w:p>
        </w:tc>
        <w:tc>
          <w:tcPr>
            <w:tcW w:w="83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743422">
            <w:pPr>
              <w:pStyle w:val="53"/>
              <w:rPr>
                <w:b w:val="0"/>
                <w:highlight w:val="none"/>
              </w:rPr>
            </w:pPr>
            <w:r>
              <w:rPr>
                <w:b w:val="0"/>
                <w:highlight w:val="none"/>
              </w:rPr>
              <w:t>台</w:t>
            </w:r>
          </w:p>
        </w:tc>
        <w:tc>
          <w:tcPr>
            <w:tcW w:w="83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AEE16E">
            <w:pPr>
              <w:pStyle w:val="53"/>
              <w:rPr>
                <w:b w:val="0"/>
                <w:highlight w:val="none"/>
              </w:rPr>
            </w:pPr>
            <w:r>
              <w:rPr>
                <w:b w:val="0"/>
                <w:highlight w:val="none"/>
              </w:rPr>
              <w:t>2</w:t>
            </w:r>
          </w:p>
        </w:tc>
        <w:tc>
          <w:tcPr>
            <w:tcW w:w="83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833AE7">
            <w:pPr>
              <w:pStyle w:val="53"/>
              <w:rPr>
                <w:b w:val="0"/>
                <w:highlight w:val="none"/>
              </w:rPr>
            </w:pPr>
            <w:r>
              <w:rPr>
                <w:b w:val="0"/>
                <w:highlight w:val="none"/>
              </w:rPr>
              <w:t>优良</w:t>
            </w:r>
          </w:p>
        </w:tc>
        <w:tc>
          <w:tcPr>
            <w:tcW w:w="834"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0B2A1AB">
            <w:pPr>
              <w:pStyle w:val="53"/>
              <w:rPr>
                <w:b w:val="0"/>
                <w:highlight w:val="none"/>
              </w:rPr>
            </w:pPr>
            <w:r>
              <w:rPr>
                <w:b w:val="0"/>
                <w:highlight w:val="none"/>
              </w:rPr>
              <w:t>项目部</w:t>
            </w:r>
          </w:p>
        </w:tc>
      </w:tr>
      <w:tr w14:paraId="76CAAD07">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832"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62AC7DF4">
            <w:pPr>
              <w:pStyle w:val="53"/>
              <w:rPr>
                <w:rFonts w:ascii="Times New Roman" w:hAnsi="Times New Roman" w:eastAsia="宋体"/>
                <w:b w:val="0"/>
                <w:i w:val="0"/>
                <w:highlight w:val="none"/>
              </w:rPr>
            </w:pPr>
            <w:r>
              <w:rPr>
                <w:rFonts w:ascii="Times New Roman" w:hAnsi="Times New Roman" w:eastAsia="宋体"/>
                <w:b w:val="0"/>
                <w:i w:val="0"/>
                <w:highlight w:val="none"/>
              </w:rPr>
              <w:t>2</w:t>
            </w:r>
          </w:p>
        </w:tc>
        <w:tc>
          <w:tcPr>
            <w:tcW w:w="832"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0C8D74E8">
            <w:pPr>
              <w:pStyle w:val="53"/>
              <w:rPr>
                <w:b w:val="0"/>
                <w:highlight w:val="none"/>
              </w:rPr>
            </w:pPr>
            <w:r>
              <w:rPr>
                <w:b w:val="0"/>
                <w:highlight w:val="none"/>
              </w:rPr>
              <w:t>皮卡车</w:t>
            </w:r>
          </w:p>
        </w:tc>
        <w:tc>
          <w:tcPr>
            <w:tcW w:w="832"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10E24DD3">
            <w:pPr>
              <w:pStyle w:val="53"/>
              <w:rPr>
                <w:b w:val="0"/>
                <w:highlight w:val="none"/>
              </w:rPr>
            </w:pPr>
            <w:r>
              <w:rPr>
                <w:b w:val="0"/>
                <w:highlight w:val="none"/>
              </w:rPr>
              <w:t>台</w:t>
            </w:r>
          </w:p>
        </w:tc>
        <w:tc>
          <w:tcPr>
            <w:tcW w:w="832"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02B5CF92">
            <w:pPr>
              <w:pStyle w:val="53"/>
              <w:rPr>
                <w:b w:val="0"/>
                <w:highlight w:val="none"/>
              </w:rPr>
            </w:pPr>
            <w:r>
              <w:rPr>
                <w:b w:val="0"/>
                <w:highlight w:val="none"/>
              </w:rPr>
              <w:t>2</w:t>
            </w:r>
          </w:p>
        </w:tc>
        <w:tc>
          <w:tcPr>
            <w:tcW w:w="834"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44776C73">
            <w:pPr>
              <w:pStyle w:val="53"/>
              <w:rPr>
                <w:b w:val="0"/>
                <w:highlight w:val="none"/>
              </w:rPr>
            </w:pPr>
            <w:r>
              <w:rPr>
                <w:b w:val="0"/>
                <w:highlight w:val="none"/>
              </w:rPr>
              <w:t>优良</w:t>
            </w:r>
          </w:p>
        </w:tc>
        <w:tc>
          <w:tcPr>
            <w:tcW w:w="834" w:type="pct"/>
            <w:tcBorders>
              <w:top w:val="single" w:color="000000" w:sz="4" w:space="0"/>
              <w:left w:val="single" w:color="000000" w:sz="4" w:space="0"/>
              <w:bottom w:val="single" w:color="000000" w:sz="12" w:space="0"/>
              <w:right w:val="single" w:color="000000" w:sz="12" w:space="0"/>
            </w:tcBorders>
            <w:shd w:val="clear" w:color="auto" w:fill="FFFFFF"/>
            <w:vAlign w:val="center"/>
          </w:tcPr>
          <w:p w14:paraId="01D46C0A">
            <w:pPr>
              <w:pStyle w:val="53"/>
              <w:rPr>
                <w:b w:val="0"/>
                <w:highlight w:val="none"/>
              </w:rPr>
            </w:pPr>
            <w:r>
              <w:rPr>
                <w:b w:val="0"/>
                <w:highlight w:val="none"/>
              </w:rPr>
              <w:t>项目部</w:t>
            </w:r>
          </w:p>
        </w:tc>
      </w:tr>
    </w:tbl>
    <w:p w14:paraId="4CEF5412">
      <w:pPr>
        <w:pStyle w:val="18"/>
        <w:keepNext/>
        <w:spacing w:before="120" w:beforeLines="50"/>
        <w:rPr>
          <w:highlight w:val="none"/>
        </w:rPr>
      </w:pPr>
      <w:bookmarkStart w:id="156" w:name="_Ref114664595"/>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2 \s</w:instrText>
      </w:r>
      <w:r>
        <w:rPr>
          <w:highlight w:val="none"/>
        </w:rPr>
        <w:instrText xml:space="preserve"> </w:instrText>
      </w:r>
      <w:r>
        <w:rPr>
          <w:highlight w:val="none"/>
        </w:rPr>
        <w:fldChar w:fldCharType="separate"/>
      </w:r>
      <w:r>
        <w:rPr>
          <w:rFonts w:hint="eastAsia"/>
          <w:highlight w:val="none"/>
        </w:rPr>
        <w:t>9.3</w:t>
      </w:r>
      <w:r>
        <w:rPr>
          <w:highlight w:val="none"/>
        </w:rPr>
        <w:fldChar w:fldCharType="end"/>
      </w:r>
      <w:r>
        <w:rPr>
          <w:rFonts w:hint="eastAsia"/>
          <w:highlight w:val="none"/>
        </w:rPr>
        <w:t>.3</w:t>
      </w:r>
      <w:r>
        <w:rPr>
          <w:highlight w:val="none"/>
        </w:rPr>
        <w:noBreakHyphen/>
      </w:r>
      <w:r>
        <w:rPr>
          <w:highlight w:val="none"/>
        </w:rPr>
        <w:fldChar w:fldCharType="begin"/>
      </w:r>
      <w:r>
        <w:rPr>
          <w:highlight w:val="none"/>
        </w:rPr>
        <w:instrText xml:space="preserve"> </w:instrText>
      </w:r>
      <w:r>
        <w:rPr>
          <w:rFonts w:hint="eastAsia"/>
          <w:highlight w:val="none"/>
        </w:rPr>
        <w:instrText xml:space="preserve">SEQ 表_ \* ARABIC \s 2</w:instrText>
      </w:r>
      <w:r>
        <w:rPr>
          <w:highlight w:val="none"/>
        </w:rPr>
        <w:instrText xml:space="preserve"> </w:instrText>
      </w:r>
      <w:r>
        <w:rPr>
          <w:highlight w:val="none"/>
        </w:rPr>
        <w:fldChar w:fldCharType="separate"/>
      </w:r>
      <w:r>
        <w:rPr>
          <w:rFonts w:hint="eastAsia"/>
          <w:highlight w:val="none"/>
        </w:rPr>
        <w:t>2</w:t>
      </w:r>
      <w:r>
        <w:rPr>
          <w:highlight w:val="none"/>
        </w:rPr>
        <w:fldChar w:fldCharType="end"/>
      </w:r>
      <w:bookmarkEnd w:id="156"/>
      <w:r>
        <w:rPr>
          <w:rFonts w:hint="eastAsia"/>
          <w:highlight w:val="none"/>
        </w:rPr>
        <w:t>应急设备、物资保障</w:t>
      </w:r>
    </w:p>
    <w:tbl>
      <w:tblPr>
        <w:tblStyle w:val="74"/>
        <w:tblW w:w="5000" w:type="pct"/>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26"/>
        <w:gridCol w:w="4148"/>
        <w:gridCol w:w="626"/>
        <w:gridCol w:w="1042"/>
        <w:gridCol w:w="1040"/>
        <w:gridCol w:w="1040"/>
      </w:tblGrid>
      <w:tr w14:paraId="254F42C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367" w:type="pct"/>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2A01346C">
            <w:pPr>
              <w:pStyle w:val="53"/>
              <w:rPr>
                <w:rFonts w:ascii="Times New Roman" w:hAnsi="Times New Roman" w:eastAsia="宋体"/>
                <w:b w:val="0"/>
                <w:bCs w:val="0"/>
                <w:i w:val="0"/>
                <w:highlight w:val="none"/>
              </w:rPr>
            </w:pPr>
            <w:r>
              <w:rPr>
                <w:rFonts w:ascii="Times New Roman" w:hAnsi="Times New Roman" w:eastAsia="宋体"/>
                <w:b/>
                <w:bCs w:val="0"/>
                <w:i w:val="0"/>
                <w:highlight w:val="none"/>
              </w:rPr>
              <w:t>编号</w:t>
            </w:r>
          </w:p>
        </w:tc>
        <w:tc>
          <w:tcPr>
            <w:tcW w:w="2433"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18A5403B">
            <w:pPr>
              <w:pStyle w:val="53"/>
              <w:rPr>
                <w:rFonts w:ascii="Times New Roman" w:hAnsi="Times New Roman" w:eastAsia="宋体"/>
                <w:b w:val="0"/>
                <w:bCs w:val="0"/>
                <w:i w:val="0"/>
                <w:highlight w:val="none"/>
              </w:rPr>
            </w:pPr>
            <w:r>
              <w:rPr>
                <w:rFonts w:ascii="Times New Roman" w:hAnsi="Times New Roman" w:eastAsia="宋体"/>
                <w:b/>
                <w:bCs w:val="0"/>
                <w:i w:val="0"/>
                <w:highlight w:val="none"/>
              </w:rPr>
              <w:t>设备名称</w:t>
            </w:r>
          </w:p>
        </w:tc>
        <w:tc>
          <w:tcPr>
            <w:tcW w:w="367"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1A934D43">
            <w:pPr>
              <w:pStyle w:val="53"/>
              <w:rPr>
                <w:rFonts w:ascii="Times New Roman" w:hAnsi="Times New Roman" w:eastAsia="宋体"/>
                <w:b w:val="0"/>
                <w:bCs w:val="0"/>
                <w:i w:val="0"/>
                <w:highlight w:val="none"/>
              </w:rPr>
            </w:pPr>
            <w:r>
              <w:rPr>
                <w:rFonts w:ascii="Times New Roman" w:hAnsi="Times New Roman" w:eastAsia="宋体"/>
                <w:b/>
                <w:bCs w:val="0"/>
                <w:i w:val="0"/>
                <w:highlight w:val="none"/>
              </w:rPr>
              <w:t>单位</w:t>
            </w:r>
          </w:p>
        </w:tc>
        <w:tc>
          <w:tcPr>
            <w:tcW w:w="611"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38E8FEAE">
            <w:pPr>
              <w:pStyle w:val="53"/>
              <w:rPr>
                <w:rFonts w:ascii="Times New Roman" w:hAnsi="Times New Roman" w:eastAsia="宋体"/>
                <w:b w:val="0"/>
                <w:bCs w:val="0"/>
                <w:i w:val="0"/>
                <w:highlight w:val="none"/>
              </w:rPr>
            </w:pPr>
            <w:r>
              <w:rPr>
                <w:rFonts w:ascii="Times New Roman" w:hAnsi="Times New Roman" w:eastAsia="宋体"/>
                <w:b/>
                <w:bCs w:val="0"/>
                <w:i w:val="0"/>
                <w:highlight w:val="none"/>
              </w:rPr>
              <w:t>投入数量</w:t>
            </w:r>
          </w:p>
        </w:tc>
        <w:tc>
          <w:tcPr>
            <w:tcW w:w="610" w:type="pct"/>
            <w:tcBorders>
              <w:top w:val="single" w:color="000000" w:sz="12" w:space="0"/>
              <w:left w:val="single" w:color="000000" w:sz="4" w:space="0"/>
              <w:bottom w:val="single" w:color="000000" w:sz="4" w:space="0"/>
              <w:right w:val="single" w:color="000000" w:sz="4" w:space="0"/>
            </w:tcBorders>
            <w:shd w:val="clear" w:color="auto" w:fill="FFFFFF"/>
            <w:vAlign w:val="center"/>
          </w:tcPr>
          <w:p w14:paraId="006B0D17">
            <w:pPr>
              <w:pStyle w:val="53"/>
              <w:rPr>
                <w:rFonts w:ascii="Times New Roman" w:hAnsi="Times New Roman" w:eastAsia="宋体"/>
                <w:b w:val="0"/>
                <w:bCs w:val="0"/>
                <w:i w:val="0"/>
                <w:highlight w:val="none"/>
              </w:rPr>
            </w:pPr>
            <w:r>
              <w:rPr>
                <w:rFonts w:ascii="Times New Roman" w:hAnsi="Times New Roman" w:eastAsia="宋体"/>
                <w:b/>
                <w:bCs w:val="0"/>
                <w:i w:val="0"/>
                <w:highlight w:val="none"/>
              </w:rPr>
              <w:t>性能</w:t>
            </w:r>
          </w:p>
        </w:tc>
        <w:tc>
          <w:tcPr>
            <w:tcW w:w="610" w:type="pct"/>
            <w:tcBorders>
              <w:top w:val="single" w:color="000000" w:sz="12" w:space="0"/>
              <w:left w:val="single" w:color="000000" w:sz="4" w:space="0"/>
              <w:bottom w:val="single" w:color="000000" w:sz="4" w:space="0"/>
              <w:right w:val="single" w:color="000000" w:sz="12" w:space="0"/>
            </w:tcBorders>
            <w:shd w:val="clear" w:color="auto" w:fill="FFFFFF"/>
            <w:vAlign w:val="center"/>
          </w:tcPr>
          <w:p w14:paraId="779EFB3D">
            <w:pPr>
              <w:pStyle w:val="53"/>
              <w:rPr>
                <w:rFonts w:ascii="Times New Roman" w:hAnsi="Times New Roman" w:eastAsia="宋体"/>
                <w:b w:val="0"/>
                <w:bCs w:val="0"/>
                <w:i w:val="0"/>
                <w:highlight w:val="none"/>
              </w:rPr>
            </w:pPr>
            <w:r>
              <w:rPr>
                <w:rFonts w:ascii="Times New Roman" w:hAnsi="Times New Roman" w:eastAsia="宋体"/>
                <w:b/>
                <w:bCs w:val="0"/>
                <w:i w:val="0"/>
                <w:highlight w:val="none"/>
              </w:rPr>
              <w:t>存放地点</w:t>
            </w:r>
          </w:p>
        </w:tc>
      </w:tr>
      <w:tr w14:paraId="4F72447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367"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1012F44E">
            <w:pPr>
              <w:pStyle w:val="53"/>
              <w:rPr>
                <w:rFonts w:ascii="Times New Roman" w:hAnsi="Times New Roman" w:eastAsia="宋体"/>
                <w:b w:val="0"/>
                <w:i w:val="0"/>
                <w:highlight w:val="none"/>
              </w:rPr>
            </w:pPr>
            <w:r>
              <w:rPr>
                <w:rFonts w:ascii="Times New Roman" w:hAnsi="Times New Roman" w:eastAsia="宋体"/>
                <w:b w:val="0"/>
                <w:i w:val="0"/>
                <w:highlight w:val="none"/>
              </w:rPr>
              <w:t>1</w:t>
            </w:r>
          </w:p>
        </w:tc>
        <w:tc>
          <w:tcPr>
            <w:tcW w:w="243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74C53D">
            <w:pPr>
              <w:pStyle w:val="53"/>
              <w:rPr>
                <w:b w:val="0"/>
                <w:highlight w:val="none"/>
              </w:rPr>
            </w:pPr>
            <w:r>
              <w:rPr>
                <w:b w:val="0"/>
                <w:highlight w:val="none"/>
              </w:rPr>
              <w:t>挖掘机</w:t>
            </w:r>
          </w:p>
        </w:tc>
        <w:tc>
          <w:tcPr>
            <w:tcW w:w="3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E15DE4">
            <w:pPr>
              <w:pStyle w:val="53"/>
              <w:rPr>
                <w:b w:val="0"/>
                <w:highlight w:val="none"/>
              </w:rPr>
            </w:pPr>
            <w:r>
              <w:rPr>
                <w:b w:val="0"/>
                <w:highlight w:val="none"/>
              </w:rPr>
              <w:t>台</w:t>
            </w:r>
          </w:p>
        </w:tc>
        <w:tc>
          <w:tcPr>
            <w:tcW w:w="6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BCA58E">
            <w:pPr>
              <w:pStyle w:val="53"/>
              <w:rPr>
                <w:b w:val="0"/>
                <w:highlight w:val="none"/>
              </w:rPr>
            </w:pPr>
            <w:r>
              <w:rPr>
                <w:b w:val="0"/>
                <w:highlight w:val="none"/>
              </w:rPr>
              <w:t>2</w:t>
            </w:r>
          </w:p>
        </w:tc>
        <w:tc>
          <w:tcPr>
            <w:tcW w:w="61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AF82F0">
            <w:pPr>
              <w:pStyle w:val="53"/>
              <w:rPr>
                <w:b w:val="0"/>
                <w:highlight w:val="none"/>
              </w:rPr>
            </w:pPr>
            <w:r>
              <w:rPr>
                <w:b w:val="0"/>
                <w:highlight w:val="none"/>
              </w:rPr>
              <w:t>优良</w:t>
            </w:r>
          </w:p>
        </w:tc>
        <w:tc>
          <w:tcPr>
            <w:tcW w:w="610"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156D846">
            <w:pPr>
              <w:pStyle w:val="53"/>
              <w:rPr>
                <w:b w:val="0"/>
                <w:highlight w:val="none"/>
              </w:rPr>
            </w:pPr>
            <w:r>
              <w:rPr>
                <w:b w:val="0"/>
                <w:highlight w:val="none"/>
              </w:rPr>
              <w:t>项目部</w:t>
            </w:r>
          </w:p>
        </w:tc>
      </w:tr>
      <w:tr w14:paraId="310F2AA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367"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315B6377">
            <w:pPr>
              <w:pStyle w:val="53"/>
              <w:rPr>
                <w:rFonts w:ascii="Times New Roman" w:hAnsi="Times New Roman" w:eastAsia="宋体"/>
                <w:b w:val="0"/>
                <w:i w:val="0"/>
                <w:highlight w:val="none"/>
              </w:rPr>
            </w:pPr>
            <w:r>
              <w:rPr>
                <w:rFonts w:ascii="Times New Roman" w:hAnsi="Times New Roman" w:eastAsia="宋体"/>
                <w:b w:val="0"/>
                <w:i w:val="0"/>
                <w:highlight w:val="none"/>
              </w:rPr>
              <w:t>2</w:t>
            </w:r>
          </w:p>
        </w:tc>
        <w:tc>
          <w:tcPr>
            <w:tcW w:w="243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5FDA13">
            <w:pPr>
              <w:pStyle w:val="53"/>
              <w:rPr>
                <w:b w:val="0"/>
                <w:highlight w:val="none"/>
              </w:rPr>
            </w:pPr>
            <w:r>
              <w:rPr>
                <w:b w:val="0"/>
                <w:highlight w:val="none"/>
              </w:rPr>
              <w:t>50t</w:t>
            </w:r>
            <w:r>
              <w:rPr>
                <w:rFonts w:hint="eastAsia"/>
                <w:b w:val="0"/>
                <w:highlight w:val="none"/>
              </w:rPr>
              <w:t>吊机</w:t>
            </w:r>
          </w:p>
        </w:tc>
        <w:tc>
          <w:tcPr>
            <w:tcW w:w="3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E82CD2">
            <w:pPr>
              <w:pStyle w:val="53"/>
              <w:rPr>
                <w:b w:val="0"/>
                <w:highlight w:val="none"/>
              </w:rPr>
            </w:pPr>
            <w:r>
              <w:rPr>
                <w:b w:val="0"/>
                <w:highlight w:val="none"/>
              </w:rPr>
              <w:t>台</w:t>
            </w:r>
          </w:p>
        </w:tc>
        <w:tc>
          <w:tcPr>
            <w:tcW w:w="6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ADEF36">
            <w:pPr>
              <w:pStyle w:val="53"/>
              <w:rPr>
                <w:b w:val="0"/>
                <w:highlight w:val="none"/>
              </w:rPr>
            </w:pPr>
            <w:r>
              <w:rPr>
                <w:b w:val="0"/>
                <w:highlight w:val="none"/>
              </w:rPr>
              <w:t>2</w:t>
            </w:r>
          </w:p>
        </w:tc>
        <w:tc>
          <w:tcPr>
            <w:tcW w:w="61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9B8217">
            <w:pPr>
              <w:pStyle w:val="53"/>
              <w:rPr>
                <w:b w:val="0"/>
                <w:highlight w:val="none"/>
              </w:rPr>
            </w:pPr>
            <w:r>
              <w:rPr>
                <w:b w:val="0"/>
                <w:highlight w:val="none"/>
              </w:rPr>
              <w:t>优良</w:t>
            </w:r>
          </w:p>
        </w:tc>
        <w:tc>
          <w:tcPr>
            <w:tcW w:w="610"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44A3D63">
            <w:pPr>
              <w:pStyle w:val="53"/>
              <w:rPr>
                <w:b w:val="0"/>
                <w:highlight w:val="none"/>
              </w:rPr>
            </w:pPr>
            <w:r>
              <w:rPr>
                <w:b w:val="0"/>
                <w:highlight w:val="none"/>
              </w:rPr>
              <w:t>项目部</w:t>
            </w:r>
          </w:p>
        </w:tc>
      </w:tr>
      <w:tr w14:paraId="6E29AEB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367"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D643E11">
            <w:pPr>
              <w:pStyle w:val="53"/>
              <w:rPr>
                <w:rFonts w:ascii="Times New Roman" w:hAnsi="Times New Roman" w:eastAsia="宋体"/>
                <w:b w:val="0"/>
                <w:i w:val="0"/>
                <w:highlight w:val="none"/>
              </w:rPr>
            </w:pPr>
            <w:r>
              <w:rPr>
                <w:rFonts w:ascii="Times New Roman" w:hAnsi="Times New Roman" w:eastAsia="宋体"/>
                <w:b w:val="0"/>
                <w:i w:val="0"/>
                <w:highlight w:val="none"/>
              </w:rPr>
              <w:t>3</w:t>
            </w:r>
          </w:p>
        </w:tc>
        <w:tc>
          <w:tcPr>
            <w:tcW w:w="243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CF67E9">
            <w:pPr>
              <w:pStyle w:val="53"/>
              <w:rPr>
                <w:b w:val="0"/>
                <w:highlight w:val="none"/>
              </w:rPr>
            </w:pPr>
            <w:r>
              <w:rPr>
                <w:b w:val="0"/>
                <w:highlight w:val="none"/>
              </w:rPr>
              <w:t>400KW发电机</w:t>
            </w:r>
          </w:p>
        </w:tc>
        <w:tc>
          <w:tcPr>
            <w:tcW w:w="3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CB1B24">
            <w:pPr>
              <w:pStyle w:val="53"/>
              <w:rPr>
                <w:b w:val="0"/>
                <w:highlight w:val="none"/>
              </w:rPr>
            </w:pPr>
            <w:r>
              <w:rPr>
                <w:b w:val="0"/>
                <w:highlight w:val="none"/>
              </w:rPr>
              <w:t>台</w:t>
            </w:r>
          </w:p>
        </w:tc>
        <w:tc>
          <w:tcPr>
            <w:tcW w:w="6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A07857">
            <w:pPr>
              <w:pStyle w:val="53"/>
              <w:rPr>
                <w:b w:val="0"/>
                <w:highlight w:val="none"/>
              </w:rPr>
            </w:pPr>
            <w:r>
              <w:rPr>
                <w:b w:val="0"/>
                <w:highlight w:val="none"/>
              </w:rPr>
              <w:t>2</w:t>
            </w:r>
          </w:p>
        </w:tc>
        <w:tc>
          <w:tcPr>
            <w:tcW w:w="61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BB1423">
            <w:pPr>
              <w:pStyle w:val="53"/>
              <w:rPr>
                <w:b w:val="0"/>
                <w:highlight w:val="none"/>
              </w:rPr>
            </w:pPr>
            <w:r>
              <w:rPr>
                <w:b w:val="0"/>
                <w:highlight w:val="none"/>
              </w:rPr>
              <w:t>优良</w:t>
            </w:r>
          </w:p>
        </w:tc>
        <w:tc>
          <w:tcPr>
            <w:tcW w:w="610"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BEC08A5">
            <w:pPr>
              <w:pStyle w:val="53"/>
              <w:rPr>
                <w:b w:val="0"/>
                <w:highlight w:val="none"/>
              </w:rPr>
            </w:pPr>
            <w:r>
              <w:rPr>
                <w:b w:val="0"/>
                <w:highlight w:val="none"/>
              </w:rPr>
              <w:t>项目部</w:t>
            </w:r>
          </w:p>
        </w:tc>
      </w:tr>
      <w:tr w14:paraId="5190CFC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367"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5C9B7920">
            <w:pPr>
              <w:pStyle w:val="53"/>
              <w:rPr>
                <w:rFonts w:ascii="Times New Roman" w:hAnsi="Times New Roman" w:eastAsia="宋体"/>
                <w:b w:val="0"/>
                <w:i w:val="0"/>
                <w:highlight w:val="none"/>
              </w:rPr>
            </w:pPr>
            <w:r>
              <w:rPr>
                <w:rFonts w:ascii="Times New Roman" w:hAnsi="Times New Roman" w:eastAsia="宋体"/>
                <w:b w:val="0"/>
                <w:i w:val="0"/>
                <w:highlight w:val="none"/>
              </w:rPr>
              <w:t>4</w:t>
            </w:r>
          </w:p>
        </w:tc>
        <w:tc>
          <w:tcPr>
            <w:tcW w:w="243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DFDF7D">
            <w:pPr>
              <w:pStyle w:val="53"/>
              <w:rPr>
                <w:b w:val="0"/>
                <w:highlight w:val="none"/>
              </w:rPr>
            </w:pPr>
            <w:r>
              <w:rPr>
                <w:b w:val="0"/>
                <w:highlight w:val="none"/>
              </w:rPr>
              <w:t>铁锹</w:t>
            </w:r>
          </w:p>
        </w:tc>
        <w:tc>
          <w:tcPr>
            <w:tcW w:w="3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30E1D7">
            <w:pPr>
              <w:pStyle w:val="53"/>
              <w:rPr>
                <w:b w:val="0"/>
                <w:highlight w:val="none"/>
              </w:rPr>
            </w:pPr>
            <w:r>
              <w:rPr>
                <w:b w:val="0"/>
                <w:highlight w:val="none"/>
              </w:rPr>
              <w:t>把</w:t>
            </w:r>
          </w:p>
        </w:tc>
        <w:tc>
          <w:tcPr>
            <w:tcW w:w="6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1E34FF">
            <w:pPr>
              <w:pStyle w:val="53"/>
              <w:rPr>
                <w:b w:val="0"/>
                <w:highlight w:val="none"/>
              </w:rPr>
            </w:pPr>
            <w:r>
              <w:rPr>
                <w:b w:val="0"/>
                <w:highlight w:val="none"/>
              </w:rPr>
              <w:t>20</w:t>
            </w:r>
          </w:p>
        </w:tc>
        <w:tc>
          <w:tcPr>
            <w:tcW w:w="61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DEED14">
            <w:pPr>
              <w:pStyle w:val="53"/>
              <w:rPr>
                <w:b w:val="0"/>
                <w:highlight w:val="none"/>
              </w:rPr>
            </w:pPr>
            <w:r>
              <w:rPr>
                <w:b w:val="0"/>
                <w:highlight w:val="none"/>
              </w:rPr>
              <w:t>优良</w:t>
            </w:r>
          </w:p>
        </w:tc>
        <w:tc>
          <w:tcPr>
            <w:tcW w:w="610"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FFDA0DA">
            <w:pPr>
              <w:pStyle w:val="53"/>
              <w:rPr>
                <w:b w:val="0"/>
                <w:highlight w:val="none"/>
              </w:rPr>
            </w:pPr>
            <w:r>
              <w:rPr>
                <w:b w:val="0"/>
                <w:highlight w:val="none"/>
              </w:rPr>
              <w:t>项目部</w:t>
            </w:r>
          </w:p>
        </w:tc>
      </w:tr>
      <w:tr w14:paraId="6DCF233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367"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DE49F25">
            <w:pPr>
              <w:pStyle w:val="53"/>
              <w:rPr>
                <w:rFonts w:ascii="Times New Roman" w:hAnsi="Times New Roman" w:eastAsia="宋体"/>
                <w:b w:val="0"/>
                <w:i w:val="0"/>
                <w:highlight w:val="none"/>
              </w:rPr>
            </w:pPr>
            <w:r>
              <w:rPr>
                <w:rFonts w:ascii="Times New Roman" w:hAnsi="Times New Roman" w:eastAsia="宋体"/>
                <w:b w:val="0"/>
                <w:i w:val="0"/>
                <w:highlight w:val="none"/>
              </w:rPr>
              <w:t>5</w:t>
            </w:r>
          </w:p>
        </w:tc>
        <w:tc>
          <w:tcPr>
            <w:tcW w:w="243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FB7E7E">
            <w:pPr>
              <w:pStyle w:val="53"/>
              <w:rPr>
                <w:b w:val="0"/>
                <w:highlight w:val="none"/>
              </w:rPr>
            </w:pPr>
            <w:r>
              <w:rPr>
                <w:b w:val="0"/>
                <w:highlight w:val="none"/>
              </w:rPr>
              <w:t>编织袋</w:t>
            </w:r>
          </w:p>
        </w:tc>
        <w:tc>
          <w:tcPr>
            <w:tcW w:w="3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29829C">
            <w:pPr>
              <w:pStyle w:val="53"/>
              <w:rPr>
                <w:b w:val="0"/>
                <w:highlight w:val="none"/>
              </w:rPr>
            </w:pPr>
            <w:r>
              <w:rPr>
                <w:b w:val="0"/>
                <w:highlight w:val="none"/>
              </w:rPr>
              <w:t>个</w:t>
            </w:r>
          </w:p>
        </w:tc>
        <w:tc>
          <w:tcPr>
            <w:tcW w:w="6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1CD37D">
            <w:pPr>
              <w:pStyle w:val="53"/>
              <w:rPr>
                <w:b w:val="0"/>
                <w:highlight w:val="none"/>
              </w:rPr>
            </w:pPr>
            <w:r>
              <w:rPr>
                <w:b w:val="0"/>
                <w:highlight w:val="none"/>
              </w:rPr>
              <w:t>2000</w:t>
            </w:r>
          </w:p>
        </w:tc>
        <w:tc>
          <w:tcPr>
            <w:tcW w:w="61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D3D5E8">
            <w:pPr>
              <w:pStyle w:val="53"/>
              <w:rPr>
                <w:b w:val="0"/>
                <w:highlight w:val="none"/>
              </w:rPr>
            </w:pPr>
            <w:r>
              <w:rPr>
                <w:b w:val="0"/>
                <w:highlight w:val="none"/>
              </w:rPr>
              <w:t>优良</w:t>
            </w:r>
          </w:p>
        </w:tc>
        <w:tc>
          <w:tcPr>
            <w:tcW w:w="610"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A8A4995">
            <w:pPr>
              <w:pStyle w:val="53"/>
              <w:rPr>
                <w:b w:val="0"/>
                <w:highlight w:val="none"/>
              </w:rPr>
            </w:pPr>
            <w:r>
              <w:rPr>
                <w:b w:val="0"/>
                <w:highlight w:val="none"/>
              </w:rPr>
              <w:t>项目部</w:t>
            </w:r>
          </w:p>
        </w:tc>
      </w:tr>
      <w:tr w14:paraId="27E734A7">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367"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7072139E">
            <w:pPr>
              <w:pStyle w:val="53"/>
              <w:rPr>
                <w:rFonts w:ascii="Times New Roman" w:hAnsi="Times New Roman" w:eastAsia="宋体"/>
                <w:b w:val="0"/>
                <w:i w:val="0"/>
                <w:highlight w:val="none"/>
              </w:rPr>
            </w:pPr>
            <w:r>
              <w:rPr>
                <w:rFonts w:ascii="Times New Roman" w:hAnsi="Times New Roman" w:eastAsia="宋体"/>
                <w:b w:val="0"/>
                <w:i w:val="0"/>
                <w:highlight w:val="none"/>
              </w:rPr>
              <w:t>6</w:t>
            </w:r>
          </w:p>
        </w:tc>
        <w:tc>
          <w:tcPr>
            <w:tcW w:w="243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1131359">
            <w:pPr>
              <w:pStyle w:val="53"/>
              <w:rPr>
                <w:b w:val="0"/>
                <w:highlight w:val="none"/>
              </w:rPr>
            </w:pPr>
            <w:r>
              <w:rPr>
                <w:b w:val="0"/>
                <w:highlight w:val="none"/>
              </w:rPr>
              <w:t>灭火器</w:t>
            </w:r>
          </w:p>
        </w:tc>
        <w:tc>
          <w:tcPr>
            <w:tcW w:w="3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621BDB">
            <w:pPr>
              <w:pStyle w:val="53"/>
              <w:rPr>
                <w:b w:val="0"/>
                <w:highlight w:val="none"/>
              </w:rPr>
            </w:pPr>
            <w:r>
              <w:rPr>
                <w:b w:val="0"/>
                <w:highlight w:val="none"/>
              </w:rPr>
              <w:t>瓶</w:t>
            </w:r>
          </w:p>
        </w:tc>
        <w:tc>
          <w:tcPr>
            <w:tcW w:w="6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3608BA">
            <w:pPr>
              <w:pStyle w:val="53"/>
              <w:rPr>
                <w:b w:val="0"/>
                <w:highlight w:val="none"/>
              </w:rPr>
            </w:pPr>
            <w:r>
              <w:rPr>
                <w:b w:val="0"/>
                <w:highlight w:val="none"/>
              </w:rPr>
              <w:t>10</w:t>
            </w:r>
          </w:p>
        </w:tc>
        <w:tc>
          <w:tcPr>
            <w:tcW w:w="61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7096AF0">
            <w:pPr>
              <w:pStyle w:val="53"/>
              <w:rPr>
                <w:b w:val="0"/>
                <w:highlight w:val="none"/>
              </w:rPr>
            </w:pPr>
            <w:r>
              <w:rPr>
                <w:b w:val="0"/>
                <w:highlight w:val="none"/>
              </w:rPr>
              <w:t>优良</w:t>
            </w:r>
          </w:p>
        </w:tc>
        <w:tc>
          <w:tcPr>
            <w:tcW w:w="610"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7AA16BFF">
            <w:pPr>
              <w:pStyle w:val="53"/>
              <w:rPr>
                <w:b w:val="0"/>
                <w:highlight w:val="none"/>
              </w:rPr>
            </w:pPr>
            <w:r>
              <w:rPr>
                <w:b w:val="0"/>
                <w:highlight w:val="none"/>
              </w:rPr>
              <w:t>项目部</w:t>
            </w:r>
          </w:p>
        </w:tc>
      </w:tr>
      <w:tr w14:paraId="5A8245A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367"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00F52E6D">
            <w:pPr>
              <w:pStyle w:val="53"/>
              <w:rPr>
                <w:rFonts w:ascii="Times New Roman" w:hAnsi="Times New Roman" w:eastAsia="宋体"/>
                <w:b w:val="0"/>
                <w:i w:val="0"/>
                <w:highlight w:val="none"/>
              </w:rPr>
            </w:pPr>
            <w:r>
              <w:rPr>
                <w:rFonts w:ascii="Times New Roman" w:hAnsi="Times New Roman" w:eastAsia="宋体"/>
                <w:b w:val="0"/>
                <w:i w:val="0"/>
                <w:highlight w:val="none"/>
              </w:rPr>
              <w:t>7</w:t>
            </w:r>
          </w:p>
        </w:tc>
        <w:tc>
          <w:tcPr>
            <w:tcW w:w="243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C1E975">
            <w:pPr>
              <w:pStyle w:val="53"/>
              <w:rPr>
                <w:b w:val="0"/>
                <w:highlight w:val="none"/>
              </w:rPr>
            </w:pPr>
            <w:r>
              <w:rPr>
                <w:b w:val="0"/>
                <w:highlight w:val="none"/>
              </w:rPr>
              <w:t>手电筒</w:t>
            </w:r>
          </w:p>
        </w:tc>
        <w:tc>
          <w:tcPr>
            <w:tcW w:w="3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99434A">
            <w:pPr>
              <w:pStyle w:val="53"/>
              <w:rPr>
                <w:b w:val="0"/>
                <w:highlight w:val="none"/>
              </w:rPr>
            </w:pPr>
            <w:r>
              <w:rPr>
                <w:b w:val="0"/>
                <w:highlight w:val="none"/>
              </w:rPr>
              <w:t>个</w:t>
            </w:r>
          </w:p>
        </w:tc>
        <w:tc>
          <w:tcPr>
            <w:tcW w:w="6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1EFE99A">
            <w:pPr>
              <w:pStyle w:val="53"/>
              <w:rPr>
                <w:b w:val="0"/>
                <w:highlight w:val="none"/>
              </w:rPr>
            </w:pPr>
            <w:r>
              <w:rPr>
                <w:b w:val="0"/>
                <w:highlight w:val="none"/>
              </w:rPr>
              <w:t>10</w:t>
            </w:r>
          </w:p>
        </w:tc>
        <w:tc>
          <w:tcPr>
            <w:tcW w:w="61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662FC4">
            <w:pPr>
              <w:pStyle w:val="53"/>
              <w:rPr>
                <w:b w:val="0"/>
                <w:highlight w:val="none"/>
              </w:rPr>
            </w:pPr>
            <w:r>
              <w:rPr>
                <w:b w:val="0"/>
                <w:highlight w:val="none"/>
              </w:rPr>
              <w:t>优良</w:t>
            </w:r>
          </w:p>
        </w:tc>
        <w:tc>
          <w:tcPr>
            <w:tcW w:w="610"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3838AA78">
            <w:pPr>
              <w:pStyle w:val="53"/>
              <w:rPr>
                <w:b w:val="0"/>
                <w:highlight w:val="none"/>
              </w:rPr>
            </w:pPr>
            <w:r>
              <w:rPr>
                <w:b w:val="0"/>
                <w:highlight w:val="none"/>
              </w:rPr>
              <w:t>项目部</w:t>
            </w:r>
          </w:p>
        </w:tc>
      </w:tr>
      <w:tr w14:paraId="4CC1A7C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367"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6D76E4A0">
            <w:pPr>
              <w:pStyle w:val="53"/>
              <w:rPr>
                <w:rFonts w:ascii="Times New Roman" w:hAnsi="Times New Roman" w:eastAsia="宋体"/>
                <w:b w:val="0"/>
                <w:i w:val="0"/>
                <w:highlight w:val="none"/>
              </w:rPr>
            </w:pPr>
            <w:r>
              <w:rPr>
                <w:rFonts w:ascii="Times New Roman" w:hAnsi="Times New Roman" w:eastAsia="宋体"/>
                <w:b w:val="0"/>
                <w:i w:val="0"/>
                <w:highlight w:val="none"/>
              </w:rPr>
              <w:t>8</w:t>
            </w:r>
          </w:p>
        </w:tc>
        <w:tc>
          <w:tcPr>
            <w:tcW w:w="243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A43081">
            <w:pPr>
              <w:pStyle w:val="53"/>
              <w:rPr>
                <w:b w:val="0"/>
                <w:highlight w:val="none"/>
              </w:rPr>
            </w:pPr>
            <w:r>
              <w:rPr>
                <w:b w:val="0"/>
                <w:highlight w:val="none"/>
              </w:rPr>
              <w:t>指挥车辆</w:t>
            </w:r>
          </w:p>
        </w:tc>
        <w:tc>
          <w:tcPr>
            <w:tcW w:w="3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CE2CEB">
            <w:pPr>
              <w:pStyle w:val="53"/>
              <w:rPr>
                <w:b w:val="0"/>
                <w:highlight w:val="none"/>
              </w:rPr>
            </w:pPr>
            <w:r>
              <w:rPr>
                <w:b w:val="0"/>
                <w:highlight w:val="none"/>
              </w:rPr>
              <w:t>台</w:t>
            </w:r>
          </w:p>
        </w:tc>
        <w:tc>
          <w:tcPr>
            <w:tcW w:w="6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B82664">
            <w:pPr>
              <w:pStyle w:val="53"/>
              <w:rPr>
                <w:b w:val="0"/>
                <w:highlight w:val="none"/>
              </w:rPr>
            </w:pPr>
            <w:r>
              <w:rPr>
                <w:b w:val="0"/>
                <w:highlight w:val="none"/>
              </w:rPr>
              <w:t>1</w:t>
            </w:r>
          </w:p>
        </w:tc>
        <w:tc>
          <w:tcPr>
            <w:tcW w:w="61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DF76E8">
            <w:pPr>
              <w:pStyle w:val="53"/>
              <w:rPr>
                <w:b w:val="0"/>
                <w:highlight w:val="none"/>
              </w:rPr>
            </w:pPr>
            <w:r>
              <w:rPr>
                <w:b w:val="0"/>
                <w:highlight w:val="none"/>
              </w:rPr>
              <w:t>优良</w:t>
            </w:r>
          </w:p>
        </w:tc>
        <w:tc>
          <w:tcPr>
            <w:tcW w:w="610"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6B9C414B">
            <w:pPr>
              <w:pStyle w:val="53"/>
              <w:rPr>
                <w:b w:val="0"/>
                <w:highlight w:val="none"/>
              </w:rPr>
            </w:pPr>
            <w:r>
              <w:rPr>
                <w:b w:val="0"/>
                <w:highlight w:val="none"/>
              </w:rPr>
              <w:t>项目部</w:t>
            </w:r>
          </w:p>
        </w:tc>
      </w:tr>
      <w:tr w14:paraId="0A3C5BF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367"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23C8ED24">
            <w:pPr>
              <w:pStyle w:val="53"/>
              <w:rPr>
                <w:rFonts w:ascii="Times New Roman" w:hAnsi="Times New Roman" w:eastAsia="宋体"/>
                <w:b w:val="0"/>
                <w:i w:val="0"/>
                <w:highlight w:val="none"/>
              </w:rPr>
            </w:pPr>
            <w:r>
              <w:rPr>
                <w:rFonts w:ascii="Times New Roman" w:hAnsi="Times New Roman" w:eastAsia="宋体"/>
                <w:b w:val="0"/>
                <w:i w:val="0"/>
                <w:highlight w:val="none"/>
              </w:rPr>
              <w:t>9</w:t>
            </w:r>
          </w:p>
        </w:tc>
        <w:tc>
          <w:tcPr>
            <w:tcW w:w="243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4A1DE7">
            <w:pPr>
              <w:pStyle w:val="53"/>
              <w:rPr>
                <w:b w:val="0"/>
                <w:highlight w:val="none"/>
              </w:rPr>
            </w:pPr>
            <w:r>
              <w:rPr>
                <w:b w:val="0"/>
                <w:highlight w:val="none"/>
              </w:rPr>
              <w:t>对讲机</w:t>
            </w:r>
          </w:p>
        </w:tc>
        <w:tc>
          <w:tcPr>
            <w:tcW w:w="3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FF6E39">
            <w:pPr>
              <w:pStyle w:val="53"/>
              <w:rPr>
                <w:b w:val="0"/>
                <w:highlight w:val="none"/>
              </w:rPr>
            </w:pPr>
            <w:r>
              <w:rPr>
                <w:b w:val="0"/>
                <w:highlight w:val="none"/>
              </w:rPr>
              <w:t>台</w:t>
            </w:r>
          </w:p>
        </w:tc>
        <w:tc>
          <w:tcPr>
            <w:tcW w:w="6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46FE71">
            <w:pPr>
              <w:pStyle w:val="53"/>
              <w:rPr>
                <w:b w:val="0"/>
                <w:highlight w:val="none"/>
              </w:rPr>
            </w:pPr>
            <w:r>
              <w:rPr>
                <w:b w:val="0"/>
                <w:highlight w:val="none"/>
              </w:rPr>
              <w:t>20</w:t>
            </w:r>
          </w:p>
        </w:tc>
        <w:tc>
          <w:tcPr>
            <w:tcW w:w="61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64963B">
            <w:pPr>
              <w:pStyle w:val="53"/>
              <w:rPr>
                <w:b w:val="0"/>
                <w:highlight w:val="none"/>
              </w:rPr>
            </w:pPr>
            <w:r>
              <w:rPr>
                <w:b w:val="0"/>
                <w:highlight w:val="none"/>
              </w:rPr>
              <w:t>优良</w:t>
            </w:r>
          </w:p>
        </w:tc>
        <w:tc>
          <w:tcPr>
            <w:tcW w:w="610"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1D870AFC">
            <w:pPr>
              <w:pStyle w:val="53"/>
              <w:rPr>
                <w:b w:val="0"/>
                <w:highlight w:val="none"/>
              </w:rPr>
            </w:pPr>
            <w:r>
              <w:rPr>
                <w:b w:val="0"/>
                <w:highlight w:val="none"/>
              </w:rPr>
              <w:t>项目部</w:t>
            </w:r>
          </w:p>
        </w:tc>
      </w:tr>
      <w:tr w14:paraId="70AA4F11">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367" w:type="pct"/>
            <w:tcBorders>
              <w:top w:val="single" w:color="000000" w:sz="4" w:space="0"/>
              <w:left w:val="single" w:color="000000" w:sz="12" w:space="0"/>
              <w:bottom w:val="single" w:color="000000" w:sz="4" w:space="0"/>
              <w:right w:val="single" w:color="000000" w:sz="4" w:space="0"/>
            </w:tcBorders>
            <w:shd w:val="clear" w:color="auto" w:fill="FFFFFF"/>
            <w:vAlign w:val="center"/>
          </w:tcPr>
          <w:p w14:paraId="4E9131AF">
            <w:pPr>
              <w:pStyle w:val="53"/>
              <w:rPr>
                <w:rFonts w:ascii="Times New Roman" w:hAnsi="Times New Roman" w:eastAsia="宋体"/>
                <w:b w:val="0"/>
                <w:i w:val="0"/>
                <w:highlight w:val="none"/>
              </w:rPr>
            </w:pPr>
            <w:r>
              <w:rPr>
                <w:rFonts w:ascii="Times New Roman" w:hAnsi="Times New Roman" w:eastAsia="宋体"/>
                <w:b w:val="0"/>
                <w:i w:val="0"/>
                <w:highlight w:val="none"/>
              </w:rPr>
              <w:t>10</w:t>
            </w:r>
          </w:p>
        </w:tc>
        <w:tc>
          <w:tcPr>
            <w:tcW w:w="243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D3CF96">
            <w:pPr>
              <w:pStyle w:val="53"/>
              <w:rPr>
                <w:b w:val="0"/>
                <w:highlight w:val="none"/>
              </w:rPr>
            </w:pPr>
            <w:r>
              <w:rPr>
                <w:b w:val="0"/>
                <w:highlight w:val="none"/>
              </w:rPr>
              <w:t>装备器材（仓库内备有安全帽、安全带、切</w:t>
            </w:r>
          </w:p>
          <w:p w14:paraId="56841EFD">
            <w:pPr>
              <w:pStyle w:val="53"/>
              <w:rPr>
                <w:b w:val="0"/>
                <w:highlight w:val="none"/>
              </w:rPr>
            </w:pPr>
            <w:r>
              <w:rPr>
                <w:b w:val="0"/>
                <w:highlight w:val="none"/>
              </w:rPr>
              <w:t>割机、气焊设备、小型电动工具、一般五金</w:t>
            </w:r>
          </w:p>
          <w:p w14:paraId="5D2D30C1">
            <w:pPr>
              <w:pStyle w:val="53"/>
              <w:rPr>
                <w:b w:val="0"/>
                <w:highlight w:val="none"/>
              </w:rPr>
            </w:pPr>
            <w:r>
              <w:rPr>
                <w:b w:val="0"/>
                <w:highlight w:val="none"/>
              </w:rPr>
              <w:t>工具、雨衣、雨靴、手电筒、撬棍等）</w:t>
            </w:r>
          </w:p>
        </w:tc>
        <w:tc>
          <w:tcPr>
            <w:tcW w:w="36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B73E7C">
            <w:pPr>
              <w:pStyle w:val="53"/>
              <w:rPr>
                <w:b w:val="0"/>
                <w:highlight w:val="none"/>
              </w:rPr>
            </w:pPr>
          </w:p>
        </w:tc>
        <w:tc>
          <w:tcPr>
            <w:tcW w:w="6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0C5912">
            <w:pPr>
              <w:pStyle w:val="53"/>
              <w:rPr>
                <w:b w:val="0"/>
                <w:highlight w:val="none"/>
              </w:rPr>
            </w:pPr>
            <w:r>
              <w:rPr>
                <w:b w:val="0"/>
                <w:highlight w:val="none"/>
              </w:rPr>
              <w:t>数量满足</w:t>
            </w:r>
          </w:p>
        </w:tc>
        <w:tc>
          <w:tcPr>
            <w:tcW w:w="610"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FF31F8">
            <w:pPr>
              <w:pStyle w:val="53"/>
              <w:rPr>
                <w:b w:val="0"/>
                <w:highlight w:val="none"/>
              </w:rPr>
            </w:pPr>
            <w:r>
              <w:rPr>
                <w:b w:val="0"/>
                <w:highlight w:val="none"/>
              </w:rPr>
              <w:t>优良</w:t>
            </w:r>
          </w:p>
        </w:tc>
        <w:tc>
          <w:tcPr>
            <w:tcW w:w="610" w:type="pct"/>
            <w:tcBorders>
              <w:top w:val="single" w:color="000000" w:sz="4" w:space="0"/>
              <w:left w:val="single" w:color="000000" w:sz="4" w:space="0"/>
              <w:bottom w:val="single" w:color="000000" w:sz="4" w:space="0"/>
              <w:right w:val="single" w:color="000000" w:sz="12" w:space="0"/>
            </w:tcBorders>
            <w:shd w:val="clear" w:color="auto" w:fill="FFFFFF"/>
            <w:vAlign w:val="center"/>
          </w:tcPr>
          <w:p w14:paraId="47C0B5F5">
            <w:pPr>
              <w:pStyle w:val="53"/>
              <w:rPr>
                <w:b w:val="0"/>
                <w:highlight w:val="none"/>
              </w:rPr>
            </w:pPr>
            <w:r>
              <w:rPr>
                <w:b w:val="0"/>
                <w:highlight w:val="none"/>
              </w:rPr>
              <w:t>项目部</w:t>
            </w:r>
          </w:p>
        </w:tc>
      </w:tr>
      <w:tr w14:paraId="23896D5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c>
          <w:tcPr>
            <w:tcW w:w="367" w:type="pct"/>
            <w:tcBorders>
              <w:top w:val="single" w:color="000000" w:sz="4" w:space="0"/>
              <w:left w:val="single" w:color="000000" w:sz="12" w:space="0"/>
              <w:bottom w:val="single" w:color="000000" w:sz="12" w:space="0"/>
              <w:right w:val="single" w:color="000000" w:sz="4" w:space="0"/>
            </w:tcBorders>
            <w:shd w:val="clear" w:color="auto" w:fill="FFFFFF"/>
            <w:vAlign w:val="center"/>
          </w:tcPr>
          <w:p w14:paraId="1286E948">
            <w:pPr>
              <w:pStyle w:val="53"/>
              <w:rPr>
                <w:rFonts w:ascii="Times New Roman" w:hAnsi="Times New Roman" w:eastAsia="宋体"/>
                <w:b w:val="0"/>
                <w:i w:val="0"/>
                <w:highlight w:val="none"/>
              </w:rPr>
            </w:pPr>
            <w:r>
              <w:rPr>
                <w:rFonts w:ascii="Times New Roman" w:hAnsi="Times New Roman" w:eastAsia="宋体"/>
                <w:b w:val="0"/>
                <w:i w:val="0"/>
                <w:highlight w:val="none"/>
              </w:rPr>
              <w:t>11</w:t>
            </w:r>
          </w:p>
        </w:tc>
        <w:tc>
          <w:tcPr>
            <w:tcW w:w="2433"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23388A19">
            <w:pPr>
              <w:pStyle w:val="53"/>
              <w:rPr>
                <w:b w:val="0"/>
                <w:highlight w:val="none"/>
              </w:rPr>
            </w:pPr>
            <w:r>
              <w:rPr>
                <w:b w:val="0"/>
                <w:highlight w:val="none"/>
              </w:rPr>
              <w:t>医疗器材（应急药品、氧气袋、担架等）</w:t>
            </w:r>
          </w:p>
        </w:tc>
        <w:tc>
          <w:tcPr>
            <w:tcW w:w="367"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68B44544">
            <w:pPr>
              <w:pStyle w:val="53"/>
              <w:rPr>
                <w:b w:val="0"/>
                <w:highlight w:val="none"/>
              </w:rPr>
            </w:pPr>
            <w:r>
              <w:rPr>
                <w:b w:val="0"/>
                <w:highlight w:val="none"/>
              </w:rPr>
              <w:t>套</w:t>
            </w:r>
          </w:p>
        </w:tc>
        <w:tc>
          <w:tcPr>
            <w:tcW w:w="611"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3E097141">
            <w:pPr>
              <w:pStyle w:val="53"/>
              <w:rPr>
                <w:b w:val="0"/>
                <w:highlight w:val="none"/>
              </w:rPr>
            </w:pPr>
            <w:r>
              <w:rPr>
                <w:b w:val="0"/>
                <w:highlight w:val="none"/>
              </w:rPr>
              <w:t>4</w:t>
            </w:r>
          </w:p>
        </w:tc>
        <w:tc>
          <w:tcPr>
            <w:tcW w:w="610" w:type="pct"/>
            <w:tcBorders>
              <w:top w:val="single" w:color="000000" w:sz="4" w:space="0"/>
              <w:left w:val="single" w:color="000000" w:sz="4" w:space="0"/>
              <w:bottom w:val="single" w:color="000000" w:sz="12" w:space="0"/>
              <w:right w:val="single" w:color="000000" w:sz="4" w:space="0"/>
            </w:tcBorders>
            <w:shd w:val="clear" w:color="auto" w:fill="FFFFFF"/>
            <w:vAlign w:val="center"/>
          </w:tcPr>
          <w:p w14:paraId="18E1F077">
            <w:pPr>
              <w:pStyle w:val="53"/>
              <w:rPr>
                <w:b w:val="0"/>
                <w:highlight w:val="none"/>
              </w:rPr>
            </w:pPr>
            <w:r>
              <w:rPr>
                <w:b w:val="0"/>
                <w:highlight w:val="none"/>
              </w:rPr>
              <w:t>优良</w:t>
            </w:r>
          </w:p>
        </w:tc>
        <w:tc>
          <w:tcPr>
            <w:tcW w:w="610" w:type="pct"/>
            <w:tcBorders>
              <w:top w:val="single" w:color="000000" w:sz="4" w:space="0"/>
              <w:left w:val="single" w:color="000000" w:sz="4" w:space="0"/>
              <w:bottom w:val="single" w:color="000000" w:sz="12" w:space="0"/>
              <w:right w:val="single" w:color="000000" w:sz="12" w:space="0"/>
            </w:tcBorders>
            <w:shd w:val="clear" w:color="auto" w:fill="FFFFFF"/>
            <w:vAlign w:val="center"/>
          </w:tcPr>
          <w:p w14:paraId="429F2618">
            <w:pPr>
              <w:pStyle w:val="53"/>
              <w:rPr>
                <w:b w:val="0"/>
                <w:highlight w:val="none"/>
              </w:rPr>
            </w:pPr>
            <w:r>
              <w:rPr>
                <w:b w:val="0"/>
                <w:highlight w:val="none"/>
              </w:rPr>
              <w:t>项目部</w:t>
            </w:r>
          </w:p>
        </w:tc>
      </w:tr>
    </w:tbl>
    <w:p w14:paraId="3CEB4341">
      <w:pPr>
        <w:pStyle w:val="4"/>
        <w:bidi w:val="0"/>
        <w:ind w:left="0" w:leftChars="0" w:firstLine="0" w:firstLineChars="0"/>
        <w:rPr>
          <w:highlight w:val="none"/>
        </w:rPr>
      </w:pPr>
      <w:bookmarkStart w:id="157" w:name="_Toc77771648"/>
      <w:bookmarkStart w:id="158" w:name="_Toc121344363"/>
      <w:bookmarkStart w:id="159" w:name="_Toc5867"/>
      <w:bookmarkStart w:id="160" w:name="_Toc102825403"/>
      <w:bookmarkStart w:id="161" w:name="_Toc102481228"/>
      <w:bookmarkStart w:id="162" w:name="_Toc17987"/>
      <w:bookmarkStart w:id="163" w:name="_Toc12896"/>
      <w:bookmarkStart w:id="164" w:name="_Toc102481279"/>
      <w:bookmarkStart w:id="165" w:name="_Toc8079"/>
      <w:bookmarkStart w:id="166" w:name="_Toc40778458"/>
      <w:bookmarkStart w:id="167" w:name="_Toc1146"/>
      <w:bookmarkStart w:id="168" w:name="_Toc40778459"/>
      <w:r>
        <w:rPr>
          <w:rFonts w:hint="eastAsia"/>
          <w:highlight w:val="none"/>
        </w:rPr>
        <w:t>应急医院及线路图</w:t>
      </w:r>
      <w:bookmarkEnd w:id="157"/>
      <w:bookmarkEnd w:id="158"/>
      <w:bookmarkEnd w:id="159"/>
      <w:bookmarkEnd w:id="160"/>
      <w:bookmarkEnd w:id="161"/>
      <w:bookmarkEnd w:id="162"/>
      <w:bookmarkEnd w:id="163"/>
      <w:bookmarkEnd w:id="164"/>
      <w:bookmarkEnd w:id="165"/>
      <w:bookmarkEnd w:id="166"/>
    </w:p>
    <w:p w14:paraId="695139BD">
      <w:pPr>
        <w:ind w:firstLine="480"/>
        <w:rPr>
          <w:highlight w:val="none"/>
        </w:rPr>
      </w:pPr>
      <w:r>
        <w:rPr>
          <w:rFonts w:hint="eastAsia"/>
          <w:highlight w:val="none"/>
        </w:rPr>
        <w:t>如发生人员伤亡事故，应急小组根据伤情及时联络医疗机构并在第一时间将受伤人员送往复旦大学附属中山医院厦门医院。</w:t>
      </w:r>
    </w:p>
    <w:p w14:paraId="0D9C04EE">
      <w:pPr>
        <w:pStyle w:val="18"/>
        <w:ind w:firstLine="560"/>
        <w:rPr>
          <w:highlight w:val="none"/>
        </w:rPr>
      </w:pPr>
      <w:r>
        <w:rPr>
          <w:highlight w:val="none"/>
        </w:rPr>
        <w:t xml:space="preserve">表 </w:t>
      </w:r>
      <w:r>
        <w:rPr>
          <w:highlight w:val="none"/>
        </w:rPr>
        <w:fldChar w:fldCharType="begin"/>
      </w:r>
      <w:r>
        <w:rPr>
          <w:highlight w:val="none"/>
        </w:rPr>
        <w:instrText xml:space="preserve"> STYLEREF 2 \s </w:instrText>
      </w:r>
      <w:r>
        <w:rPr>
          <w:highlight w:val="none"/>
        </w:rPr>
        <w:fldChar w:fldCharType="separate"/>
      </w:r>
      <w:r>
        <w:rPr>
          <w:highlight w:val="none"/>
        </w:rPr>
        <w:t>9.</w:t>
      </w:r>
      <w:r>
        <w:rPr>
          <w:rFonts w:hint="eastAsia"/>
          <w:highlight w:val="none"/>
        </w:rPr>
        <w:t>4</w:t>
      </w:r>
      <w:r>
        <w:rPr>
          <w:rFonts w:hint="eastAsia"/>
          <w:highlight w:val="none"/>
        </w:rPr>
        <w:fldChar w:fldCharType="end"/>
      </w:r>
      <w:r>
        <w:rPr>
          <w:rFonts w:hint="eastAsia"/>
          <w:highlight w:val="none"/>
        </w:rPr>
        <w:t>-</w:t>
      </w:r>
      <w:r>
        <w:rPr>
          <w:highlight w:val="none"/>
        </w:rPr>
        <w:fldChar w:fldCharType="begin"/>
      </w:r>
      <w:r>
        <w:rPr>
          <w:highlight w:val="none"/>
        </w:rPr>
        <w:instrText xml:space="preserve"> SEQ 表 \* ARABIC \s 2 </w:instrText>
      </w:r>
      <w:r>
        <w:rPr>
          <w:highlight w:val="none"/>
        </w:rPr>
        <w:fldChar w:fldCharType="separate"/>
      </w:r>
      <w:r>
        <w:rPr>
          <w:highlight w:val="none"/>
        </w:rPr>
        <w:t>1</w:t>
      </w:r>
      <w:r>
        <w:rPr>
          <w:highlight w:val="none"/>
        </w:rPr>
        <w:fldChar w:fldCharType="end"/>
      </w:r>
      <w:r>
        <w:rPr>
          <w:rFonts w:hint="eastAsia"/>
          <w:highlight w:val="none"/>
        </w:rPr>
        <w:t>医院地址联系电话表</w:t>
      </w:r>
    </w:p>
    <w:tbl>
      <w:tblPr>
        <w:tblStyle w:val="45"/>
        <w:tblW w:w="9030" w:type="dxa"/>
        <w:tblInd w:w="0" w:type="dxa"/>
        <w:tblBorders>
          <w:top w:val="double" w:color="auto" w:sz="4" w:space="0"/>
          <w:left w:val="double" w:color="auto" w:sz="4" w:space="0"/>
          <w:bottom w:val="double" w:color="auto" w:sz="4" w:space="0"/>
          <w:right w:val="doub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2468"/>
        <w:gridCol w:w="3094"/>
        <w:gridCol w:w="1212"/>
        <w:gridCol w:w="2256"/>
      </w:tblGrid>
      <w:tr w14:paraId="71920AA1">
        <w:tblPrEx>
          <w:tblBorders>
            <w:top w:val="double" w:color="auto" w:sz="4" w:space="0"/>
            <w:left w:val="double" w:color="auto" w:sz="4" w:space="0"/>
            <w:bottom w:val="double" w:color="auto" w:sz="4" w:space="0"/>
            <w:right w:val="double" w:color="auto" w:sz="4"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2468" w:type="dxa"/>
            <w:shd w:val="clear" w:color="auto" w:fill="B8CCE4" w:themeFill="accent1" w:themeFillTint="66"/>
            <w:vAlign w:val="center"/>
          </w:tcPr>
          <w:p w14:paraId="145B3B68">
            <w:pPr>
              <w:pStyle w:val="53"/>
              <w:ind w:firstLine="360"/>
              <w:rPr>
                <w:highlight w:val="none"/>
              </w:rPr>
            </w:pPr>
            <w:r>
              <w:rPr>
                <w:rFonts w:hint="eastAsia"/>
                <w:highlight w:val="none"/>
              </w:rPr>
              <w:t>医院名称</w:t>
            </w:r>
          </w:p>
        </w:tc>
        <w:tc>
          <w:tcPr>
            <w:tcW w:w="3094" w:type="dxa"/>
            <w:shd w:val="clear" w:color="auto" w:fill="B8CCE4" w:themeFill="accent1" w:themeFillTint="66"/>
            <w:vAlign w:val="center"/>
          </w:tcPr>
          <w:p w14:paraId="35AF4A8B">
            <w:pPr>
              <w:pStyle w:val="53"/>
              <w:ind w:firstLine="360"/>
              <w:rPr>
                <w:highlight w:val="none"/>
              </w:rPr>
            </w:pPr>
            <w:r>
              <w:rPr>
                <w:rFonts w:hint="eastAsia"/>
                <w:highlight w:val="none"/>
              </w:rPr>
              <w:t>医院地址</w:t>
            </w:r>
          </w:p>
        </w:tc>
        <w:tc>
          <w:tcPr>
            <w:tcW w:w="1212" w:type="dxa"/>
            <w:shd w:val="clear" w:color="auto" w:fill="B8CCE4" w:themeFill="accent1" w:themeFillTint="66"/>
            <w:vAlign w:val="center"/>
          </w:tcPr>
          <w:p w14:paraId="224ABBC6">
            <w:pPr>
              <w:pStyle w:val="53"/>
              <w:ind w:firstLine="360"/>
              <w:rPr>
                <w:highlight w:val="none"/>
              </w:rPr>
            </w:pPr>
            <w:r>
              <w:rPr>
                <w:rFonts w:hint="eastAsia"/>
                <w:highlight w:val="none"/>
              </w:rPr>
              <w:t>距离</w:t>
            </w:r>
          </w:p>
        </w:tc>
        <w:tc>
          <w:tcPr>
            <w:tcW w:w="2256" w:type="dxa"/>
            <w:shd w:val="clear" w:color="auto" w:fill="B8CCE4" w:themeFill="accent1" w:themeFillTint="66"/>
            <w:vAlign w:val="center"/>
          </w:tcPr>
          <w:p w14:paraId="351A3BF0">
            <w:pPr>
              <w:pStyle w:val="53"/>
              <w:ind w:firstLine="360"/>
              <w:rPr>
                <w:highlight w:val="none"/>
              </w:rPr>
            </w:pPr>
            <w:r>
              <w:rPr>
                <w:rFonts w:hint="eastAsia"/>
                <w:highlight w:val="none"/>
              </w:rPr>
              <w:t>医院电话</w:t>
            </w:r>
          </w:p>
        </w:tc>
      </w:tr>
      <w:tr w14:paraId="4FC8D53C">
        <w:tblPrEx>
          <w:tblBorders>
            <w:top w:val="double" w:color="auto" w:sz="4" w:space="0"/>
            <w:left w:val="double" w:color="auto" w:sz="4" w:space="0"/>
            <w:bottom w:val="double" w:color="auto" w:sz="4" w:space="0"/>
            <w:right w:val="double" w:color="auto" w:sz="4"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2468" w:type="dxa"/>
            <w:vAlign w:val="center"/>
          </w:tcPr>
          <w:p w14:paraId="2D08602D">
            <w:pPr>
              <w:pStyle w:val="53"/>
              <w:ind w:firstLine="360"/>
              <w:rPr>
                <w:highlight w:val="none"/>
              </w:rPr>
            </w:pPr>
            <w:r>
              <w:rPr>
                <w:rFonts w:hint="eastAsia"/>
                <w:highlight w:val="none"/>
              </w:rPr>
              <w:t>复旦大学附属中山医院厦门医院</w:t>
            </w:r>
          </w:p>
        </w:tc>
        <w:tc>
          <w:tcPr>
            <w:tcW w:w="3094" w:type="dxa"/>
            <w:vAlign w:val="center"/>
          </w:tcPr>
          <w:p w14:paraId="356B1332">
            <w:pPr>
              <w:pStyle w:val="53"/>
              <w:ind w:firstLine="360"/>
              <w:rPr>
                <w:highlight w:val="none"/>
              </w:rPr>
            </w:pPr>
            <w:r>
              <w:rPr>
                <w:rFonts w:hint="eastAsia"/>
                <w:highlight w:val="none"/>
              </w:rPr>
              <w:t>厦门市湖里区五缘湾道</w:t>
            </w:r>
          </w:p>
        </w:tc>
        <w:tc>
          <w:tcPr>
            <w:tcW w:w="1212" w:type="dxa"/>
            <w:vAlign w:val="center"/>
          </w:tcPr>
          <w:p w14:paraId="59ABD1FE">
            <w:pPr>
              <w:pStyle w:val="53"/>
              <w:ind w:firstLine="360"/>
              <w:rPr>
                <w:highlight w:val="none"/>
              </w:rPr>
            </w:pPr>
            <w:r>
              <w:rPr>
                <w:rFonts w:hint="eastAsia"/>
                <w:highlight w:val="none"/>
              </w:rPr>
              <w:t>5.5</w:t>
            </w:r>
            <w:r>
              <w:rPr>
                <w:highlight w:val="none"/>
              </w:rPr>
              <w:t>km</w:t>
            </w:r>
          </w:p>
        </w:tc>
        <w:tc>
          <w:tcPr>
            <w:tcW w:w="2256" w:type="dxa"/>
            <w:vAlign w:val="center"/>
          </w:tcPr>
          <w:p w14:paraId="1E1ECF25">
            <w:pPr>
              <w:pStyle w:val="53"/>
              <w:ind w:firstLine="360"/>
              <w:rPr>
                <w:highlight w:val="none"/>
              </w:rPr>
            </w:pPr>
            <w:r>
              <w:rPr>
                <w:highlight w:val="none"/>
              </w:rPr>
              <w:t>0592-3501990</w:t>
            </w:r>
          </w:p>
        </w:tc>
      </w:tr>
    </w:tbl>
    <w:p w14:paraId="10B03D72">
      <w:pPr>
        <w:snapToGrid w:val="0"/>
        <w:spacing w:before="120" w:beforeLines="50"/>
        <w:ind w:firstLine="480"/>
        <w:rPr>
          <w:highlight w:val="none"/>
        </w:rPr>
      </w:pPr>
      <w:r>
        <w:rPr>
          <w:rFonts w:hint="eastAsia"/>
          <w:szCs w:val="24"/>
          <w:highlight w:val="none"/>
          <w:lang w:bidi="en-US"/>
        </w:rPr>
        <w:t>应急救援线路图：</w:t>
      </w:r>
      <w:r>
        <w:rPr>
          <w:rFonts w:hint="eastAsia"/>
          <w:highlight w:val="none"/>
        </w:rPr>
        <w:t xml:space="preserve"> </w:t>
      </w:r>
    </w:p>
    <w:p w14:paraId="69D69FCD">
      <w:pPr>
        <w:ind w:firstLine="0" w:firstLineChars="0"/>
        <w:jc w:val="center"/>
        <w:rPr>
          <w:highlight w:val="none"/>
        </w:rPr>
      </w:pPr>
      <w:r>
        <w:rPr>
          <w:highlight w:val="none"/>
        </w:rPr>
        <w:drawing>
          <wp:inline distT="0" distB="0" distL="114300" distR="114300">
            <wp:extent cx="5039995" cy="2520315"/>
            <wp:effectExtent l="0" t="0" r="8255" b="13335"/>
            <wp:docPr id="15" name="图片 2"/>
            <wp:cNvGraphicFramePr/>
            <a:graphic xmlns:a="http://schemas.openxmlformats.org/drawingml/2006/main">
              <a:graphicData uri="http://schemas.openxmlformats.org/drawingml/2006/picture">
                <pic:pic xmlns:pic="http://schemas.openxmlformats.org/drawingml/2006/picture">
                  <pic:nvPicPr>
                    <pic:cNvPr id="15" name="图片 2"/>
                    <pic:cNvPicPr/>
                  </pic:nvPicPr>
                  <pic:blipFill>
                    <a:blip r:embed="rId139"/>
                    <a:stretch>
                      <a:fillRect/>
                    </a:stretch>
                  </pic:blipFill>
                  <pic:spPr>
                    <a:xfrm>
                      <a:off x="0" y="0"/>
                      <a:ext cx="5039995" cy="2520315"/>
                    </a:xfrm>
                    <a:prstGeom prst="rect">
                      <a:avLst/>
                    </a:prstGeom>
                    <a:noFill/>
                    <a:ln>
                      <a:noFill/>
                    </a:ln>
                  </pic:spPr>
                </pic:pic>
              </a:graphicData>
            </a:graphic>
          </wp:inline>
        </w:drawing>
      </w:r>
    </w:p>
    <w:p w14:paraId="591FB901">
      <w:pPr>
        <w:pStyle w:val="18"/>
        <w:ind w:firstLine="560"/>
        <w:rPr>
          <w:highlight w:val="none"/>
        </w:rPr>
      </w:pPr>
      <w:r>
        <w:rPr>
          <w:highlight w:val="none"/>
        </w:rPr>
        <w:t xml:space="preserve">图 </w:t>
      </w:r>
      <w:r>
        <w:rPr>
          <w:highlight w:val="none"/>
        </w:rPr>
        <w:fldChar w:fldCharType="begin"/>
      </w:r>
      <w:r>
        <w:rPr>
          <w:highlight w:val="none"/>
        </w:rPr>
        <w:instrText xml:space="preserve"> STYLEREF 2 \s </w:instrText>
      </w:r>
      <w:r>
        <w:rPr>
          <w:highlight w:val="none"/>
        </w:rPr>
        <w:fldChar w:fldCharType="separate"/>
      </w:r>
      <w:r>
        <w:rPr>
          <w:highlight w:val="none"/>
        </w:rPr>
        <w:t>9.</w:t>
      </w:r>
      <w:r>
        <w:rPr>
          <w:rFonts w:hint="eastAsia"/>
          <w:highlight w:val="none"/>
        </w:rPr>
        <w:t>4</w:t>
      </w:r>
      <w:r>
        <w:rPr>
          <w:rFonts w:hint="eastAsia"/>
          <w:highlight w:val="none"/>
        </w:rPr>
        <w:fldChar w:fldCharType="end"/>
      </w:r>
      <w:r>
        <w:rPr>
          <w:rFonts w:hint="eastAsia"/>
          <w:highlight w:val="none"/>
        </w:rPr>
        <w:t>-</w:t>
      </w:r>
      <w:r>
        <w:rPr>
          <w:highlight w:val="none"/>
        </w:rPr>
        <w:fldChar w:fldCharType="begin"/>
      </w:r>
      <w:r>
        <w:rPr>
          <w:highlight w:val="none"/>
        </w:rPr>
        <w:instrText xml:space="preserve"> SEQ 图 \* ARABIC \s 2 </w:instrText>
      </w:r>
      <w:r>
        <w:rPr>
          <w:highlight w:val="none"/>
        </w:rPr>
        <w:fldChar w:fldCharType="separate"/>
      </w:r>
      <w:r>
        <w:rPr>
          <w:highlight w:val="none"/>
        </w:rPr>
        <w:t>1</w:t>
      </w:r>
      <w:r>
        <w:rPr>
          <w:highlight w:val="none"/>
        </w:rPr>
        <w:fldChar w:fldCharType="end"/>
      </w:r>
      <w:r>
        <w:rPr>
          <w:rFonts w:hint="eastAsia"/>
          <w:highlight w:val="none"/>
        </w:rPr>
        <w:t>应急救援路线（6.2km，车程约16min）</w:t>
      </w:r>
    </w:p>
    <w:p w14:paraId="2663B782">
      <w:pPr>
        <w:ind w:firstLine="480"/>
        <w:rPr>
          <w:highlight w:val="none"/>
        </w:rPr>
      </w:pPr>
      <w:r>
        <w:rPr>
          <w:rFonts w:hint="eastAsia"/>
          <w:szCs w:val="24"/>
          <w:highlight w:val="none"/>
          <w:lang w:bidi="en-US"/>
        </w:rPr>
        <w:t>施工期间，应在醒目位置公示项目应急联系人员、应急救援报警及医疗单位联系方式，并加强日常应急培训，提高施工作业人员安全及应急意识。</w:t>
      </w:r>
    </w:p>
    <w:p w14:paraId="0951506B">
      <w:pPr>
        <w:pStyle w:val="4"/>
        <w:bidi w:val="0"/>
        <w:ind w:left="0" w:leftChars="0" w:firstLine="0" w:firstLineChars="0"/>
        <w:rPr>
          <w:highlight w:val="none"/>
        </w:rPr>
      </w:pPr>
      <w:bookmarkStart w:id="169" w:name="_Toc102481229"/>
      <w:bookmarkStart w:id="170" w:name="_Toc25690"/>
      <w:bookmarkStart w:id="171" w:name="_Toc121344364"/>
      <w:bookmarkStart w:id="172" w:name="_Toc102825404"/>
      <w:bookmarkStart w:id="173" w:name="_Toc11469"/>
      <w:bookmarkStart w:id="174" w:name="_Toc6275"/>
      <w:bookmarkStart w:id="175" w:name="_Toc102481280"/>
      <w:r>
        <w:rPr>
          <w:rFonts w:hint="eastAsia"/>
          <w:highlight w:val="none"/>
        </w:rPr>
        <w:t>事故善后及恢复生产</w:t>
      </w:r>
      <w:bookmarkEnd w:id="167"/>
      <w:bookmarkEnd w:id="168"/>
      <w:bookmarkEnd w:id="169"/>
      <w:bookmarkEnd w:id="170"/>
      <w:bookmarkEnd w:id="171"/>
      <w:bookmarkEnd w:id="172"/>
      <w:bookmarkEnd w:id="173"/>
      <w:bookmarkEnd w:id="174"/>
      <w:bookmarkEnd w:id="175"/>
    </w:p>
    <w:p w14:paraId="5719A536">
      <w:pPr>
        <w:ind w:firstLine="480"/>
        <w:rPr>
          <w:highlight w:val="none"/>
        </w:rPr>
      </w:pPr>
      <w:r>
        <w:rPr>
          <w:rFonts w:hint="eastAsia"/>
          <w:highlight w:val="none"/>
        </w:rPr>
        <w:t>应急小组在抢援工作结束后，对发生人员伤亡、机损事故和财产损失等事故的，遵循下列原则进行处理。</w:t>
      </w:r>
    </w:p>
    <w:p w14:paraId="5034C5BE">
      <w:pPr>
        <w:ind w:firstLine="480"/>
        <w:rPr>
          <w:highlight w:val="none"/>
        </w:rPr>
      </w:pPr>
      <w:r>
        <w:rPr>
          <w:rFonts w:hint="eastAsia"/>
          <w:highlight w:val="none"/>
        </w:rPr>
        <w:t>（1）伤员处理</w:t>
      </w:r>
    </w:p>
    <w:p w14:paraId="2B1041C7">
      <w:pPr>
        <w:ind w:firstLine="480"/>
        <w:rPr>
          <w:highlight w:val="none"/>
        </w:rPr>
      </w:pPr>
      <w:r>
        <w:rPr>
          <w:rFonts w:hint="eastAsia"/>
          <w:highlight w:val="none"/>
        </w:rPr>
        <w:t>按国家有关规定，做好事后伤亡家属的接待、安抚和善后处理以及保险赔偿工作。</w:t>
      </w:r>
    </w:p>
    <w:p w14:paraId="11CC2D59">
      <w:pPr>
        <w:ind w:firstLine="480"/>
        <w:rPr>
          <w:highlight w:val="none"/>
        </w:rPr>
      </w:pPr>
      <w:r>
        <w:rPr>
          <w:rFonts w:hint="eastAsia"/>
          <w:highlight w:val="none"/>
        </w:rPr>
        <w:t>（2）调查分析</w:t>
      </w:r>
    </w:p>
    <w:p w14:paraId="5011555C">
      <w:pPr>
        <w:ind w:firstLine="480"/>
        <w:rPr>
          <w:highlight w:val="none"/>
        </w:rPr>
      </w:pPr>
      <w:r>
        <w:rPr>
          <w:rFonts w:hint="eastAsia"/>
          <w:highlight w:val="none"/>
        </w:rPr>
        <w:t>对事故原因调查分析，确定责任和应该吸取的教训。</w:t>
      </w:r>
    </w:p>
    <w:p w14:paraId="4DF608F4">
      <w:pPr>
        <w:ind w:firstLine="480"/>
        <w:rPr>
          <w:highlight w:val="none"/>
        </w:rPr>
      </w:pPr>
      <w:r>
        <w:rPr>
          <w:rFonts w:hint="eastAsia"/>
          <w:highlight w:val="none"/>
        </w:rPr>
        <w:t>（3）事故处理</w:t>
      </w:r>
    </w:p>
    <w:p w14:paraId="3EC2ABDE">
      <w:pPr>
        <w:ind w:firstLine="480"/>
        <w:rPr>
          <w:highlight w:val="none"/>
        </w:rPr>
      </w:pPr>
      <w:r>
        <w:rPr>
          <w:rFonts w:hint="eastAsia"/>
          <w:highlight w:val="none"/>
        </w:rPr>
        <w:t>根据事故调查结果，按“四不放过”原则，认真总结事故经验教训，对发生事故的责任人或责任部门依照相关法律法规，提出事故处理意见。</w:t>
      </w:r>
    </w:p>
    <w:p w14:paraId="48B64B89">
      <w:pPr>
        <w:ind w:firstLine="480"/>
        <w:rPr>
          <w:highlight w:val="none"/>
        </w:rPr>
      </w:pPr>
      <w:r>
        <w:rPr>
          <w:rFonts w:hint="eastAsia"/>
          <w:highlight w:val="none"/>
        </w:rPr>
        <w:t>（4）事故总结</w:t>
      </w:r>
    </w:p>
    <w:p w14:paraId="39C5A7A4">
      <w:pPr>
        <w:ind w:firstLine="480"/>
        <w:rPr>
          <w:highlight w:val="none"/>
        </w:rPr>
      </w:pPr>
      <w:r>
        <w:rPr>
          <w:rFonts w:hint="eastAsia"/>
          <w:highlight w:val="none"/>
        </w:rPr>
        <w:t>事故处理完毕后，认真总结经验教训，完善管理，对事故后的处理过程认真分析总结、防范措施及应急预案进行补充和修改。</w:t>
      </w:r>
    </w:p>
    <w:p w14:paraId="60517FC7">
      <w:pPr>
        <w:ind w:firstLine="480"/>
        <w:rPr>
          <w:highlight w:val="none"/>
        </w:rPr>
      </w:pPr>
      <w:r>
        <w:rPr>
          <w:rFonts w:hint="eastAsia"/>
          <w:highlight w:val="none"/>
        </w:rPr>
        <w:t>（5）恢复生产</w:t>
      </w:r>
    </w:p>
    <w:p w14:paraId="3C76914F">
      <w:pPr>
        <w:ind w:firstLine="480"/>
        <w:rPr>
          <w:highlight w:val="none"/>
        </w:rPr>
      </w:pPr>
      <w:r>
        <w:rPr>
          <w:rFonts w:hint="eastAsia"/>
          <w:highlight w:val="none"/>
        </w:rPr>
        <w:t>对现场隐患进行全面排查，整改完毕后报请业主、监理单位审批，同意后方可组织恢复生产工作。</w:t>
      </w:r>
    </w:p>
    <w:p w14:paraId="4585BC3C">
      <w:pPr>
        <w:ind w:firstLine="480"/>
        <w:rPr>
          <w:highlight w:val="none"/>
        </w:rPr>
      </w:pPr>
    </w:p>
    <w:p w14:paraId="73D06FB6">
      <w:pPr>
        <w:pStyle w:val="3"/>
        <w:bidi w:val="0"/>
        <w:ind w:left="432" w:leftChars="0" w:hanging="432" w:firstLineChars="0"/>
        <w:rPr>
          <w:highlight w:val="none"/>
        </w:rPr>
      </w:pPr>
      <w:bookmarkStart w:id="176" w:name="_Toc3632"/>
      <w:r>
        <w:rPr>
          <w:rFonts w:hint="eastAsia"/>
          <w:highlight w:val="none"/>
        </w:rPr>
        <w:t>绿色及文明施工</w:t>
      </w:r>
      <w:bookmarkEnd w:id="176"/>
    </w:p>
    <w:p w14:paraId="5BA0D0DC">
      <w:pPr>
        <w:pStyle w:val="4"/>
        <w:bidi w:val="0"/>
        <w:ind w:left="0" w:leftChars="0" w:firstLine="0" w:firstLineChars="0"/>
        <w:rPr>
          <w:highlight w:val="none"/>
        </w:rPr>
      </w:pPr>
      <w:bookmarkStart w:id="177" w:name="_Toc1009"/>
      <w:bookmarkStart w:id="178" w:name="_Toc119247042"/>
      <w:bookmarkStart w:id="179" w:name="_Toc27911"/>
      <w:bookmarkStart w:id="180" w:name="_Toc40778460"/>
      <w:r>
        <w:rPr>
          <w:highlight w:val="none"/>
        </w:rPr>
        <w:t>组织</w:t>
      </w:r>
      <w:r>
        <w:rPr>
          <w:rFonts w:hint="eastAsia"/>
          <w:highlight w:val="none"/>
        </w:rPr>
        <w:t>管理</w:t>
      </w:r>
      <w:r>
        <w:rPr>
          <w:highlight w:val="none"/>
        </w:rPr>
        <w:t>机构</w:t>
      </w:r>
      <w:bookmarkEnd w:id="177"/>
      <w:bookmarkEnd w:id="178"/>
    </w:p>
    <w:p w14:paraId="0BBDCB3B">
      <w:pPr>
        <w:pStyle w:val="16"/>
        <w:ind w:firstLine="480"/>
        <w:rPr>
          <w:highlight w:val="none"/>
        </w:rPr>
      </w:pPr>
      <w:bookmarkStart w:id="181" w:name="_Toc119247043"/>
      <w:r>
        <w:rPr>
          <w:rFonts w:hint="eastAsia"/>
          <w:highlight w:val="none"/>
        </w:rPr>
        <w:t>根据本施工工程成立管理组织机构，其人员组成、工作职责详见表10.1-1。</w:t>
      </w:r>
    </w:p>
    <w:p w14:paraId="18C16F2A">
      <w:pPr>
        <w:ind w:firstLine="422"/>
        <w:jc w:val="center"/>
        <w:rPr>
          <w:rFonts w:cstheme="majorBidi"/>
          <w:b/>
          <w:sz w:val="21"/>
          <w:szCs w:val="22"/>
          <w:highlight w:val="none"/>
        </w:rPr>
      </w:pPr>
      <w:r>
        <w:rPr>
          <w:rFonts w:hint="eastAsia" w:cstheme="majorBidi"/>
          <w:b/>
          <w:sz w:val="21"/>
          <w:szCs w:val="22"/>
          <w:highlight w:val="none"/>
        </w:rPr>
        <w:t>表10.1</w:t>
      </w:r>
      <w:r>
        <w:rPr>
          <w:rFonts w:hint="eastAsia" w:cstheme="majorBidi"/>
          <w:b/>
          <w:sz w:val="21"/>
          <w:szCs w:val="22"/>
          <w:highlight w:val="none"/>
        </w:rPr>
        <w:noBreakHyphen/>
      </w:r>
      <w:r>
        <w:rPr>
          <w:rFonts w:hint="eastAsia" w:cstheme="majorBidi"/>
          <w:b/>
          <w:sz w:val="21"/>
          <w:szCs w:val="22"/>
          <w:highlight w:val="none"/>
        </w:rPr>
        <w:fldChar w:fldCharType="begin"/>
      </w:r>
      <w:r>
        <w:rPr>
          <w:rFonts w:hint="eastAsia" w:cstheme="majorBidi"/>
          <w:b/>
          <w:sz w:val="21"/>
          <w:szCs w:val="22"/>
          <w:highlight w:val="none"/>
        </w:rPr>
        <w:instrText xml:space="preserve"> SEQ 图 \* ARABIC \s 2 </w:instrText>
      </w:r>
      <w:r>
        <w:rPr>
          <w:rFonts w:hint="eastAsia" w:cstheme="majorBidi"/>
          <w:b/>
          <w:sz w:val="21"/>
          <w:szCs w:val="22"/>
          <w:highlight w:val="none"/>
        </w:rPr>
        <w:fldChar w:fldCharType="separate"/>
      </w:r>
      <w:r>
        <w:rPr>
          <w:rFonts w:hint="eastAsia" w:cstheme="majorBidi"/>
          <w:b/>
          <w:sz w:val="21"/>
          <w:szCs w:val="22"/>
          <w:highlight w:val="none"/>
        </w:rPr>
        <w:t>1</w:t>
      </w:r>
      <w:r>
        <w:rPr>
          <w:rFonts w:hint="eastAsia" w:cstheme="majorBidi"/>
          <w:b/>
          <w:sz w:val="21"/>
          <w:szCs w:val="22"/>
          <w:highlight w:val="none"/>
        </w:rPr>
        <w:fldChar w:fldCharType="end"/>
      </w:r>
      <w:r>
        <w:rPr>
          <w:rFonts w:hint="eastAsia" w:cstheme="majorBidi"/>
          <w:b/>
          <w:sz w:val="21"/>
          <w:szCs w:val="22"/>
          <w:highlight w:val="none"/>
        </w:rPr>
        <w:t>质量管理组织机构表</w:t>
      </w:r>
    </w:p>
    <w:tbl>
      <w:tblPr>
        <w:tblStyle w:val="396"/>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01"/>
        <w:gridCol w:w="2150"/>
        <w:gridCol w:w="890"/>
        <w:gridCol w:w="4476"/>
        <w:gridCol w:w="505"/>
      </w:tblGrid>
      <w:tr w14:paraId="11489A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294" w:type="pct"/>
            <w:shd w:val="clear" w:color="auto" w:fill="auto"/>
            <w:vAlign w:val="center"/>
          </w:tcPr>
          <w:p w14:paraId="34737FEC">
            <w:pPr>
              <w:spacing w:line="240" w:lineRule="auto"/>
              <w:ind w:firstLine="0" w:firstLineChars="0"/>
              <w:jc w:val="center"/>
              <w:rPr>
                <w:b/>
                <w:sz w:val="21"/>
                <w:highlight w:val="none"/>
              </w:rPr>
            </w:pPr>
            <w:r>
              <w:rPr>
                <w:rFonts w:hint="eastAsia"/>
                <w:b/>
                <w:sz w:val="21"/>
                <w:highlight w:val="none"/>
              </w:rPr>
              <w:t>序号</w:t>
            </w:r>
          </w:p>
        </w:tc>
        <w:tc>
          <w:tcPr>
            <w:tcW w:w="1261" w:type="pct"/>
            <w:shd w:val="clear" w:color="auto" w:fill="auto"/>
            <w:vAlign w:val="center"/>
          </w:tcPr>
          <w:p w14:paraId="364D0DCF">
            <w:pPr>
              <w:spacing w:line="240" w:lineRule="auto"/>
              <w:ind w:firstLine="0" w:firstLineChars="0"/>
              <w:jc w:val="center"/>
              <w:rPr>
                <w:b/>
                <w:bCs/>
                <w:sz w:val="21"/>
                <w:highlight w:val="none"/>
              </w:rPr>
            </w:pPr>
            <w:r>
              <w:rPr>
                <w:rFonts w:hint="eastAsia"/>
                <w:b/>
                <w:bCs/>
                <w:sz w:val="21"/>
                <w:highlight w:val="none"/>
              </w:rPr>
              <w:t>岗位</w:t>
            </w:r>
          </w:p>
        </w:tc>
        <w:tc>
          <w:tcPr>
            <w:tcW w:w="522" w:type="pct"/>
            <w:shd w:val="clear" w:color="auto" w:fill="auto"/>
            <w:vAlign w:val="center"/>
          </w:tcPr>
          <w:p w14:paraId="060D1479">
            <w:pPr>
              <w:spacing w:line="240" w:lineRule="auto"/>
              <w:ind w:firstLine="0" w:firstLineChars="0"/>
              <w:jc w:val="center"/>
              <w:rPr>
                <w:b/>
                <w:sz w:val="21"/>
                <w:highlight w:val="none"/>
              </w:rPr>
            </w:pPr>
            <w:r>
              <w:rPr>
                <w:rFonts w:hint="eastAsia"/>
                <w:b/>
                <w:bCs/>
                <w:sz w:val="21"/>
                <w:highlight w:val="none"/>
              </w:rPr>
              <w:t>姓名</w:t>
            </w:r>
          </w:p>
        </w:tc>
        <w:tc>
          <w:tcPr>
            <w:tcW w:w="2625" w:type="pct"/>
            <w:shd w:val="clear" w:color="auto" w:fill="auto"/>
            <w:vAlign w:val="center"/>
          </w:tcPr>
          <w:p w14:paraId="76EDDDC5">
            <w:pPr>
              <w:spacing w:line="240" w:lineRule="auto"/>
              <w:ind w:firstLine="0" w:firstLineChars="0"/>
              <w:jc w:val="center"/>
              <w:rPr>
                <w:b/>
                <w:sz w:val="21"/>
                <w:highlight w:val="none"/>
              </w:rPr>
            </w:pPr>
            <w:r>
              <w:rPr>
                <w:rFonts w:hint="eastAsia"/>
                <w:b/>
                <w:sz w:val="21"/>
                <w:highlight w:val="none"/>
              </w:rPr>
              <w:t>工作职责</w:t>
            </w:r>
          </w:p>
        </w:tc>
        <w:tc>
          <w:tcPr>
            <w:tcW w:w="296" w:type="pct"/>
            <w:shd w:val="clear" w:color="auto" w:fill="auto"/>
            <w:vAlign w:val="center"/>
          </w:tcPr>
          <w:p w14:paraId="3DDF59FD">
            <w:pPr>
              <w:spacing w:line="240" w:lineRule="auto"/>
              <w:ind w:firstLine="0" w:firstLineChars="0"/>
              <w:jc w:val="center"/>
              <w:rPr>
                <w:b/>
                <w:sz w:val="21"/>
                <w:highlight w:val="none"/>
              </w:rPr>
            </w:pPr>
            <w:r>
              <w:rPr>
                <w:rFonts w:hint="eastAsia"/>
                <w:b/>
                <w:sz w:val="21"/>
                <w:highlight w:val="none"/>
              </w:rPr>
              <w:t>备注</w:t>
            </w:r>
          </w:p>
        </w:tc>
      </w:tr>
      <w:tr w14:paraId="58FCAF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1551AA3F">
            <w:pPr>
              <w:numPr>
                <w:ilvl w:val="0"/>
                <w:numId w:val="49"/>
              </w:numPr>
              <w:spacing w:line="240" w:lineRule="auto"/>
              <w:ind w:firstLineChars="0"/>
              <w:jc w:val="center"/>
              <w:rPr>
                <w:sz w:val="21"/>
                <w:highlight w:val="none"/>
              </w:rPr>
            </w:pPr>
          </w:p>
        </w:tc>
        <w:tc>
          <w:tcPr>
            <w:tcW w:w="1261" w:type="pct"/>
            <w:shd w:val="clear" w:color="auto" w:fill="auto"/>
            <w:vAlign w:val="center"/>
          </w:tcPr>
          <w:p w14:paraId="0E44F849">
            <w:pPr>
              <w:pStyle w:val="53"/>
              <w:rPr>
                <w:b w:val="0"/>
                <w:highlight w:val="none"/>
              </w:rPr>
            </w:pPr>
            <w:r>
              <w:rPr>
                <w:rFonts w:hint="eastAsia"/>
                <w:b w:val="0"/>
                <w:highlight w:val="none"/>
              </w:rPr>
              <w:t>技术负责人</w:t>
            </w:r>
          </w:p>
        </w:tc>
        <w:tc>
          <w:tcPr>
            <w:tcW w:w="522" w:type="pct"/>
            <w:shd w:val="clear" w:color="auto" w:fill="auto"/>
            <w:vAlign w:val="center"/>
          </w:tcPr>
          <w:p w14:paraId="5149282F">
            <w:pPr>
              <w:pStyle w:val="53"/>
              <w:rPr>
                <w:b w:val="0"/>
                <w:highlight w:val="none"/>
              </w:rPr>
            </w:pPr>
            <w:r>
              <w:rPr>
                <w:rFonts w:hint="eastAsia"/>
                <w:b w:val="0"/>
                <w:highlight w:val="none"/>
              </w:rPr>
              <w:t>温涛</w:t>
            </w:r>
          </w:p>
        </w:tc>
        <w:tc>
          <w:tcPr>
            <w:tcW w:w="2625" w:type="pct"/>
            <w:shd w:val="clear" w:color="auto" w:fill="auto"/>
            <w:vAlign w:val="center"/>
          </w:tcPr>
          <w:p w14:paraId="549C55A0">
            <w:pPr>
              <w:pStyle w:val="53"/>
              <w:snapToGrid w:val="0"/>
              <w:rPr>
                <w:b w:val="0"/>
                <w:highlight w:val="none"/>
              </w:rPr>
            </w:pPr>
            <w:r>
              <w:rPr>
                <w:rStyle w:val="220"/>
                <w:rFonts w:hint="eastAsia" w:cstheme="minorBidi"/>
                <w:b w:val="0"/>
                <w:color w:val="000000"/>
                <w:highlight w:val="none"/>
              </w:rPr>
              <w:t>技术负责人负责制定塔吊安装方案的技术细节，包括安装流程、技术参数、安全技术措施等内容；同时，在安装过程中提供技术指导，解决各类技术问题，监督技术方案执行情况并及时调整优化。</w:t>
            </w:r>
          </w:p>
        </w:tc>
        <w:tc>
          <w:tcPr>
            <w:tcW w:w="296" w:type="pct"/>
            <w:shd w:val="clear" w:color="auto" w:fill="auto"/>
            <w:vAlign w:val="center"/>
          </w:tcPr>
          <w:p w14:paraId="254303A3">
            <w:pPr>
              <w:spacing w:line="240" w:lineRule="auto"/>
              <w:ind w:firstLine="0" w:firstLineChars="0"/>
              <w:jc w:val="center"/>
              <w:rPr>
                <w:sz w:val="21"/>
                <w:highlight w:val="none"/>
              </w:rPr>
            </w:pPr>
          </w:p>
        </w:tc>
      </w:tr>
      <w:tr w14:paraId="76A3B5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331072F6">
            <w:pPr>
              <w:numPr>
                <w:ilvl w:val="0"/>
                <w:numId w:val="49"/>
              </w:numPr>
              <w:spacing w:line="240" w:lineRule="auto"/>
              <w:ind w:firstLineChars="0"/>
              <w:jc w:val="center"/>
              <w:rPr>
                <w:sz w:val="21"/>
                <w:highlight w:val="none"/>
              </w:rPr>
            </w:pPr>
          </w:p>
        </w:tc>
        <w:tc>
          <w:tcPr>
            <w:tcW w:w="1261" w:type="pct"/>
            <w:shd w:val="clear" w:color="auto" w:fill="auto"/>
            <w:vAlign w:val="center"/>
          </w:tcPr>
          <w:p w14:paraId="4667894A">
            <w:pPr>
              <w:pStyle w:val="53"/>
              <w:rPr>
                <w:b w:val="0"/>
                <w:highlight w:val="none"/>
              </w:rPr>
            </w:pPr>
            <w:r>
              <w:rPr>
                <w:rFonts w:hint="eastAsia"/>
                <w:b w:val="0"/>
                <w:highlight w:val="none"/>
              </w:rPr>
              <w:t>项目负责人</w:t>
            </w:r>
          </w:p>
        </w:tc>
        <w:tc>
          <w:tcPr>
            <w:tcW w:w="522" w:type="pct"/>
            <w:shd w:val="clear" w:color="auto" w:fill="auto"/>
            <w:vAlign w:val="center"/>
          </w:tcPr>
          <w:p w14:paraId="7BF6F556">
            <w:pPr>
              <w:pStyle w:val="53"/>
              <w:rPr>
                <w:b w:val="0"/>
                <w:highlight w:val="none"/>
              </w:rPr>
            </w:pPr>
            <w:r>
              <w:rPr>
                <w:rFonts w:hint="eastAsia"/>
                <w:b w:val="0"/>
                <w:highlight w:val="none"/>
              </w:rPr>
              <w:t>吕仕昌</w:t>
            </w:r>
          </w:p>
        </w:tc>
        <w:tc>
          <w:tcPr>
            <w:tcW w:w="2625" w:type="pct"/>
            <w:shd w:val="clear" w:color="auto" w:fill="auto"/>
            <w:vAlign w:val="center"/>
          </w:tcPr>
          <w:p w14:paraId="1553C450">
            <w:pPr>
              <w:pStyle w:val="53"/>
              <w:snapToGrid w:val="0"/>
              <w:rPr>
                <w:b w:val="0"/>
                <w:highlight w:val="none"/>
              </w:rPr>
            </w:pPr>
            <w:r>
              <w:rPr>
                <w:rFonts w:hint="eastAsia"/>
                <w:b w:val="0"/>
                <w:highlight w:val="none"/>
              </w:rPr>
              <w:t>负责现场安拆指导及安全管理</w:t>
            </w:r>
          </w:p>
        </w:tc>
        <w:tc>
          <w:tcPr>
            <w:tcW w:w="296" w:type="pct"/>
            <w:shd w:val="clear" w:color="auto" w:fill="auto"/>
            <w:vAlign w:val="center"/>
          </w:tcPr>
          <w:p w14:paraId="47AFD065">
            <w:pPr>
              <w:spacing w:line="240" w:lineRule="auto"/>
              <w:ind w:firstLine="0" w:firstLineChars="0"/>
              <w:jc w:val="center"/>
              <w:rPr>
                <w:sz w:val="21"/>
                <w:highlight w:val="none"/>
              </w:rPr>
            </w:pPr>
          </w:p>
        </w:tc>
      </w:tr>
      <w:tr w14:paraId="01ACEF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108C9341">
            <w:pPr>
              <w:numPr>
                <w:ilvl w:val="0"/>
                <w:numId w:val="49"/>
              </w:numPr>
              <w:spacing w:line="240" w:lineRule="auto"/>
              <w:ind w:firstLineChars="0"/>
              <w:jc w:val="center"/>
              <w:rPr>
                <w:sz w:val="21"/>
                <w:highlight w:val="none"/>
              </w:rPr>
            </w:pPr>
          </w:p>
        </w:tc>
        <w:tc>
          <w:tcPr>
            <w:tcW w:w="1261" w:type="pct"/>
            <w:shd w:val="clear" w:color="auto" w:fill="auto"/>
            <w:vAlign w:val="center"/>
          </w:tcPr>
          <w:p w14:paraId="77F40F1C">
            <w:pPr>
              <w:pStyle w:val="53"/>
              <w:rPr>
                <w:b w:val="0"/>
                <w:highlight w:val="none"/>
              </w:rPr>
            </w:pPr>
            <w:r>
              <w:rPr>
                <w:rFonts w:hint="eastAsia"/>
                <w:b w:val="0"/>
                <w:highlight w:val="none"/>
              </w:rPr>
              <w:t>现场负责人</w:t>
            </w:r>
          </w:p>
        </w:tc>
        <w:tc>
          <w:tcPr>
            <w:tcW w:w="522" w:type="pct"/>
            <w:shd w:val="clear" w:color="auto" w:fill="auto"/>
            <w:vAlign w:val="center"/>
          </w:tcPr>
          <w:p w14:paraId="61CFDBB9">
            <w:pPr>
              <w:pStyle w:val="53"/>
              <w:rPr>
                <w:b w:val="0"/>
                <w:highlight w:val="none"/>
              </w:rPr>
            </w:pPr>
            <w:r>
              <w:rPr>
                <w:rFonts w:hint="eastAsia"/>
                <w:b w:val="0"/>
                <w:highlight w:val="none"/>
              </w:rPr>
              <w:t>罗乾龙</w:t>
            </w:r>
          </w:p>
        </w:tc>
        <w:tc>
          <w:tcPr>
            <w:tcW w:w="2625" w:type="pct"/>
            <w:shd w:val="clear" w:color="auto" w:fill="auto"/>
            <w:vAlign w:val="center"/>
          </w:tcPr>
          <w:p w14:paraId="7E497B84">
            <w:pPr>
              <w:pStyle w:val="53"/>
              <w:snapToGrid w:val="0"/>
              <w:rPr>
                <w:b w:val="0"/>
                <w:highlight w:val="none"/>
              </w:rPr>
            </w:pPr>
            <w:r>
              <w:rPr>
                <w:rFonts w:hint="eastAsia"/>
                <w:b w:val="0"/>
                <w:highlight w:val="none"/>
              </w:rPr>
              <w:t>负责组织人员按安装工艺规程及塔吊使用说明书要求进行作业，负责每日的工作安排，安全交底、工作记录，制止任何违章作业。</w:t>
            </w:r>
          </w:p>
        </w:tc>
        <w:tc>
          <w:tcPr>
            <w:tcW w:w="296" w:type="pct"/>
            <w:shd w:val="clear" w:color="auto" w:fill="auto"/>
            <w:vAlign w:val="center"/>
          </w:tcPr>
          <w:p w14:paraId="4074301A">
            <w:pPr>
              <w:spacing w:line="240" w:lineRule="auto"/>
              <w:ind w:firstLine="0" w:firstLineChars="0"/>
              <w:jc w:val="center"/>
              <w:rPr>
                <w:sz w:val="21"/>
                <w:highlight w:val="none"/>
              </w:rPr>
            </w:pPr>
          </w:p>
        </w:tc>
      </w:tr>
      <w:tr w14:paraId="3381E0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5788C744">
            <w:pPr>
              <w:numPr>
                <w:ilvl w:val="0"/>
                <w:numId w:val="49"/>
              </w:numPr>
              <w:spacing w:line="240" w:lineRule="auto"/>
              <w:ind w:firstLineChars="0"/>
              <w:jc w:val="center"/>
              <w:rPr>
                <w:sz w:val="21"/>
                <w:highlight w:val="none"/>
              </w:rPr>
            </w:pPr>
          </w:p>
        </w:tc>
        <w:tc>
          <w:tcPr>
            <w:tcW w:w="1261" w:type="pct"/>
            <w:shd w:val="clear" w:color="auto" w:fill="auto"/>
            <w:vAlign w:val="center"/>
          </w:tcPr>
          <w:p w14:paraId="6B692EF9">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22" w:type="pct"/>
            <w:shd w:val="clear" w:color="auto" w:fill="auto"/>
            <w:vAlign w:val="center"/>
          </w:tcPr>
          <w:p w14:paraId="41BB31D9">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胡杰</w:t>
            </w:r>
          </w:p>
        </w:tc>
        <w:tc>
          <w:tcPr>
            <w:tcW w:w="2625" w:type="pct"/>
            <w:shd w:val="clear" w:color="auto" w:fill="auto"/>
            <w:vAlign w:val="center"/>
          </w:tcPr>
          <w:p w14:paraId="43B6C14B">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w:t>
            </w:r>
          </w:p>
          <w:p w14:paraId="53D1E05A">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及维保</w:t>
            </w:r>
          </w:p>
        </w:tc>
        <w:tc>
          <w:tcPr>
            <w:tcW w:w="296" w:type="pct"/>
            <w:shd w:val="clear" w:color="auto" w:fill="auto"/>
            <w:vAlign w:val="center"/>
          </w:tcPr>
          <w:p w14:paraId="40B2A3A8">
            <w:pPr>
              <w:spacing w:line="240" w:lineRule="auto"/>
              <w:ind w:firstLine="0" w:firstLineChars="0"/>
              <w:jc w:val="center"/>
              <w:rPr>
                <w:sz w:val="21"/>
                <w:highlight w:val="none"/>
              </w:rPr>
            </w:pPr>
          </w:p>
        </w:tc>
      </w:tr>
      <w:tr w14:paraId="3A2924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55B07756">
            <w:pPr>
              <w:numPr>
                <w:ilvl w:val="0"/>
                <w:numId w:val="49"/>
              </w:numPr>
              <w:spacing w:line="240" w:lineRule="auto"/>
              <w:ind w:firstLineChars="0"/>
              <w:jc w:val="center"/>
              <w:rPr>
                <w:sz w:val="21"/>
                <w:highlight w:val="none"/>
              </w:rPr>
            </w:pPr>
          </w:p>
        </w:tc>
        <w:tc>
          <w:tcPr>
            <w:tcW w:w="1261" w:type="pct"/>
            <w:shd w:val="clear" w:color="auto" w:fill="auto"/>
            <w:vAlign w:val="center"/>
          </w:tcPr>
          <w:p w14:paraId="15C7A49B">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22" w:type="pct"/>
            <w:shd w:val="clear" w:color="auto" w:fill="auto"/>
            <w:vAlign w:val="center"/>
          </w:tcPr>
          <w:p w14:paraId="336D6640">
            <w:pPr>
              <w:snapToGrid w:val="0"/>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何小兵</w:t>
            </w:r>
          </w:p>
        </w:tc>
        <w:tc>
          <w:tcPr>
            <w:tcW w:w="2625" w:type="pct"/>
            <w:shd w:val="clear" w:color="auto" w:fill="auto"/>
            <w:vAlign w:val="center"/>
          </w:tcPr>
          <w:p w14:paraId="0A39D79B">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负责设备安拆调试及维保</w:t>
            </w:r>
          </w:p>
        </w:tc>
        <w:tc>
          <w:tcPr>
            <w:tcW w:w="296" w:type="pct"/>
            <w:shd w:val="clear" w:color="auto" w:fill="auto"/>
            <w:vAlign w:val="center"/>
          </w:tcPr>
          <w:p w14:paraId="4DF91C88">
            <w:pPr>
              <w:spacing w:line="240" w:lineRule="auto"/>
              <w:ind w:firstLine="0" w:firstLineChars="0"/>
              <w:jc w:val="center"/>
              <w:rPr>
                <w:sz w:val="21"/>
                <w:highlight w:val="none"/>
              </w:rPr>
            </w:pPr>
          </w:p>
        </w:tc>
      </w:tr>
      <w:tr w14:paraId="2D405B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5458B3EE">
            <w:pPr>
              <w:numPr>
                <w:ilvl w:val="0"/>
                <w:numId w:val="49"/>
              </w:numPr>
              <w:spacing w:line="240" w:lineRule="auto"/>
              <w:ind w:firstLineChars="0"/>
              <w:jc w:val="center"/>
              <w:rPr>
                <w:sz w:val="21"/>
                <w:highlight w:val="none"/>
              </w:rPr>
            </w:pPr>
          </w:p>
        </w:tc>
        <w:tc>
          <w:tcPr>
            <w:tcW w:w="1261" w:type="pct"/>
            <w:shd w:val="clear" w:color="auto" w:fill="auto"/>
            <w:vAlign w:val="center"/>
          </w:tcPr>
          <w:p w14:paraId="1A01FB19">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22" w:type="pct"/>
            <w:shd w:val="clear" w:color="auto" w:fill="auto"/>
            <w:vAlign w:val="center"/>
          </w:tcPr>
          <w:p w14:paraId="164F4FE7">
            <w:pPr>
              <w:snapToGrid w:val="0"/>
              <w:spacing w:line="240" w:lineRule="auto"/>
              <w:ind w:firstLine="0" w:firstLineChars="0"/>
              <w:jc w:val="center"/>
              <w:rPr>
                <w:rFonts w:hint="eastAsia" w:eastAsia="宋体"/>
                <w:bCs/>
                <w:color w:val="000000" w:themeColor="text1"/>
                <w:sz w:val="21"/>
                <w:highlight w:val="none"/>
                <w:lang w:eastAsia="zh-CN"/>
                <w14:textFill>
                  <w14:solidFill>
                    <w14:schemeClr w14:val="tx1"/>
                  </w14:solidFill>
                </w14:textFill>
              </w:rPr>
            </w:pPr>
            <w:r>
              <w:rPr>
                <w:rFonts w:hint="eastAsia"/>
                <w:bCs/>
                <w:color w:val="000000" w:themeColor="text1"/>
                <w:sz w:val="21"/>
                <w:highlight w:val="none"/>
                <w:lang w:eastAsia="zh-CN"/>
                <w14:textFill>
                  <w14:solidFill>
                    <w14:schemeClr w14:val="tx1"/>
                  </w14:solidFill>
                </w14:textFill>
              </w:rPr>
              <w:t>李国林</w:t>
            </w:r>
          </w:p>
        </w:tc>
        <w:tc>
          <w:tcPr>
            <w:tcW w:w="2625" w:type="pct"/>
            <w:shd w:val="clear" w:color="auto" w:fill="auto"/>
            <w:vAlign w:val="center"/>
          </w:tcPr>
          <w:p w14:paraId="28DE93D0">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负责设备安拆调试及维保</w:t>
            </w:r>
          </w:p>
        </w:tc>
        <w:tc>
          <w:tcPr>
            <w:tcW w:w="296" w:type="pct"/>
            <w:shd w:val="clear" w:color="auto" w:fill="auto"/>
            <w:vAlign w:val="center"/>
          </w:tcPr>
          <w:p w14:paraId="370894DE">
            <w:pPr>
              <w:spacing w:line="240" w:lineRule="auto"/>
              <w:ind w:firstLine="0" w:firstLineChars="0"/>
              <w:jc w:val="center"/>
              <w:rPr>
                <w:sz w:val="21"/>
                <w:highlight w:val="none"/>
              </w:rPr>
            </w:pPr>
          </w:p>
        </w:tc>
      </w:tr>
      <w:tr w14:paraId="3C1CB5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3CBE6D16">
            <w:pPr>
              <w:numPr>
                <w:ilvl w:val="0"/>
                <w:numId w:val="49"/>
              </w:numPr>
              <w:spacing w:line="240" w:lineRule="auto"/>
              <w:ind w:firstLineChars="0"/>
              <w:jc w:val="center"/>
              <w:rPr>
                <w:sz w:val="21"/>
                <w:highlight w:val="none"/>
              </w:rPr>
            </w:pPr>
          </w:p>
        </w:tc>
        <w:tc>
          <w:tcPr>
            <w:tcW w:w="1261" w:type="pct"/>
            <w:shd w:val="clear" w:color="auto" w:fill="auto"/>
            <w:vAlign w:val="center"/>
          </w:tcPr>
          <w:p w14:paraId="629E809B">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建筑起重机械安装拆卸工（塔式起重机）</w:t>
            </w:r>
          </w:p>
        </w:tc>
        <w:tc>
          <w:tcPr>
            <w:tcW w:w="522" w:type="pct"/>
            <w:shd w:val="clear" w:color="auto" w:fill="auto"/>
            <w:vAlign w:val="center"/>
          </w:tcPr>
          <w:p w14:paraId="075E5F8F">
            <w:pPr>
              <w:snapToGrid w:val="0"/>
              <w:spacing w:line="240" w:lineRule="auto"/>
              <w:ind w:firstLine="0" w:firstLineChars="0"/>
              <w:jc w:val="center"/>
              <w:rPr>
                <w:rFonts w:hint="eastAsia" w:eastAsia="宋体"/>
                <w:bCs/>
                <w:color w:val="000000" w:themeColor="text1"/>
                <w:sz w:val="21"/>
                <w:highlight w:val="none"/>
                <w:lang w:eastAsia="zh-CN"/>
                <w14:textFill>
                  <w14:solidFill>
                    <w14:schemeClr w14:val="tx1"/>
                  </w14:solidFill>
                </w14:textFill>
              </w:rPr>
            </w:pPr>
            <w:r>
              <w:rPr>
                <w:rFonts w:hint="eastAsia"/>
                <w:bCs/>
                <w:color w:val="000000" w:themeColor="text1"/>
                <w:sz w:val="21"/>
                <w:highlight w:val="none"/>
                <w:lang w:val="en-US" w:eastAsia="zh-CN"/>
                <w14:textFill>
                  <w14:solidFill>
                    <w14:schemeClr w14:val="tx1"/>
                  </w14:solidFill>
                </w14:textFill>
              </w:rPr>
              <w:t>薛强</w:t>
            </w:r>
          </w:p>
        </w:tc>
        <w:tc>
          <w:tcPr>
            <w:tcW w:w="2625" w:type="pct"/>
            <w:shd w:val="clear" w:color="auto" w:fill="auto"/>
            <w:vAlign w:val="center"/>
          </w:tcPr>
          <w:p w14:paraId="5200B2EF">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负责设备安拆调试及维保</w:t>
            </w:r>
          </w:p>
        </w:tc>
        <w:tc>
          <w:tcPr>
            <w:tcW w:w="296" w:type="pct"/>
            <w:shd w:val="clear" w:color="auto" w:fill="auto"/>
            <w:vAlign w:val="center"/>
          </w:tcPr>
          <w:p w14:paraId="48B1DEC8">
            <w:pPr>
              <w:spacing w:line="240" w:lineRule="auto"/>
              <w:ind w:firstLine="0" w:firstLineChars="0"/>
              <w:jc w:val="center"/>
              <w:rPr>
                <w:sz w:val="21"/>
                <w:highlight w:val="none"/>
              </w:rPr>
            </w:pPr>
          </w:p>
        </w:tc>
      </w:tr>
      <w:tr w14:paraId="1A8BA5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94" w:type="pct"/>
            <w:shd w:val="clear" w:color="auto" w:fill="auto"/>
            <w:vAlign w:val="center"/>
          </w:tcPr>
          <w:p w14:paraId="1E9372B5">
            <w:pPr>
              <w:numPr>
                <w:ilvl w:val="0"/>
                <w:numId w:val="49"/>
              </w:numPr>
              <w:spacing w:line="240" w:lineRule="auto"/>
              <w:ind w:firstLineChars="0"/>
              <w:jc w:val="center"/>
              <w:rPr>
                <w:sz w:val="21"/>
                <w:highlight w:val="none"/>
              </w:rPr>
            </w:pPr>
          </w:p>
        </w:tc>
        <w:tc>
          <w:tcPr>
            <w:tcW w:w="1261" w:type="pct"/>
            <w:shd w:val="clear" w:color="auto" w:fill="auto"/>
            <w:vAlign w:val="center"/>
          </w:tcPr>
          <w:p w14:paraId="2C2FBF94">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建筑电工（维保人员）</w:t>
            </w:r>
          </w:p>
        </w:tc>
        <w:tc>
          <w:tcPr>
            <w:tcW w:w="522" w:type="pct"/>
            <w:shd w:val="clear" w:color="auto" w:fill="auto"/>
            <w:vAlign w:val="center"/>
          </w:tcPr>
          <w:p w14:paraId="70D40DF5">
            <w:pPr>
              <w:snapToGrid w:val="0"/>
              <w:spacing w:line="240" w:lineRule="auto"/>
              <w:ind w:firstLine="0" w:firstLineChars="0"/>
              <w:jc w:val="center"/>
              <w:rPr>
                <w:rFonts w:hint="eastAsia" w:eastAsia="宋体"/>
                <w:bCs/>
                <w:color w:val="000000" w:themeColor="text1"/>
                <w:sz w:val="21"/>
                <w:highlight w:val="none"/>
                <w:lang w:eastAsia="zh-CN"/>
                <w14:textFill>
                  <w14:solidFill>
                    <w14:schemeClr w14:val="tx1"/>
                  </w14:solidFill>
                </w14:textFill>
              </w:rPr>
            </w:pPr>
            <w:r>
              <w:rPr>
                <w:rFonts w:hint="eastAsia"/>
                <w:bCs/>
                <w:color w:val="000000" w:themeColor="text1"/>
                <w:sz w:val="21"/>
                <w:highlight w:val="none"/>
                <w:lang w:eastAsia="zh-CN"/>
                <w14:textFill>
                  <w14:solidFill>
                    <w14:schemeClr w14:val="tx1"/>
                  </w14:solidFill>
                </w14:textFill>
              </w:rPr>
              <w:t>冯昌苹</w:t>
            </w:r>
          </w:p>
        </w:tc>
        <w:tc>
          <w:tcPr>
            <w:tcW w:w="2625" w:type="pct"/>
            <w:shd w:val="clear" w:color="auto" w:fill="auto"/>
            <w:vAlign w:val="center"/>
          </w:tcPr>
          <w:p w14:paraId="4CE10106">
            <w:pPr>
              <w:spacing w:line="240" w:lineRule="auto"/>
              <w:ind w:firstLine="0" w:firstLineChars="0"/>
              <w:jc w:val="center"/>
              <w:rPr>
                <w:bCs/>
                <w:color w:val="000000" w:themeColor="text1"/>
                <w:sz w:val="21"/>
                <w:highlight w:val="none"/>
                <w14:textFill>
                  <w14:solidFill>
                    <w14:schemeClr w14:val="tx1"/>
                  </w14:solidFill>
                </w14:textFill>
              </w:rPr>
            </w:pPr>
            <w:r>
              <w:rPr>
                <w:rFonts w:hint="eastAsia"/>
                <w:bCs/>
                <w:color w:val="000000" w:themeColor="text1"/>
                <w:sz w:val="21"/>
                <w:highlight w:val="none"/>
                <w14:textFill>
                  <w14:solidFill>
                    <w14:schemeClr w14:val="tx1"/>
                  </w14:solidFill>
                </w14:textFill>
              </w:rPr>
              <w:t>负责设备安拆电气调试及维保</w:t>
            </w:r>
          </w:p>
        </w:tc>
        <w:tc>
          <w:tcPr>
            <w:tcW w:w="296" w:type="pct"/>
            <w:shd w:val="clear" w:color="auto" w:fill="auto"/>
            <w:vAlign w:val="center"/>
          </w:tcPr>
          <w:p w14:paraId="6086E1F5">
            <w:pPr>
              <w:spacing w:line="240" w:lineRule="auto"/>
              <w:ind w:firstLine="0" w:firstLineChars="0"/>
              <w:jc w:val="center"/>
              <w:rPr>
                <w:sz w:val="21"/>
                <w:highlight w:val="none"/>
              </w:rPr>
            </w:pPr>
          </w:p>
        </w:tc>
      </w:tr>
      <w:bookmarkEnd w:id="179"/>
      <w:bookmarkEnd w:id="180"/>
      <w:bookmarkEnd w:id="181"/>
    </w:tbl>
    <w:p w14:paraId="7BD3DA4A">
      <w:pPr>
        <w:pStyle w:val="4"/>
        <w:bidi w:val="0"/>
        <w:ind w:left="0" w:leftChars="0" w:firstLine="0" w:firstLineChars="0"/>
        <w:rPr>
          <w:highlight w:val="none"/>
        </w:rPr>
      </w:pPr>
      <w:bookmarkStart w:id="182" w:name="_Toc540"/>
      <w:bookmarkStart w:id="183" w:name="_Toc2588"/>
      <w:bookmarkStart w:id="184" w:name="_Toc22903"/>
      <w:r>
        <w:rPr>
          <w:highlight w:val="none"/>
        </w:rPr>
        <w:t>绿色及文明施工保证体系</w:t>
      </w:r>
      <w:bookmarkEnd w:id="182"/>
      <w:bookmarkEnd w:id="183"/>
      <w:bookmarkEnd w:id="184"/>
    </w:p>
    <w:p w14:paraId="092A6654">
      <w:pPr>
        <w:ind w:firstLine="480"/>
        <w:rPr>
          <w:highlight w:val="none"/>
        </w:rPr>
      </w:pPr>
      <w:r>
        <w:rPr>
          <w:highlight w:val="none"/>
        </w:rPr>
        <w:t>根据施工区域周边环境特点，依据有关法律、法规及建设单位的规定，制定详细的绿色文明施工措施，从思想保证、制度保证、过程控制、资源保证、技术保证、组织保证六个方面控制。绿色文明施工保证体系见下图。</w:t>
      </w:r>
    </w:p>
    <w:p w14:paraId="1E28B4FD">
      <w:pPr>
        <w:pStyle w:val="398"/>
        <w:rPr>
          <w:highlight w:val="none"/>
        </w:rPr>
      </w:pPr>
      <w:r>
        <w:rPr>
          <w:highlight w:val="none"/>
        </w:rPr>
        <w:object>
          <v:shape id="_x0000_i1029" o:spt="75" type="#_x0000_t75" style="height:342.25pt;width:299.85pt;" o:ole="t" filled="f" o:preferrelative="t" stroked="f" coordsize="21600,21600">
            <v:path/>
            <v:fill on="f" focussize="0,0"/>
            <v:stroke on="f" joinstyle="miter"/>
            <v:imagedata r:id="rId141" o:title=""/>
            <o:lock v:ext="edit" aspectratio="t"/>
            <w10:wrap type="none"/>
            <w10:anchorlock/>
          </v:shape>
          <o:OLEObject Type="Embed" ProgID="Visio.Drawing.11" ShapeID="_x0000_i1029" DrawAspect="Content" ObjectID="_1468075728" r:id="rId140">
            <o:LockedField>false</o:LockedField>
          </o:OLEObject>
        </w:object>
      </w:r>
    </w:p>
    <w:p w14:paraId="710DFC9C">
      <w:pPr>
        <w:pStyle w:val="18"/>
        <w:rPr>
          <w:rFonts w:cs="Times New Roman"/>
          <w:highlight w:val="none"/>
        </w:rPr>
      </w:pPr>
      <w:r>
        <w:rPr>
          <w:highlight w:val="none"/>
        </w:rPr>
        <w:t>图</w:t>
      </w:r>
      <w:r>
        <w:rPr>
          <w:highlight w:val="none"/>
        </w:rPr>
        <w:fldChar w:fldCharType="begin"/>
      </w:r>
      <w:r>
        <w:rPr>
          <w:highlight w:val="none"/>
        </w:rPr>
        <w:instrText xml:space="preserve"> STYLEREF 2 \s </w:instrText>
      </w:r>
      <w:r>
        <w:rPr>
          <w:highlight w:val="none"/>
        </w:rPr>
        <w:fldChar w:fldCharType="separate"/>
      </w:r>
      <w:r>
        <w:rPr>
          <w:highlight w:val="none"/>
        </w:rPr>
        <w:t>10.2</w:t>
      </w:r>
      <w:r>
        <w:rPr>
          <w:highlight w:val="none"/>
        </w:rPr>
        <w:fldChar w:fldCharType="end"/>
      </w:r>
      <w:r>
        <w:rPr>
          <w:highlight w:val="none"/>
        </w:rPr>
        <w:noBreakHyphen/>
      </w:r>
      <w:r>
        <w:rPr>
          <w:highlight w:val="none"/>
        </w:rPr>
        <w:fldChar w:fldCharType="begin"/>
      </w:r>
      <w:r>
        <w:rPr>
          <w:highlight w:val="none"/>
        </w:rPr>
        <w:instrText xml:space="preserve"> SEQ 图 \* ARABIC \s 2 </w:instrText>
      </w:r>
      <w:r>
        <w:rPr>
          <w:highlight w:val="none"/>
        </w:rPr>
        <w:fldChar w:fldCharType="separate"/>
      </w:r>
      <w:r>
        <w:rPr>
          <w:highlight w:val="none"/>
        </w:rPr>
        <w:t>1</w:t>
      </w:r>
      <w:r>
        <w:rPr>
          <w:highlight w:val="none"/>
        </w:rPr>
        <w:fldChar w:fldCharType="end"/>
      </w:r>
      <w:r>
        <w:rPr>
          <w:highlight w:val="none"/>
        </w:rPr>
        <w:t>绿色及文明施工保证体系图</w:t>
      </w:r>
    </w:p>
    <w:p w14:paraId="08E69A4C">
      <w:pPr>
        <w:pStyle w:val="4"/>
        <w:bidi w:val="0"/>
        <w:ind w:left="0" w:leftChars="0" w:firstLine="0" w:firstLineChars="0"/>
        <w:rPr>
          <w:highlight w:val="none"/>
        </w:rPr>
      </w:pPr>
      <w:bookmarkStart w:id="185" w:name="_Toc25028"/>
      <w:bookmarkStart w:id="186" w:name="_Toc48836961"/>
      <w:bookmarkStart w:id="187" w:name="_Toc164179621"/>
      <w:bookmarkStart w:id="188" w:name="_Toc31162"/>
      <w:bookmarkStart w:id="189" w:name="_Toc31190"/>
      <w:bookmarkStart w:id="190" w:name="_Toc109715010"/>
      <w:r>
        <w:rPr>
          <w:rFonts w:hint="eastAsia"/>
          <w:highlight w:val="none"/>
        </w:rPr>
        <w:t>绿色施工保证措施</w:t>
      </w:r>
      <w:bookmarkEnd w:id="185"/>
      <w:bookmarkEnd w:id="186"/>
      <w:bookmarkEnd w:id="187"/>
      <w:bookmarkEnd w:id="188"/>
      <w:bookmarkEnd w:id="189"/>
      <w:bookmarkEnd w:id="190"/>
    </w:p>
    <w:p w14:paraId="2C80C498">
      <w:pPr>
        <w:ind w:firstLine="480"/>
        <w:rPr>
          <w:highlight w:val="none"/>
        </w:rPr>
      </w:pPr>
      <w:r>
        <w:rPr>
          <w:rFonts w:hint="eastAsia"/>
          <w:highlight w:val="none"/>
        </w:rPr>
        <w:t>各工序与各施工部位在施工过程中，都可能产生对环境不利的因素。针对各部位和工序的环境有害因素，需要从危害类别制定相关措施，危害环境因素见</w:t>
      </w:r>
      <w:r>
        <w:rPr>
          <w:rFonts w:hint="eastAsia"/>
          <w:b/>
          <w:bCs/>
          <w:highlight w:val="none"/>
        </w:rPr>
        <w:t>表1</w:t>
      </w:r>
      <w:r>
        <w:rPr>
          <w:b/>
          <w:bCs/>
          <w:highlight w:val="none"/>
        </w:rPr>
        <w:t>0.3.1</w:t>
      </w:r>
      <w:r>
        <w:rPr>
          <w:rFonts w:hint="eastAsia"/>
          <w:highlight w:val="none"/>
        </w:rPr>
        <w:t>。</w:t>
      </w:r>
    </w:p>
    <w:p w14:paraId="056FA41D">
      <w:pPr>
        <w:pStyle w:val="18"/>
        <w:adjustRightInd w:val="0"/>
        <w:rPr>
          <w:highlight w:val="none"/>
        </w:rPr>
      </w:pPr>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2 \s</w:instrText>
      </w:r>
      <w:r>
        <w:rPr>
          <w:highlight w:val="none"/>
        </w:rPr>
        <w:instrText xml:space="preserve"> </w:instrText>
      </w:r>
      <w:r>
        <w:rPr>
          <w:highlight w:val="none"/>
        </w:rPr>
        <w:fldChar w:fldCharType="separate"/>
      </w:r>
      <w:r>
        <w:rPr>
          <w:rFonts w:hint="eastAsia"/>
          <w:highlight w:val="none"/>
        </w:rPr>
        <w:t>10.3</w:t>
      </w:r>
      <w:r>
        <w:rPr>
          <w:highlight w:val="none"/>
        </w:rPr>
        <w:fldChar w:fldCharType="end"/>
      </w:r>
      <w:r>
        <w:rPr>
          <w:highlight w:val="none"/>
        </w:rPr>
        <w:noBreakHyphen/>
      </w:r>
      <w:r>
        <w:rPr>
          <w:highlight w:val="none"/>
        </w:rPr>
        <w:fldChar w:fldCharType="begin"/>
      </w:r>
      <w:r>
        <w:rPr>
          <w:highlight w:val="none"/>
        </w:rPr>
        <w:instrText xml:space="preserve"> </w:instrText>
      </w:r>
      <w:r>
        <w:rPr>
          <w:rFonts w:hint="eastAsia"/>
          <w:highlight w:val="none"/>
        </w:rPr>
        <w:instrText xml:space="preserve">SEQ 表 \* ARABIC \s 2</w:instrText>
      </w:r>
      <w:r>
        <w:rPr>
          <w:highlight w:val="none"/>
        </w:rPr>
        <w:instrText xml:space="preserve"> </w:instrText>
      </w:r>
      <w:r>
        <w:rPr>
          <w:highlight w:val="none"/>
        </w:rPr>
        <w:fldChar w:fldCharType="separate"/>
      </w:r>
      <w:r>
        <w:rPr>
          <w:rFonts w:hint="eastAsia"/>
          <w:highlight w:val="none"/>
        </w:rPr>
        <w:t>1</w:t>
      </w:r>
      <w:r>
        <w:rPr>
          <w:highlight w:val="none"/>
        </w:rPr>
        <w:fldChar w:fldCharType="end"/>
      </w:r>
      <w:r>
        <w:rPr>
          <w:rFonts w:hint="eastAsia"/>
          <w:highlight w:val="none"/>
        </w:rPr>
        <w:t>环境危害因素表</w:t>
      </w:r>
    </w:p>
    <w:tbl>
      <w:tblPr>
        <w:tblStyle w:val="44"/>
        <w:tblW w:w="833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FFFFFF"/>
        <w:tblLayout w:type="fixed"/>
        <w:tblCellMar>
          <w:top w:w="0" w:type="dxa"/>
          <w:left w:w="108" w:type="dxa"/>
          <w:bottom w:w="0" w:type="dxa"/>
          <w:right w:w="108" w:type="dxa"/>
        </w:tblCellMar>
      </w:tblPr>
      <w:tblGrid>
        <w:gridCol w:w="678"/>
        <w:gridCol w:w="2869"/>
        <w:gridCol w:w="4783"/>
      </w:tblGrid>
      <w:tr w14:paraId="1B0FD7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54" w:hRule="atLeast"/>
          <w:jc w:val="center"/>
        </w:trPr>
        <w:tc>
          <w:tcPr>
            <w:tcW w:w="678" w:type="dxa"/>
            <w:shd w:val="clear" w:color="auto" w:fill="FFFFFF"/>
            <w:vAlign w:val="center"/>
          </w:tcPr>
          <w:p w14:paraId="0DC886BA">
            <w:pPr>
              <w:spacing w:line="240" w:lineRule="auto"/>
              <w:ind w:firstLine="0" w:firstLineChars="0"/>
              <w:contextualSpacing/>
              <w:jc w:val="center"/>
              <w:textAlignment w:val="baseline"/>
              <w:rPr>
                <w:rFonts w:ascii="宋体" w:hAnsi="宋体" w:cs="宋体"/>
                <w:b/>
                <w:bCs/>
                <w:color w:val="000000"/>
                <w:kern w:val="0"/>
                <w:sz w:val="21"/>
                <w:highlight w:val="none"/>
              </w:rPr>
            </w:pPr>
            <w:r>
              <w:rPr>
                <w:rFonts w:hint="eastAsia" w:ascii="宋体" w:hAnsi="宋体" w:cs="宋体"/>
                <w:b/>
                <w:bCs/>
                <w:color w:val="000000"/>
                <w:kern w:val="0"/>
                <w:sz w:val="21"/>
                <w:highlight w:val="none"/>
              </w:rPr>
              <w:t>序号</w:t>
            </w:r>
          </w:p>
        </w:tc>
        <w:tc>
          <w:tcPr>
            <w:tcW w:w="2869" w:type="dxa"/>
            <w:shd w:val="clear" w:color="auto" w:fill="FFFFFF"/>
            <w:vAlign w:val="center"/>
          </w:tcPr>
          <w:p w14:paraId="0FC15B19">
            <w:pPr>
              <w:adjustRightInd w:val="0"/>
              <w:spacing w:line="240" w:lineRule="auto"/>
              <w:ind w:firstLine="0" w:firstLineChars="0"/>
              <w:contextualSpacing/>
              <w:jc w:val="center"/>
              <w:textAlignment w:val="baseline"/>
              <w:rPr>
                <w:rFonts w:ascii="宋体" w:hAnsi="宋体" w:cs="宋体"/>
                <w:b/>
                <w:bCs/>
                <w:color w:val="000000"/>
                <w:kern w:val="0"/>
                <w:sz w:val="21"/>
                <w:highlight w:val="none"/>
              </w:rPr>
            </w:pPr>
            <w:r>
              <w:rPr>
                <w:rFonts w:hint="eastAsia" w:ascii="宋体" w:hAnsi="宋体" w:cs="宋体"/>
                <w:b/>
                <w:bCs/>
                <w:color w:val="000000"/>
                <w:kern w:val="0"/>
                <w:sz w:val="21"/>
                <w:highlight w:val="none"/>
              </w:rPr>
              <w:t>控制部位与工序</w:t>
            </w:r>
          </w:p>
        </w:tc>
        <w:tc>
          <w:tcPr>
            <w:tcW w:w="4783" w:type="dxa"/>
            <w:shd w:val="clear" w:color="auto" w:fill="FFFFFF"/>
            <w:vAlign w:val="center"/>
          </w:tcPr>
          <w:p w14:paraId="5E551195">
            <w:pPr>
              <w:adjustRightInd w:val="0"/>
              <w:spacing w:line="240" w:lineRule="auto"/>
              <w:ind w:firstLine="0" w:firstLineChars="0"/>
              <w:contextualSpacing/>
              <w:jc w:val="center"/>
              <w:textAlignment w:val="baseline"/>
              <w:rPr>
                <w:rFonts w:ascii="宋体" w:hAnsi="宋体" w:cs="宋体"/>
                <w:b/>
                <w:bCs/>
                <w:color w:val="000000"/>
                <w:kern w:val="0"/>
                <w:sz w:val="21"/>
                <w:highlight w:val="none"/>
              </w:rPr>
            </w:pPr>
            <w:r>
              <w:rPr>
                <w:rFonts w:hint="eastAsia" w:ascii="宋体" w:hAnsi="宋体" w:cs="宋体"/>
                <w:b/>
                <w:bCs/>
                <w:color w:val="000000"/>
                <w:kern w:val="0"/>
                <w:sz w:val="21"/>
                <w:highlight w:val="none"/>
              </w:rPr>
              <w:t>可能存在的危害</w:t>
            </w:r>
          </w:p>
        </w:tc>
      </w:tr>
      <w:tr w14:paraId="5D1C69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54" w:hRule="atLeast"/>
          <w:jc w:val="center"/>
        </w:trPr>
        <w:tc>
          <w:tcPr>
            <w:tcW w:w="678" w:type="dxa"/>
            <w:shd w:val="clear" w:color="auto" w:fill="FFFFFF"/>
            <w:vAlign w:val="center"/>
          </w:tcPr>
          <w:p w14:paraId="658A4237">
            <w:pPr>
              <w:spacing w:line="240" w:lineRule="auto"/>
              <w:ind w:firstLine="0" w:firstLineChars="0"/>
              <w:contextualSpacing/>
              <w:jc w:val="center"/>
              <w:textAlignment w:val="baseline"/>
              <w:rPr>
                <w:color w:val="000000"/>
                <w:kern w:val="0"/>
                <w:sz w:val="21"/>
                <w:highlight w:val="none"/>
              </w:rPr>
            </w:pPr>
            <w:r>
              <w:rPr>
                <w:color w:val="000000"/>
                <w:kern w:val="0"/>
                <w:sz w:val="21"/>
                <w:highlight w:val="none"/>
              </w:rPr>
              <w:t>1</w:t>
            </w:r>
          </w:p>
        </w:tc>
        <w:tc>
          <w:tcPr>
            <w:tcW w:w="2869" w:type="dxa"/>
            <w:shd w:val="clear" w:color="auto" w:fill="FFFFFF"/>
            <w:vAlign w:val="center"/>
          </w:tcPr>
          <w:p w14:paraId="07AE07CD">
            <w:pPr>
              <w:adjustRightInd w:val="0"/>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材料贮存、保管与运输</w:t>
            </w:r>
          </w:p>
        </w:tc>
        <w:tc>
          <w:tcPr>
            <w:tcW w:w="4783" w:type="dxa"/>
            <w:shd w:val="clear" w:color="auto" w:fill="FFFFFF"/>
            <w:vAlign w:val="center"/>
          </w:tcPr>
          <w:p w14:paraId="23FC8D9C">
            <w:pPr>
              <w:adjustRightInd w:val="0"/>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油料、粉料泄漏，造成水体、土壤污染。</w:t>
            </w:r>
          </w:p>
          <w:p w14:paraId="3F617F45">
            <w:pPr>
              <w:adjustRightInd w:val="0"/>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发生火灾事故，造成有毒有害气体泄漏及污染伤亡事故。</w:t>
            </w:r>
          </w:p>
        </w:tc>
      </w:tr>
      <w:tr w14:paraId="2D247A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54" w:hRule="atLeast"/>
          <w:jc w:val="center"/>
        </w:trPr>
        <w:tc>
          <w:tcPr>
            <w:tcW w:w="678" w:type="dxa"/>
            <w:shd w:val="clear" w:color="auto" w:fill="FFFFFF"/>
            <w:vAlign w:val="center"/>
          </w:tcPr>
          <w:p w14:paraId="0040F9C8">
            <w:pPr>
              <w:spacing w:line="240" w:lineRule="auto"/>
              <w:ind w:firstLine="0" w:firstLineChars="0"/>
              <w:contextualSpacing/>
              <w:jc w:val="center"/>
              <w:textAlignment w:val="baseline"/>
              <w:rPr>
                <w:color w:val="000000"/>
                <w:kern w:val="0"/>
                <w:sz w:val="21"/>
                <w:highlight w:val="none"/>
              </w:rPr>
            </w:pPr>
            <w:r>
              <w:rPr>
                <w:color w:val="000000"/>
                <w:kern w:val="0"/>
                <w:sz w:val="21"/>
                <w:highlight w:val="none"/>
              </w:rPr>
              <w:t>2</w:t>
            </w:r>
          </w:p>
        </w:tc>
        <w:tc>
          <w:tcPr>
            <w:tcW w:w="2869" w:type="dxa"/>
            <w:shd w:val="clear" w:color="auto" w:fill="FFFFFF"/>
            <w:vAlign w:val="center"/>
          </w:tcPr>
          <w:p w14:paraId="211113F5">
            <w:pPr>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材料半成品加工</w:t>
            </w:r>
          </w:p>
        </w:tc>
        <w:tc>
          <w:tcPr>
            <w:tcW w:w="4783" w:type="dxa"/>
            <w:shd w:val="clear" w:color="auto" w:fill="FFFFFF"/>
            <w:vAlign w:val="center"/>
          </w:tcPr>
          <w:p w14:paraId="38A7C10C">
            <w:pPr>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施工废料处理不当造成固体废弃物污染。</w:t>
            </w:r>
          </w:p>
        </w:tc>
      </w:tr>
      <w:tr w14:paraId="474E2F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shd w:val="clear" w:color="auto" w:fill="FFFFFF"/>
            <w:vAlign w:val="center"/>
          </w:tcPr>
          <w:p w14:paraId="043EC7E8">
            <w:pPr>
              <w:spacing w:line="240" w:lineRule="auto"/>
              <w:ind w:firstLine="0" w:firstLineChars="0"/>
              <w:contextualSpacing/>
              <w:jc w:val="center"/>
              <w:textAlignment w:val="baseline"/>
              <w:rPr>
                <w:color w:val="000000"/>
                <w:kern w:val="0"/>
                <w:sz w:val="21"/>
                <w:highlight w:val="none"/>
              </w:rPr>
            </w:pPr>
            <w:r>
              <w:rPr>
                <w:color w:val="000000"/>
                <w:kern w:val="0"/>
                <w:sz w:val="21"/>
                <w:highlight w:val="none"/>
              </w:rPr>
              <w:t>3</w:t>
            </w:r>
          </w:p>
        </w:tc>
        <w:tc>
          <w:tcPr>
            <w:tcW w:w="2869" w:type="dxa"/>
            <w:shd w:val="clear" w:color="auto" w:fill="FFFFFF"/>
            <w:vAlign w:val="center"/>
          </w:tcPr>
          <w:p w14:paraId="25639B93">
            <w:pPr>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设备运行</w:t>
            </w:r>
          </w:p>
        </w:tc>
        <w:tc>
          <w:tcPr>
            <w:tcW w:w="4783" w:type="dxa"/>
            <w:shd w:val="clear" w:color="auto" w:fill="FFFFFF"/>
            <w:vAlign w:val="center"/>
          </w:tcPr>
          <w:p w14:paraId="517CF9CD">
            <w:pPr>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设备加油、维护保养时油料泄漏造成水体、土壤污染。</w:t>
            </w:r>
          </w:p>
        </w:tc>
      </w:tr>
      <w:tr w14:paraId="6F0782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54" w:hRule="atLeast"/>
          <w:jc w:val="center"/>
        </w:trPr>
        <w:tc>
          <w:tcPr>
            <w:tcW w:w="678" w:type="dxa"/>
            <w:shd w:val="clear" w:color="auto" w:fill="FFFFFF"/>
            <w:vAlign w:val="center"/>
          </w:tcPr>
          <w:p w14:paraId="0CAC6A1D">
            <w:pPr>
              <w:spacing w:line="240" w:lineRule="auto"/>
              <w:ind w:firstLine="0" w:firstLineChars="0"/>
              <w:contextualSpacing/>
              <w:jc w:val="center"/>
              <w:textAlignment w:val="baseline"/>
              <w:rPr>
                <w:color w:val="000000"/>
                <w:kern w:val="0"/>
                <w:sz w:val="21"/>
                <w:highlight w:val="none"/>
              </w:rPr>
            </w:pPr>
            <w:r>
              <w:rPr>
                <w:color w:val="000000"/>
                <w:kern w:val="0"/>
                <w:sz w:val="21"/>
                <w:highlight w:val="none"/>
              </w:rPr>
              <w:t>4</w:t>
            </w:r>
          </w:p>
        </w:tc>
        <w:tc>
          <w:tcPr>
            <w:tcW w:w="2869" w:type="dxa"/>
            <w:shd w:val="clear" w:color="auto" w:fill="FFFFFF"/>
            <w:vAlign w:val="center"/>
          </w:tcPr>
          <w:p w14:paraId="69AF70B4">
            <w:pPr>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办公与生活</w:t>
            </w:r>
          </w:p>
        </w:tc>
        <w:tc>
          <w:tcPr>
            <w:tcW w:w="4783" w:type="dxa"/>
            <w:shd w:val="clear" w:color="auto" w:fill="FFFFFF"/>
            <w:vAlign w:val="center"/>
          </w:tcPr>
          <w:p w14:paraId="52738F7F">
            <w:pPr>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办公生活产生的固体废弃物处理不当造成水体、土壤污染。</w:t>
            </w:r>
          </w:p>
        </w:tc>
      </w:tr>
      <w:tr w14:paraId="7B4CB7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54" w:hRule="atLeast"/>
          <w:jc w:val="center"/>
        </w:trPr>
        <w:tc>
          <w:tcPr>
            <w:tcW w:w="678" w:type="dxa"/>
            <w:shd w:val="clear" w:color="auto" w:fill="FFFFFF"/>
            <w:vAlign w:val="center"/>
          </w:tcPr>
          <w:p w14:paraId="188EB504">
            <w:pPr>
              <w:spacing w:line="240" w:lineRule="auto"/>
              <w:ind w:firstLine="0" w:firstLineChars="0"/>
              <w:contextualSpacing/>
              <w:jc w:val="center"/>
              <w:textAlignment w:val="baseline"/>
              <w:rPr>
                <w:color w:val="000000"/>
                <w:kern w:val="0"/>
                <w:sz w:val="21"/>
                <w:highlight w:val="none"/>
              </w:rPr>
            </w:pPr>
            <w:r>
              <w:rPr>
                <w:color w:val="000000"/>
                <w:kern w:val="0"/>
                <w:sz w:val="21"/>
                <w:highlight w:val="none"/>
              </w:rPr>
              <w:t>5</w:t>
            </w:r>
          </w:p>
        </w:tc>
        <w:tc>
          <w:tcPr>
            <w:tcW w:w="2869" w:type="dxa"/>
            <w:shd w:val="clear" w:color="auto" w:fill="FFFFFF"/>
            <w:vAlign w:val="center"/>
          </w:tcPr>
          <w:p w14:paraId="0ABF49B4">
            <w:pPr>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场地三通一平</w:t>
            </w:r>
          </w:p>
          <w:p w14:paraId="2BCA49A1">
            <w:pPr>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便道修筑与基坑开挖</w:t>
            </w:r>
          </w:p>
        </w:tc>
        <w:tc>
          <w:tcPr>
            <w:tcW w:w="4783" w:type="dxa"/>
            <w:shd w:val="clear" w:color="auto" w:fill="FFFFFF"/>
            <w:vAlign w:val="center"/>
          </w:tcPr>
          <w:p w14:paraId="17455F72">
            <w:pPr>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施工弃土石方在运输中泄漏或未倾倒到指定位置，造成农田、水渠固体废弃物污染。</w:t>
            </w:r>
          </w:p>
          <w:p w14:paraId="74613EBB">
            <w:pPr>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施工前未对地下管线详细勘测，避免开挖时管线泄漏，造成环境污染和资源浪费。</w:t>
            </w:r>
          </w:p>
        </w:tc>
      </w:tr>
      <w:tr w14:paraId="07D543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54" w:hRule="atLeast"/>
          <w:jc w:val="center"/>
        </w:trPr>
        <w:tc>
          <w:tcPr>
            <w:tcW w:w="678" w:type="dxa"/>
            <w:shd w:val="clear" w:color="auto" w:fill="FFFFFF"/>
            <w:vAlign w:val="center"/>
          </w:tcPr>
          <w:p w14:paraId="25BA8174">
            <w:pPr>
              <w:spacing w:line="240" w:lineRule="auto"/>
              <w:ind w:firstLine="0" w:firstLineChars="0"/>
              <w:contextualSpacing/>
              <w:jc w:val="center"/>
              <w:textAlignment w:val="baseline"/>
              <w:rPr>
                <w:color w:val="000000"/>
                <w:kern w:val="0"/>
                <w:sz w:val="21"/>
                <w:highlight w:val="none"/>
              </w:rPr>
            </w:pPr>
            <w:r>
              <w:rPr>
                <w:color w:val="000000"/>
                <w:kern w:val="0"/>
                <w:sz w:val="21"/>
                <w:highlight w:val="none"/>
              </w:rPr>
              <w:t>6</w:t>
            </w:r>
          </w:p>
        </w:tc>
        <w:tc>
          <w:tcPr>
            <w:tcW w:w="2869" w:type="dxa"/>
            <w:shd w:val="clear" w:color="auto" w:fill="FFFFFF"/>
            <w:vAlign w:val="center"/>
          </w:tcPr>
          <w:p w14:paraId="0C6BEBE6">
            <w:pPr>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混凝土生产、运输和浇筑施工</w:t>
            </w:r>
          </w:p>
        </w:tc>
        <w:tc>
          <w:tcPr>
            <w:tcW w:w="4783" w:type="dxa"/>
            <w:shd w:val="clear" w:color="auto" w:fill="FFFFFF"/>
            <w:vAlign w:val="center"/>
          </w:tcPr>
          <w:p w14:paraId="3C5FE28F">
            <w:pPr>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废弃混凝土没有倾倒在指定位置，造成土体废弃物污染。</w:t>
            </w:r>
          </w:p>
        </w:tc>
      </w:tr>
      <w:tr w14:paraId="71A546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shd w:val="clear" w:color="auto" w:fill="FFFFFF"/>
            <w:vAlign w:val="center"/>
          </w:tcPr>
          <w:p w14:paraId="0ACE34E6">
            <w:pPr>
              <w:spacing w:line="240" w:lineRule="auto"/>
              <w:ind w:firstLine="0" w:firstLineChars="0"/>
              <w:contextualSpacing/>
              <w:jc w:val="center"/>
              <w:textAlignment w:val="baseline"/>
              <w:rPr>
                <w:color w:val="000000"/>
                <w:kern w:val="0"/>
                <w:sz w:val="21"/>
                <w:highlight w:val="none"/>
              </w:rPr>
            </w:pPr>
            <w:r>
              <w:rPr>
                <w:color w:val="000000"/>
                <w:kern w:val="0"/>
                <w:sz w:val="21"/>
                <w:highlight w:val="none"/>
              </w:rPr>
              <w:t>7</w:t>
            </w:r>
          </w:p>
        </w:tc>
        <w:tc>
          <w:tcPr>
            <w:tcW w:w="2869" w:type="dxa"/>
            <w:shd w:val="clear" w:color="auto" w:fill="FFFFFF"/>
            <w:vAlign w:val="center"/>
          </w:tcPr>
          <w:p w14:paraId="437A6057">
            <w:pPr>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施工临时用地、弃渣场</w:t>
            </w:r>
          </w:p>
        </w:tc>
        <w:tc>
          <w:tcPr>
            <w:tcW w:w="4783" w:type="dxa"/>
            <w:shd w:val="clear" w:color="auto" w:fill="FFFFFF"/>
            <w:vAlign w:val="center"/>
          </w:tcPr>
          <w:p w14:paraId="1C336761">
            <w:pPr>
              <w:spacing w:line="240" w:lineRule="auto"/>
              <w:ind w:firstLine="0" w:firstLineChars="0"/>
              <w:contextualSpacing/>
              <w:jc w:val="center"/>
              <w:textAlignment w:val="baseline"/>
              <w:rPr>
                <w:rFonts w:ascii="宋体" w:hAnsi="宋体" w:cs="宋体"/>
                <w:color w:val="000000"/>
                <w:kern w:val="0"/>
                <w:sz w:val="21"/>
                <w:highlight w:val="none"/>
              </w:rPr>
            </w:pPr>
            <w:r>
              <w:rPr>
                <w:rFonts w:hint="eastAsia" w:ascii="宋体" w:hAnsi="宋体" w:cs="宋体"/>
                <w:color w:val="000000"/>
                <w:kern w:val="0"/>
                <w:sz w:val="21"/>
                <w:highlight w:val="none"/>
              </w:rPr>
              <w:t>造成用地水土流失。</w:t>
            </w:r>
          </w:p>
        </w:tc>
      </w:tr>
    </w:tbl>
    <w:p w14:paraId="54C60E8E">
      <w:pPr>
        <w:pStyle w:val="5"/>
        <w:bidi w:val="0"/>
        <w:ind w:left="0" w:leftChars="0" w:firstLine="0" w:firstLineChars="0"/>
        <w:rPr>
          <w:highlight w:val="none"/>
        </w:rPr>
      </w:pPr>
      <w:bookmarkStart w:id="191" w:name="_Toc109715011"/>
      <w:bookmarkStart w:id="192" w:name="_Toc48836962"/>
      <w:r>
        <w:rPr>
          <w:rFonts w:hint="eastAsia"/>
          <w:highlight w:val="none"/>
        </w:rPr>
        <w:t>固体废弃物污染防治措施</w:t>
      </w:r>
      <w:bookmarkEnd w:id="191"/>
      <w:bookmarkEnd w:id="192"/>
    </w:p>
    <w:p w14:paraId="1DD1B850">
      <w:pPr>
        <w:ind w:firstLine="480"/>
        <w:rPr>
          <w:color w:val="000000"/>
          <w:highlight w:val="none"/>
        </w:rPr>
      </w:pPr>
      <w:bookmarkStart w:id="193" w:name="_Toc48836963"/>
      <w:bookmarkStart w:id="194" w:name="_Toc11393790"/>
      <w:r>
        <w:rPr>
          <w:rFonts w:hint="eastAsia"/>
          <w:color w:val="000000"/>
          <w:highlight w:val="none"/>
        </w:rPr>
        <w:t>（1）施工中产生的废料、固体废物不得堆放在河旁或随意弃置，及时收集清运，防止雨水冲刷进入水体。</w:t>
      </w:r>
    </w:p>
    <w:p w14:paraId="29691D9F">
      <w:pPr>
        <w:ind w:firstLine="480"/>
        <w:rPr>
          <w:color w:val="000000"/>
          <w:highlight w:val="none"/>
        </w:rPr>
      </w:pPr>
      <w:r>
        <w:rPr>
          <w:rFonts w:hint="eastAsia"/>
          <w:color w:val="000000"/>
          <w:highlight w:val="none"/>
        </w:rPr>
        <w:t>（</w:t>
      </w:r>
      <w:r>
        <w:rPr>
          <w:color w:val="000000"/>
          <w:highlight w:val="none"/>
        </w:rPr>
        <w:t>2</w:t>
      </w:r>
      <w:r>
        <w:rPr>
          <w:rFonts w:hint="eastAsia"/>
          <w:color w:val="000000"/>
          <w:highlight w:val="none"/>
        </w:rPr>
        <w:t>）凿毛产生的废渣和废弃的混凝土，采用运输车运至指定地点弃置。</w:t>
      </w:r>
    </w:p>
    <w:p w14:paraId="0FA7D815">
      <w:pPr>
        <w:ind w:firstLine="480"/>
        <w:rPr>
          <w:color w:val="000000"/>
          <w:highlight w:val="none"/>
        </w:rPr>
      </w:pPr>
      <w:r>
        <w:rPr>
          <w:rFonts w:hint="eastAsia"/>
          <w:color w:val="000000"/>
          <w:highlight w:val="none"/>
        </w:rPr>
        <w:t>（</w:t>
      </w:r>
      <w:r>
        <w:rPr>
          <w:color w:val="000000"/>
          <w:highlight w:val="none"/>
        </w:rPr>
        <w:t>3</w:t>
      </w:r>
      <w:r>
        <w:rPr>
          <w:rFonts w:hint="eastAsia"/>
          <w:color w:val="000000"/>
          <w:highlight w:val="none"/>
        </w:rPr>
        <w:t>）施工现场设置垃圾桶收集各种垃圾，集中运至指定回收点进行处理。</w:t>
      </w:r>
    </w:p>
    <w:p w14:paraId="16A59F1C">
      <w:pPr>
        <w:ind w:firstLine="480"/>
        <w:rPr>
          <w:color w:val="000000"/>
          <w:highlight w:val="none"/>
        </w:rPr>
      </w:pPr>
      <w:r>
        <w:rPr>
          <w:rFonts w:hint="eastAsia"/>
          <w:color w:val="000000"/>
          <w:highlight w:val="none"/>
        </w:rPr>
        <w:t>（</w:t>
      </w:r>
      <w:r>
        <w:rPr>
          <w:color w:val="000000"/>
          <w:highlight w:val="none"/>
        </w:rPr>
        <w:t>4</w:t>
      </w:r>
      <w:r>
        <w:rPr>
          <w:rFonts w:hint="eastAsia"/>
          <w:color w:val="000000"/>
          <w:highlight w:val="none"/>
        </w:rPr>
        <w:t>）施工现场运送各种材料、预拌混凝土、垃圾等应采取遮盖或防护措施，防止溢撒。</w:t>
      </w:r>
    </w:p>
    <w:p w14:paraId="6675CD52">
      <w:pPr>
        <w:ind w:firstLine="480"/>
        <w:rPr>
          <w:color w:val="000000"/>
          <w:highlight w:val="none"/>
        </w:rPr>
      </w:pPr>
      <w:r>
        <w:rPr>
          <w:rFonts w:hint="eastAsia"/>
          <w:color w:val="000000"/>
          <w:highlight w:val="none"/>
        </w:rPr>
        <w:t>（</w:t>
      </w:r>
      <w:r>
        <w:rPr>
          <w:color w:val="000000"/>
          <w:highlight w:val="none"/>
        </w:rPr>
        <w:t>5</w:t>
      </w:r>
      <w:r>
        <w:rPr>
          <w:rFonts w:hint="eastAsia"/>
          <w:color w:val="000000"/>
          <w:highlight w:val="none"/>
        </w:rPr>
        <w:t>）润泵用的砂浆应进行收集，集中运至指定地点处理。</w:t>
      </w:r>
    </w:p>
    <w:p w14:paraId="7DF4A8E9">
      <w:pPr>
        <w:pStyle w:val="5"/>
        <w:bidi w:val="0"/>
        <w:ind w:left="0" w:leftChars="0" w:firstLine="0" w:firstLineChars="0"/>
        <w:rPr>
          <w:highlight w:val="none"/>
        </w:rPr>
      </w:pPr>
      <w:bookmarkStart w:id="195" w:name="_Toc58781344"/>
      <w:bookmarkStart w:id="196" w:name="_Toc6407"/>
      <w:bookmarkStart w:id="197" w:name="_Toc109715012"/>
      <w:r>
        <w:rPr>
          <w:rFonts w:hint="eastAsia"/>
          <w:highlight w:val="none"/>
        </w:rPr>
        <w:t>水污染防治措施</w:t>
      </w:r>
      <w:bookmarkEnd w:id="195"/>
      <w:bookmarkEnd w:id="196"/>
      <w:bookmarkEnd w:id="197"/>
    </w:p>
    <w:p w14:paraId="682A5BB8">
      <w:pPr>
        <w:ind w:firstLine="480"/>
        <w:rPr>
          <w:color w:val="000000"/>
          <w:highlight w:val="none"/>
        </w:rPr>
      </w:pPr>
      <w:r>
        <w:rPr>
          <w:rFonts w:hint="eastAsia"/>
          <w:color w:val="000000"/>
          <w:highlight w:val="none"/>
        </w:rPr>
        <w:t>（1）压浆过程中为防止浆液喷洒，在出浆口位置设置回收桶，对多余浆液进行回收，防止污染水库。</w:t>
      </w:r>
    </w:p>
    <w:p w14:paraId="4E83DEB2">
      <w:pPr>
        <w:ind w:firstLine="480"/>
        <w:rPr>
          <w:color w:val="000000"/>
          <w:highlight w:val="none"/>
        </w:rPr>
      </w:pPr>
      <w:r>
        <w:rPr>
          <w:rFonts w:hint="eastAsia"/>
          <w:color w:val="000000"/>
          <w:highlight w:val="none"/>
        </w:rPr>
        <w:t>（2）清洗泵管的水、养护水、冷却水管的循环水应进行收集，集中运至指定地点处理。</w:t>
      </w:r>
    </w:p>
    <w:p w14:paraId="7741E8C7">
      <w:pPr>
        <w:ind w:firstLine="480"/>
        <w:rPr>
          <w:color w:val="000000"/>
          <w:highlight w:val="none"/>
        </w:rPr>
      </w:pPr>
      <w:r>
        <w:rPr>
          <w:rFonts w:hint="eastAsia"/>
          <w:color w:val="000000"/>
          <w:highlight w:val="none"/>
        </w:rPr>
        <w:t>（3）施工机械的废油料要专门回收，严禁直接排放。</w:t>
      </w:r>
    </w:p>
    <w:p w14:paraId="1139A760">
      <w:pPr>
        <w:ind w:firstLine="480"/>
        <w:rPr>
          <w:highlight w:val="none"/>
        </w:rPr>
      </w:pPr>
      <w:r>
        <w:rPr>
          <w:highlight w:val="none"/>
        </w:rPr>
        <w:t>（4）各类施工钢材需要外露时，均要涂刷油漆，以防锈蚀后雨水将铁锈冲刷至</w:t>
      </w:r>
      <w:r>
        <w:rPr>
          <w:rFonts w:hint="eastAsia"/>
          <w:highlight w:val="none"/>
        </w:rPr>
        <w:t>水库</w:t>
      </w:r>
      <w:r>
        <w:rPr>
          <w:highlight w:val="none"/>
        </w:rPr>
        <w:t>中。</w:t>
      </w:r>
    </w:p>
    <w:p w14:paraId="4F95D2C7">
      <w:pPr>
        <w:pStyle w:val="5"/>
        <w:bidi w:val="0"/>
        <w:ind w:left="0" w:leftChars="0" w:firstLine="0" w:firstLineChars="0"/>
        <w:rPr>
          <w:highlight w:val="none"/>
        </w:rPr>
      </w:pPr>
      <w:bookmarkStart w:id="198" w:name="_Toc109715013"/>
      <w:r>
        <w:rPr>
          <w:rFonts w:hint="eastAsia"/>
          <w:highlight w:val="none"/>
        </w:rPr>
        <w:t>噪声污染防治措施</w:t>
      </w:r>
      <w:bookmarkEnd w:id="193"/>
      <w:bookmarkEnd w:id="194"/>
      <w:bookmarkEnd w:id="198"/>
    </w:p>
    <w:p w14:paraId="0C6F354C">
      <w:pPr>
        <w:numPr>
          <w:ilvl w:val="0"/>
          <w:numId w:val="50"/>
        </w:numPr>
        <w:ind w:left="0" w:firstLine="480"/>
        <w:jc w:val="left"/>
        <w:rPr>
          <w:color w:val="000000"/>
          <w:highlight w:val="none"/>
        </w:rPr>
      </w:pPr>
      <w:bookmarkStart w:id="199" w:name="_Toc493422935"/>
      <w:bookmarkStart w:id="200" w:name="_Toc48836964"/>
      <w:r>
        <w:rPr>
          <w:rFonts w:hint="eastAsia"/>
          <w:color w:val="000000"/>
          <w:highlight w:val="none"/>
        </w:rPr>
        <w:t>根据国家和地方有关环保法规，严格控制施工期噪声排放量，施工场界噪声排放量按照《建筑施工场界环境噪声排放标准》（GB12523-2011）的相关规定控制。</w:t>
      </w:r>
    </w:p>
    <w:p w14:paraId="49143F77">
      <w:pPr>
        <w:numPr>
          <w:ilvl w:val="0"/>
          <w:numId w:val="50"/>
        </w:numPr>
        <w:ind w:left="0" w:firstLine="480"/>
        <w:jc w:val="left"/>
        <w:rPr>
          <w:color w:val="000000"/>
          <w:highlight w:val="none"/>
        </w:rPr>
      </w:pPr>
      <w:r>
        <w:rPr>
          <w:rFonts w:hint="eastAsia"/>
          <w:highlight w:val="none"/>
        </w:rPr>
        <w:t>边跨混凝土梁</w:t>
      </w:r>
      <w:r>
        <w:rPr>
          <w:color w:val="000000"/>
          <w:highlight w:val="none"/>
        </w:rPr>
        <w:t>施工中注意选用效率高、噪声低的机械设备，并注意维修养护和正确使用，使之保持最佳工作状态和最低声级水平，可视情况给强噪声设备装隔声罩。</w:t>
      </w:r>
    </w:p>
    <w:p w14:paraId="242DB255">
      <w:pPr>
        <w:numPr>
          <w:ilvl w:val="0"/>
          <w:numId w:val="50"/>
        </w:numPr>
        <w:ind w:left="0" w:firstLine="480"/>
        <w:jc w:val="left"/>
        <w:rPr>
          <w:color w:val="000000"/>
          <w:highlight w:val="none"/>
        </w:rPr>
      </w:pPr>
      <w:r>
        <w:rPr>
          <w:rFonts w:hint="eastAsia"/>
          <w:color w:val="000000"/>
          <w:highlight w:val="none"/>
        </w:rPr>
        <w:t>施工期间，注意控制施工车辆鸣笛，经过居民区的重型运输或施工机械，注意限速。</w:t>
      </w:r>
    </w:p>
    <w:p w14:paraId="4E4E4FE0">
      <w:pPr>
        <w:numPr>
          <w:ilvl w:val="0"/>
          <w:numId w:val="50"/>
        </w:numPr>
        <w:ind w:left="0" w:firstLine="480"/>
        <w:jc w:val="left"/>
        <w:rPr>
          <w:color w:val="000000"/>
          <w:highlight w:val="none"/>
        </w:rPr>
      </w:pPr>
      <w:r>
        <w:rPr>
          <w:rFonts w:hint="eastAsia"/>
          <w:color w:val="000000"/>
          <w:highlight w:val="none"/>
        </w:rPr>
        <w:t>合理安排施工活动，减少施工噪声影响时间，避免高噪声施工机械在同一区域内使用。</w:t>
      </w:r>
    </w:p>
    <w:p w14:paraId="0C443C34">
      <w:pPr>
        <w:pStyle w:val="5"/>
        <w:bidi w:val="0"/>
        <w:ind w:left="0" w:leftChars="0" w:firstLine="0" w:firstLineChars="0"/>
        <w:rPr>
          <w:highlight w:val="none"/>
        </w:rPr>
      </w:pPr>
      <w:bookmarkStart w:id="201" w:name="_Toc109715014"/>
      <w:r>
        <w:rPr>
          <w:rFonts w:hint="eastAsia"/>
          <w:highlight w:val="none"/>
        </w:rPr>
        <w:t>大气污染防治</w:t>
      </w:r>
      <w:bookmarkEnd w:id="199"/>
      <w:r>
        <w:rPr>
          <w:rFonts w:hint="eastAsia"/>
          <w:highlight w:val="none"/>
        </w:rPr>
        <w:t>措施</w:t>
      </w:r>
      <w:bookmarkEnd w:id="200"/>
      <w:bookmarkEnd w:id="201"/>
    </w:p>
    <w:p w14:paraId="650AC571">
      <w:pPr>
        <w:ind w:firstLine="480"/>
        <w:rPr>
          <w:highlight w:val="none"/>
        </w:rPr>
      </w:pPr>
      <w:r>
        <w:rPr>
          <w:rFonts w:hint="eastAsia"/>
          <w:highlight w:val="none"/>
        </w:rPr>
        <w:t>（1）在设备选型时选择低污染设备，机动车辆或机械设备的废气排放要符合国家和地方相关排放标准方能投入使用。</w:t>
      </w:r>
    </w:p>
    <w:p w14:paraId="5FE21B4C">
      <w:pPr>
        <w:ind w:firstLine="480"/>
        <w:rPr>
          <w:highlight w:val="none"/>
        </w:rPr>
      </w:pPr>
      <w:r>
        <w:rPr>
          <w:rFonts w:hint="eastAsia"/>
          <w:highlight w:val="none"/>
        </w:rPr>
        <w:t>（2）在运输物料时用蓬布覆盖严密，并装量适中，不得超限运输；散装材料采用密闭运输、存放。</w:t>
      </w:r>
    </w:p>
    <w:p w14:paraId="2E4324AB">
      <w:pPr>
        <w:ind w:firstLine="480"/>
        <w:rPr>
          <w:highlight w:val="none"/>
        </w:rPr>
      </w:pPr>
      <w:r>
        <w:rPr>
          <w:rFonts w:hint="eastAsia"/>
          <w:highlight w:val="none"/>
        </w:rPr>
        <w:t>（3）配备专用洒水车，对施工现场和运输道路经常洒水湿润，在搅拌站车辆出入口设置清洗池，对车辆进行清洗，减少扬尘。</w:t>
      </w:r>
    </w:p>
    <w:p w14:paraId="7B79D051">
      <w:pPr>
        <w:ind w:firstLine="480"/>
        <w:rPr>
          <w:highlight w:val="none"/>
        </w:rPr>
      </w:pPr>
      <w:r>
        <w:rPr>
          <w:rFonts w:hint="eastAsia"/>
          <w:highlight w:val="none"/>
        </w:rPr>
        <w:t>（4）混凝土搅拌站定期检查密封系统的性能。</w:t>
      </w:r>
    </w:p>
    <w:p w14:paraId="6AA5F65D">
      <w:pPr>
        <w:ind w:firstLine="480"/>
        <w:rPr>
          <w:highlight w:val="none"/>
        </w:rPr>
      </w:pPr>
      <w:r>
        <w:rPr>
          <w:rFonts w:hint="eastAsia"/>
          <w:highlight w:val="none"/>
        </w:rPr>
        <w:t>（5）不得现场焚烧废弃塑料波纹管、塑料袋，应收集起来，统一进行回收处理。</w:t>
      </w:r>
    </w:p>
    <w:p w14:paraId="6A7A2735">
      <w:pPr>
        <w:pStyle w:val="5"/>
        <w:bidi w:val="0"/>
        <w:ind w:left="0" w:leftChars="0" w:firstLine="0" w:firstLineChars="0"/>
        <w:rPr>
          <w:highlight w:val="none"/>
        </w:rPr>
      </w:pPr>
      <w:bookmarkStart w:id="202" w:name="_Toc48836965"/>
      <w:bookmarkStart w:id="203" w:name="_Toc109715015"/>
      <w:r>
        <w:rPr>
          <w:rFonts w:hint="eastAsia"/>
          <w:highlight w:val="none"/>
        </w:rPr>
        <w:t>节能减排措施</w:t>
      </w:r>
      <w:bookmarkEnd w:id="202"/>
      <w:bookmarkEnd w:id="203"/>
    </w:p>
    <w:p w14:paraId="1274D6D2">
      <w:pPr>
        <w:ind w:firstLine="480"/>
        <w:rPr>
          <w:highlight w:val="none"/>
        </w:rPr>
      </w:pPr>
      <w:r>
        <w:rPr>
          <w:rFonts w:hint="eastAsia"/>
          <w:highlight w:val="none"/>
        </w:rPr>
        <w:t>（1）优先使用国家、行业推荐的节能、高效、环保的施工设备和机具。</w:t>
      </w:r>
    </w:p>
    <w:p w14:paraId="3B0E1590">
      <w:pPr>
        <w:ind w:firstLine="480"/>
        <w:rPr>
          <w:highlight w:val="none"/>
        </w:rPr>
      </w:pPr>
      <w:r>
        <w:rPr>
          <w:rFonts w:hint="eastAsia"/>
          <w:highlight w:val="none"/>
        </w:rPr>
        <w:t>（2）节约用水、用电，施工用水优先采用天然水，施工用电优先选择接入电网。</w:t>
      </w:r>
    </w:p>
    <w:p w14:paraId="48F299C3">
      <w:pPr>
        <w:ind w:firstLine="480"/>
        <w:rPr>
          <w:highlight w:val="none"/>
        </w:rPr>
      </w:pPr>
      <w:r>
        <w:rPr>
          <w:rFonts w:hint="eastAsia"/>
          <w:highlight w:val="none"/>
        </w:rPr>
        <w:t>（3）建立施工机械设备管理制度，开展用油计量，完善设备档案，及时做好维修保养工作，使机械设备保持低耗、高效的状态。</w:t>
      </w:r>
    </w:p>
    <w:p w14:paraId="366FDBC2">
      <w:pPr>
        <w:ind w:firstLine="480"/>
        <w:rPr>
          <w:highlight w:val="none"/>
        </w:rPr>
      </w:pPr>
      <w:r>
        <w:rPr>
          <w:rFonts w:hint="eastAsia"/>
          <w:highlight w:val="none"/>
        </w:rPr>
        <w:t>（4）合理安排工序，提高各种机械的使用率和满载率，降低设备的单位耗能。</w:t>
      </w:r>
    </w:p>
    <w:p w14:paraId="5B6D1CCD">
      <w:pPr>
        <w:pStyle w:val="4"/>
        <w:bidi w:val="0"/>
        <w:ind w:left="0" w:leftChars="0" w:firstLine="0" w:firstLineChars="0"/>
        <w:rPr>
          <w:highlight w:val="none"/>
        </w:rPr>
      </w:pPr>
      <w:bookmarkStart w:id="204" w:name="_Toc31493"/>
      <w:bookmarkStart w:id="205" w:name="_Toc164179622"/>
      <w:bookmarkStart w:id="206" w:name="_Toc5711"/>
      <w:bookmarkStart w:id="207" w:name="_Toc48836966"/>
      <w:bookmarkStart w:id="208" w:name="_Toc109715016"/>
      <w:bookmarkStart w:id="209" w:name="_Toc13583"/>
      <w:r>
        <w:rPr>
          <w:highlight w:val="none"/>
        </w:rPr>
        <w:t>文明施工</w:t>
      </w:r>
      <w:r>
        <w:rPr>
          <w:rFonts w:hint="eastAsia"/>
          <w:highlight w:val="none"/>
        </w:rPr>
        <w:t>保证措施</w:t>
      </w:r>
      <w:bookmarkEnd w:id="204"/>
      <w:bookmarkEnd w:id="205"/>
      <w:bookmarkEnd w:id="206"/>
      <w:bookmarkEnd w:id="207"/>
      <w:bookmarkEnd w:id="208"/>
      <w:bookmarkEnd w:id="209"/>
    </w:p>
    <w:p w14:paraId="05D6A975">
      <w:pPr>
        <w:ind w:firstLine="480"/>
        <w:rPr>
          <w:highlight w:val="none"/>
        </w:rPr>
      </w:pPr>
      <w:r>
        <w:rPr>
          <w:rFonts w:hint="eastAsia"/>
          <w:highlight w:val="none"/>
        </w:rPr>
        <w:t>分析项目文明施工中可能出现的不利因素，见</w:t>
      </w:r>
      <w:r>
        <w:rPr>
          <w:b/>
          <w:bCs/>
          <w:highlight w:val="none"/>
        </w:rPr>
        <w:fldChar w:fldCharType="begin"/>
      </w:r>
      <w:r>
        <w:rPr>
          <w:b/>
          <w:bCs/>
          <w:highlight w:val="none"/>
        </w:rPr>
        <w:instrText xml:space="preserve"> </w:instrText>
      </w:r>
      <w:r>
        <w:rPr>
          <w:rFonts w:hint="eastAsia"/>
          <w:b/>
          <w:bCs/>
          <w:highlight w:val="none"/>
        </w:rPr>
        <w:instrText xml:space="preserve">REF _Ref141694215 \h</w:instrText>
      </w:r>
      <w:r>
        <w:rPr>
          <w:b/>
          <w:bCs/>
          <w:highlight w:val="none"/>
        </w:rPr>
        <w:instrText xml:space="preserve">  \* MERGEFORMAT </w:instrText>
      </w:r>
      <w:r>
        <w:rPr>
          <w:b/>
          <w:bCs/>
          <w:highlight w:val="none"/>
        </w:rPr>
        <w:fldChar w:fldCharType="separate"/>
      </w:r>
      <w:r>
        <w:rPr>
          <w:rFonts w:hint="eastAsia"/>
          <w:b/>
          <w:bCs/>
          <w:highlight w:val="none"/>
        </w:rPr>
        <w:t>表</w:t>
      </w:r>
      <w:r>
        <w:rPr>
          <w:rFonts w:hint="eastAsia"/>
          <w:b/>
          <w:bCs/>
          <w:highlight w:val="none"/>
        </w:rPr>
        <w:fldChar w:fldCharType="begin"/>
      </w:r>
      <w:r>
        <w:rPr>
          <w:b/>
          <w:bCs/>
          <w:highlight w:val="none"/>
        </w:rPr>
        <w:instrText xml:space="preserve"> </w:instrText>
      </w:r>
      <w:r>
        <w:rPr>
          <w:rFonts w:hint="eastAsia"/>
          <w:b/>
          <w:bCs/>
          <w:highlight w:val="none"/>
        </w:rPr>
        <w:instrText xml:space="preserve">STYLEREF</w:instrText>
      </w:r>
      <w:r>
        <w:rPr>
          <w:rFonts w:hint="eastAsia"/>
          <w:highlight w:val="none"/>
        </w:rPr>
        <w:instrText xml:space="preserve"> 2 \s</w:instrText>
      </w:r>
      <w:r>
        <w:rPr>
          <w:highlight w:val="none"/>
        </w:rPr>
        <w:instrText xml:space="preserve"> </w:instrText>
      </w:r>
      <w:r>
        <w:rPr>
          <w:rFonts w:hint="eastAsia"/>
          <w:highlight w:val="none"/>
        </w:rPr>
        <w:fldChar w:fldCharType="separate"/>
      </w:r>
      <w:r>
        <w:rPr>
          <w:rFonts w:hint="eastAsia"/>
          <w:highlight w:val="none"/>
        </w:rPr>
        <w:t>10.4</w:t>
      </w:r>
      <w:r>
        <w:rPr>
          <w:rFonts w:hint="eastAsia"/>
          <w:highlight w:val="none"/>
        </w:rPr>
        <w:fldChar w:fldCharType="end"/>
      </w:r>
      <w:r>
        <w:rPr>
          <w:rFonts w:hint="eastAsia"/>
          <w:highlight w:val="none"/>
        </w:rPr>
        <w:noBreakHyphen/>
      </w:r>
      <w:r>
        <w:rPr>
          <w:rFonts w:hint="eastAsia"/>
          <w:highlight w:val="none"/>
        </w:rPr>
        <w:t>1</w:t>
      </w:r>
      <w:r>
        <w:rPr>
          <w:b/>
          <w:bCs/>
          <w:highlight w:val="none"/>
        </w:rPr>
        <w:fldChar w:fldCharType="end"/>
      </w:r>
      <w:r>
        <w:rPr>
          <w:rFonts w:hint="eastAsia"/>
          <w:highlight w:val="none"/>
        </w:rPr>
        <w:t>。从施工人员、施工物资、设备、驻地、施工过程等角度出发做好文明施工措施落实。</w:t>
      </w:r>
    </w:p>
    <w:p w14:paraId="69F67D00">
      <w:pPr>
        <w:pStyle w:val="18"/>
        <w:adjustRightInd w:val="0"/>
        <w:rPr>
          <w:highlight w:val="none"/>
        </w:rPr>
      </w:pPr>
      <w:bookmarkStart w:id="210" w:name="_Ref141694215"/>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2 \s</w:instrText>
      </w:r>
      <w:r>
        <w:rPr>
          <w:highlight w:val="none"/>
        </w:rPr>
        <w:instrText xml:space="preserve"> </w:instrText>
      </w:r>
      <w:r>
        <w:rPr>
          <w:highlight w:val="none"/>
        </w:rPr>
        <w:fldChar w:fldCharType="separate"/>
      </w:r>
      <w:r>
        <w:rPr>
          <w:rFonts w:hint="eastAsia"/>
          <w:highlight w:val="none"/>
        </w:rPr>
        <w:t>10.4</w:t>
      </w:r>
      <w:r>
        <w:rPr>
          <w:highlight w:val="none"/>
        </w:rPr>
        <w:fldChar w:fldCharType="end"/>
      </w:r>
      <w:r>
        <w:rPr>
          <w:highlight w:val="none"/>
        </w:rPr>
        <w:noBreakHyphen/>
      </w:r>
      <w:r>
        <w:rPr>
          <w:highlight w:val="none"/>
        </w:rPr>
        <w:fldChar w:fldCharType="begin"/>
      </w:r>
      <w:r>
        <w:rPr>
          <w:highlight w:val="none"/>
        </w:rPr>
        <w:instrText xml:space="preserve"> </w:instrText>
      </w:r>
      <w:r>
        <w:rPr>
          <w:rFonts w:hint="eastAsia"/>
          <w:highlight w:val="none"/>
        </w:rPr>
        <w:instrText xml:space="preserve">SEQ 表 \* ARABIC \s 2</w:instrText>
      </w:r>
      <w:r>
        <w:rPr>
          <w:highlight w:val="none"/>
        </w:rPr>
        <w:instrText xml:space="preserve"> </w:instrText>
      </w:r>
      <w:r>
        <w:rPr>
          <w:highlight w:val="none"/>
        </w:rPr>
        <w:fldChar w:fldCharType="separate"/>
      </w:r>
      <w:r>
        <w:rPr>
          <w:rFonts w:hint="eastAsia"/>
          <w:highlight w:val="none"/>
        </w:rPr>
        <w:t>1</w:t>
      </w:r>
      <w:r>
        <w:rPr>
          <w:highlight w:val="none"/>
        </w:rPr>
        <w:fldChar w:fldCharType="end"/>
      </w:r>
      <w:bookmarkEnd w:id="210"/>
      <w:r>
        <w:rPr>
          <w:rFonts w:hint="eastAsia"/>
          <w:highlight w:val="none"/>
        </w:rPr>
        <w:t>文明施工不利因素一览表</w:t>
      </w:r>
    </w:p>
    <w:tbl>
      <w:tblPr>
        <w:tblStyle w:val="44"/>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FFFFFF"/>
        <w:tblLayout w:type="autofit"/>
        <w:tblCellMar>
          <w:top w:w="0" w:type="dxa"/>
          <w:left w:w="0" w:type="dxa"/>
          <w:bottom w:w="0" w:type="dxa"/>
          <w:right w:w="0" w:type="dxa"/>
        </w:tblCellMar>
      </w:tblPr>
      <w:tblGrid>
        <w:gridCol w:w="671"/>
        <w:gridCol w:w="1170"/>
        <w:gridCol w:w="2141"/>
        <w:gridCol w:w="4349"/>
      </w:tblGrid>
      <w:tr w14:paraId="1F77A5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jc w:val="center"/>
        </w:trPr>
        <w:tc>
          <w:tcPr>
            <w:tcW w:w="403" w:type="pct"/>
            <w:shd w:val="clear" w:color="auto" w:fill="FFFFFF"/>
            <w:vAlign w:val="center"/>
          </w:tcPr>
          <w:p w14:paraId="020E0E44">
            <w:pPr>
              <w:pStyle w:val="53"/>
              <w:rPr>
                <w:highlight w:val="none"/>
              </w:rPr>
            </w:pPr>
            <w:r>
              <w:rPr>
                <w:highlight w:val="none"/>
              </w:rPr>
              <w:t>序号</w:t>
            </w:r>
          </w:p>
        </w:tc>
        <w:tc>
          <w:tcPr>
            <w:tcW w:w="702" w:type="pct"/>
            <w:shd w:val="clear" w:color="auto" w:fill="FFFFFF"/>
            <w:vAlign w:val="center"/>
          </w:tcPr>
          <w:p w14:paraId="5DA53FBC">
            <w:pPr>
              <w:pStyle w:val="53"/>
              <w:rPr>
                <w:highlight w:val="none"/>
              </w:rPr>
            </w:pPr>
            <w:r>
              <w:rPr>
                <w:rFonts w:hint="eastAsia"/>
                <w:highlight w:val="none"/>
              </w:rPr>
              <w:t>施工环节</w:t>
            </w:r>
          </w:p>
        </w:tc>
        <w:tc>
          <w:tcPr>
            <w:tcW w:w="1285" w:type="pct"/>
            <w:shd w:val="clear" w:color="auto" w:fill="FFFFFF"/>
            <w:vAlign w:val="center"/>
          </w:tcPr>
          <w:p w14:paraId="2D9C8F40">
            <w:pPr>
              <w:pStyle w:val="53"/>
              <w:rPr>
                <w:highlight w:val="none"/>
              </w:rPr>
            </w:pPr>
            <w:r>
              <w:rPr>
                <w:rFonts w:hint="eastAsia"/>
                <w:highlight w:val="none"/>
              </w:rPr>
              <w:t>不利因素</w:t>
            </w:r>
          </w:p>
        </w:tc>
        <w:tc>
          <w:tcPr>
            <w:tcW w:w="2610" w:type="pct"/>
            <w:shd w:val="clear" w:color="auto" w:fill="FFFFFF"/>
            <w:vAlign w:val="center"/>
          </w:tcPr>
          <w:p w14:paraId="2DEA0BE7">
            <w:pPr>
              <w:pStyle w:val="53"/>
              <w:rPr>
                <w:highlight w:val="none"/>
              </w:rPr>
            </w:pPr>
            <w:r>
              <w:rPr>
                <w:rFonts w:hint="eastAsia"/>
                <w:highlight w:val="none"/>
              </w:rPr>
              <w:t>可能出现的后果</w:t>
            </w:r>
          </w:p>
        </w:tc>
      </w:tr>
      <w:tr w14:paraId="29664E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FFFFFF"/>
          <w:tblCellMar>
            <w:top w:w="0" w:type="dxa"/>
            <w:left w:w="0" w:type="dxa"/>
            <w:bottom w:w="0" w:type="dxa"/>
            <w:right w:w="0" w:type="dxa"/>
          </w:tblCellMar>
        </w:tblPrEx>
        <w:trPr>
          <w:trHeight w:val="454" w:hRule="atLeast"/>
          <w:jc w:val="center"/>
        </w:trPr>
        <w:tc>
          <w:tcPr>
            <w:tcW w:w="403" w:type="pct"/>
            <w:shd w:val="clear" w:color="auto" w:fill="FFFFFF"/>
            <w:vAlign w:val="center"/>
          </w:tcPr>
          <w:p w14:paraId="697FC423">
            <w:pPr>
              <w:pStyle w:val="53"/>
              <w:rPr>
                <w:highlight w:val="none"/>
              </w:rPr>
            </w:pPr>
            <w:r>
              <w:rPr>
                <w:rFonts w:hint="eastAsia"/>
                <w:highlight w:val="none"/>
              </w:rPr>
              <w:t>1</w:t>
            </w:r>
          </w:p>
        </w:tc>
        <w:tc>
          <w:tcPr>
            <w:tcW w:w="702" w:type="pct"/>
            <w:shd w:val="clear" w:color="auto" w:fill="FFFFFF"/>
            <w:vAlign w:val="center"/>
          </w:tcPr>
          <w:p w14:paraId="74EA6C0C">
            <w:pPr>
              <w:pStyle w:val="53"/>
              <w:rPr>
                <w:b w:val="0"/>
                <w:bCs w:val="0"/>
                <w:highlight w:val="none"/>
              </w:rPr>
            </w:pPr>
            <w:r>
              <w:rPr>
                <w:rFonts w:hint="eastAsia"/>
                <w:b w:val="0"/>
                <w:bCs w:val="0"/>
                <w:highlight w:val="none"/>
              </w:rPr>
              <w:t>施工人员</w:t>
            </w:r>
          </w:p>
        </w:tc>
        <w:tc>
          <w:tcPr>
            <w:tcW w:w="1285" w:type="pct"/>
            <w:shd w:val="clear" w:color="auto" w:fill="FFFFFF"/>
            <w:vAlign w:val="center"/>
          </w:tcPr>
          <w:p w14:paraId="474FAD6F">
            <w:pPr>
              <w:pStyle w:val="53"/>
              <w:rPr>
                <w:b w:val="0"/>
                <w:bCs w:val="0"/>
                <w:highlight w:val="none"/>
              </w:rPr>
            </w:pPr>
            <w:r>
              <w:rPr>
                <w:rFonts w:hint="eastAsia"/>
                <w:b w:val="0"/>
                <w:bCs w:val="0"/>
                <w:highlight w:val="none"/>
              </w:rPr>
              <w:t>文明施工制度不健全或对人员文明行为要求执行不严</w:t>
            </w:r>
          </w:p>
        </w:tc>
        <w:tc>
          <w:tcPr>
            <w:tcW w:w="2610" w:type="pct"/>
            <w:shd w:val="clear" w:color="auto" w:fill="FFFFFF"/>
            <w:vAlign w:val="center"/>
          </w:tcPr>
          <w:p w14:paraId="73B34D16">
            <w:pPr>
              <w:pStyle w:val="53"/>
              <w:jc w:val="both"/>
              <w:rPr>
                <w:b w:val="0"/>
                <w:bCs w:val="0"/>
                <w:highlight w:val="none"/>
              </w:rPr>
            </w:pPr>
            <w:r>
              <w:rPr>
                <w:rFonts w:hint="eastAsia"/>
                <w:b w:val="0"/>
                <w:bCs w:val="0"/>
                <w:highlight w:val="none"/>
              </w:rPr>
              <w:t>1、人员不按照项目部要求着装；</w:t>
            </w:r>
          </w:p>
          <w:p w14:paraId="1B4C182C">
            <w:pPr>
              <w:pStyle w:val="53"/>
              <w:jc w:val="both"/>
              <w:rPr>
                <w:b w:val="0"/>
                <w:bCs w:val="0"/>
                <w:highlight w:val="none"/>
              </w:rPr>
            </w:pPr>
            <w:r>
              <w:rPr>
                <w:rFonts w:hint="eastAsia"/>
                <w:b w:val="0"/>
                <w:bCs w:val="0"/>
                <w:highlight w:val="none"/>
              </w:rPr>
              <w:t>2、导致施工垃圾清理不到位、设备维护不当、材料摆放杂乱，形成较差的场容场貌；</w:t>
            </w:r>
          </w:p>
          <w:p w14:paraId="7EEA510A">
            <w:pPr>
              <w:pStyle w:val="53"/>
              <w:jc w:val="both"/>
              <w:rPr>
                <w:b w:val="0"/>
                <w:bCs w:val="0"/>
                <w:highlight w:val="none"/>
              </w:rPr>
            </w:pPr>
            <w:r>
              <w:rPr>
                <w:rFonts w:hint="eastAsia"/>
                <w:b w:val="0"/>
                <w:bCs w:val="0"/>
                <w:highlight w:val="none"/>
              </w:rPr>
              <w:t>3、违章施工、野蛮施工。</w:t>
            </w:r>
          </w:p>
        </w:tc>
      </w:tr>
      <w:tr w14:paraId="15DC09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03" w:type="pct"/>
            <w:shd w:val="clear" w:color="auto" w:fill="FFFFFF"/>
            <w:vAlign w:val="center"/>
          </w:tcPr>
          <w:p w14:paraId="057282A4">
            <w:pPr>
              <w:pStyle w:val="53"/>
              <w:rPr>
                <w:highlight w:val="none"/>
              </w:rPr>
            </w:pPr>
            <w:r>
              <w:rPr>
                <w:rFonts w:hint="eastAsia"/>
                <w:highlight w:val="none"/>
              </w:rPr>
              <w:t>2</w:t>
            </w:r>
          </w:p>
        </w:tc>
        <w:tc>
          <w:tcPr>
            <w:tcW w:w="702" w:type="pct"/>
            <w:shd w:val="clear" w:color="auto" w:fill="FFFFFF"/>
            <w:vAlign w:val="center"/>
          </w:tcPr>
          <w:p w14:paraId="52E64187">
            <w:pPr>
              <w:pStyle w:val="53"/>
              <w:rPr>
                <w:b w:val="0"/>
                <w:bCs w:val="0"/>
                <w:highlight w:val="none"/>
              </w:rPr>
            </w:pPr>
            <w:r>
              <w:rPr>
                <w:rFonts w:hint="eastAsia"/>
                <w:b w:val="0"/>
                <w:bCs w:val="0"/>
                <w:highlight w:val="none"/>
              </w:rPr>
              <w:t>物资</w:t>
            </w:r>
          </w:p>
        </w:tc>
        <w:tc>
          <w:tcPr>
            <w:tcW w:w="1285" w:type="pct"/>
            <w:shd w:val="clear" w:color="auto" w:fill="FFFFFF"/>
            <w:vAlign w:val="center"/>
          </w:tcPr>
          <w:p w14:paraId="0518028D">
            <w:pPr>
              <w:pStyle w:val="53"/>
              <w:rPr>
                <w:b w:val="0"/>
                <w:bCs w:val="0"/>
                <w:highlight w:val="none"/>
              </w:rPr>
            </w:pPr>
            <w:r>
              <w:rPr>
                <w:rFonts w:hint="eastAsia"/>
                <w:b w:val="0"/>
                <w:bCs w:val="0"/>
                <w:highlight w:val="none"/>
              </w:rPr>
              <w:t>运输、储存过程的包装方式不当或破坏</w:t>
            </w:r>
          </w:p>
        </w:tc>
        <w:tc>
          <w:tcPr>
            <w:tcW w:w="2610" w:type="pct"/>
            <w:shd w:val="clear" w:color="auto" w:fill="FFFFFF"/>
            <w:vAlign w:val="center"/>
          </w:tcPr>
          <w:p w14:paraId="5C093A91">
            <w:pPr>
              <w:pStyle w:val="53"/>
              <w:jc w:val="both"/>
              <w:rPr>
                <w:b w:val="0"/>
                <w:bCs w:val="0"/>
                <w:highlight w:val="none"/>
              </w:rPr>
            </w:pPr>
            <w:r>
              <w:rPr>
                <w:rFonts w:hint="eastAsia"/>
                <w:b w:val="0"/>
                <w:bCs w:val="0"/>
                <w:highlight w:val="none"/>
              </w:rPr>
              <w:t>1、材料摆放杂乱、施工废料随意丢弃；</w:t>
            </w:r>
          </w:p>
          <w:p w14:paraId="435EDEE1">
            <w:pPr>
              <w:pStyle w:val="53"/>
              <w:jc w:val="both"/>
              <w:rPr>
                <w:b w:val="0"/>
                <w:bCs w:val="0"/>
                <w:highlight w:val="none"/>
              </w:rPr>
            </w:pPr>
            <w:r>
              <w:rPr>
                <w:rFonts w:hint="eastAsia"/>
                <w:b w:val="0"/>
                <w:bCs w:val="0"/>
                <w:highlight w:val="none"/>
              </w:rPr>
              <w:t>2、储存中意外泄漏造成污染或环境破坏。</w:t>
            </w:r>
          </w:p>
        </w:tc>
      </w:tr>
      <w:tr w14:paraId="01A05C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03" w:type="pct"/>
            <w:shd w:val="clear" w:color="auto" w:fill="FFFFFF"/>
            <w:vAlign w:val="center"/>
          </w:tcPr>
          <w:p w14:paraId="2F6FCE64">
            <w:pPr>
              <w:pStyle w:val="53"/>
              <w:rPr>
                <w:highlight w:val="none"/>
              </w:rPr>
            </w:pPr>
            <w:r>
              <w:rPr>
                <w:rFonts w:hint="eastAsia"/>
                <w:highlight w:val="none"/>
              </w:rPr>
              <w:t>3</w:t>
            </w:r>
          </w:p>
        </w:tc>
        <w:tc>
          <w:tcPr>
            <w:tcW w:w="702" w:type="pct"/>
            <w:shd w:val="clear" w:color="auto" w:fill="FFFFFF"/>
            <w:vAlign w:val="center"/>
          </w:tcPr>
          <w:p w14:paraId="036FE6A0">
            <w:pPr>
              <w:pStyle w:val="53"/>
              <w:rPr>
                <w:b w:val="0"/>
                <w:bCs w:val="0"/>
                <w:highlight w:val="none"/>
              </w:rPr>
            </w:pPr>
            <w:r>
              <w:rPr>
                <w:rFonts w:hint="eastAsia"/>
                <w:b w:val="0"/>
                <w:bCs w:val="0"/>
                <w:highlight w:val="none"/>
              </w:rPr>
              <w:t>设备</w:t>
            </w:r>
          </w:p>
        </w:tc>
        <w:tc>
          <w:tcPr>
            <w:tcW w:w="1285" w:type="pct"/>
            <w:shd w:val="clear" w:color="auto" w:fill="FFFFFF"/>
            <w:vAlign w:val="center"/>
          </w:tcPr>
          <w:p w14:paraId="73EA4F3C">
            <w:pPr>
              <w:pStyle w:val="53"/>
              <w:rPr>
                <w:b w:val="0"/>
                <w:bCs w:val="0"/>
                <w:highlight w:val="none"/>
              </w:rPr>
            </w:pPr>
            <w:r>
              <w:rPr>
                <w:rFonts w:hint="eastAsia"/>
                <w:b w:val="0"/>
                <w:bCs w:val="0"/>
                <w:highlight w:val="none"/>
              </w:rPr>
              <w:t>维护保养不到位</w:t>
            </w:r>
          </w:p>
        </w:tc>
        <w:tc>
          <w:tcPr>
            <w:tcW w:w="2610" w:type="pct"/>
            <w:shd w:val="clear" w:color="auto" w:fill="FFFFFF"/>
            <w:vAlign w:val="center"/>
          </w:tcPr>
          <w:p w14:paraId="4DD6D569">
            <w:pPr>
              <w:pStyle w:val="53"/>
              <w:jc w:val="both"/>
              <w:rPr>
                <w:b w:val="0"/>
                <w:bCs w:val="0"/>
                <w:highlight w:val="none"/>
              </w:rPr>
            </w:pPr>
            <w:r>
              <w:rPr>
                <w:rFonts w:hint="eastAsia"/>
                <w:b w:val="0"/>
                <w:bCs w:val="0"/>
                <w:highlight w:val="none"/>
              </w:rPr>
              <w:t>1、设备外观脏乱差；</w:t>
            </w:r>
          </w:p>
          <w:p w14:paraId="7607DE60">
            <w:pPr>
              <w:pStyle w:val="53"/>
              <w:jc w:val="both"/>
              <w:rPr>
                <w:b w:val="0"/>
                <w:bCs w:val="0"/>
                <w:highlight w:val="none"/>
              </w:rPr>
            </w:pPr>
            <w:r>
              <w:rPr>
                <w:rFonts w:hint="eastAsia"/>
                <w:b w:val="0"/>
                <w:bCs w:val="0"/>
                <w:highlight w:val="none"/>
              </w:rPr>
              <w:t>2、设备停靠不整齐，影响形象。</w:t>
            </w:r>
          </w:p>
        </w:tc>
      </w:tr>
      <w:tr w14:paraId="0AD54D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03" w:type="pct"/>
            <w:shd w:val="clear" w:color="auto" w:fill="FFFFFF"/>
            <w:vAlign w:val="center"/>
          </w:tcPr>
          <w:p w14:paraId="633EBFE3">
            <w:pPr>
              <w:pStyle w:val="53"/>
              <w:rPr>
                <w:highlight w:val="none"/>
              </w:rPr>
            </w:pPr>
            <w:r>
              <w:rPr>
                <w:rFonts w:hint="eastAsia"/>
                <w:highlight w:val="none"/>
              </w:rPr>
              <w:t>4</w:t>
            </w:r>
          </w:p>
        </w:tc>
        <w:tc>
          <w:tcPr>
            <w:tcW w:w="702" w:type="pct"/>
            <w:shd w:val="clear" w:color="auto" w:fill="FFFFFF"/>
            <w:vAlign w:val="center"/>
          </w:tcPr>
          <w:p w14:paraId="16FF69F7">
            <w:pPr>
              <w:pStyle w:val="53"/>
              <w:rPr>
                <w:b w:val="0"/>
                <w:bCs w:val="0"/>
                <w:highlight w:val="none"/>
              </w:rPr>
            </w:pPr>
            <w:r>
              <w:rPr>
                <w:rFonts w:hint="eastAsia"/>
                <w:b w:val="0"/>
                <w:bCs w:val="0"/>
                <w:highlight w:val="none"/>
              </w:rPr>
              <w:t>生活办公</w:t>
            </w:r>
          </w:p>
        </w:tc>
        <w:tc>
          <w:tcPr>
            <w:tcW w:w="1285" w:type="pct"/>
            <w:shd w:val="clear" w:color="auto" w:fill="FFFFFF"/>
            <w:vAlign w:val="center"/>
          </w:tcPr>
          <w:p w14:paraId="712C351E">
            <w:pPr>
              <w:pStyle w:val="53"/>
              <w:rPr>
                <w:b w:val="0"/>
                <w:bCs w:val="0"/>
                <w:highlight w:val="none"/>
              </w:rPr>
            </w:pPr>
            <w:r>
              <w:rPr>
                <w:rFonts w:hint="eastAsia"/>
                <w:b w:val="0"/>
                <w:bCs w:val="0"/>
                <w:highlight w:val="none"/>
              </w:rPr>
              <w:t>房间清洁卫生不到位</w:t>
            </w:r>
          </w:p>
        </w:tc>
        <w:tc>
          <w:tcPr>
            <w:tcW w:w="2610" w:type="pct"/>
            <w:shd w:val="clear" w:color="auto" w:fill="FFFFFF"/>
            <w:vAlign w:val="center"/>
          </w:tcPr>
          <w:p w14:paraId="61BCBBC7">
            <w:pPr>
              <w:pStyle w:val="53"/>
              <w:jc w:val="both"/>
              <w:rPr>
                <w:b w:val="0"/>
                <w:bCs w:val="0"/>
                <w:highlight w:val="none"/>
              </w:rPr>
            </w:pPr>
            <w:r>
              <w:rPr>
                <w:rFonts w:hint="eastAsia"/>
                <w:b w:val="0"/>
                <w:bCs w:val="0"/>
                <w:highlight w:val="none"/>
              </w:rPr>
              <w:t>1、生活和办公垃圾随意丢弃，区域内不整洁、卫生条件下降。</w:t>
            </w:r>
          </w:p>
        </w:tc>
      </w:tr>
      <w:tr w14:paraId="4B4520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03" w:type="pct"/>
            <w:shd w:val="clear" w:color="auto" w:fill="FFFFFF"/>
            <w:vAlign w:val="center"/>
          </w:tcPr>
          <w:p w14:paraId="6FB97667">
            <w:pPr>
              <w:pStyle w:val="53"/>
              <w:rPr>
                <w:highlight w:val="none"/>
              </w:rPr>
            </w:pPr>
            <w:r>
              <w:rPr>
                <w:rFonts w:hint="eastAsia"/>
                <w:highlight w:val="none"/>
              </w:rPr>
              <w:t>5</w:t>
            </w:r>
          </w:p>
        </w:tc>
        <w:tc>
          <w:tcPr>
            <w:tcW w:w="702" w:type="pct"/>
            <w:shd w:val="clear" w:color="auto" w:fill="FFFFFF"/>
            <w:vAlign w:val="center"/>
          </w:tcPr>
          <w:p w14:paraId="118444EB">
            <w:pPr>
              <w:pStyle w:val="53"/>
              <w:rPr>
                <w:b w:val="0"/>
                <w:bCs w:val="0"/>
                <w:highlight w:val="none"/>
              </w:rPr>
            </w:pPr>
            <w:r>
              <w:rPr>
                <w:rFonts w:hint="eastAsia"/>
                <w:b w:val="0"/>
                <w:bCs w:val="0"/>
                <w:highlight w:val="none"/>
              </w:rPr>
              <w:t>施工过程</w:t>
            </w:r>
          </w:p>
        </w:tc>
        <w:tc>
          <w:tcPr>
            <w:tcW w:w="1285" w:type="pct"/>
            <w:shd w:val="clear" w:color="auto" w:fill="FFFFFF"/>
            <w:vAlign w:val="center"/>
          </w:tcPr>
          <w:p w14:paraId="148B7F67">
            <w:pPr>
              <w:pStyle w:val="53"/>
              <w:rPr>
                <w:b w:val="0"/>
                <w:bCs w:val="0"/>
                <w:highlight w:val="none"/>
              </w:rPr>
            </w:pPr>
            <w:r>
              <w:rPr>
                <w:rFonts w:hint="eastAsia"/>
                <w:b w:val="0"/>
                <w:bCs w:val="0"/>
                <w:highlight w:val="none"/>
              </w:rPr>
              <w:t>每天施工开始时间过早、结束过晚</w:t>
            </w:r>
          </w:p>
        </w:tc>
        <w:tc>
          <w:tcPr>
            <w:tcW w:w="2610" w:type="pct"/>
            <w:shd w:val="clear" w:color="auto" w:fill="FFFFFF"/>
            <w:vAlign w:val="center"/>
          </w:tcPr>
          <w:p w14:paraId="3E83EEE4">
            <w:pPr>
              <w:pStyle w:val="53"/>
              <w:jc w:val="both"/>
              <w:rPr>
                <w:b w:val="0"/>
                <w:bCs w:val="0"/>
                <w:highlight w:val="none"/>
              </w:rPr>
            </w:pPr>
            <w:r>
              <w:rPr>
                <w:rFonts w:hint="eastAsia"/>
                <w:b w:val="0"/>
                <w:bCs w:val="0"/>
                <w:highlight w:val="none"/>
              </w:rPr>
              <w:t>1、噪声污染扰民。</w:t>
            </w:r>
          </w:p>
        </w:tc>
      </w:tr>
    </w:tbl>
    <w:p w14:paraId="54CBF3DD">
      <w:pPr>
        <w:pStyle w:val="5"/>
        <w:bidi w:val="0"/>
        <w:ind w:left="0" w:leftChars="0" w:firstLine="0" w:firstLineChars="0"/>
        <w:rPr>
          <w:highlight w:val="none"/>
        </w:rPr>
      </w:pPr>
      <w:r>
        <w:rPr>
          <w:rFonts w:hint="eastAsia"/>
          <w:highlight w:val="none"/>
        </w:rPr>
        <w:t>人员文明施工管理措施</w:t>
      </w:r>
    </w:p>
    <w:p w14:paraId="5183B591">
      <w:pPr>
        <w:pStyle w:val="18"/>
        <w:adjustRightInd w:val="0"/>
        <w:rPr>
          <w:highlight w:val="none"/>
        </w:rPr>
      </w:pPr>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2 \s</w:instrText>
      </w:r>
      <w:r>
        <w:rPr>
          <w:highlight w:val="none"/>
        </w:rPr>
        <w:instrText xml:space="preserve"> </w:instrText>
      </w:r>
      <w:r>
        <w:rPr>
          <w:highlight w:val="none"/>
        </w:rPr>
        <w:fldChar w:fldCharType="separate"/>
      </w:r>
      <w:r>
        <w:rPr>
          <w:rFonts w:hint="eastAsia"/>
          <w:highlight w:val="none"/>
        </w:rPr>
        <w:t>10.4</w:t>
      </w:r>
      <w:r>
        <w:rPr>
          <w:highlight w:val="none"/>
        </w:rPr>
        <w:fldChar w:fldCharType="end"/>
      </w:r>
      <w:r>
        <w:rPr>
          <w:rFonts w:hint="eastAsia"/>
          <w:highlight w:val="none"/>
        </w:rPr>
        <w:t>.1</w:t>
      </w:r>
      <w:r>
        <w:rPr>
          <w:highlight w:val="none"/>
        </w:rPr>
        <w:noBreakHyphen/>
      </w:r>
      <w:r>
        <w:rPr>
          <w:rFonts w:hint="eastAsia"/>
          <w:highlight w:val="none"/>
        </w:rPr>
        <w:t>1人员文明施工管理措施</w:t>
      </w:r>
    </w:p>
    <w:tbl>
      <w:tblPr>
        <w:tblStyle w:val="44"/>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83"/>
        <w:gridCol w:w="7651"/>
      </w:tblGrid>
      <w:tr w14:paraId="16200B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trPr>
        <w:tc>
          <w:tcPr>
            <w:tcW w:w="410" w:type="pct"/>
            <w:shd w:val="clear" w:color="auto" w:fill="auto"/>
            <w:vAlign w:val="center"/>
          </w:tcPr>
          <w:p w14:paraId="7B8B6DAD">
            <w:pPr>
              <w:pStyle w:val="53"/>
              <w:rPr>
                <w:highlight w:val="none"/>
              </w:rPr>
            </w:pPr>
            <w:r>
              <w:rPr>
                <w:highlight w:val="none"/>
              </w:rPr>
              <w:t>序号</w:t>
            </w:r>
          </w:p>
        </w:tc>
        <w:tc>
          <w:tcPr>
            <w:tcW w:w="4589" w:type="pct"/>
            <w:shd w:val="clear" w:color="auto" w:fill="auto"/>
            <w:vAlign w:val="center"/>
          </w:tcPr>
          <w:p w14:paraId="14E5CE83">
            <w:pPr>
              <w:pStyle w:val="53"/>
              <w:rPr>
                <w:highlight w:val="none"/>
              </w:rPr>
            </w:pPr>
            <w:r>
              <w:rPr>
                <w:highlight w:val="none"/>
              </w:rPr>
              <w:t>主要</w:t>
            </w:r>
            <w:r>
              <w:rPr>
                <w:rFonts w:hint="eastAsia"/>
                <w:highlight w:val="none"/>
              </w:rPr>
              <w:t>管理</w:t>
            </w:r>
            <w:r>
              <w:rPr>
                <w:highlight w:val="none"/>
              </w:rPr>
              <w:t>措施</w:t>
            </w:r>
          </w:p>
        </w:tc>
      </w:tr>
      <w:tr w14:paraId="72F57D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10" w:type="pct"/>
            <w:shd w:val="clear" w:color="auto" w:fill="auto"/>
            <w:vAlign w:val="center"/>
          </w:tcPr>
          <w:p w14:paraId="3DFEF67F">
            <w:pPr>
              <w:pStyle w:val="53"/>
              <w:rPr>
                <w:highlight w:val="none"/>
              </w:rPr>
            </w:pPr>
            <w:r>
              <w:rPr>
                <w:highlight w:val="none"/>
              </w:rPr>
              <w:t>1</w:t>
            </w:r>
          </w:p>
        </w:tc>
        <w:tc>
          <w:tcPr>
            <w:tcW w:w="4589" w:type="pct"/>
            <w:shd w:val="clear" w:color="auto" w:fill="auto"/>
            <w:vAlign w:val="center"/>
          </w:tcPr>
          <w:p w14:paraId="2ACEB6B0">
            <w:pPr>
              <w:pStyle w:val="53"/>
              <w:jc w:val="both"/>
              <w:rPr>
                <w:b w:val="0"/>
                <w:bCs w:val="0"/>
                <w:highlight w:val="none"/>
              </w:rPr>
            </w:pPr>
            <w:r>
              <w:rPr>
                <w:b w:val="0"/>
                <w:bCs w:val="0"/>
                <w:highlight w:val="none"/>
              </w:rPr>
              <w:t>施工人员应按要求分类着装，佩戴安全帽；</w:t>
            </w:r>
          </w:p>
          <w:p w14:paraId="368E0F5F">
            <w:pPr>
              <w:pStyle w:val="53"/>
              <w:jc w:val="both"/>
              <w:rPr>
                <w:b w:val="0"/>
                <w:bCs w:val="0"/>
                <w:highlight w:val="none"/>
              </w:rPr>
            </w:pPr>
            <w:r>
              <w:rPr>
                <w:b w:val="0"/>
                <w:bCs w:val="0"/>
                <w:highlight w:val="none"/>
              </w:rPr>
              <w:t>各种岗位人员佩戴胸卡，质量检查人员、安全监督人员佩戴红色袖标；</w:t>
            </w:r>
          </w:p>
          <w:p w14:paraId="511590C4">
            <w:pPr>
              <w:pStyle w:val="53"/>
              <w:jc w:val="both"/>
              <w:rPr>
                <w:b w:val="0"/>
                <w:bCs w:val="0"/>
                <w:highlight w:val="none"/>
              </w:rPr>
            </w:pPr>
            <w:r>
              <w:rPr>
                <w:b w:val="0"/>
                <w:bCs w:val="0"/>
                <w:highlight w:val="none"/>
              </w:rPr>
              <w:t>坚守岗位，职责清楚。</w:t>
            </w:r>
          </w:p>
        </w:tc>
      </w:tr>
      <w:tr w14:paraId="271715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10" w:type="pct"/>
            <w:shd w:val="clear" w:color="auto" w:fill="auto"/>
            <w:vAlign w:val="center"/>
          </w:tcPr>
          <w:p w14:paraId="2A541E5E">
            <w:pPr>
              <w:pStyle w:val="53"/>
              <w:rPr>
                <w:highlight w:val="none"/>
              </w:rPr>
            </w:pPr>
            <w:r>
              <w:rPr>
                <w:highlight w:val="none"/>
              </w:rPr>
              <w:t>2</w:t>
            </w:r>
          </w:p>
        </w:tc>
        <w:tc>
          <w:tcPr>
            <w:tcW w:w="4589" w:type="pct"/>
            <w:shd w:val="clear" w:color="auto" w:fill="auto"/>
            <w:vAlign w:val="center"/>
          </w:tcPr>
          <w:p w14:paraId="10655C27">
            <w:pPr>
              <w:pStyle w:val="53"/>
              <w:jc w:val="both"/>
              <w:rPr>
                <w:b w:val="0"/>
                <w:bCs w:val="0"/>
                <w:highlight w:val="none"/>
              </w:rPr>
            </w:pPr>
            <w:r>
              <w:rPr>
                <w:b w:val="0"/>
                <w:bCs w:val="0"/>
                <w:highlight w:val="none"/>
              </w:rPr>
              <w:t>进入场区人员在区域内活动要举止大方、衣容整洁、文明礼貌；</w:t>
            </w:r>
          </w:p>
          <w:p w14:paraId="3E334DFC">
            <w:pPr>
              <w:pStyle w:val="53"/>
              <w:jc w:val="both"/>
              <w:rPr>
                <w:b w:val="0"/>
                <w:bCs w:val="0"/>
                <w:highlight w:val="none"/>
              </w:rPr>
            </w:pPr>
            <w:r>
              <w:rPr>
                <w:b w:val="0"/>
                <w:bCs w:val="0"/>
                <w:highlight w:val="none"/>
              </w:rPr>
              <w:t>定期对全体施工人员进行法律、法规教育，严格遵守社会公德、职业道德、职业纪律；</w:t>
            </w:r>
          </w:p>
          <w:p w14:paraId="0625CA62">
            <w:pPr>
              <w:pStyle w:val="53"/>
              <w:jc w:val="both"/>
              <w:rPr>
                <w:b w:val="0"/>
                <w:bCs w:val="0"/>
                <w:highlight w:val="none"/>
              </w:rPr>
            </w:pPr>
            <w:r>
              <w:rPr>
                <w:b w:val="0"/>
                <w:bCs w:val="0"/>
                <w:highlight w:val="none"/>
              </w:rPr>
              <w:t>设专人协调处理好周边的公共关系，发生纠纷按程序逐级追究解决，杜绝打架斗殴。</w:t>
            </w:r>
          </w:p>
        </w:tc>
      </w:tr>
      <w:tr w14:paraId="699B4E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10" w:type="pct"/>
            <w:shd w:val="clear" w:color="auto" w:fill="auto"/>
            <w:vAlign w:val="center"/>
          </w:tcPr>
          <w:p w14:paraId="3B2A8634">
            <w:pPr>
              <w:pStyle w:val="53"/>
              <w:rPr>
                <w:highlight w:val="none"/>
              </w:rPr>
            </w:pPr>
            <w:r>
              <w:rPr>
                <w:highlight w:val="none"/>
              </w:rPr>
              <w:t>3</w:t>
            </w:r>
          </w:p>
        </w:tc>
        <w:tc>
          <w:tcPr>
            <w:tcW w:w="4589" w:type="pct"/>
            <w:shd w:val="clear" w:color="auto" w:fill="auto"/>
            <w:vAlign w:val="center"/>
          </w:tcPr>
          <w:p w14:paraId="0619D9AB">
            <w:pPr>
              <w:pStyle w:val="53"/>
              <w:jc w:val="both"/>
              <w:rPr>
                <w:b w:val="0"/>
                <w:bCs w:val="0"/>
                <w:highlight w:val="none"/>
              </w:rPr>
            </w:pPr>
            <w:r>
              <w:rPr>
                <w:b w:val="0"/>
                <w:bCs w:val="0"/>
                <w:highlight w:val="none"/>
              </w:rPr>
              <w:t>工人在上岗前必须经过文明施工教育培训，未经培训的工人，不得使用；</w:t>
            </w:r>
          </w:p>
          <w:p w14:paraId="22C97B3A">
            <w:pPr>
              <w:pStyle w:val="53"/>
              <w:jc w:val="both"/>
              <w:rPr>
                <w:b w:val="0"/>
                <w:bCs w:val="0"/>
                <w:highlight w:val="none"/>
              </w:rPr>
            </w:pPr>
            <w:r>
              <w:rPr>
                <w:b w:val="0"/>
                <w:bCs w:val="0"/>
                <w:highlight w:val="none"/>
              </w:rPr>
              <w:t>所有施工人员每月需要进行施工安全、法纪和文明施工教育，增强文明施工意识，养成良好的作业习惯，如不在吸烟室以外场所吸烟，严禁穿拖鞋、短袖，不酒后作业等。</w:t>
            </w:r>
          </w:p>
        </w:tc>
      </w:tr>
      <w:tr w14:paraId="5E1C89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10" w:type="pct"/>
            <w:shd w:val="clear" w:color="auto" w:fill="auto"/>
            <w:vAlign w:val="center"/>
          </w:tcPr>
          <w:p w14:paraId="236996EA">
            <w:pPr>
              <w:pStyle w:val="53"/>
              <w:rPr>
                <w:highlight w:val="none"/>
              </w:rPr>
            </w:pPr>
            <w:r>
              <w:rPr>
                <w:highlight w:val="none"/>
              </w:rPr>
              <w:t>4</w:t>
            </w:r>
          </w:p>
        </w:tc>
        <w:tc>
          <w:tcPr>
            <w:tcW w:w="4589" w:type="pct"/>
            <w:shd w:val="clear" w:color="auto" w:fill="auto"/>
            <w:vAlign w:val="center"/>
          </w:tcPr>
          <w:p w14:paraId="793D6A7B">
            <w:pPr>
              <w:pStyle w:val="53"/>
              <w:jc w:val="both"/>
              <w:rPr>
                <w:b w:val="0"/>
                <w:bCs w:val="0"/>
                <w:highlight w:val="none"/>
              </w:rPr>
            </w:pPr>
            <w:r>
              <w:rPr>
                <w:b w:val="0"/>
                <w:bCs w:val="0"/>
                <w:highlight w:val="none"/>
              </w:rPr>
              <w:t>施工中有计划组织职工学习有关文明施工的规定，争做文明人民；</w:t>
            </w:r>
          </w:p>
          <w:p w14:paraId="7BA4E438">
            <w:pPr>
              <w:pStyle w:val="53"/>
              <w:jc w:val="both"/>
              <w:rPr>
                <w:b w:val="0"/>
                <w:bCs w:val="0"/>
                <w:highlight w:val="none"/>
              </w:rPr>
            </w:pPr>
            <w:r>
              <w:rPr>
                <w:b w:val="0"/>
                <w:bCs w:val="0"/>
                <w:highlight w:val="none"/>
              </w:rPr>
              <w:t>加强员工文明施工行为考评，并将考评结果</w:t>
            </w:r>
            <w:r>
              <w:rPr>
                <w:rFonts w:hint="eastAsia"/>
                <w:b w:val="0"/>
                <w:bCs w:val="0"/>
                <w:highlight w:val="none"/>
              </w:rPr>
              <w:t>纳入</w:t>
            </w:r>
            <w:r>
              <w:rPr>
                <w:b w:val="0"/>
                <w:bCs w:val="0"/>
                <w:highlight w:val="none"/>
              </w:rPr>
              <w:t>为月度绩效考核指标。</w:t>
            </w:r>
          </w:p>
        </w:tc>
      </w:tr>
      <w:tr w14:paraId="304BE4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410" w:type="pct"/>
            <w:shd w:val="clear" w:color="auto" w:fill="auto"/>
            <w:vAlign w:val="center"/>
          </w:tcPr>
          <w:p w14:paraId="7BFD8EBE">
            <w:pPr>
              <w:pStyle w:val="53"/>
              <w:rPr>
                <w:highlight w:val="none"/>
              </w:rPr>
            </w:pPr>
            <w:r>
              <w:rPr>
                <w:highlight w:val="none"/>
              </w:rPr>
              <w:t>5</w:t>
            </w:r>
          </w:p>
        </w:tc>
        <w:tc>
          <w:tcPr>
            <w:tcW w:w="4589" w:type="pct"/>
            <w:shd w:val="clear" w:color="auto" w:fill="auto"/>
            <w:vAlign w:val="center"/>
          </w:tcPr>
          <w:p w14:paraId="4B80FB77">
            <w:pPr>
              <w:pStyle w:val="53"/>
              <w:jc w:val="both"/>
              <w:rPr>
                <w:b w:val="0"/>
                <w:bCs w:val="0"/>
                <w:highlight w:val="none"/>
              </w:rPr>
            </w:pPr>
            <w:r>
              <w:rPr>
                <w:b w:val="0"/>
                <w:bCs w:val="0"/>
                <w:highlight w:val="none"/>
              </w:rPr>
              <w:t>建立文明施工档案，做好文明施工宣传，对违反文明施工人员进行教育、纠偏、处罚，严重者清除出场；在文明施工中表现优秀的给予褒奖。</w:t>
            </w:r>
          </w:p>
        </w:tc>
      </w:tr>
    </w:tbl>
    <w:p w14:paraId="355645A0">
      <w:pPr>
        <w:pStyle w:val="5"/>
        <w:bidi w:val="0"/>
        <w:ind w:left="0" w:leftChars="0" w:firstLine="0" w:firstLineChars="0"/>
        <w:rPr>
          <w:highlight w:val="none"/>
        </w:rPr>
      </w:pPr>
      <w:r>
        <w:rPr>
          <w:rFonts w:hint="eastAsia"/>
          <w:highlight w:val="none"/>
        </w:rPr>
        <w:t>物资文明管理措施</w:t>
      </w:r>
    </w:p>
    <w:p w14:paraId="48959B2C">
      <w:pPr>
        <w:pStyle w:val="18"/>
        <w:adjustRightInd w:val="0"/>
        <w:rPr>
          <w:highlight w:val="none"/>
        </w:rPr>
      </w:pPr>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2 \s</w:instrText>
      </w:r>
      <w:r>
        <w:rPr>
          <w:highlight w:val="none"/>
        </w:rPr>
        <w:instrText xml:space="preserve"> </w:instrText>
      </w:r>
      <w:r>
        <w:rPr>
          <w:highlight w:val="none"/>
        </w:rPr>
        <w:fldChar w:fldCharType="separate"/>
      </w:r>
      <w:r>
        <w:rPr>
          <w:rFonts w:hint="eastAsia"/>
          <w:highlight w:val="none"/>
        </w:rPr>
        <w:t>10.4</w:t>
      </w:r>
      <w:r>
        <w:rPr>
          <w:highlight w:val="none"/>
        </w:rPr>
        <w:fldChar w:fldCharType="end"/>
      </w:r>
      <w:r>
        <w:rPr>
          <w:rFonts w:hint="eastAsia"/>
          <w:highlight w:val="none"/>
        </w:rPr>
        <w:t>.2</w:t>
      </w:r>
      <w:r>
        <w:rPr>
          <w:highlight w:val="none"/>
        </w:rPr>
        <w:noBreakHyphen/>
      </w:r>
      <w:r>
        <w:rPr>
          <w:rFonts w:hint="eastAsia"/>
          <w:highlight w:val="none"/>
        </w:rPr>
        <w:t>2物资文明管理措施</w:t>
      </w:r>
    </w:p>
    <w:tbl>
      <w:tblPr>
        <w:tblStyle w:val="44"/>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72"/>
        <w:gridCol w:w="7662"/>
      </w:tblGrid>
      <w:tr w14:paraId="1ACF16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jc w:val="center"/>
        </w:trPr>
        <w:tc>
          <w:tcPr>
            <w:tcW w:w="403" w:type="pct"/>
            <w:shd w:val="clear" w:color="auto" w:fill="auto"/>
            <w:vAlign w:val="center"/>
          </w:tcPr>
          <w:p w14:paraId="5A2CC810">
            <w:pPr>
              <w:pStyle w:val="53"/>
              <w:rPr>
                <w:highlight w:val="none"/>
              </w:rPr>
            </w:pPr>
            <w:r>
              <w:rPr>
                <w:highlight w:val="none"/>
              </w:rPr>
              <w:t>序号</w:t>
            </w:r>
          </w:p>
        </w:tc>
        <w:tc>
          <w:tcPr>
            <w:tcW w:w="4596" w:type="pct"/>
            <w:shd w:val="clear" w:color="auto" w:fill="auto"/>
            <w:vAlign w:val="center"/>
          </w:tcPr>
          <w:p w14:paraId="3A60EC5C">
            <w:pPr>
              <w:pStyle w:val="53"/>
              <w:rPr>
                <w:highlight w:val="none"/>
              </w:rPr>
            </w:pPr>
            <w:r>
              <w:rPr>
                <w:highlight w:val="none"/>
              </w:rPr>
              <w:t>主要</w:t>
            </w:r>
            <w:r>
              <w:rPr>
                <w:rFonts w:hint="eastAsia"/>
                <w:highlight w:val="none"/>
              </w:rPr>
              <w:t>管理</w:t>
            </w:r>
            <w:r>
              <w:rPr>
                <w:highlight w:val="none"/>
              </w:rPr>
              <w:t>措施</w:t>
            </w:r>
          </w:p>
        </w:tc>
      </w:tr>
      <w:tr w14:paraId="5109FA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03" w:type="pct"/>
            <w:shd w:val="clear" w:color="auto" w:fill="auto"/>
            <w:vAlign w:val="center"/>
          </w:tcPr>
          <w:p w14:paraId="26FF9651">
            <w:pPr>
              <w:pStyle w:val="53"/>
              <w:rPr>
                <w:highlight w:val="none"/>
              </w:rPr>
            </w:pPr>
            <w:r>
              <w:rPr>
                <w:highlight w:val="none"/>
              </w:rPr>
              <w:t>1</w:t>
            </w:r>
          </w:p>
        </w:tc>
        <w:tc>
          <w:tcPr>
            <w:tcW w:w="4596" w:type="pct"/>
            <w:shd w:val="clear" w:color="auto" w:fill="auto"/>
            <w:vAlign w:val="center"/>
          </w:tcPr>
          <w:p w14:paraId="58A3080F">
            <w:pPr>
              <w:pStyle w:val="53"/>
              <w:jc w:val="both"/>
              <w:rPr>
                <w:b w:val="0"/>
                <w:bCs w:val="0"/>
                <w:highlight w:val="none"/>
              </w:rPr>
            </w:pPr>
            <w:r>
              <w:rPr>
                <w:rFonts w:hint="eastAsia"/>
                <w:b w:val="0"/>
                <w:bCs w:val="0"/>
                <w:highlight w:val="none"/>
              </w:rPr>
              <w:t>砂石料运输车辆采用篷布覆盖，在料仓内按规格分类分批堆放，严禁混堆</w:t>
            </w:r>
          </w:p>
        </w:tc>
      </w:tr>
      <w:tr w14:paraId="583F63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03" w:type="pct"/>
            <w:shd w:val="clear" w:color="auto" w:fill="auto"/>
            <w:vAlign w:val="center"/>
          </w:tcPr>
          <w:p w14:paraId="3826D015">
            <w:pPr>
              <w:pStyle w:val="53"/>
              <w:rPr>
                <w:highlight w:val="none"/>
              </w:rPr>
            </w:pPr>
            <w:r>
              <w:rPr>
                <w:highlight w:val="none"/>
              </w:rPr>
              <w:t>2</w:t>
            </w:r>
          </w:p>
        </w:tc>
        <w:tc>
          <w:tcPr>
            <w:tcW w:w="4596" w:type="pct"/>
            <w:shd w:val="clear" w:color="auto" w:fill="auto"/>
            <w:vAlign w:val="center"/>
          </w:tcPr>
          <w:p w14:paraId="2423B23D">
            <w:pPr>
              <w:pStyle w:val="53"/>
              <w:jc w:val="both"/>
              <w:rPr>
                <w:b w:val="0"/>
                <w:bCs w:val="0"/>
                <w:highlight w:val="none"/>
              </w:rPr>
            </w:pPr>
            <w:r>
              <w:rPr>
                <w:rFonts w:hint="eastAsia"/>
                <w:b w:val="0"/>
                <w:bCs w:val="0"/>
                <w:highlight w:val="none"/>
              </w:rPr>
              <w:t>钢筋加工场按原材料、半成品、成品分区堆放，设置相应的标识标牌</w:t>
            </w:r>
          </w:p>
        </w:tc>
      </w:tr>
      <w:tr w14:paraId="53643D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03" w:type="pct"/>
            <w:shd w:val="clear" w:color="auto" w:fill="auto"/>
            <w:vAlign w:val="center"/>
          </w:tcPr>
          <w:p w14:paraId="7568AAD2">
            <w:pPr>
              <w:pStyle w:val="53"/>
              <w:rPr>
                <w:highlight w:val="none"/>
              </w:rPr>
            </w:pPr>
            <w:r>
              <w:rPr>
                <w:highlight w:val="none"/>
              </w:rPr>
              <w:t>3</w:t>
            </w:r>
          </w:p>
        </w:tc>
        <w:tc>
          <w:tcPr>
            <w:tcW w:w="4596" w:type="pct"/>
            <w:shd w:val="clear" w:color="auto" w:fill="auto"/>
            <w:vAlign w:val="center"/>
          </w:tcPr>
          <w:p w14:paraId="18AAD008">
            <w:pPr>
              <w:pStyle w:val="53"/>
              <w:jc w:val="both"/>
              <w:rPr>
                <w:b w:val="0"/>
                <w:bCs w:val="0"/>
                <w:highlight w:val="none"/>
              </w:rPr>
            </w:pPr>
            <w:r>
              <w:rPr>
                <w:rFonts w:hint="eastAsia"/>
                <w:b w:val="0"/>
                <w:bCs w:val="0"/>
                <w:highlight w:val="none"/>
              </w:rPr>
              <w:t>销轴、安全销、螺栓、套筒等存放在干燥的仓库内，由专人负责保管存放</w:t>
            </w:r>
          </w:p>
        </w:tc>
      </w:tr>
      <w:tr w14:paraId="02F613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03" w:type="pct"/>
            <w:shd w:val="clear" w:color="auto" w:fill="auto"/>
            <w:vAlign w:val="center"/>
          </w:tcPr>
          <w:p w14:paraId="36D39F02">
            <w:pPr>
              <w:pStyle w:val="53"/>
              <w:rPr>
                <w:highlight w:val="none"/>
              </w:rPr>
            </w:pPr>
            <w:r>
              <w:rPr>
                <w:highlight w:val="none"/>
              </w:rPr>
              <w:t>4</w:t>
            </w:r>
          </w:p>
        </w:tc>
        <w:tc>
          <w:tcPr>
            <w:tcW w:w="4596" w:type="pct"/>
            <w:shd w:val="clear" w:color="auto" w:fill="auto"/>
            <w:vAlign w:val="center"/>
          </w:tcPr>
          <w:p w14:paraId="071E7CEB">
            <w:pPr>
              <w:pStyle w:val="53"/>
              <w:jc w:val="both"/>
              <w:rPr>
                <w:b w:val="0"/>
                <w:bCs w:val="0"/>
                <w:highlight w:val="none"/>
              </w:rPr>
            </w:pPr>
            <w:r>
              <w:rPr>
                <w:rFonts w:hint="eastAsia"/>
                <w:b w:val="0"/>
                <w:bCs w:val="0"/>
                <w:highlight w:val="none"/>
              </w:rPr>
              <w:t>现场相关小型、临时物资设置相应的储存收纳箱，便于集中存放和取用</w:t>
            </w:r>
          </w:p>
        </w:tc>
      </w:tr>
    </w:tbl>
    <w:p w14:paraId="2B856647">
      <w:pPr>
        <w:pStyle w:val="5"/>
        <w:bidi w:val="0"/>
        <w:ind w:left="0" w:leftChars="0" w:firstLine="0" w:firstLineChars="0"/>
        <w:rPr>
          <w:highlight w:val="none"/>
        </w:rPr>
      </w:pPr>
      <w:r>
        <w:rPr>
          <w:rFonts w:hint="eastAsia"/>
          <w:highlight w:val="none"/>
        </w:rPr>
        <w:t>机械文明施工管理措施</w:t>
      </w:r>
    </w:p>
    <w:p w14:paraId="4FC86499">
      <w:pPr>
        <w:ind w:firstLine="480"/>
        <w:rPr>
          <w:highlight w:val="none"/>
        </w:rPr>
      </w:pPr>
      <w:r>
        <w:rPr>
          <w:rFonts w:hint="eastAsia"/>
          <w:highlight w:val="none"/>
        </w:rPr>
        <w:t>编制车辆与机械设备文明驾驶守则，制定各种车辆、机械的操作规程，加强车辆、机械的维修与保养。车辆、机械不带故障上路，不违规违章行驶，杜绝机械、车辆事故。</w:t>
      </w:r>
      <w:r>
        <w:rPr>
          <w:highlight w:val="none"/>
        </w:rPr>
        <w:br w:type="page"/>
      </w:r>
    </w:p>
    <w:p w14:paraId="6754EC84">
      <w:pPr>
        <w:pStyle w:val="18"/>
        <w:adjustRightInd w:val="0"/>
        <w:rPr>
          <w:highlight w:val="none"/>
        </w:rPr>
      </w:pPr>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2 \s</w:instrText>
      </w:r>
      <w:r>
        <w:rPr>
          <w:highlight w:val="none"/>
        </w:rPr>
        <w:instrText xml:space="preserve"> </w:instrText>
      </w:r>
      <w:r>
        <w:rPr>
          <w:highlight w:val="none"/>
        </w:rPr>
        <w:fldChar w:fldCharType="separate"/>
      </w:r>
      <w:r>
        <w:rPr>
          <w:rFonts w:hint="eastAsia"/>
          <w:highlight w:val="none"/>
        </w:rPr>
        <w:t>10.4</w:t>
      </w:r>
      <w:r>
        <w:rPr>
          <w:highlight w:val="none"/>
        </w:rPr>
        <w:fldChar w:fldCharType="end"/>
      </w:r>
      <w:r>
        <w:rPr>
          <w:rFonts w:hint="eastAsia"/>
          <w:highlight w:val="none"/>
        </w:rPr>
        <w:t>.3</w:t>
      </w:r>
      <w:r>
        <w:rPr>
          <w:highlight w:val="none"/>
        </w:rPr>
        <w:noBreakHyphen/>
      </w:r>
      <w:r>
        <w:rPr>
          <w:rFonts w:hint="eastAsia"/>
          <w:highlight w:val="none"/>
        </w:rPr>
        <w:t>1机械文明施工管理措施</w:t>
      </w:r>
    </w:p>
    <w:tbl>
      <w:tblPr>
        <w:tblStyle w:val="44"/>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657"/>
        <w:gridCol w:w="7677"/>
      </w:tblGrid>
      <w:tr w14:paraId="516437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trPr>
        <w:tc>
          <w:tcPr>
            <w:tcW w:w="394" w:type="pct"/>
            <w:shd w:val="clear" w:color="auto" w:fill="auto"/>
            <w:vAlign w:val="center"/>
          </w:tcPr>
          <w:p w14:paraId="201DB05E">
            <w:pPr>
              <w:pStyle w:val="53"/>
              <w:rPr>
                <w:highlight w:val="none"/>
              </w:rPr>
            </w:pPr>
            <w:r>
              <w:rPr>
                <w:highlight w:val="none"/>
              </w:rPr>
              <w:t>序号</w:t>
            </w:r>
          </w:p>
        </w:tc>
        <w:tc>
          <w:tcPr>
            <w:tcW w:w="4605" w:type="pct"/>
            <w:shd w:val="clear" w:color="auto" w:fill="auto"/>
            <w:vAlign w:val="center"/>
          </w:tcPr>
          <w:p w14:paraId="50145A9A">
            <w:pPr>
              <w:pStyle w:val="53"/>
              <w:rPr>
                <w:highlight w:val="none"/>
              </w:rPr>
            </w:pPr>
            <w:r>
              <w:rPr>
                <w:highlight w:val="none"/>
              </w:rPr>
              <w:t>主要</w:t>
            </w:r>
            <w:r>
              <w:rPr>
                <w:rFonts w:hint="eastAsia"/>
                <w:highlight w:val="none"/>
              </w:rPr>
              <w:t>管理</w:t>
            </w:r>
            <w:r>
              <w:rPr>
                <w:highlight w:val="none"/>
              </w:rPr>
              <w:t>措施</w:t>
            </w:r>
          </w:p>
        </w:tc>
      </w:tr>
      <w:tr w14:paraId="6B3F86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4" w:type="pct"/>
            <w:shd w:val="clear" w:color="auto" w:fill="auto"/>
            <w:vAlign w:val="center"/>
          </w:tcPr>
          <w:p w14:paraId="36758AA0">
            <w:pPr>
              <w:pStyle w:val="53"/>
              <w:rPr>
                <w:highlight w:val="none"/>
              </w:rPr>
            </w:pPr>
            <w:r>
              <w:rPr>
                <w:highlight w:val="none"/>
              </w:rPr>
              <w:t>1</w:t>
            </w:r>
          </w:p>
        </w:tc>
        <w:tc>
          <w:tcPr>
            <w:tcW w:w="4605" w:type="pct"/>
            <w:shd w:val="clear" w:color="auto" w:fill="auto"/>
            <w:vAlign w:val="center"/>
          </w:tcPr>
          <w:p w14:paraId="0CCFBFA5">
            <w:pPr>
              <w:pStyle w:val="53"/>
              <w:jc w:val="both"/>
              <w:rPr>
                <w:b w:val="0"/>
                <w:bCs w:val="0"/>
                <w:highlight w:val="none"/>
              </w:rPr>
            </w:pPr>
            <w:r>
              <w:rPr>
                <w:b w:val="0"/>
                <w:bCs w:val="0"/>
                <w:highlight w:val="none"/>
              </w:rPr>
              <w:t>配备专职的车辆、机械管理员，负责现场的车辆、机械的管理及调度；</w:t>
            </w:r>
          </w:p>
          <w:p w14:paraId="533AE916">
            <w:pPr>
              <w:pStyle w:val="53"/>
              <w:jc w:val="both"/>
              <w:rPr>
                <w:b w:val="0"/>
                <w:bCs w:val="0"/>
                <w:highlight w:val="none"/>
              </w:rPr>
            </w:pPr>
            <w:r>
              <w:rPr>
                <w:b w:val="0"/>
                <w:bCs w:val="0"/>
                <w:highlight w:val="none"/>
              </w:rPr>
              <w:t>配备专业人员，负责现场的车辆、机械的维修、保养，使车辆、机械保持良好的状况。</w:t>
            </w:r>
          </w:p>
        </w:tc>
      </w:tr>
      <w:tr w14:paraId="3EB4C1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4" w:type="pct"/>
            <w:shd w:val="clear" w:color="auto" w:fill="auto"/>
            <w:vAlign w:val="center"/>
          </w:tcPr>
          <w:p w14:paraId="2F56DB05">
            <w:pPr>
              <w:pStyle w:val="53"/>
              <w:rPr>
                <w:highlight w:val="none"/>
              </w:rPr>
            </w:pPr>
            <w:r>
              <w:rPr>
                <w:highlight w:val="none"/>
              </w:rPr>
              <w:t>2</w:t>
            </w:r>
          </w:p>
        </w:tc>
        <w:tc>
          <w:tcPr>
            <w:tcW w:w="4605" w:type="pct"/>
            <w:shd w:val="clear" w:color="auto" w:fill="auto"/>
            <w:vAlign w:val="center"/>
          </w:tcPr>
          <w:p w14:paraId="335C895B">
            <w:pPr>
              <w:pStyle w:val="53"/>
              <w:jc w:val="both"/>
              <w:rPr>
                <w:b w:val="0"/>
                <w:bCs w:val="0"/>
                <w:highlight w:val="none"/>
              </w:rPr>
            </w:pPr>
            <w:r>
              <w:rPr>
                <w:b w:val="0"/>
                <w:bCs w:val="0"/>
                <w:highlight w:val="none"/>
              </w:rPr>
              <w:t>统一车辆、机械的颜色、标记、标识，并制定相应的机械操作规程。</w:t>
            </w:r>
          </w:p>
        </w:tc>
      </w:tr>
      <w:tr w14:paraId="5FFAF3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4" w:type="pct"/>
            <w:shd w:val="clear" w:color="auto" w:fill="auto"/>
            <w:vAlign w:val="center"/>
          </w:tcPr>
          <w:p w14:paraId="30F7657F">
            <w:pPr>
              <w:pStyle w:val="53"/>
              <w:rPr>
                <w:highlight w:val="none"/>
              </w:rPr>
            </w:pPr>
            <w:r>
              <w:rPr>
                <w:highlight w:val="none"/>
              </w:rPr>
              <w:t>3</w:t>
            </w:r>
          </w:p>
        </w:tc>
        <w:tc>
          <w:tcPr>
            <w:tcW w:w="4605" w:type="pct"/>
            <w:shd w:val="clear" w:color="auto" w:fill="auto"/>
            <w:vAlign w:val="center"/>
          </w:tcPr>
          <w:p w14:paraId="7492B45F">
            <w:pPr>
              <w:pStyle w:val="53"/>
              <w:jc w:val="both"/>
              <w:rPr>
                <w:b w:val="0"/>
                <w:bCs w:val="0"/>
                <w:highlight w:val="none"/>
              </w:rPr>
            </w:pPr>
            <w:r>
              <w:rPr>
                <w:b w:val="0"/>
                <w:bCs w:val="0"/>
                <w:highlight w:val="none"/>
              </w:rPr>
              <w:t>车辆、机械经常清洗，停放有序；</w:t>
            </w:r>
          </w:p>
          <w:p w14:paraId="2D53BEB0">
            <w:pPr>
              <w:pStyle w:val="53"/>
              <w:jc w:val="both"/>
              <w:rPr>
                <w:b w:val="0"/>
                <w:bCs w:val="0"/>
                <w:highlight w:val="none"/>
              </w:rPr>
            </w:pPr>
            <w:r>
              <w:rPr>
                <w:b w:val="0"/>
                <w:bCs w:val="0"/>
                <w:highlight w:val="none"/>
              </w:rPr>
              <w:t>定期对驾驶人员进行遵章守纪、交通法规、文明施工教育，保证文明行驶，礼让三先，确保交通安全。</w:t>
            </w:r>
          </w:p>
        </w:tc>
      </w:tr>
      <w:tr w14:paraId="47E3F4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4" w:type="pct"/>
            <w:shd w:val="clear" w:color="auto" w:fill="auto"/>
            <w:vAlign w:val="center"/>
          </w:tcPr>
          <w:p w14:paraId="2BFD897E">
            <w:pPr>
              <w:pStyle w:val="53"/>
              <w:rPr>
                <w:highlight w:val="none"/>
              </w:rPr>
            </w:pPr>
            <w:r>
              <w:rPr>
                <w:highlight w:val="none"/>
              </w:rPr>
              <w:t>4</w:t>
            </w:r>
          </w:p>
        </w:tc>
        <w:tc>
          <w:tcPr>
            <w:tcW w:w="4605" w:type="pct"/>
            <w:shd w:val="clear" w:color="auto" w:fill="auto"/>
            <w:vAlign w:val="center"/>
          </w:tcPr>
          <w:p w14:paraId="592B1C7B">
            <w:pPr>
              <w:pStyle w:val="53"/>
              <w:jc w:val="both"/>
              <w:rPr>
                <w:b w:val="0"/>
                <w:bCs w:val="0"/>
                <w:highlight w:val="none"/>
              </w:rPr>
            </w:pPr>
            <w:r>
              <w:rPr>
                <w:b w:val="0"/>
                <w:bCs w:val="0"/>
                <w:highlight w:val="none"/>
              </w:rPr>
              <w:t>清洗车辆机械排出的污水有排放措施，不随地流淌；</w:t>
            </w:r>
          </w:p>
          <w:p w14:paraId="188C6464">
            <w:pPr>
              <w:pStyle w:val="53"/>
              <w:jc w:val="both"/>
              <w:rPr>
                <w:b w:val="0"/>
                <w:bCs w:val="0"/>
                <w:highlight w:val="none"/>
              </w:rPr>
            </w:pPr>
            <w:r>
              <w:rPr>
                <w:b w:val="0"/>
                <w:bCs w:val="0"/>
                <w:highlight w:val="none"/>
              </w:rPr>
              <w:t>机械设备防止严重漏油，运行中产生的油污水不随意污染道路及水源。</w:t>
            </w:r>
          </w:p>
        </w:tc>
      </w:tr>
      <w:tr w14:paraId="401E84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4" w:type="pct"/>
            <w:shd w:val="clear" w:color="auto" w:fill="auto"/>
            <w:vAlign w:val="center"/>
          </w:tcPr>
          <w:p w14:paraId="073958E5">
            <w:pPr>
              <w:pStyle w:val="53"/>
              <w:rPr>
                <w:highlight w:val="none"/>
              </w:rPr>
            </w:pPr>
            <w:r>
              <w:rPr>
                <w:highlight w:val="none"/>
              </w:rPr>
              <w:t>5</w:t>
            </w:r>
          </w:p>
        </w:tc>
        <w:tc>
          <w:tcPr>
            <w:tcW w:w="4605" w:type="pct"/>
            <w:shd w:val="clear" w:color="auto" w:fill="auto"/>
            <w:vAlign w:val="center"/>
          </w:tcPr>
          <w:p w14:paraId="4DC7A32C">
            <w:pPr>
              <w:pStyle w:val="53"/>
              <w:jc w:val="both"/>
              <w:rPr>
                <w:b w:val="0"/>
                <w:bCs w:val="0"/>
                <w:highlight w:val="none"/>
              </w:rPr>
            </w:pPr>
            <w:r>
              <w:rPr>
                <w:b w:val="0"/>
                <w:bCs w:val="0"/>
                <w:highlight w:val="none"/>
              </w:rPr>
              <w:t>合理规划使用施工场地内各种车辆、机械、设备，减少噪音累加，尽量采用底噪音设备，控制噪音污染。</w:t>
            </w:r>
          </w:p>
        </w:tc>
      </w:tr>
      <w:tr w14:paraId="5A81CA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94" w:type="pct"/>
            <w:shd w:val="clear" w:color="auto" w:fill="auto"/>
            <w:vAlign w:val="center"/>
          </w:tcPr>
          <w:p w14:paraId="079A437E">
            <w:pPr>
              <w:pStyle w:val="53"/>
              <w:rPr>
                <w:highlight w:val="none"/>
              </w:rPr>
            </w:pPr>
            <w:r>
              <w:rPr>
                <w:highlight w:val="none"/>
              </w:rPr>
              <w:t>6</w:t>
            </w:r>
          </w:p>
        </w:tc>
        <w:tc>
          <w:tcPr>
            <w:tcW w:w="4605" w:type="pct"/>
            <w:shd w:val="clear" w:color="auto" w:fill="auto"/>
            <w:vAlign w:val="center"/>
          </w:tcPr>
          <w:p w14:paraId="2614D08D">
            <w:pPr>
              <w:pStyle w:val="53"/>
              <w:jc w:val="both"/>
              <w:rPr>
                <w:b w:val="0"/>
                <w:bCs w:val="0"/>
                <w:highlight w:val="none"/>
              </w:rPr>
            </w:pPr>
            <w:r>
              <w:rPr>
                <w:b w:val="0"/>
                <w:bCs w:val="0"/>
                <w:highlight w:val="none"/>
              </w:rPr>
              <w:t>装运土石方、建筑垃圾等车辆，采取覆盖措施，确保行驶途中不污染道路和环境</w:t>
            </w:r>
            <w:r>
              <w:rPr>
                <w:rFonts w:hint="eastAsia"/>
                <w:b w:val="0"/>
                <w:bCs w:val="0"/>
                <w:highlight w:val="none"/>
              </w:rPr>
              <w:t>。</w:t>
            </w:r>
          </w:p>
        </w:tc>
      </w:tr>
    </w:tbl>
    <w:p w14:paraId="3FD71618">
      <w:pPr>
        <w:pStyle w:val="5"/>
        <w:bidi w:val="0"/>
        <w:ind w:left="0" w:leftChars="0" w:firstLine="0" w:firstLineChars="0"/>
        <w:rPr>
          <w:highlight w:val="none"/>
        </w:rPr>
      </w:pPr>
      <w:r>
        <w:rPr>
          <w:rFonts w:hint="eastAsia"/>
          <w:highlight w:val="none"/>
        </w:rPr>
        <w:t>驻地文明施工管理措施</w:t>
      </w:r>
    </w:p>
    <w:p w14:paraId="2200FEA1">
      <w:pPr>
        <w:pStyle w:val="18"/>
        <w:adjustRightInd w:val="0"/>
        <w:rPr>
          <w:highlight w:val="none"/>
        </w:rPr>
      </w:pPr>
      <w:r>
        <w:rPr>
          <w:rFonts w:hint="eastAsia"/>
          <w:highlight w:val="none"/>
        </w:rPr>
        <w:t>表</w:t>
      </w:r>
      <w:r>
        <w:rPr>
          <w:highlight w:val="none"/>
        </w:rPr>
        <w:fldChar w:fldCharType="begin"/>
      </w:r>
      <w:r>
        <w:rPr>
          <w:highlight w:val="none"/>
        </w:rPr>
        <w:instrText xml:space="preserve"> </w:instrText>
      </w:r>
      <w:r>
        <w:rPr>
          <w:rFonts w:hint="eastAsia"/>
          <w:highlight w:val="none"/>
        </w:rPr>
        <w:instrText xml:space="preserve">STYLEREF 2 \s</w:instrText>
      </w:r>
      <w:r>
        <w:rPr>
          <w:highlight w:val="none"/>
        </w:rPr>
        <w:instrText xml:space="preserve"> </w:instrText>
      </w:r>
      <w:r>
        <w:rPr>
          <w:highlight w:val="none"/>
        </w:rPr>
        <w:fldChar w:fldCharType="separate"/>
      </w:r>
      <w:r>
        <w:rPr>
          <w:rFonts w:hint="eastAsia"/>
          <w:highlight w:val="none"/>
        </w:rPr>
        <w:t>10.4</w:t>
      </w:r>
      <w:r>
        <w:rPr>
          <w:highlight w:val="none"/>
        </w:rPr>
        <w:fldChar w:fldCharType="end"/>
      </w:r>
      <w:r>
        <w:rPr>
          <w:rFonts w:hint="eastAsia"/>
          <w:highlight w:val="none"/>
        </w:rPr>
        <w:t>.4</w:t>
      </w:r>
      <w:r>
        <w:rPr>
          <w:highlight w:val="none"/>
        </w:rPr>
        <w:noBreakHyphen/>
      </w:r>
      <w:r>
        <w:rPr>
          <w:rFonts w:hint="eastAsia"/>
          <w:highlight w:val="none"/>
        </w:rPr>
        <w:t>1驻地文明施工管理措施</w:t>
      </w:r>
    </w:p>
    <w:tbl>
      <w:tblPr>
        <w:tblStyle w:val="44"/>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FFFFFF"/>
        <w:tblLayout w:type="autofit"/>
        <w:tblCellMar>
          <w:top w:w="0" w:type="dxa"/>
          <w:left w:w="0" w:type="dxa"/>
          <w:bottom w:w="0" w:type="dxa"/>
          <w:right w:w="0" w:type="dxa"/>
        </w:tblCellMar>
      </w:tblPr>
      <w:tblGrid>
        <w:gridCol w:w="667"/>
        <w:gridCol w:w="1085"/>
        <w:gridCol w:w="6581"/>
      </w:tblGrid>
      <w:tr w14:paraId="0C8583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FFFFFF"/>
          <w:tblCellMar>
            <w:top w:w="0" w:type="dxa"/>
            <w:left w:w="0" w:type="dxa"/>
            <w:bottom w:w="0" w:type="dxa"/>
            <w:right w:w="0" w:type="dxa"/>
          </w:tblCellMar>
        </w:tblPrEx>
        <w:trPr>
          <w:trHeight w:val="454" w:hRule="atLeast"/>
          <w:tblHeader/>
          <w:jc w:val="center"/>
        </w:trPr>
        <w:tc>
          <w:tcPr>
            <w:tcW w:w="400" w:type="pct"/>
            <w:shd w:val="clear" w:color="auto" w:fill="FFFFFF"/>
            <w:vAlign w:val="center"/>
          </w:tcPr>
          <w:p w14:paraId="7FA4C138">
            <w:pPr>
              <w:pStyle w:val="53"/>
              <w:rPr>
                <w:highlight w:val="none"/>
              </w:rPr>
            </w:pPr>
            <w:r>
              <w:rPr>
                <w:highlight w:val="none"/>
              </w:rPr>
              <w:t>序号</w:t>
            </w:r>
          </w:p>
        </w:tc>
        <w:tc>
          <w:tcPr>
            <w:tcW w:w="651" w:type="pct"/>
            <w:shd w:val="clear" w:color="auto" w:fill="FFFFFF"/>
            <w:vAlign w:val="center"/>
          </w:tcPr>
          <w:p w14:paraId="3384732B">
            <w:pPr>
              <w:pStyle w:val="53"/>
              <w:rPr>
                <w:highlight w:val="none"/>
              </w:rPr>
            </w:pPr>
            <w:r>
              <w:rPr>
                <w:highlight w:val="none"/>
              </w:rPr>
              <w:t>项目区域</w:t>
            </w:r>
          </w:p>
        </w:tc>
        <w:tc>
          <w:tcPr>
            <w:tcW w:w="3948" w:type="pct"/>
            <w:shd w:val="clear" w:color="auto" w:fill="FFFFFF"/>
            <w:vAlign w:val="center"/>
          </w:tcPr>
          <w:p w14:paraId="5180AFE6">
            <w:pPr>
              <w:pStyle w:val="53"/>
              <w:rPr>
                <w:highlight w:val="none"/>
              </w:rPr>
            </w:pPr>
            <w:r>
              <w:rPr>
                <w:highlight w:val="none"/>
              </w:rPr>
              <w:t>主要保证措施</w:t>
            </w:r>
          </w:p>
        </w:tc>
      </w:tr>
      <w:tr w14:paraId="60DEE3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FFFFFF"/>
          <w:tblCellMar>
            <w:top w:w="0" w:type="dxa"/>
            <w:left w:w="0" w:type="dxa"/>
            <w:bottom w:w="0" w:type="dxa"/>
            <w:right w:w="0" w:type="dxa"/>
          </w:tblCellMar>
        </w:tblPrEx>
        <w:trPr>
          <w:trHeight w:val="454" w:hRule="atLeast"/>
          <w:jc w:val="center"/>
        </w:trPr>
        <w:tc>
          <w:tcPr>
            <w:tcW w:w="400" w:type="pct"/>
            <w:shd w:val="clear" w:color="auto" w:fill="FFFFFF"/>
            <w:vAlign w:val="center"/>
          </w:tcPr>
          <w:p w14:paraId="313C5E95">
            <w:pPr>
              <w:pStyle w:val="53"/>
              <w:rPr>
                <w:highlight w:val="none"/>
              </w:rPr>
            </w:pPr>
            <w:r>
              <w:rPr>
                <w:highlight w:val="none"/>
              </w:rPr>
              <w:t>1</w:t>
            </w:r>
          </w:p>
        </w:tc>
        <w:tc>
          <w:tcPr>
            <w:tcW w:w="651" w:type="pct"/>
            <w:shd w:val="clear" w:color="auto" w:fill="FFFFFF"/>
            <w:vAlign w:val="center"/>
          </w:tcPr>
          <w:p w14:paraId="64EFD634">
            <w:pPr>
              <w:pStyle w:val="53"/>
              <w:rPr>
                <w:highlight w:val="none"/>
              </w:rPr>
            </w:pPr>
            <w:r>
              <w:rPr>
                <w:highlight w:val="none"/>
              </w:rPr>
              <w:t>生活区</w:t>
            </w:r>
          </w:p>
        </w:tc>
        <w:tc>
          <w:tcPr>
            <w:tcW w:w="3948" w:type="pct"/>
            <w:shd w:val="clear" w:color="auto" w:fill="FFFFFF"/>
            <w:vAlign w:val="center"/>
          </w:tcPr>
          <w:p w14:paraId="546D68E7">
            <w:pPr>
              <w:pStyle w:val="53"/>
              <w:jc w:val="both"/>
              <w:rPr>
                <w:b w:val="0"/>
                <w:bCs w:val="0"/>
                <w:highlight w:val="none"/>
              </w:rPr>
            </w:pPr>
            <w:r>
              <w:rPr>
                <w:rFonts w:hint="eastAsia"/>
                <w:b w:val="0"/>
                <w:bCs w:val="0"/>
                <w:highlight w:val="none"/>
              </w:rPr>
              <w:t>（1）</w:t>
            </w:r>
            <w:r>
              <w:rPr>
                <w:b w:val="0"/>
                <w:bCs w:val="0"/>
                <w:highlight w:val="none"/>
              </w:rPr>
              <w:t>按批准的施工组织设计平面布置图，修建宿舍、食堂、开水房、淋浴间、厕所、卫生室、文体活动场所、封闭式垃圾站、污水处理站、消防通道等生活区临建设施，合理布局，做到生活设施规范化、标准化、人性化。</w:t>
            </w:r>
          </w:p>
          <w:p w14:paraId="09810C1D">
            <w:pPr>
              <w:pStyle w:val="53"/>
              <w:jc w:val="both"/>
              <w:rPr>
                <w:b w:val="0"/>
                <w:bCs w:val="0"/>
                <w:highlight w:val="none"/>
              </w:rPr>
            </w:pPr>
            <w:r>
              <w:rPr>
                <w:rFonts w:hint="eastAsia"/>
                <w:b w:val="0"/>
                <w:bCs w:val="0"/>
                <w:highlight w:val="none"/>
              </w:rPr>
              <w:t>（2）</w:t>
            </w:r>
            <w:r>
              <w:rPr>
                <w:b w:val="0"/>
                <w:bCs w:val="0"/>
                <w:highlight w:val="none"/>
              </w:rPr>
              <w:t>在生活区入口处设置门楼，并设置生活区指示牌、路牌指示牌；宿舍区设宣传教育栏、住宿人员一览表，切实起到教育、表扬先进、促进后进的作用；在生活区临建设施处设相对应的规章制度及标识标牌；在生活区周围插设宣传旗。</w:t>
            </w:r>
          </w:p>
          <w:p w14:paraId="2B5BD548">
            <w:pPr>
              <w:pStyle w:val="53"/>
              <w:jc w:val="both"/>
              <w:rPr>
                <w:b w:val="0"/>
                <w:bCs w:val="0"/>
                <w:highlight w:val="none"/>
              </w:rPr>
            </w:pPr>
            <w:r>
              <w:rPr>
                <w:rFonts w:hint="eastAsia"/>
                <w:b w:val="0"/>
                <w:bCs w:val="0"/>
                <w:highlight w:val="none"/>
              </w:rPr>
              <w:t>（3）</w:t>
            </w:r>
            <w:r>
              <w:rPr>
                <w:b w:val="0"/>
                <w:bCs w:val="0"/>
                <w:highlight w:val="none"/>
              </w:rPr>
              <w:t>做好生活区场地硬化、绿化；按规范要求建设专项生活办公区水电供应设施及排水设施，严禁电线私拉乱接、使用大功率用电设备，严禁乱排污水；做好安全消防设施。</w:t>
            </w:r>
          </w:p>
          <w:p w14:paraId="588AF733">
            <w:pPr>
              <w:pStyle w:val="53"/>
              <w:jc w:val="both"/>
              <w:rPr>
                <w:b w:val="0"/>
                <w:bCs w:val="0"/>
                <w:highlight w:val="none"/>
              </w:rPr>
            </w:pPr>
            <w:r>
              <w:rPr>
                <w:rFonts w:hint="eastAsia"/>
                <w:b w:val="0"/>
                <w:bCs w:val="0"/>
                <w:highlight w:val="none"/>
              </w:rPr>
              <w:t>（4）</w:t>
            </w:r>
            <w:r>
              <w:rPr>
                <w:b w:val="0"/>
                <w:bCs w:val="0"/>
                <w:highlight w:val="none"/>
              </w:rPr>
              <w:t>生活区设施设专人维护，生活区（宿舍、食堂、厕所等）由专人清洁。宿舍整洁、物品有序；保持食堂通风、卫生、清洁；室外环境清洁，无污物、污水；垃圾密封存放，及时清运；厕所定期喷药，无异味，清洁卫生等。</w:t>
            </w:r>
          </w:p>
          <w:p w14:paraId="7EFBC6C6">
            <w:pPr>
              <w:pStyle w:val="53"/>
              <w:jc w:val="both"/>
              <w:rPr>
                <w:b w:val="0"/>
                <w:bCs w:val="0"/>
                <w:highlight w:val="none"/>
              </w:rPr>
            </w:pPr>
            <w:r>
              <w:rPr>
                <w:rFonts w:hint="eastAsia"/>
                <w:b w:val="0"/>
                <w:bCs w:val="0"/>
                <w:highlight w:val="none"/>
              </w:rPr>
              <w:t>（5）</w:t>
            </w:r>
            <w:r>
              <w:rPr>
                <w:b w:val="0"/>
                <w:bCs w:val="0"/>
                <w:highlight w:val="none"/>
              </w:rPr>
              <w:t>定期进行生活区文明施工检查，开展文明施工宣传。在宣传教育栏中对生活区文明情况进行奖罚公告、督促整改，创造一个和谐、有序、文明的生活环境。</w:t>
            </w:r>
          </w:p>
        </w:tc>
      </w:tr>
      <w:tr w14:paraId="5CE24B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FFFFFF"/>
          <w:tblCellMar>
            <w:top w:w="0" w:type="dxa"/>
            <w:left w:w="0" w:type="dxa"/>
            <w:bottom w:w="0" w:type="dxa"/>
            <w:right w:w="0" w:type="dxa"/>
          </w:tblCellMar>
        </w:tblPrEx>
        <w:trPr>
          <w:trHeight w:val="454" w:hRule="atLeast"/>
          <w:jc w:val="center"/>
        </w:trPr>
        <w:tc>
          <w:tcPr>
            <w:tcW w:w="400" w:type="pct"/>
            <w:shd w:val="clear" w:color="auto" w:fill="FFFFFF"/>
            <w:vAlign w:val="center"/>
          </w:tcPr>
          <w:p w14:paraId="1104E90B">
            <w:pPr>
              <w:pStyle w:val="53"/>
              <w:rPr>
                <w:highlight w:val="none"/>
              </w:rPr>
            </w:pPr>
            <w:r>
              <w:rPr>
                <w:highlight w:val="none"/>
              </w:rPr>
              <w:t>2</w:t>
            </w:r>
          </w:p>
        </w:tc>
        <w:tc>
          <w:tcPr>
            <w:tcW w:w="651" w:type="pct"/>
            <w:shd w:val="clear" w:color="auto" w:fill="FFFFFF"/>
            <w:vAlign w:val="center"/>
          </w:tcPr>
          <w:p w14:paraId="5C5CDC78">
            <w:pPr>
              <w:pStyle w:val="53"/>
              <w:rPr>
                <w:highlight w:val="none"/>
              </w:rPr>
            </w:pPr>
            <w:r>
              <w:rPr>
                <w:highlight w:val="none"/>
              </w:rPr>
              <w:t>办公区</w:t>
            </w:r>
          </w:p>
        </w:tc>
        <w:tc>
          <w:tcPr>
            <w:tcW w:w="3948" w:type="pct"/>
            <w:shd w:val="clear" w:color="auto" w:fill="FFFFFF"/>
            <w:vAlign w:val="center"/>
          </w:tcPr>
          <w:p w14:paraId="3BF162A7">
            <w:pPr>
              <w:pStyle w:val="53"/>
              <w:jc w:val="both"/>
              <w:rPr>
                <w:b w:val="0"/>
                <w:bCs w:val="0"/>
                <w:highlight w:val="none"/>
              </w:rPr>
            </w:pPr>
            <w:r>
              <w:rPr>
                <w:rFonts w:hint="eastAsia"/>
                <w:b w:val="0"/>
                <w:bCs w:val="0"/>
                <w:highlight w:val="none"/>
              </w:rPr>
              <w:t>（1）</w:t>
            </w:r>
            <w:r>
              <w:rPr>
                <w:b w:val="0"/>
                <w:bCs w:val="0"/>
                <w:highlight w:val="none"/>
              </w:rPr>
              <w:t>按批准的施工组织设计平面布置图，建设规范化、标准化的项目部大门、门卫、围墙、围挡、旗杆、旗帜、宣传教育栏、洗车台、停车场、门厅、会议室、办公室等办公区临建设施。</w:t>
            </w:r>
          </w:p>
          <w:p w14:paraId="0B920D7A">
            <w:pPr>
              <w:pStyle w:val="53"/>
              <w:jc w:val="both"/>
              <w:rPr>
                <w:b w:val="0"/>
                <w:bCs w:val="0"/>
                <w:highlight w:val="none"/>
              </w:rPr>
            </w:pPr>
            <w:r>
              <w:rPr>
                <w:rFonts w:hint="eastAsia"/>
                <w:b w:val="0"/>
                <w:bCs w:val="0"/>
                <w:highlight w:val="none"/>
              </w:rPr>
              <w:t>（2）</w:t>
            </w:r>
            <w:r>
              <w:rPr>
                <w:b w:val="0"/>
                <w:bCs w:val="0"/>
                <w:highlight w:val="none"/>
              </w:rPr>
              <w:t>在大门入口处，设置周正醒目的“七牌一图”，即工程概况牌、工程责任人牌、安全制度牌、消防保卫制度牌、环境保护制度牌、文明施工牌、工程创优牌、施工总平面布置图。</w:t>
            </w:r>
          </w:p>
          <w:p w14:paraId="4FFE9DCB">
            <w:pPr>
              <w:pStyle w:val="53"/>
              <w:jc w:val="both"/>
              <w:rPr>
                <w:b w:val="0"/>
                <w:bCs w:val="0"/>
                <w:highlight w:val="none"/>
              </w:rPr>
            </w:pPr>
            <w:r>
              <w:rPr>
                <w:rFonts w:hint="eastAsia"/>
                <w:b w:val="0"/>
                <w:bCs w:val="0"/>
                <w:highlight w:val="none"/>
              </w:rPr>
              <w:t>（3）</w:t>
            </w:r>
            <w:r>
              <w:rPr>
                <w:b w:val="0"/>
                <w:bCs w:val="0"/>
                <w:highlight w:val="none"/>
              </w:rPr>
              <w:t>在门厅设立宣传教育栏、办公区平面布置图及其它标识标牌，在办公区周围插设宣传旗，切实起到教育、宣传作用。</w:t>
            </w:r>
          </w:p>
          <w:p w14:paraId="2FCFFE8B">
            <w:pPr>
              <w:pStyle w:val="53"/>
              <w:jc w:val="both"/>
              <w:rPr>
                <w:b w:val="0"/>
                <w:bCs w:val="0"/>
                <w:highlight w:val="none"/>
              </w:rPr>
            </w:pPr>
            <w:r>
              <w:rPr>
                <w:rFonts w:hint="eastAsia"/>
                <w:b w:val="0"/>
                <w:bCs w:val="0"/>
                <w:highlight w:val="none"/>
              </w:rPr>
              <w:t>（4）</w:t>
            </w:r>
            <w:r>
              <w:rPr>
                <w:b w:val="0"/>
                <w:bCs w:val="0"/>
                <w:highlight w:val="none"/>
              </w:rPr>
              <w:t>办公室或值班室，墙面悬挂现场总平面布置图、施工形象进度图、组织机构、工作职责、工作制度。</w:t>
            </w:r>
          </w:p>
          <w:p w14:paraId="0C831AC2">
            <w:pPr>
              <w:pStyle w:val="53"/>
              <w:jc w:val="both"/>
              <w:rPr>
                <w:b w:val="0"/>
                <w:bCs w:val="0"/>
                <w:highlight w:val="none"/>
              </w:rPr>
            </w:pPr>
            <w:r>
              <w:rPr>
                <w:rFonts w:hint="eastAsia"/>
                <w:b w:val="0"/>
                <w:bCs w:val="0"/>
                <w:highlight w:val="none"/>
              </w:rPr>
              <w:t>（5）</w:t>
            </w:r>
            <w:r>
              <w:rPr>
                <w:b w:val="0"/>
                <w:bCs w:val="0"/>
                <w:highlight w:val="none"/>
              </w:rPr>
              <w:t>办公区设施设专人维护，办公区（办公室、会议室、门厅等）由专人清洁，做到办公室整洁、物品有序，给员工提供一个良好的办公环境。门卫室做好外来人员、车辆登记，并做到车辆停放规范。</w:t>
            </w:r>
          </w:p>
          <w:p w14:paraId="45C8D0E2">
            <w:pPr>
              <w:pStyle w:val="53"/>
              <w:jc w:val="both"/>
              <w:rPr>
                <w:b w:val="0"/>
                <w:bCs w:val="0"/>
                <w:highlight w:val="none"/>
              </w:rPr>
            </w:pPr>
            <w:r>
              <w:rPr>
                <w:b w:val="0"/>
                <w:bCs w:val="0"/>
                <w:highlight w:val="none"/>
              </w:rPr>
              <w:t>文明施工管理员每天对办公区进行检查，并在宣传教育栏中进行奖罚公告、督促整改，创造一个和谐、有序办公环境。</w:t>
            </w:r>
          </w:p>
          <w:p w14:paraId="628DD046">
            <w:pPr>
              <w:pStyle w:val="53"/>
              <w:jc w:val="both"/>
              <w:rPr>
                <w:b w:val="0"/>
                <w:bCs w:val="0"/>
                <w:highlight w:val="none"/>
              </w:rPr>
            </w:pPr>
            <w:r>
              <w:rPr>
                <w:rFonts w:hint="eastAsia"/>
                <w:b w:val="0"/>
                <w:bCs w:val="0"/>
                <w:highlight w:val="none"/>
              </w:rPr>
              <w:t>（6）</w:t>
            </w:r>
            <w:r>
              <w:rPr>
                <w:b w:val="0"/>
                <w:bCs w:val="0"/>
                <w:highlight w:val="none"/>
              </w:rPr>
              <w:t>做好办公区场地硬化、绿化，按规范要求建设专项生活办公区水电供应设施及排水设施，严禁电线私拉乱接、使用大功率用电设备，严禁乱排污水；做好安全消防设施。</w:t>
            </w:r>
          </w:p>
        </w:tc>
      </w:tr>
    </w:tbl>
    <w:p w14:paraId="0D3AC6F3">
      <w:pPr>
        <w:pStyle w:val="5"/>
        <w:bidi w:val="0"/>
        <w:ind w:left="0" w:leftChars="0" w:firstLine="0" w:firstLineChars="0"/>
        <w:rPr>
          <w:highlight w:val="none"/>
        </w:rPr>
      </w:pPr>
      <w:r>
        <w:rPr>
          <w:rFonts w:hint="eastAsia"/>
          <w:highlight w:val="none"/>
        </w:rPr>
        <w:t>现场文明施工管理措施</w:t>
      </w:r>
    </w:p>
    <w:p w14:paraId="7CB16677">
      <w:pPr>
        <w:ind w:firstLine="480"/>
        <w:rPr>
          <w:highlight w:val="none"/>
        </w:rPr>
      </w:pPr>
      <w:r>
        <w:rPr>
          <w:rFonts w:hint="eastAsia"/>
          <w:highlight w:val="none"/>
        </w:rPr>
        <w:t>（1）修建的生产和生活设施，合理布局。</w:t>
      </w:r>
    </w:p>
    <w:p w14:paraId="29050276">
      <w:pPr>
        <w:ind w:firstLine="480"/>
        <w:rPr>
          <w:highlight w:val="none"/>
        </w:rPr>
      </w:pPr>
      <w:r>
        <w:rPr>
          <w:rFonts w:hint="eastAsia"/>
          <w:highlight w:val="none"/>
        </w:rPr>
        <w:t>（2）建立文明施工责任区，划分区域明确责任人，挂牌监督。</w:t>
      </w:r>
    </w:p>
    <w:p w14:paraId="055C2431">
      <w:pPr>
        <w:ind w:firstLine="480"/>
        <w:rPr>
          <w:highlight w:val="none"/>
        </w:rPr>
      </w:pPr>
      <w:r>
        <w:rPr>
          <w:rFonts w:hint="eastAsia"/>
          <w:highlight w:val="none"/>
        </w:rPr>
        <w:t>（3）临时场地布置科学合理，机具材料堆放有序，布局合理，无造成污染的现象。</w:t>
      </w:r>
    </w:p>
    <w:p w14:paraId="2CFFAC21">
      <w:pPr>
        <w:ind w:firstLine="480"/>
        <w:rPr>
          <w:highlight w:val="none"/>
        </w:rPr>
      </w:pPr>
      <w:r>
        <w:rPr>
          <w:rFonts w:hint="eastAsia"/>
          <w:highlight w:val="none"/>
        </w:rPr>
        <w:t>（4）施工现场做好文明施工宣传标识牌布置，要齐全、美观、整齐、按照规定的材料、式样、颜色、内容等标准格式统一加工制作。</w:t>
      </w:r>
    </w:p>
    <w:p w14:paraId="0B4D5F75">
      <w:pPr>
        <w:ind w:firstLine="480"/>
        <w:rPr>
          <w:highlight w:val="none"/>
        </w:rPr>
      </w:pPr>
      <w:r>
        <w:rPr>
          <w:rFonts w:hint="eastAsia"/>
          <w:highlight w:val="none"/>
        </w:rPr>
        <w:t>（5）对进场的材料、机具、安全禁令标志、配电箱、消防器材等严格按布置图位置进行堆放、设置，堆放设置要做到整齐有序，材料挂设标识牌，注明名称、品种、规格、检验状态。每天由专职文明施工管理员负责检查。</w:t>
      </w:r>
    </w:p>
    <w:p w14:paraId="733046D5">
      <w:pPr>
        <w:ind w:firstLine="480"/>
        <w:rPr>
          <w:highlight w:val="none"/>
        </w:rPr>
        <w:sectPr>
          <w:footerReference r:id="rId15" w:type="default"/>
          <w:pgSz w:w="11906" w:h="16838"/>
          <w:pgMar w:top="1440" w:right="1800" w:bottom="1440" w:left="1800" w:header="851" w:footer="992" w:gutter="0"/>
          <w:cols w:space="425" w:num="1"/>
          <w:docGrid w:linePitch="498" w:charSpace="17788"/>
        </w:sectPr>
      </w:pPr>
      <w:r>
        <w:rPr>
          <w:rFonts w:hint="eastAsia"/>
          <w:highlight w:val="none"/>
        </w:rPr>
        <w:t>（6）施工现场设置醒目的安全警示标志标语，作业场所有安全操作规程</w:t>
      </w:r>
    </w:p>
    <w:p w14:paraId="0BC9036C">
      <w:pPr>
        <w:pStyle w:val="3"/>
        <w:bidi w:val="0"/>
        <w:ind w:left="432" w:leftChars="0" w:hanging="432" w:firstLineChars="0"/>
        <w:rPr>
          <w:highlight w:val="none"/>
        </w:rPr>
      </w:pPr>
      <w:bookmarkStart w:id="211" w:name="_Toc29322"/>
      <w:bookmarkStart w:id="212" w:name="_Toc12062"/>
      <w:r>
        <w:rPr>
          <w:rFonts w:hint="eastAsia"/>
          <w:highlight w:val="none"/>
          <w:lang w:val="en-US" w:eastAsia="zh-CN"/>
        </w:rPr>
        <w:t>吊装及吊索选型</w:t>
      </w:r>
      <w:r>
        <w:rPr>
          <w:rFonts w:hint="eastAsia"/>
          <w:highlight w:val="none"/>
        </w:rPr>
        <w:t>计算书</w:t>
      </w:r>
      <w:bookmarkEnd w:id="211"/>
      <w:bookmarkEnd w:id="212"/>
    </w:p>
    <w:p w14:paraId="17F58339">
      <w:pPr>
        <w:pStyle w:val="4"/>
        <w:bidi w:val="0"/>
        <w:ind w:left="0" w:leftChars="0" w:firstLine="0" w:firstLineChars="0"/>
        <w:rPr>
          <w:highlight w:val="none"/>
        </w:rPr>
      </w:pPr>
      <w:bookmarkStart w:id="213" w:name="_Toc5716"/>
      <w:bookmarkStart w:id="214" w:name="_Toc8152"/>
      <w:r>
        <w:rPr>
          <w:rFonts w:hint="eastAsia"/>
          <w:highlight w:val="none"/>
        </w:rPr>
        <w:t>选用的吊索受力计算</w:t>
      </w:r>
      <w:bookmarkEnd w:id="213"/>
      <w:bookmarkEnd w:id="214"/>
    </w:p>
    <w:p w14:paraId="1FD960BB">
      <w:pPr>
        <w:pStyle w:val="5"/>
        <w:bidi w:val="0"/>
        <w:ind w:left="0" w:leftChars="0" w:firstLine="0" w:firstLineChars="0"/>
        <w:rPr>
          <w:highlight w:val="none"/>
        </w:rPr>
      </w:pPr>
      <w:bookmarkStart w:id="215" w:name="_Toc7720"/>
      <w:bookmarkStart w:id="216" w:name="_Toc4685"/>
      <w:bookmarkStart w:id="217" w:name="_Toc4403"/>
      <w:bookmarkStart w:id="218" w:name="_Toc10409856"/>
      <w:bookmarkStart w:id="219" w:name="_Toc19094"/>
      <w:bookmarkStart w:id="220" w:name="_Toc21344"/>
      <w:r>
        <w:rPr>
          <w:rFonts w:hint="eastAsia"/>
          <w:highlight w:val="none"/>
        </w:rPr>
        <w:t>汽车吊支反力计算</w:t>
      </w:r>
    </w:p>
    <w:p w14:paraId="1E8CD157">
      <w:pPr>
        <w:ind w:firstLine="803"/>
        <w:jc w:val="center"/>
        <w:rPr>
          <w:highlight w:val="none"/>
        </w:rPr>
      </w:pPr>
      <w:r>
        <w:rPr>
          <w:b/>
          <w:color w:val="000000"/>
          <w:sz w:val="40"/>
          <w:highlight w:val="none"/>
        </w:rPr>
        <w:t>液压汽车起重机吊装计算书</w:t>
      </w:r>
    </w:p>
    <w:p w14:paraId="4D54272B">
      <w:pPr>
        <w:ind w:firstLine="480"/>
        <w:rPr>
          <w:highlight w:val="none"/>
        </w:rPr>
      </w:pPr>
      <w:r>
        <w:rPr>
          <w:color w:val="000000"/>
          <w:highlight w:val="none"/>
        </w:rPr>
        <w:t xml:space="preserve">    计算依据：</w:t>
      </w:r>
    </w:p>
    <w:p w14:paraId="39BE0B67">
      <w:pPr>
        <w:ind w:firstLine="480"/>
        <w:rPr>
          <w:highlight w:val="none"/>
        </w:rPr>
      </w:pPr>
      <w:r>
        <w:rPr>
          <w:color w:val="000000"/>
          <w:highlight w:val="none"/>
        </w:rPr>
        <w:t xml:space="preserve">    1、《建筑结构荷载规范》GB 50009-2012</w:t>
      </w:r>
    </w:p>
    <w:p w14:paraId="0A4CD6DC">
      <w:pPr>
        <w:ind w:firstLine="480"/>
        <w:rPr>
          <w:highlight w:val="none"/>
        </w:rPr>
      </w:pPr>
      <w:r>
        <w:rPr>
          <w:color w:val="000000"/>
          <w:highlight w:val="none"/>
        </w:rPr>
        <w:t xml:space="preserve">    2、《建筑结构可靠性设计统一标准》GB50068-2018</w:t>
      </w:r>
    </w:p>
    <w:p w14:paraId="5AE701DD">
      <w:pPr>
        <w:ind w:firstLine="480"/>
        <w:rPr>
          <w:highlight w:val="none"/>
        </w:rPr>
      </w:pPr>
      <w:r>
        <w:rPr>
          <w:color w:val="000000"/>
          <w:highlight w:val="none"/>
        </w:rPr>
        <w:t xml:space="preserve">    3、《建筑地基基础设计规范》GB50007-2011</w:t>
      </w:r>
    </w:p>
    <w:p w14:paraId="1762434C">
      <w:pPr>
        <w:ind w:firstLine="480"/>
        <w:rPr>
          <w:highlight w:val="none"/>
        </w:rPr>
      </w:pPr>
      <w:r>
        <w:rPr>
          <w:color w:val="000000"/>
          <w:highlight w:val="none"/>
        </w:rPr>
        <w:t xml:space="preserve">    4、三一厂家STC1000C5-8型号汽车起重机说明书</w:t>
      </w:r>
    </w:p>
    <w:p w14:paraId="709D0D70">
      <w:pPr>
        <w:ind w:firstLine="562"/>
        <w:rPr>
          <w:highlight w:val="none"/>
        </w:rPr>
      </w:pPr>
      <w:r>
        <w:rPr>
          <w:b/>
          <w:color w:val="000000"/>
          <w:sz w:val="28"/>
          <w:highlight w:val="none"/>
        </w:rPr>
        <w:t xml:space="preserve"> 一、吊装要求</w:t>
      </w:r>
    </w:p>
    <w:tbl>
      <w:tblPr>
        <w:tblStyle w:val="44"/>
        <w:tblW w:w="9435" w:type="dxa"/>
        <w:jc w:val="center"/>
        <w:shd w:val="clear" w:color="auto" w:fill="FFFFFF"/>
        <w:tblLayout w:type="autofit"/>
        <w:tblCellMar>
          <w:top w:w="45" w:type="dxa"/>
          <w:left w:w="45" w:type="dxa"/>
          <w:bottom w:w="45" w:type="dxa"/>
          <w:right w:w="45" w:type="dxa"/>
        </w:tblCellMar>
      </w:tblPr>
      <w:tblGrid>
        <w:gridCol w:w="3109"/>
        <w:gridCol w:w="1608"/>
        <w:gridCol w:w="3110"/>
        <w:gridCol w:w="1608"/>
      </w:tblGrid>
      <w:tr w14:paraId="7596F26E">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0CF2CCD1">
            <w:pPr>
              <w:ind w:firstLine="360"/>
              <w:rPr>
                <w:highlight w:val="none"/>
              </w:rPr>
            </w:pPr>
            <w:r>
              <w:rPr>
                <w:color w:val="000000"/>
                <w:sz w:val="18"/>
                <w:highlight w:val="none"/>
              </w:rPr>
              <w:t>吊重G</w:t>
            </w:r>
            <w:r>
              <w:rPr>
                <w:color w:val="000000"/>
                <w:highlight w:val="none"/>
                <w:vertAlign w:val="subscript"/>
              </w:rPr>
              <w:t>w</w:t>
            </w:r>
            <w:r>
              <w:rPr>
                <w:color w:val="000000"/>
                <w:sz w:val="18"/>
                <w:highlight w:val="none"/>
              </w:rPr>
              <w:t>(吨)</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3A075A32">
            <w:pPr>
              <w:ind w:firstLine="360"/>
              <w:rPr>
                <w:highlight w:val="none"/>
              </w:rPr>
            </w:pPr>
            <w:r>
              <w:rPr>
                <w:color w:val="000000"/>
                <w:sz w:val="18"/>
                <w:highlight w:val="none"/>
              </w:rPr>
              <w:t>6.85</w:t>
            </w:r>
          </w:p>
        </w:tc>
        <w:tc>
          <w:tcPr>
            <w:tcW w:w="3105" w:type="dxa"/>
            <w:tcBorders>
              <w:top w:val="single" w:color="auto" w:sz="6" w:space="0"/>
              <w:left w:val="single" w:color="auto" w:sz="6" w:space="0"/>
              <w:bottom w:val="single" w:color="auto" w:sz="6" w:space="0"/>
              <w:right w:val="single" w:color="auto" w:sz="6" w:space="0"/>
            </w:tcBorders>
            <w:shd w:val="clear" w:color="auto" w:fill="FFFFFF"/>
          </w:tcPr>
          <w:p w14:paraId="33874937">
            <w:pPr>
              <w:ind w:firstLine="360"/>
              <w:rPr>
                <w:highlight w:val="none"/>
              </w:rPr>
            </w:pPr>
            <w:r>
              <w:rPr>
                <w:color w:val="000000"/>
                <w:sz w:val="18"/>
                <w:highlight w:val="none"/>
              </w:rPr>
              <w:t>起吊动力系数K</w:t>
            </w:r>
            <w:r>
              <w:rPr>
                <w:color w:val="000000"/>
                <w:highlight w:val="none"/>
                <w:vertAlign w:val="subscript"/>
              </w:rPr>
              <w:t>1</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50CF9073">
            <w:pPr>
              <w:ind w:firstLine="360"/>
              <w:rPr>
                <w:highlight w:val="none"/>
              </w:rPr>
            </w:pPr>
            <w:r>
              <w:rPr>
                <w:color w:val="000000"/>
                <w:sz w:val="18"/>
                <w:highlight w:val="none"/>
              </w:rPr>
              <w:t>1.2</w:t>
            </w:r>
          </w:p>
        </w:tc>
      </w:tr>
    </w:tbl>
    <w:p w14:paraId="4120D38D">
      <w:pPr>
        <w:ind w:firstLine="562"/>
        <w:rPr>
          <w:highlight w:val="none"/>
        </w:rPr>
      </w:pPr>
      <w:r>
        <w:rPr>
          <w:b/>
          <w:color w:val="000000"/>
          <w:sz w:val="28"/>
          <w:highlight w:val="none"/>
        </w:rPr>
        <w:t xml:space="preserve"> 二、汽车式起重机支腿力计算</w:t>
      </w:r>
    </w:p>
    <w:p w14:paraId="19363266">
      <w:pPr>
        <w:ind w:firstLine="482"/>
        <w:rPr>
          <w:highlight w:val="none"/>
        </w:rPr>
      </w:pPr>
      <w:r>
        <w:rPr>
          <w:b/>
          <w:color w:val="000000"/>
          <w:highlight w:val="none"/>
        </w:rPr>
        <w:t xml:space="preserve">  1、汽车式起重机参数</w:t>
      </w:r>
    </w:p>
    <w:tbl>
      <w:tblPr>
        <w:tblStyle w:val="44"/>
        <w:tblW w:w="9435" w:type="dxa"/>
        <w:jc w:val="center"/>
        <w:shd w:val="clear" w:color="auto" w:fill="FFFFFF"/>
        <w:tblLayout w:type="autofit"/>
        <w:tblCellMar>
          <w:top w:w="45" w:type="dxa"/>
          <w:left w:w="45" w:type="dxa"/>
          <w:bottom w:w="45" w:type="dxa"/>
          <w:right w:w="45" w:type="dxa"/>
        </w:tblCellMar>
      </w:tblPr>
      <w:tblGrid>
        <w:gridCol w:w="3109"/>
        <w:gridCol w:w="1608"/>
        <w:gridCol w:w="3110"/>
        <w:gridCol w:w="1608"/>
      </w:tblGrid>
      <w:tr w14:paraId="08CC35F3">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4" w:space="0"/>
              <w:left w:val="single" w:color="auto" w:sz="4" w:space="0"/>
              <w:bottom w:val="single" w:color="auto" w:sz="4" w:space="0"/>
              <w:right w:val="single" w:color="auto" w:sz="4" w:space="0"/>
            </w:tcBorders>
            <w:shd w:val="clear" w:color="auto" w:fill="FFFFFF"/>
          </w:tcPr>
          <w:p w14:paraId="3F66D598">
            <w:pPr>
              <w:ind w:firstLine="360"/>
              <w:rPr>
                <w:highlight w:val="none"/>
              </w:rPr>
            </w:pPr>
            <w:r>
              <w:rPr>
                <w:color w:val="000000"/>
                <w:sz w:val="18"/>
                <w:highlight w:val="none"/>
              </w:rPr>
              <w:t>汽车起重机厂家</w:t>
            </w:r>
          </w:p>
        </w:tc>
        <w:tc>
          <w:tcPr>
            <w:tcW w:w="1605" w:type="dxa"/>
            <w:tcBorders>
              <w:top w:val="single" w:color="auto" w:sz="4" w:space="0"/>
              <w:left w:val="single" w:color="auto" w:sz="4" w:space="0"/>
              <w:bottom w:val="single" w:color="auto" w:sz="4" w:space="0"/>
              <w:right w:val="single" w:color="auto" w:sz="4" w:space="0"/>
            </w:tcBorders>
            <w:shd w:val="clear" w:color="auto" w:fill="FFFFFF"/>
          </w:tcPr>
          <w:p w14:paraId="22FDDD67">
            <w:pPr>
              <w:ind w:firstLine="360"/>
              <w:rPr>
                <w:highlight w:val="none"/>
              </w:rPr>
            </w:pPr>
            <w:r>
              <w:rPr>
                <w:color w:val="000000"/>
                <w:sz w:val="18"/>
                <w:highlight w:val="none"/>
              </w:rPr>
              <w:t>三一</w:t>
            </w:r>
          </w:p>
        </w:tc>
        <w:tc>
          <w:tcPr>
            <w:tcW w:w="3105" w:type="dxa"/>
            <w:tcBorders>
              <w:top w:val="single" w:color="auto" w:sz="4" w:space="0"/>
              <w:left w:val="single" w:color="auto" w:sz="4" w:space="0"/>
              <w:bottom w:val="single" w:color="auto" w:sz="4" w:space="0"/>
              <w:right w:val="single" w:color="auto" w:sz="4" w:space="0"/>
            </w:tcBorders>
            <w:shd w:val="clear" w:color="auto" w:fill="FFFFFF"/>
          </w:tcPr>
          <w:p w14:paraId="0F950E03">
            <w:pPr>
              <w:ind w:firstLine="360"/>
              <w:rPr>
                <w:highlight w:val="none"/>
              </w:rPr>
            </w:pPr>
            <w:r>
              <w:rPr>
                <w:color w:val="000000"/>
                <w:sz w:val="18"/>
                <w:highlight w:val="none"/>
              </w:rPr>
              <w:t>起重机型号</w:t>
            </w:r>
          </w:p>
        </w:tc>
        <w:tc>
          <w:tcPr>
            <w:tcW w:w="1605" w:type="dxa"/>
            <w:tcBorders>
              <w:top w:val="single" w:color="auto" w:sz="4" w:space="0"/>
              <w:left w:val="single" w:color="auto" w:sz="4" w:space="0"/>
              <w:bottom w:val="single" w:color="auto" w:sz="4" w:space="0"/>
              <w:right w:val="single" w:color="auto" w:sz="4" w:space="0"/>
            </w:tcBorders>
            <w:shd w:val="clear" w:color="auto" w:fill="FFFFFF"/>
          </w:tcPr>
          <w:p w14:paraId="16731B17">
            <w:pPr>
              <w:ind w:firstLine="360"/>
              <w:rPr>
                <w:highlight w:val="none"/>
              </w:rPr>
            </w:pPr>
            <w:r>
              <w:rPr>
                <w:color w:val="000000"/>
                <w:sz w:val="18"/>
                <w:highlight w:val="none"/>
              </w:rPr>
              <w:t>STC1000C5-8</w:t>
            </w:r>
          </w:p>
        </w:tc>
      </w:tr>
      <w:tr w14:paraId="21D6469E">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4" w:space="0"/>
              <w:left w:val="single" w:color="auto" w:sz="4" w:space="0"/>
              <w:bottom w:val="single" w:color="auto" w:sz="4" w:space="0"/>
              <w:right w:val="single" w:color="auto" w:sz="4" w:space="0"/>
            </w:tcBorders>
            <w:shd w:val="clear" w:color="auto" w:fill="FFFFFF"/>
          </w:tcPr>
          <w:p w14:paraId="312C5677">
            <w:pPr>
              <w:ind w:firstLine="360"/>
              <w:rPr>
                <w:highlight w:val="none"/>
              </w:rPr>
            </w:pPr>
            <w:r>
              <w:rPr>
                <w:color w:val="000000"/>
                <w:sz w:val="18"/>
                <w:highlight w:val="none"/>
              </w:rPr>
              <w:t>吊重G</w:t>
            </w:r>
            <w:r>
              <w:rPr>
                <w:color w:val="000000"/>
                <w:highlight w:val="none"/>
                <w:vertAlign w:val="subscript"/>
              </w:rPr>
              <w:t>w</w:t>
            </w:r>
            <w:r>
              <w:rPr>
                <w:color w:val="000000"/>
                <w:sz w:val="18"/>
                <w:highlight w:val="none"/>
              </w:rPr>
              <w:t>(吨)</w:t>
            </w:r>
          </w:p>
        </w:tc>
        <w:tc>
          <w:tcPr>
            <w:tcW w:w="1605" w:type="dxa"/>
            <w:tcBorders>
              <w:top w:val="single" w:color="auto" w:sz="4" w:space="0"/>
              <w:left w:val="single" w:color="auto" w:sz="4" w:space="0"/>
              <w:bottom w:val="single" w:color="auto" w:sz="4" w:space="0"/>
              <w:right w:val="single" w:color="auto" w:sz="4" w:space="0"/>
            </w:tcBorders>
            <w:shd w:val="clear" w:color="auto" w:fill="FFFFFF"/>
          </w:tcPr>
          <w:p w14:paraId="3A4CA923">
            <w:pPr>
              <w:ind w:firstLine="360"/>
              <w:rPr>
                <w:highlight w:val="none"/>
              </w:rPr>
            </w:pPr>
            <w:r>
              <w:rPr>
                <w:color w:val="000000"/>
                <w:sz w:val="18"/>
                <w:highlight w:val="none"/>
              </w:rPr>
              <w:t>6.85</w:t>
            </w:r>
          </w:p>
        </w:tc>
        <w:tc>
          <w:tcPr>
            <w:tcW w:w="3105" w:type="dxa"/>
            <w:tcBorders>
              <w:top w:val="single" w:color="auto" w:sz="4" w:space="0"/>
              <w:left w:val="single" w:color="auto" w:sz="4" w:space="0"/>
              <w:bottom w:val="single" w:color="auto" w:sz="4" w:space="0"/>
              <w:right w:val="single" w:color="auto" w:sz="4" w:space="0"/>
            </w:tcBorders>
            <w:shd w:val="clear" w:color="auto" w:fill="FFFFFF"/>
          </w:tcPr>
          <w:p w14:paraId="595A022B">
            <w:pPr>
              <w:ind w:firstLine="360"/>
              <w:rPr>
                <w:highlight w:val="none"/>
              </w:rPr>
            </w:pPr>
            <w:r>
              <w:rPr>
                <w:color w:val="000000"/>
                <w:sz w:val="18"/>
                <w:highlight w:val="none"/>
              </w:rPr>
              <w:t>起吊动力系数K</w:t>
            </w:r>
            <w:r>
              <w:rPr>
                <w:color w:val="000000"/>
                <w:highlight w:val="none"/>
                <w:vertAlign w:val="subscript"/>
              </w:rPr>
              <w:t>1</w:t>
            </w:r>
          </w:p>
        </w:tc>
        <w:tc>
          <w:tcPr>
            <w:tcW w:w="1605" w:type="dxa"/>
            <w:tcBorders>
              <w:top w:val="single" w:color="auto" w:sz="4" w:space="0"/>
              <w:left w:val="single" w:color="auto" w:sz="4" w:space="0"/>
              <w:bottom w:val="single" w:color="auto" w:sz="4" w:space="0"/>
              <w:right w:val="single" w:color="auto" w:sz="4" w:space="0"/>
            </w:tcBorders>
            <w:shd w:val="clear" w:color="auto" w:fill="FFFFFF"/>
          </w:tcPr>
          <w:p w14:paraId="0C54A91A">
            <w:pPr>
              <w:ind w:firstLine="360"/>
              <w:rPr>
                <w:highlight w:val="none"/>
              </w:rPr>
            </w:pPr>
            <w:r>
              <w:rPr>
                <w:color w:val="000000"/>
                <w:sz w:val="18"/>
                <w:highlight w:val="none"/>
              </w:rPr>
              <w:t>1.2</w:t>
            </w:r>
          </w:p>
        </w:tc>
      </w:tr>
      <w:tr w14:paraId="608F8829">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4" w:space="0"/>
              <w:left w:val="single" w:color="auto" w:sz="4" w:space="0"/>
              <w:bottom w:val="single" w:color="auto" w:sz="4" w:space="0"/>
              <w:right w:val="single" w:color="auto" w:sz="4" w:space="0"/>
            </w:tcBorders>
            <w:shd w:val="clear" w:color="auto" w:fill="FFFFFF"/>
          </w:tcPr>
          <w:p w14:paraId="17C5EAC2">
            <w:pPr>
              <w:ind w:firstLine="360"/>
              <w:rPr>
                <w:highlight w:val="none"/>
              </w:rPr>
            </w:pPr>
            <w:r>
              <w:rPr>
                <w:color w:val="000000"/>
                <w:sz w:val="18"/>
                <w:highlight w:val="none"/>
              </w:rPr>
              <w:t>工作幅度R(m)</w:t>
            </w:r>
          </w:p>
        </w:tc>
        <w:tc>
          <w:tcPr>
            <w:tcW w:w="1605" w:type="dxa"/>
            <w:tcBorders>
              <w:top w:val="single" w:color="auto" w:sz="4" w:space="0"/>
              <w:left w:val="single" w:color="auto" w:sz="4" w:space="0"/>
              <w:bottom w:val="single" w:color="auto" w:sz="4" w:space="0"/>
              <w:right w:val="single" w:color="auto" w:sz="4" w:space="0"/>
            </w:tcBorders>
            <w:shd w:val="clear" w:color="auto" w:fill="FFFFFF"/>
          </w:tcPr>
          <w:p w14:paraId="5A3CF6EE">
            <w:pPr>
              <w:ind w:firstLine="360"/>
              <w:rPr>
                <w:highlight w:val="none"/>
              </w:rPr>
            </w:pPr>
            <w:r>
              <w:rPr>
                <w:color w:val="000000"/>
                <w:sz w:val="18"/>
                <w:highlight w:val="none"/>
              </w:rPr>
              <w:t>22</w:t>
            </w:r>
          </w:p>
        </w:tc>
        <w:tc>
          <w:tcPr>
            <w:tcW w:w="3105" w:type="dxa"/>
            <w:tcBorders>
              <w:top w:val="single" w:color="auto" w:sz="4" w:space="0"/>
              <w:left w:val="single" w:color="auto" w:sz="4" w:space="0"/>
              <w:bottom w:val="single" w:color="auto" w:sz="4" w:space="0"/>
              <w:right w:val="single" w:color="auto" w:sz="4" w:space="0"/>
            </w:tcBorders>
            <w:shd w:val="clear" w:color="auto" w:fill="FFFFFF"/>
          </w:tcPr>
          <w:p w14:paraId="4F71B5BB">
            <w:pPr>
              <w:ind w:firstLine="360"/>
              <w:rPr>
                <w:highlight w:val="none"/>
              </w:rPr>
            </w:pPr>
            <w:r>
              <w:rPr>
                <w:color w:val="000000"/>
                <w:sz w:val="18"/>
                <w:highlight w:val="none"/>
              </w:rPr>
              <w:t>支腿纵向距离L(m)</w:t>
            </w:r>
          </w:p>
        </w:tc>
        <w:tc>
          <w:tcPr>
            <w:tcW w:w="1605" w:type="dxa"/>
            <w:tcBorders>
              <w:top w:val="single" w:color="auto" w:sz="4" w:space="0"/>
              <w:left w:val="single" w:color="auto" w:sz="4" w:space="0"/>
              <w:bottom w:val="single" w:color="auto" w:sz="4" w:space="0"/>
              <w:right w:val="single" w:color="auto" w:sz="4" w:space="0"/>
            </w:tcBorders>
            <w:shd w:val="clear" w:color="auto" w:fill="FFFFFF"/>
          </w:tcPr>
          <w:p w14:paraId="6E6D4833">
            <w:pPr>
              <w:ind w:firstLine="360"/>
              <w:rPr>
                <w:highlight w:val="none"/>
              </w:rPr>
            </w:pPr>
            <w:r>
              <w:rPr>
                <w:color w:val="000000"/>
                <w:sz w:val="18"/>
                <w:highlight w:val="none"/>
              </w:rPr>
              <w:t>6.63</w:t>
            </w:r>
          </w:p>
        </w:tc>
      </w:tr>
      <w:tr w14:paraId="2592BEEE">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4" w:space="0"/>
              <w:left w:val="single" w:color="auto" w:sz="4" w:space="0"/>
              <w:bottom w:val="single" w:color="auto" w:sz="4" w:space="0"/>
              <w:right w:val="single" w:color="auto" w:sz="4" w:space="0"/>
            </w:tcBorders>
            <w:shd w:val="clear" w:color="auto" w:fill="FFFFFF"/>
          </w:tcPr>
          <w:p w14:paraId="5F1B62D4">
            <w:pPr>
              <w:ind w:firstLine="360"/>
              <w:rPr>
                <w:highlight w:val="none"/>
              </w:rPr>
            </w:pPr>
            <w:r>
              <w:rPr>
                <w:color w:val="000000"/>
                <w:sz w:val="18"/>
                <w:highlight w:val="none"/>
              </w:rPr>
              <w:t>支腿横向距离B(m)</w:t>
            </w:r>
          </w:p>
        </w:tc>
        <w:tc>
          <w:tcPr>
            <w:tcW w:w="1605" w:type="dxa"/>
            <w:tcBorders>
              <w:top w:val="single" w:color="auto" w:sz="4" w:space="0"/>
              <w:left w:val="single" w:color="auto" w:sz="4" w:space="0"/>
              <w:bottom w:val="single" w:color="auto" w:sz="4" w:space="0"/>
              <w:right w:val="single" w:color="auto" w:sz="4" w:space="0"/>
            </w:tcBorders>
            <w:shd w:val="clear" w:color="auto" w:fill="FFFFFF"/>
          </w:tcPr>
          <w:p w14:paraId="355A864A">
            <w:pPr>
              <w:ind w:firstLine="360"/>
              <w:rPr>
                <w:highlight w:val="none"/>
              </w:rPr>
            </w:pPr>
            <w:r>
              <w:rPr>
                <w:color w:val="000000"/>
                <w:sz w:val="18"/>
                <w:highlight w:val="none"/>
              </w:rPr>
              <w:t>8.3</w:t>
            </w:r>
          </w:p>
        </w:tc>
        <w:tc>
          <w:tcPr>
            <w:tcW w:w="3105" w:type="dxa"/>
            <w:tcBorders>
              <w:top w:val="single" w:color="auto" w:sz="4" w:space="0"/>
              <w:left w:val="single" w:color="auto" w:sz="4" w:space="0"/>
              <w:bottom w:val="single" w:color="auto" w:sz="4" w:space="0"/>
              <w:right w:val="single" w:color="auto" w:sz="4" w:space="0"/>
            </w:tcBorders>
            <w:shd w:val="clear" w:color="auto" w:fill="FFFFFF"/>
          </w:tcPr>
          <w:p w14:paraId="34691978">
            <w:pPr>
              <w:ind w:firstLine="360"/>
              <w:rPr>
                <w:highlight w:val="none"/>
              </w:rPr>
            </w:pPr>
            <w:r>
              <w:rPr>
                <w:color w:val="000000"/>
                <w:sz w:val="18"/>
                <w:highlight w:val="none"/>
              </w:rPr>
              <w:t>后支腿距最后一排车轮距离s(m)</w:t>
            </w:r>
          </w:p>
        </w:tc>
        <w:tc>
          <w:tcPr>
            <w:tcW w:w="1605" w:type="dxa"/>
            <w:tcBorders>
              <w:top w:val="single" w:color="auto" w:sz="4" w:space="0"/>
              <w:left w:val="single" w:color="auto" w:sz="4" w:space="0"/>
              <w:bottom w:val="single" w:color="auto" w:sz="4" w:space="0"/>
              <w:right w:val="single" w:color="auto" w:sz="4" w:space="0"/>
            </w:tcBorders>
            <w:shd w:val="clear" w:color="auto" w:fill="FFFFFF"/>
          </w:tcPr>
          <w:p w14:paraId="4A850003">
            <w:pPr>
              <w:ind w:firstLine="360"/>
              <w:rPr>
                <w:highlight w:val="none"/>
              </w:rPr>
            </w:pPr>
            <w:r>
              <w:rPr>
                <w:color w:val="000000"/>
                <w:sz w:val="18"/>
                <w:highlight w:val="none"/>
              </w:rPr>
              <w:t>2.35</w:t>
            </w:r>
          </w:p>
        </w:tc>
      </w:tr>
      <w:tr w14:paraId="7F5E86C1">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4" w:space="0"/>
              <w:left w:val="single" w:color="auto" w:sz="4" w:space="0"/>
              <w:bottom w:val="single" w:color="auto" w:sz="4" w:space="0"/>
              <w:right w:val="single" w:color="auto" w:sz="4" w:space="0"/>
            </w:tcBorders>
            <w:shd w:val="clear" w:color="auto" w:fill="FFFFFF"/>
          </w:tcPr>
          <w:p w14:paraId="458F06DF">
            <w:pPr>
              <w:ind w:firstLine="360"/>
              <w:rPr>
                <w:highlight w:val="none"/>
              </w:rPr>
            </w:pPr>
            <w:r>
              <w:rPr>
                <w:color w:val="000000"/>
                <w:sz w:val="18"/>
                <w:highlight w:val="none"/>
              </w:rPr>
              <w:t>后支腿距旋转中心距离L</w:t>
            </w:r>
            <w:r>
              <w:rPr>
                <w:color w:val="000000"/>
                <w:highlight w:val="none"/>
                <w:vertAlign w:val="subscript"/>
              </w:rPr>
              <w:t>h</w:t>
            </w:r>
            <w:r>
              <w:rPr>
                <w:color w:val="000000"/>
                <w:sz w:val="18"/>
                <w:highlight w:val="none"/>
              </w:rPr>
              <w:t>(m)</w:t>
            </w:r>
          </w:p>
        </w:tc>
        <w:tc>
          <w:tcPr>
            <w:tcW w:w="1605" w:type="dxa"/>
            <w:tcBorders>
              <w:top w:val="single" w:color="auto" w:sz="4" w:space="0"/>
              <w:left w:val="single" w:color="auto" w:sz="4" w:space="0"/>
              <w:bottom w:val="single" w:color="auto" w:sz="4" w:space="0"/>
              <w:right w:val="single" w:color="auto" w:sz="4" w:space="0"/>
            </w:tcBorders>
            <w:shd w:val="clear" w:color="auto" w:fill="FFFFFF"/>
          </w:tcPr>
          <w:p w14:paraId="1A29ED3B">
            <w:pPr>
              <w:ind w:firstLine="360"/>
              <w:rPr>
                <w:highlight w:val="none"/>
              </w:rPr>
            </w:pPr>
            <w:r>
              <w:rPr>
                <w:color w:val="000000"/>
                <w:sz w:val="18"/>
                <w:highlight w:val="none"/>
              </w:rPr>
              <w:t>3.5</w:t>
            </w:r>
          </w:p>
        </w:tc>
        <w:tc>
          <w:tcPr>
            <w:tcW w:w="3105" w:type="dxa"/>
            <w:tcBorders>
              <w:top w:val="single" w:color="auto" w:sz="4" w:space="0"/>
              <w:left w:val="single" w:color="auto" w:sz="4" w:space="0"/>
              <w:bottom w:val="single" w:color="auto" w:sz="4" w:space="0"/>
              <w:right w:val="single" w:color="auto" w:sz="4" w:space="0"/>
            </w:tcBorders>
            <w:shd w:val="clear" w:color="auto" w:fill="FFFFFF"/>
          </w:tcPr>
          <w:p w14:paraId="07E87149">
            <w:pPr>
              <w:ind w:firstLine="360"/>
              <w:rPr>
                <w:highlight w:val="none"/>
              </w:rPr>
            </w:pPr>
            <w:r>
              <w:rPr>
                <w:color w:val="000000"/>
                <w:sz w:val="18"/>
                <w:highlight w:val="none"/>
              </w:rPr>
              <w:t>起重机自重G(吨)</w:t>
            </w:r>
          </w:p>
        </w:tc>
        <w:tc>
          <w:tcPr>
            <w:tcW w:w="1605" w:type="dxa"/>
            <w:tcBorders>
              <w:top w:val="single" w:color="auto" w:sz="4" w:space="0"/>
              <w:left w:val="single" w:color="auto" w:sz="4" w:space="0"/>
              <w:bottom w:val="single" w:color="auto" w:sz="4" w:space="0"/>
              <w:right w:val="single" w:color="auto" w:sz="4" w:space="0"/>
            </w:tcBorders>
            <w:shd w:val="clear" w:color="auto" w:fill="FFFFFF"/>
          </w:tcPr>
          <w:p w14:paraId="3ABCB1C1">
            <w:pPr>
              <w:ind w:firstLine="360"/>
              <w:rPr>
                <w:highlight w:val="none"/>
              </w:rPr>
            </w:pPr>
            <w:r>
              <w:rPr>
                <w:color w:val="000000"/>
                <w:sz w:val="18"/>
                <w:highlight w:val="none"/>
              </w:rPr>
              <w:t>50</w:t>
            </w:r>
          </w:p>
        </w:tc>
      </w:tr>
      <w:tr w14:paraId="55AD95C4">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4" w:space="0"/>
              <w:left w:val="single" w:color="auto" w:sz="4" w:space="0"/>
              <w:bottom w:val="single" w:color="auto" w:sz="4" w:space="0"/>
              <w:right w:val="single" w:color="auto" w:sz="4" w:space="0"/>
            </w:tcBorders>
            <w:shd w:val="clear" w:color="auto" w:fill="FFFFFF"/>
          </w:tcPr>
          <w:p w14:paraId="650DFFBE">
            <w:pPr>
              <w:ind w:firstLine="360"/>
              <w:rPr>
                <w:highlight w:val="none"/>
              </w:rPr>
            </w:pPr>
            <w:r>
              <w:rPr>
                <w:color w:val="000000"/>
                <w:sz w:val="18"/>
                <w:highlight w:val="none"/>
              </w:rPr>
              <w:t>是否有活动配重</w:t>
            </w:r>
          </w:p>
        </w:tc>
        <w:tc>
          <w:tcPr>
            <w:tcW w:w="1605" w:type="dxa"/>
            <w:tcBorders>
              <w:top w:val="single" w:color="auto" w:sz="4" w:space="0"/>
              <w:left w:val="single" w:color="auto" w:sz="4" w:space="0"/>
              <w:bottom w:val="single" w:color="auto" w:sz="4" w:space="0"/>
              <w:right w:val="single" w:color="auto" w:sz="4" w:space="0"/>
            </w:tcBorders>
            <w:shd w:val="clear" w:color="auto" w:fill="FFFFFF"/>
          </w:tcPr>
          <w:p w14:paraId="7B4B9A8A">
            <w:pPr>
              <w:ind w:firstLine="360"/>
              <w:rPr>
                <w:highlight w:val="none"/>
              </w:rPr>
            </w:pPr>
            <w:r>
              <w:rPr>
                <w:color w:val="000000"/>
                <w:sz w:val="18"/>
                <w:highlight w:val="none"/>
              </w:rPr>
              <w:t>是</w:t>
            </w:r>
          </w:p>
        </w:tc>
        <w:tc>
          <w:tcPr>
            <w:tcW w:w="3105" w:type="dxa"/>
            <w:tcBorders>
              <w:top w:val="single" w:color="auto" w:sz="4" w:space="0"/>
              <w:left w:val="single" w:color="auto" w:sz="4" w:space="0"/>
              <w:bottom w:val="single" w:color="auto" w:sz="4" w:space="0"/>
              <w:right w:val="single" w:color="auto" w:sz="4" w:space="0"/>
            </w:tcBorders>
            <w:shd w:val="clear" w:color="auto" w:fill="FFFFFF"/>
          </w:tcPr>
          <w:p w14:paraId="7DB696D6">
            <w:pPr>
              <w:ind w:firstLine="360"/>
              <w:rPr>
                <w:highlight w:val="none"/>
              </w:rPr>
            </w:pPr>
            <w:r>
              <w:rPr>
                <w:color w:val="000000"/>
                <w:sz w:val="18"/>
                <w:highlight w:val="none"/>
              </w:rPr>
              <w:t>活动配重G</w:t>
            </w:r>
            <w:r>
              <w:rPr>
                <w:color w:val="000000"/>
                <w:highlight w:val="none"/>
                <w:vertAlign w:val="subscript"/>
              </w:rPr>
              <w:t>活</w:t>
            </w:r>
            <w:r>
              <w:rPr>
                <w:color w:val="000000"/>
                <w:sz w:val="18"/>
                <w:highlight w:val="none"/>
              </w:rPr>
              <w:t>(吨)</w:t>
            </w:r>
          </w:p>
        </w:tc>
        <w:tc>
          <w:tcPr>
            <w:tcW w:w="1605" w:type="dxa"/>
            <w:tcBorders>
              <w:top w:val="single" w:color="auto" w:sz="4" w:space="0"/>
              <w:left w:val="single" w:color="auto" w:sz="4" w:space="0"/>
              <w:bottom w:val="single" w:color="auto" w:sz="4" w:space="0"/>
              <w:right w:val="single" w:color="auto" w:sz="4" w:space="0"/>
            </w:tcBorders>
            <w:shd w:val="clear" w:color="auto" w:fill="FFFFFF"/>
          </w:tcPr>
          <w:p w14:paraId="4E096A99">
            <w:pPr>
              <w:ind w:firstLine="360"/>
              <w:rPr>
                <w:highlight w:val="none"/>
              </w:rPr>
            </w:pPr>
            <w:r>
              <w:rPr>
                <w:color w:val="000000"/>
                <w:sz w:val="18"/>
                <w:highlight w:val="none"/>
              </w:rPr>
              <w:t>21.5</w:t>
            </w:r>
          </w:p>
        </w:tc>
      </w:tr>
      <w:tr w14:paraId="2DBDD674">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4" w:space="0"/>
              <w:left w:val="single" w:color="auto" w:sz="4" w:space="0"/>
              <w:bottom w:val="single" w:color="auto" w:sz="4" w:space="0"/>
              <w:right w:val="single" w:color="auto" w:sz="4" w:space="0"/>
            </w:tcBorders>
            <w:shd w:val="clear" w:color="auto" w:fill="FFFFFF"/>
          </w:tcPr>
          <w:p w14:paraId="29D52FBD">
            <w:pPr>
              <w:ind w:firstLine="360"/>
              <w:rPr>
                <w:highlight w:val="none"/>
              </w:rPr>
            </w:pPr>
            <w:r>
              <w:rPr>
                <w:color w:val="000000"/>
                <w:sz w:val="18"/>
                <w:highlight w:val="none"/>
              </w:rPr>
              <w:t>活动配重距旋转中心距离L</w:t>
            </w:r>
            <w:r>
              <w:rPr>
                <w:color w:val="000000"/>
                <w:highlight w:val="none"/>
                <w:vertAlign w:val="subscript"/>
              </w:rPr>
              <w:t>d</w:t>
            </w:r>
            <w:r>
              <w:rPr>
                <w:color w:val="000000"/>
                <w:sz w:val="18"/>
                <w:highlight w:val="none"/>
              </w:rPr>
              <w:t>(m)</w:t>
            </w:r>
          </w:p>
        </w:tc>
        <w:tc>
          <w:tcPr>
            <w:tcW w:w="6105" w:type="dxa"/>
            <w:gridSpan w:val="3"/>
            <w:tcBorders>
              <w:top w:val="single" w:color="auto" w:sz="4" w:space="0"/>
              <w:left w:val="single" w:color="auto" w:sz="4" w:space="0"/>
              <w:bottom w:val="single" w:color="auto" w:sz="4" w:space="0"/>
              <w:right w:val="single" w:color="auto" w:sz="4" w:space="0"/>
            </w:tcBorders>
            <w:shd w:val="clear" w:color="auto" w:fill="FFFFFF"/>
          </w:tcPr>
          <w:p w14:paraId="5485AB59">
            <w:pPr>
              <w:ind w:firstLine="360"/>
              <w:rPr>
                <w:highlight w:val="none"/>
              </w:rPr>
            </w:pPr>
            <w:r>
              <w:rPr>
                <w:color w:val="000000"/>
                <w:sz w:val="18"/>
                <w:highlight w:val="none"/>
              </w:rPr>
              <w:t>3.8</w:t>
            </w:r>
          </w:p>
        </w:tc>
      </w:tr>
    </w:tbl>
    <w:p w14:paraId="2A334140">
      <w:pPr>
        <w:ind w:firstLine="482"/>
        <w:rPr>
          <w:highlight w:val="none"/>
        </w:rPr>
      </w:pPr>
      <w:r>
        <w:rPr>
          <w:b/>
          <w:color w:val="000000"/>
          <w:highlight w:val="none"/>
        </w:rPr>
        <w:t xml:space="preserve">  2、汽车起重机轴距及轴荷</w:t>
      </w:r>
    </w:p>
    <w:tbl>
      <w:tblPr>
        <w:tblStyle w:val="44"/>
        <w:tblW w:w="9435" w:type="dxa"/>
        <w:jc w:val="center"/>
        <w:shd w:val="clear" w:color="auto" w:fill="FFFFFF"/>
        <w:tblLayout w:type="autofit"/>
        <w:tblCellMar>
          <w:top w:w="45" w:type="dxa"/>
          <w:left w:w="45" w:type="dxa"/>
          <w:bottom w:w="45" w:type="dxa"/>
          <w:right w:w="45" w:type="dxa"/>
        </w:tblCellMar>
      </w:tblPr>
      <w:tblGrid>
        <w:gridCol w:w="3109"/>
        <w:gridCol w:w="1608"/>
        <w:gridCol w:w="3110"/>
        <w:gridCol w:w="1608"/>
      </w:tblGrid>
      <w:tr w14:paraId="76480BD6">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09F47017">
            <w:pPr>
              <w:ind w:firstLine="360"/>
              <w:rPr>
                <w:highlight w:val="none"/>
              </w:rPr>
            </w:pPr>
            <w:r>
              <w:rPr>
                <w:color w:val="000000"/>
                <w:sz w:val="18"/>
                <w:highlight w:val="none"/>
              </w:rPr>
              <w:t>汽车起重机轴数</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46E9940B">
            <w:pPr>
              <w:ind w:firstLine="360"/>
              <w:rPr>
                <w:highlight w:val="none"/>
              </w:rPr>
            </w:pPr>
            <w:r>
              <w:rPr>
                <w:color w:val="000000"/>
                <w:sz w:val="18"/>
                <w:highlight w:val="none"/>
              </w:rPr>
              <w:t>4</w:t>
            </w:r>
          </w:p>
        </w:tc>
        <w:tc>
          <w:tcPr>
            <w:tcW w:w="3105" w:type="dxa"/>
            <w:tcBorders>
              <w:top w:val="single" w:color="auto" w:sz="6" w:space="0"/>
              <w:left w:val="single" w:color="auto" w:sz="6" w:space="0"/>
              <w:bottom w:val="single" w:color="auto" w:sz="6" w:space="0"/>
              <w:right w:val="single" w:color="auto" w:sz="6" w:space="0"/>
            </w:tcBorders>
            <w:shd w:val="clear" w:color="auto" w:fill="FFFFFF"/>
          </w:tcPr>
          <w:p w14:paraId="4AA0731F">
            <w:pPr>
              <w:ind w:firstLine="360"/>
              <w:rPr>
                <w:highlight w:val="none"/>
              </w:rPr>
            </w:pPr>
            <w:r>
              <w:rPr>
                <w:color w:val="000000"/>
                <w:sz w:val="18"/>
                <w:highlight w:val="none"/>
              </w:rPr>
              <w:t>第1排车轮荷载(吨)</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2A0F65B8">
            <w:pPr>
              <w:ind w:firstLine="360"/>
              <w:rPr>
                <w:highlight w:val="none"/>
              </w:rPr>
            </w:pPr>
            <w:r>
              <w:rPr>
                <w:color w:val="000000"/>
                <w:sz w:val="18"/>
                <w:highlight w:val="none"/>
              </w:rPr>
              <w:t>12</w:t>
            </w:r>
          </w:p>
        </w:tc>
      </w:tr>
    </w:tbl>
    <w:p w14:paraId="07242336">
      <w:pPr>
        <w:ind w:firstLine="480"/>
        <w:rPr>
          <w:highlight w:val="none"/>
        </w:rPr>
      </w:pPr>
      <w:r>
        <w:rPr>
          <w:color w:val="000000"/>
          <w:highlight w:val="none"/>
        </w:rPr>
        <w:t xml:space="preserve">    </w:t>
      </w:r>
    </w:p>
    <w:tbl>
      <w:tblPr>
        <w:tblStyle w:val="44"/>
        <w:tblW w:w="7080" w:type="dxa"/>
        <w:jc w:val="center"/>
        <w:shd w:val="clear" w:color="auto" w:fill="FFFFFF"/>
        <w:tblLayout w:type="autofit"/>
        <w:tblCellMar>
          <w:top w:w="45" w:type="dxa"/>
          <w:left w:w="45" w:type="dxa"/>
          <w:bottom w:w="45" w:type="dxa"/>
          <w:right w:w="45" w:type="dxa"/>
        </w:tblCellMar>
      </w:tblPr>
      <w:tblGrid>
        <w:gridCol w:w="2360"/>
        <w:gridCol w:w="2360"/>
        <w:gridCol w:w="2360"/>
      </w:tblGrid>
      <w:tr w14:paraId="4D4BE8E2">
        <w:tblPrEx>
          <w:shd w:val="clear" w:color="auto" w:fill="FFFFFF"/>
          <w:tblCellMar>
            <w:top w:w="45" w:type="dxa"/>
            <w:left w:w="45" w:type="dxa"/>
            <w:bottom w:w="45" w:type="dxa"/>
            <w:right w:w="45" w:type="dxa"/>
          </w:tblCellMar>
        </w:tblPrEx>
        <w:trPr>
          <w:trHeight w:val="75" w:hRule="atLeast"/>
          <w:jc w:val="center"/>
        </w:trPr>
        <w:tc>
          <w:tcPr>
            <w:tcW w:w="2355" w:type="dxa"/>
            <w:tcBorders>
              <w:top w:val="single" w:color="auto" w:sz="4" w:space="0"/>
              <w:left w:val="single" w:color="auto" w:sz="4" w:space="0"/>
              <w:bottom w:val="single" w:color="auto" w:sz="4" w:space="0"/>
              <w:right w:val="single" w:color="auto" w:sz="4" w:space="0"/>
            </w:tcBorders>
            <w:shd w:val="clear" w:color="auto" w:fill="FFFFFF"/>
            <w:vAlign w:val="center"/>
          </w:tcPr>
          <w:p w14:paraId="6B23181C">
            <w:pPr>
              <w:ind w:firstLine="360"/>
              <w:rPr>
                <w:highlight w:val="none"/>
              </w:rPr>
            </w:pPr>
            <w:r>
              <w:rPr>
                <w:color w:val="000000"/>
                <w:sz w:val="18"/>
                <w:highlight w:val="none"/>
              </w:rPr>
              <w:t>第i排车轮</w:t>
            </w:r>
          </w:p>
        </w:tc>
        <w:tc>
          <w:tcPr>
            <w:tcW w:w="2355" w:type="dxa"/>
            <w:tcBorders>
              <w:top w:val="single" w:color="auto" w:sz="4" w:space="0"/>
              <w:left w:val="single" w:color="auto" w:sz="4" w:space="0"/>
              <w:bottom w:val="single" w:color="auto" w:sz="4" w:space="0"/>
              <w:right w:val="single" w:color="auto" w:sz="4" w:space="0"/>
            </w:tcBorders>
            <w:shd w:val="clear" w:color="auto" w:fill="FFFFFF"/>
            <w:vAlign w:val="center"/>
          </w:tcPr>
          <w:p w14:paraId="1FFFD0F8">
            <w:pPr>
              <w:ind w:firstLine="360"/>
              <w:rPr>
                <w:highlight w:val="none"/>
              </w:rPr>
            </w:pPr>
            <w:r>
              <w:rPr>
                <w:color w:val="000000"/>
                <w:sz w:val="18"/>
                <w:highlight w:val="none"/>
              </w:rPr>
              <w:t>依次轴距(mm)</w:t>
            </w:r>
          </w:p>
        </w:tc>
        <w:tc>
          <w:tcPr>
            <w:tcW w:w="2355" w:type="dxa"/>
            <w:tcBorders>
              <w:top w:val="single" w:color="auto" w:sz="4" w:space="0"/>
              <w:left w:val="single" w:color="auto" w:sz="4" w:space="0"/>
              <w:bottom w:val="single" w:color="auto" w:sz="4" w:space="0"/>
              <w:right w:val="single" w:color="auto" w:sz="4" w:space="0"/>
            </w:tcBorders>
            <w:shd w:val="clear" w:color="auto" w:fill="FFFFFF"/>
            <w:vAlign w:val="center"/>
          </w:tcPr>
          <w:p w14:paraId="66B6A831">
            <w:pPr>
              <w:ind w:firstLine="360"/>
              <w:rPr>
                <w:highlight w:val="none"/>
              </w:rPr>
            </w:pPr>
            <w:r>
              <w:rPr>
                <w:color w:val="000000"/>
                <w:sz w:val="18"/>
                <w:highlight w:val="none"/>
              </w:rPr>
              <w:t>轴荷(吨)</w:t>
            </w:r>
          </w:p>
        </w:tc>
      </w:tr>
      <w:tr w14:paraId="0CAA08EA">
        <w:tblPrEx>
          <w:shd w:val="clear" w:color="auto" w:fill="FFFFFF"/>
          <w:tblCellMar>
            <w:top w:w="45" w:type="dxa"/>
            <w:left w:w="45" w:type="dxa"/>
            <w:bottom w:w="45" w:type="dxa"/>
            <w:right w:w="45" w:type="dxa"/>
          </w:tblCellMar>
        </w:tblPrEx>
        <w:trPr>
          <w:trHeight w:val="75" w:hRule="atLeast"/>
          <w:jc w:val="center"/>
        </w:trPr>
        <w:tc>
          <w:tcPr>
            <w:tcW w:w="2355" w:type="dxa"/>
            <w:tcBorders>
              <w:top w:val="single" w:color="auto" w:sz="4" w:space="0"/>
              <w:left w:val="single" w:color="auto" w:sz="4" w:space="0"/>
              <w:bottom w:val="single" w:color="auto" w:sz="4" w:space="0"/>
              <w:right w:val="single" w:color="auto" w:sz="4" w:space="0"/>
            </w:tcBorders>
            <w:shd w:val="clear" w:color="auto" w:fill="FFFFFF"/>
            <w:vAlign w:val="center"/>
          </w:tcPr>
          <w:p w14:paraId="2FC49F6E">
            <w:pPr>
              <w:ind w:firstLine="360"/>
              <w:rPr>
                <w:highlight w:val="none"/>
              </w:rPr>
            </w:pPr>
            <w:r>
              <w:rPr>
                <w:color w:val="000000"/>
                <w:sz w:val="18"/>
                <w:highlight w:val="none"/>
              </w:rPr>
              <w:t>2</w:t>
            </w:r>
          </w:p>
        </w:tc>
        <w:tc>
          <w:tcPr>
            <w:tcW w:w="2355" w:type="dxa"/>
            <w:tcBorders>
              <w:top w:val="single" w:color="auto" w:sz="4" w:space="0"/>
              <w:left w:val="single" w:color="auto" w:sz="4" w:space="0"/>
              <w:bottom w:val="single" w:color="auto" w:sz="4" w:space="0"/>
              <w:right w:val="single" w:color="auto" w:sz="4" w:space="0"/>
            </w:tcBorders>
            <w:shd w:val="clear" w:color="auto" w:fill="FFFFFF"/>
            <w:vAlign w:val="center"/>
          </w:tcPr>
          <w:p w14:paraId="1DCAD446">
            <w:pPr>
              <w:ind w:firstLine="360"/>
              <w:rPr>
                <w:highlight w:val="none"/>
              </w:rPr>
            </w:pPr>
            <w:r>
              <w:rPr>
                <w:color w:val="000000"/>
                <w:sz w:val="18"/>
                <w:highlight w:val="none"/>
              </w:rPr>
              <w:t>1520</w:t>
            </w:r>
          </w:p>
        </w:tc>
        <w:tc>
          <w:tcPr>
            <w:tcW w:w="2355" w:type="dxa"/>
            <w:tcBorders>
              <w:top w:val="single" w:color="auto" w:sz="4" w:space="0"/>
              <w:left w:val="single" w:color="auto" w:sz="4" w:space="0"/>
              <w:bottom w:val="single" w:color="auto" w:sz="4" w:space="0"/>
              <w:right w:val="single" w:color="auto" w:sz="4" w:space="0"/>
            </w:tcBorders>
            <w:shd w:val="clear" w:color="auto" w:fill="FFFFFF"/>
            <w:vAlign w:val="center"/>
          </w:tcPr>
          <w:p w14:paraId="2F241BC1">
            <w:pPr>
              <w:ind w:firstLine="360"/>
              <w:rPr>
                <w:highlight w:val="none"/>
              </w:rPr>
            </w:pPr>
            <w:r>
              <w:rPr>
                <w:color w:val="000000"/>
                <w:sz w:val="18"/>
                <w:highlight w:val="none"/>
              </w:rPr>
              <w:t>12</w:t>
            </w:r>
          </w:p>
        </w:tc>
      </w:tr>
      <w:tr w14:paraId="2D04511C">
        <w:tblPrEx>
          <w:shd w:val="clear" w:color="auto" w:fill="FFFFFF"/>
          <w:tblCellMar>
            <w:top w:w="45" w:type="dxa"/>
            <w:left w:w="45" w:type="dxa"/>
            <w:bottom w:w="45" w:type="dxa"/>
            <w:right w:w="45" w:type="dxa"/>
          </w:tblCellMar>
        </w:tblPrEx>
        <w:trPr>
          <w:trHeight w:val="75" w:hRule="atLeast"/>
          <w:jc w:val="center"/>
        </w:trPr>
        <w:tc>
          <w:tcPr>
            <w:tcW w:w="2355" w:type="dxa"/>
            <w:tcBorders>
              <w:top w:val="single" w:color="auto" w:sz="4" w:space="0"/>
              <w:left w:val="single" w:color="auto" w:sz="4" w:space="0"/>
              <w:bottom w:val="single" w:color="auto" w:sz="4" w:space="0"/>
              <w:right w:val="single" w:color="auto" w:sz="4" w:space="0"/>
            </w:tcBorders>
            <w:shd w:val="clear" w:color="auto" w:fill="FFFFFF"/>
            <w:vAlign w:val="center"/>
          </w:tcPr>
          <w:p w14:paraId="51024B53">
            <w:pPr>
              <w:ind w:firstLine="360"/>
              <w:rPr>
                <w:highlight w:val="none"/>
              </w:rPr>
            </w:pPr>
            <w:r>
              <w:rPr>
                <w:color w:val="000000"/>
                <w:sz w:val="18"/>
                <w:highlight w:val="none"/>
              </w:rPr>
              <w:t>3</w:t>
            </w:r>
          </w:p>
        </w:tc>
        <w:tc>
          <w:tcPr>
            <w:tcW w:w="2355" w:type="dxa"/>
            <w:tcBorders>
              <w:top w:val="single" w:color="auto" w:sz="4" w:space="0"/>
              <w:left w:val="single" w:color="auto" w:sz="4" w:space="0"/>
              <w:bottom w:val="single" w:color="auto" w:sz="4" w:space="0"/>
              <w:right w:val="single" w:color="auto" w:sz="4" w:space="0"/>
            </w:tcBorders>
            <w:shd w:val="clear" w:color="auto" w:fill="FFFFFF"/>
            <w:vAlign w:val="center"/>
          </w:tcPr>
          <w:p w14:paraId="52F11BC2">
            <w:pPr>
              <w:ind w:firstLine="360"/>
              <w:rPr>
                <w:highlight w:val="none"/>
              </w:rPr>
            </w:pPr>
            <w:r>
              <w:rPr>
                <w:color w:val="000000"/>
                <w:sz w:val="18"/>
                <w:highlight w:val="none"/>
              </w:rPr>
              <w:t>4450</w:t>
            </w:r>
          </w:p>
        </w:tc>
        <w:tc>
          <w:tcPr>
            <w:tcW w:w="2355" w:type="dxa"/>
            <w:tcBorders>
              <w:top w:val="single" w:color="auto" w:sz="4" w:space="0"/>
              <w:left w:val="single" w:color="auto" w:sz="4" w:space="0"/>
              <w:bottom w:val="single" w:color="auto" w:sz="4" w:space="0"/>
              <w:right w:val="single" w:color="auto" w:sz="4" w:space="0"/>
            </w:tcBorders>
            <w:shd w:val="clear" w:color="auto" w:fill="FFFFFF"/>
            <w:vAlign w:val="center"/>
          </w:tcPr>
          <w:p w14:paraId="2D0482D1">
            <w:pPr>
              <w:ind w:firstLine="360"/>
              <w:rPr>
                <w:highlight w:val="none"/>
              </w:rPr>
            </w:pPr>
            <w:r>
              <w:rPr>
                <w:color w:val="000000"/>
                <w:sz w:val="18"/>
                <w:highlight w:val="none"/>
              </w:rPr>
              <w:t>13</w:t>
            </w:r>
          </w:p>
        </w:tc>
      </w:tr>
      <w:tr w14:paraId="0349DCF9">
        <w:tblPrEx>
          <w:shd w:val="clear" w:color="auto" w:fill="FFFFFF"/>
          <w:tblCellMar>
            <w:top w:w="45" w:type="dxa"/>
            <w:left w:w="45" w:type="dxa"/>
            <w:bottom w:w="45" w:type="dxa"/>
            <w:right w:w="45" w:type="dxa"/>
          </w:tblCellMar>
        </w:tblPrEx>
        <w:trPr>
          <w:trHeight w:val="75" w:hRule="atLeast"/>
          <w:jc w:val="center"/>
        </w:trPr>
        <w:tc>
          <w:tcPr>
            <w:tcW w:w="2355" w:type="dxa"/>
            <w:tcBorders>
              <w:top w:val="single" w:color="auto" w:sz="4" w:space="0"/>
              <w:left w:val="single" w:color="auto" w:sz="4" w:space="0"/>
              <w:bottom w:val="single" w:color="auto" w:sz="4" w:space="0"/>
              <w:right w:val="single" w:color="auto" w:sz="4" w:space="0"/>
            </w:tcBorders>
            <w:shd w:val="clear" w:color="auto" w:fill="FFFFFF"/>
            <w:vAlign w:val="center"/>
          </w:tcPr>
          <w:p w14:paraId="56C779B3">
            <w:pPr>
              <w:ind w:firstLine="360"/>
              <w:rPr>
                <w:highlight w:val="none"/>
              </w:rPr>
            </w:pPr>
            <w:r>
              <w:rPr>
                <w:color w:val="000000"/>
                <w:sz w:val="18"/>
                <w:highlight w:val="none"/>
              </w:rPr>
              <w:t>4</w:t>
            </w:r>
          </w:p>
        </w:tc>
        <w:tc>
          <w:tcPr>
            <w:tcW w:w="2355" w:type="dxa"/>
            <w:tcBorders>
              <w:top w:val="single" w:color="auto" w:sz="4" w:space="0"/>
              <w:left w:val="single" w:color="auto" w:sz="4" w:space="0"/>
              <w:bottom w:val="single" w:color="auto" w:sz="4" w:space="0"/>
              <w:right w:val="single" w:color="auto" w:sz="4" w:space="0"/>
            </w:tcBorders>
            <w:shd w:val="clear" w:color="auto" w:fill="FFFFFF"/>
            <w:vAlign w:val="center"/>
          </w:tcPr>
          <w:p w14:paraId="5DF7E6F2">
            <w:pPr>
              <w:ind w:firstLine="360"/>
              <w:rPr>
                <w:highlight w:val="none"/>
              </w:rPr>
            </w:pPr>
            <w:r>
              <w:rPr>
                <w:color w:val="000000"/>
                <w:sz w:val="18"/>
                <w:highlight w:val="none"/>
              </w:rPr>
              <w:t>1500</w:t>
            </w:r>
          </w:p>
        </w:tc>
        <w:tc>
          <w:tcPr>
            <w:tcW w:w="2355" w:type="dxa"/>
            <w:tcBorders>
              <w:top w:val="single" w:color="auto" w:sz="4" w:space="0"/>
              <w:left w:val="single" w:color="auto" w:sz="4" w:space="0"/>
              <w:bottom w:val="single" w:color="auto" w:sz="4" w:space="0"/>
              <w:right w:val="single" w:color="auto" w:sz="4" w:space="0"/>
            </w:tcBorders>
            <w:shd w:val="clear" w:color="auto" w:fill="FFFFFF"/>
            <w:vAlign w:val="center"/>
          </w:tcPr>
          <w:p w14:paraId="77D48FD5">
            <w:pPr>
              <w:ind w:firstLine="360"/>
              <w:rPr>
                <w:highlight w:val="none"/>
              </w:rPr>
            </w:pPr>
            <w:r>
              <w:rPr>
                <w:color w:val="000000"/>
                <w:sz w:val="18"/>
                <w:highlight w:val="none"/>
              </w:rPr>
              <w:t>13</w:t>
            </w:r>
          </w:p>
        </w:tc>
      </w:tr>
    </w:tbl>
    <w:p w14:paraId="3E68A914">
      <w:pPr>
        <w:ind w:firstLine="0" w:firstLineChars="0"/>
        <w:rPr>
          <w:highlight w:val="none"/>
        </w:rPr>
      </w:pPr>
      <w:r>
        <w:rPr>
          <w:highlight w:val="none"/>
        </w:rPr>
        <w:drawing>
          <wp:inline distT="0" distB="0" distL="0" distR="0">
            <wp:extent cx="5761355" cy="3717925"/>
            <wp:effectExtent l="0" t="0" r="10795" b="15875"/>
            <wp:docPr id="24"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 1"/>
                    <pic:cNvPicPr>
                      <a:picLocks noChangeAspect="1"/>
                    </pic:cNvPicPr>
                  </pic:nvPicPr>
                  <pic:blipFill>
                    <a:blip r:embed="rId142" cstate="print"/>
                    <a:stretch>
                      <a:fillRect/>
                    </a:stretch>
                  </pic:blipFill>
                  <pic:spPr>
                    <a:xfrm>
                      <a:off x="0" y="0"/>
                      <a:ext cx="5761355" cy="3717925"/>
                    </a:xfrm>
                    <a:prstGeom prst="rect">
                      <a:avLst/>
                    </a:prstGeom>
                  </pic:spPr>
                </pic:pic>
              </a:graphicData>
            </a:graphic>
          </wp:inline>
        </w:drawing>
      </w:r>
    </w:p>
    <w:p w14:paraId="4A619F5E">
      <w:pPr>
        <w:ind w:firstLine="480"/>
        <w:jc w:val="center"/>
        <w:rPr>
          <w:highlight w:val="none"/>
        </w:rPr>
      </w:pPr>
      <w:r>
        <w:rPr>
          <w:highlight w:val="none"/>
        </w:rPr>
        <w:fldChar w:fldCharType="begin"/>
      </w:r>
      <w:r>
        <w:rPr>
          <w:highlight w:val="none"/>
        </w:rPr>
        <w:instrText xml:space="preserve"> HYPERLINK "file:///D:\\品茗软件\\品茗施工云安全计算软件2025版（V4.0）\\OutPut\\液压汽车起重机吊装计算_1_支腿力计算简图.dwg" \h </w:instrText>
      </w:r>
      <w:r>
        <w:rPr>
          <w:highlight w:val="none"/>
        </w:rPr>
        <w:fldChar w:fldCharType="separate"/>
      </w:r>
      <w:r>
        <w:rPr>
          <w:color w:val="000080"/>
          <w:highlight w:val="none"/>
          <w:u w:val="single"/>
        </w:rPr>
        <w:t>支腿力计算简图</w:t>
      </w:r>
      <w:r>
        <w:rPr>
          <w:color w:val="000080"/>
          <w:highlight w:val="none"/>
          <w:u w:val="single"/>
        </w:rPr>
        <w:fldChar w:fldCharType="end"/>
      </w:r>
    </w:p>
    <w:p w14:paraId="76D16068">
      <w:pPr>
        <w:ind w:firstLine="480"/>
        <w:rPr>
          <w:highlight w:val="none"/>
        </w:rPr>
      </w:pPr>
      <w:r>
        <w:rPr>
          <w:color w:val="000000"/>
          <w:highlight w:val="none"/>
        </w:rPr>
        <w:t xml:space="preserve">    在吊装过程中，支腿荷载主要有包括以下几部分荷载产生，起重机自重（通过在不同位置的各车轮轴荷代替）对各支腿产生的荷载F</w:t>
      </w:r>
      <w:r>
        <w:rPr>
          <w:color w:val="000000"/>
          <w:highlight w:val="none"/>
          <w:vertAlign w:val="subscript"/>
        </w:rPr>
        <w:t>a1</w:t>
      </w:r>
      <w:r>
        <w:rPr>
          <w:color w:val="000000"/>
          <w:highlight w:val="none"/>
        </w:rPr>
        <w:t>、F</w:t>
      </w:r>
      <w:r>
        <w:rPr>
          <w:color w:val="000000"/>
          <w:highlight w:val="none"/>
          <w:vertAlign w:val="subscript"/>
        </w:rPr>
        <w:t>b1</w:t>
      </w:r>
      <w:r>
        <w:rPr>
          <w:color w:val="000000"/>
          <w:highlight w:val="none"/>
        </w:rPr>
        <w:t>、F</w:t>
      </w:r>
      <w:r>
        <w:rPr>
          <w:color w:val="000000"/>
          <w:highlight w:val="none"/>
          <w:vertAlign w:val="subscript"/>
        </w:rPr>
        <w:t>c1</w:t>
      </w:r>
      <w:r>
        <w:rPr>
          <w:color w:val="000000"/>
          <w:highlight w:val="none"/>
        </w:rPr>
        <w:t>、F</w:t>
      </w:r>
      <w:r>
        <w:rPr>
          <w:color w:val="000000"/>
          <w:highlight w:val="none"/>
          <w:vertAlign w:val="subscript"/>
        </w:rPr>
        <w:t>d1</w:t>
      </w:r>
      <w:r>
        <w:rPr>
          <w:color w:val="000000"/>
          <w:highlight w:val="none"/>
        </w:rPr>
        <w:t>；吊重及活动配重分解到X方向对各支腿产生的荷载F</w:t>
      </w:r>
      <w:r>
        <w:rPr>
          <w:color w:val="000000"/>
          <w:highlight w:val="none"/>
          <w:vertAlign w:val="subscript"/>
        </w:rPr>
        <w:t>ax</w:t>
      </w:r>
      <w:r>
        <w:rPr>
          <w:color w:val="000000"/>
          <w:highlight w:val="none"/>
        </w:rPr>
        <w:t>、F</w:t>
      </w:r>
      <w:r>
        <w:rPr>
          <w:color w:val="000000"/>
          <w:highlight w:val="none"/>
          <w:vertAlign w:val="subscript"/>
        </w:rPr>
        <w:t>bx</w:t>
      </w:r>
      <w:r>
        <w:rPr>
          <w:color w:val="000000"/>
          <w:highlight w:val="none"/>
        </w:rPr>
        <w:t>、F</w:t>
      </w:r>
      <w:r>
        <w:rPr>
          <w:color w:val="000000"/>
          <w:highlight w:val="none"/>
          <w:vertAlign w:val="subscript"/>
        </w:rPr>
        <w:t>cx</w:t>
      </w:r>
      <w:r>
        <w:rPr>
          <w:color w:val="000000"/>
          <w:highlight w:val="none"/>
        </w:rPr>
        <w:t>、F</w:t>
      </w:r>
      <w:r>
        <w:rPr>
          <w:color w:val="000000"/>
          <w:highlight w:val="none"/>
          <w:vertAlign w:val="subscript"/>
        </w:rPr>
        <w:t>dx</w:t>
      </w:r>
      <w:r>
        <w:rPr>
          <w:color w:val="000000"/>
          <w:highlight w:val="none"/>
        </w:rPr>
        <w:t>； 吊重及活动配重分解到Y方向对各支腿产生的荷载F</w:t>
      </w:r>
      <w:r>
        <w:rPr>
          <w:color w:val="000000"/>
          <w:highlight w:val="none"/>
          <w:vertAlign w:val="subscript"/>
        </w:rPr>
        <w:t>ay</w:t>
      </w:r>
      <w:r>
        <w:rPr>
          <w:color w:val="000000"/>
          <w:highlight w:val="none"/>
        </w:rPr>
        <w:t>、F</w:t>
      </w:r>
      <w:r>
        <w:rPr>
          <w:color w:val="000000"/>
          <w:highlight w:val="none"/>
          <w:vertAlign w:val="subscript"/>
        </w:rPr>
        <w:t>by</w:t>
      </w:r>
      <w:r>
        <w:rPr>
          <w:color w:val="000000"/>
          <w:highlight w:val="none"/>
        </w:rPr>
        <w:t>、F</w:t>
      </w:r>
      <w:r>
        <w:rPr>
          <w:color w:val="000000"/>
          <w:highlight w:val="none"/>
          <w:vertAlign w:val="subscript"/>
        </w:rPr>
        <w:t>cy</w:t>
      </w:r>
      <w:r>
        <w:rPr>
          <w:color w:val="000000"/>
          <w:highlight w:val="none"/>
        </w:rPr>
        <w:t>、F</w:t>
      </w:r>
      <w:r>
        <w:rPr>
          <w:color w:val="000000"/>
          <w:highlight w:val="none"/>
          <w:vertAlign w:val="subscript"/>
        </w:rPr>
        <w:t>dy</w:t>
      </w:r>
      <w:r>
        <w:rPr>
          <w:color w:val="000000"/>
          <w:highlight w:val="none"/>
        </w:rPr>
        <w:t>；</w:t>
      </w:r>
    </w:p>
    <w:p w14:paraId="1B95EA6D">
      <w:pPr>
        <w:ind w:firstLine="0" w:firstLineChars="0"/>
        <w:rPr>
          <w:highlight w:val="none"/>
        </w:rPr>
      </w:pPr>
      <w:r>
        <w:rPr>
          <w:highlight w:val="none"/>
        </w:rPr>
        <w:drawing>
          <wp:inline distT="0" distB="0" distL="0" distR="0">
            <wp:extent cx="5810250" cy="3505200"/>
            <wp:effectExtent l="0" t="0" r="0" b="0"/>
            <wp:docPr id="25"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 2"/>
                    <pic:cNvPicPr>
                      <a:picLocks noChangeAspect="1"/>
                    </pic:cNvPicPr>
                  </pic:nvPicPr>
                  <pic:blipFill>
                    <a:blip r:embed="rId143" cstate="print"/>
                    <a:stretch>
                      <a:fillRect/>
                    </a:stretch>
                  </pic:blipFill>
                  <pic:spPr>
                    <a:xfrm>
                      <a:off x="0" y="0"/>
                      <a:ext cx="5810250" cy="3505200"/>
                    </a:xfrm>
                    <a:prstGeom prst="rect">
                      <a:avLst/>
                    </a:prstGeom>
                  </pic:spPr>
                </pic:pic>
              </a:graphicData>
            </a:graphic>
          </wp:inline>
        </w:drawing>
      </w:r>
    </w:p>
    <w:p w14:paraId="328985E7">
      <w:pPr>
        <w:ind w:firstLine="482"/>
        <w:rPr>
          <w:highlight w:val="none"/>
        </w:rPr>
      </w:pPr>
      <w:r>
        <w:rPr>
          <w:b/>
          <w:color w:val="000000"/>
          <w:highlight w:val="none"/>
        </w:rPr>
        <w:t xml:space="preserve">   1）起重机自重各支腿产生的荷载计算</w:t>
      </w:r>
    </w:p>
    <w:p w14:paraId="4653651E">
      <w:pPr>
        <w:ind w:firstLine="480"/>
        <w:rPr>
          <w:highlight w:val="none"/>
        </w:rPr>
      </w:pPr>
      <w:r>
        <w:rPr>
          <w:color w:val="000000"/>
          <w:highlight w:val="none"/>
        </w:rPr>
        <w:t xml:space="preserve">    起重机自重G等于各轴荷载总和，G=50吨</w:t>
      </w:r>
    </w:p>
    <w:p w14:paraId="7E9ADF79">
      <w:pPr>
        <w:ind w:firstLine="480"/>
        <w:rPr>
          <w:highlight w:val="none"/>
        </w:rPr>
      </w:pPr>
      <w:r>
        <w:rPr>
          <w:color w:val="000000"/>
          <w:highlight w:val="none"/>
        </w:rPr>
        <w:t xml:space="preserve">    第1轴：荷载为F</w:t>
      </w:r>
      <w:r>
        <w:rPr>
          <w:color w:val="000000"/>
          <w:highlight w:val="none"/>
          <w:vertAlign w:val="subscript"/>
        </w:rPr>
        <w:t>1</w:t>
      </w:r>
      <w:r>
        <w:rPr>
          <w:color w:val="000000"/>
          <w:highlight w:val="none"/>
        </w:rPr>
        <w:t>=12吨，距离后支腿距离L</w:t>
      </w:r>
      <w:r>
        <w:rPr>
          <w:color w:val="000000"/>
          <w:highlight w:val="none"/>
          <w:vertAlign w:val="subscript"/>
        </w:rPr>
        <w:t>1</w:t>
      </w:r>
      <w:r>
        <w:rPr>
          <w:color w:val="000000"/>
          <w:highlight w:val="none"/>
        </w:rPr>
        <w:t>=1.52+4.45+1.5+2.35=9.82m</w:t>
      </w:r>
    </w:p>
    <w:p w14:paraId="3015E8D0">
      <w:pPr>
        <w:ind w:firstLine="480"/>
        <w:rPr>
          <w:highlight w:val="none"/>
        </w:rPr>
      </w:pPr>
      <w:r>
        <w:rPr>
          <w:color w:val="000000"/>
          <w:highlight w:val="none"/>
        </w:rPr>
        <w:t xml:space="preserve">    第2轴：荷载为F</w:t>
      </w:r>
      <w:r>
        <w:rPr>
          <w:color w:val="000000"/>
          <w:highlight w:val="none"/>
          <w:vertAlign w:val="subscript"/>
        </w:rPr>
        <w:t>2</w:t>
      </w:r>
      <w:r>
        <w:rPr>
          <w:color w:val="000000"/>
          <w:highlight w:val="none"/>
        </w:rPr>
        <w:t>=12吨，距离后支腿距离L</w:t>
      </w:r>
      <w:r>
        <w:rPr>
          <w:color w:val="000000"/>
          <w:highlight w:val="none"/>
          <w:vertAlign w:val="subscript"/>
        </w:rPr>
        <w:t>2</w:t>
      </w:r>
      <w:r>
        <w:rPr>
          <w:color w:val="000000"/>
          <w:highlight w:val="none"/>
        </w:rPr>
        <w:t>=4.45+1.5+2.35=8.3m</w:t>
      </w:r>
    </w:p>
    <w:p w14:paraId="60D462CD">
      <w:pPr>
        <w:ind w:firstLine="480"/>
        <w:rPr>
          <w:highlight w:val="none"/>
        </w:rPr>
      </w:pPr>
      <w:r>
        <w:rPr>
          <w:color w:val="000000"/>
          <w:highlight w:val="none"/>
        </w:rPr>
        <w:t xml:space="preserve">    第3轴：荷载为F</w:t>
      </w:r>
      <w:r>
        <w:rPr>
          <w:color w:val="000000"/>
          <w:highlight w:val="none"/>
          <w:vertAlign w:val="subscript"/>
        </w:rPr>
        <w:t>3</w:t>
      </w:r>
      <w:r>
        <w:rPr>
          <w:color w:val="000000"/>
          <w:highlight w:val="none"/>
        </w:rPr>
        <w:t>=13吨，距离后支腿距离L</w:t>
      </w:r>
      <w:r>
        <w:rPr>
          <w:color w:val="000000"/>
          <w:highlight w:val="none"/>
          <w:vertAlign w:val="subscript"/>
        </w:rPr>
        <w:t>3</w:t>
      </w:r>
      <w:r>
        <w:rPr>
          <w:color w:val="000000"/>
          <w:highlight w:val="none"/>
        </w:rPr>
        <w:t>=1.5+2.35=3.85m</w:t>
      </w:r>
    </w:p>
    <w:p w14:paraId="5EF23F31">
      <w:pPr>
        <w:ind w:firstLine="480"/>
        <w:rPr>
          <w:highlight w:val="none"/>
        </w:rPr>
      </w:pPr>
      <w:r>
        <w:rPr>
          <w:color w:val="000000"/>
          <w:highlight w:val="none"/>
        </w:rPr>
        <w:t xml:space="preserve">    第4轴：荷载为F</w:t>
      </w:r>
      <w:r>
        <w:rPr>
          <w:color w:val="000000"/>
          <w:highlight w:val="none"/>
          <w:vertAlign w:val="subscript"/>
        </w:rPr>
        <w:t>4</w:t>
      </w:r>
      <w:r>
        <w:rPr>
          <w:color w:val="000000"/>
          <w:highlight w:val="none"/>
        </w:rPr>
        <w:t>=13吨，距离后支腿距离L</w:t>
      </w:r>
      <w:r>
        <w:rPr>
          <w:color w:val="000000"/>
          <w:highlight w:val="none"/>
          <w:vertAlign w:val="subscript"/>
        </w:rPr>
        <w:t>4</w:t>
      </w:r>
      <w:r>
        <w:rPr>
          <w:color w:val="000000"/>
          <w:highlight w:val="none"/>
        </w:rPr>
        <w:t>=2.35m</w:t>
      </w:r>
    </w:p>
    <w:p w14:paraId="10495C7F">
      <w:pPr>
        <w:ind w:firstLine="480"/>
        <w:rPr>
          <w:highlight w:val="none"/>
        </w:rPr>
      </w:pPr>
      <w:r>
        <w:rPr>
          <w:color w:val="000000"/>
          <w:highlight w:val="none"/>
        </w:rPr>
        <w:t xml:space="preserve">    通过各轴荷载F</w:t>
      </w:r>
      <w:r>
        <w:rPr>
          <w:color w:val="000000"/>
          <w:highlight w:val="none"/>
          <w:vertAlign w:val="subscript"/>
        </w:rPr>
        <w:t>i</w:t>
      </w:r>
      <w:r>
        <w:rPr>
          <w:color w:val="000000"/>
          <w:highlight w:val="none"/>
        </w:rPr>
        <w:t>以及前支腿荷载分别对后支腿取矩得到</w:t>
      </w:r>
    </w:p>
    <w:p w14:paraId="2B2271D9">
      <w:pPr>
        <w:ind w:firstLine="480"/>
        <w:rPr>
          <w:highlight w:val="none"/>
        </w:rPr>
      </w:pPr>
      <w:r>
        <w:rPr>
          <w:color w:val="000000"/>
          <w:highlight w:val="none"/>
        </w:rPr>
        <w:t xml:space="preserve">    F</w:t>
      </w:r>
      <w:r>
        <w:rPr>
          <w:color w:val="000000"/>
          <w:highlight w:val="none"/>
          <w:vertAlign w:val="subscript"/>
        </w:rPr>
        <w:t>1</w:t>
      </w:r>
      <w:r>
        <w:rPr>
          <w:color w:val="000000"/>
          <w:highlight w:val="none"/>
        </w:rPr>
        <w:t>×L</w:t>
      </w:r>
      <w:r>
        <w:rPr>
          <w:color w:val="000000"/>
          <w:highlight w:val="none"/>
          <w:vertAlign w:val="subscript"/>
        </w:rPr>
        <w:t>1</w:t>
      </w:r>
      <w:r>
        <w:rPr>
          <w:color w:val="000000"/>
          <w:highlight w:val="none"/>
        </w:rPr>
        <w:t>+F</w:t>
      </w:r>
      <w:r>
        <w:rPr>
          <w:color w:val="000000"/>
          <w:highlight w:val="none"/>
          <w:vertAlign w:val="subscript"/>
        </w:rPr>
        <w:t>2</w:t>
      </w:r>
      <w:r>
        <w:rPr>
          <w:color w:val="000000"/>
          <w:highlight w:val="none"/>
        </w:rPr>
        <w:t>×L</w:t>
      </w:r>
      <w:r>
        <w:rPr>
          <w:color w:val="000000"/>
          <w:highlight w:val="none"/>
          <w:vertAlign w:val="subscript"/>
        </w:rPr>
        <w:t>2</w:t>
      </w:r>
      <w:r>
        <w:rPr>
          <w:color w:val="000000"/>
          <w:highlight w:val="none"/>
        </w:rPr>
        <w:t>+F</w:t>
      </w:r>
      <w:r>
        <w:rPr>
          <w:color w:val="000000"/>
          <w:highlight w:val="none"/>
          <w:vertAlign w:val="subscript"/>
        </w:rPr>
        <w:t>3</w:t>
      </w:r>
      <w:r>
        <w:rPr>
          <w:color w:val="000000"/>
          <w:highlight w:val="none"/>
        </w:rPr>
        <w:t>×L</w:t>
      </w:r>
      <w:r>
        <w:rPr>
          <w:color w:val="000000"/>
          <w:highlight w:val="none"/>
          <w:vertAlign w:val="subscript"/>
        </w:rPr>
        <w:t>3</w:t>
      </w:r>
      <w:r>
        <w:rPr>
          <w:color w:val="000000"/>
          <w:highlight w:val="none"/>
        </w:rPr>
        <w:t>+F</w:t>
      </w:r>
      <w:r>
        <w:rPr>
          <w:color w:val="000000"/>
          <w:highlight w:val="none"/>
          <w:vertAlign w:val="subscript"/>
        </w:rPr>
        <w:t>4</w:t>
      </w:r>
      <w:r>
        <w:rPr>
          <w:color w:val="000000"/>
          <w:highlight w:val="none"/>
        </w:rPr>
        <w:t>×L</w:t>
      </w:r>
      <w:r>
        <w:rPr>
          <w:color w:val="000000"/>
          <w:highlight w:val="none"/>
          <w:vertAlign w:val="subscript"/>
        </w:rPr>
        <w:t>4</w:t>
      </w:r>
      <w:r>
        <w:rPr>
          <w:color w:val="000000"/>
          <w:highlight w:val="none"/>
        </w:rPr>
        <w:t>-(F</w:t>
      </w:r>
      <w:r>
        <w:rPr>
          <w:color w:val="000000"/>
          <w:highlight w:val="none"/>
          <w:vertAlign w:val="subscript"/>
        </w:rPr>
        <w:t>a1</w:t>
      </w:r>
      <w:r>
        <w:rPr>
          <w:color w:val="000000"/>
          <w:highlight w:val="none"/>
        </w:rPr>
        <w:t>+F</w:t>
      </w:r>
      <w:r>
        <w:rPr>
          <w:color w:val="000000"/>
          <w:highlight w:val="none"/>
          <w:vertAlign w:val="subscript"/>
        </w:rPr>
        <w:t>d1</w:t>
      </w:r>
      <w:r>
        <w:rPr>
          <w:color w:val="000000"/>
          <w:highlight w:val="none"/>
        </w:rPr>
        <w:t>)×L=0</w:t>
      </w:r>
    </w:p>
    <w:p w14:paraId="2A2A133E">
      <w:pPr>
        <w:ind w:firstLine="480"/>
        <w:rPr>
          <w:highlight w:val="none"/>
        </w:rPr>
      </w:pPr>
      <w:r>
        <w:rPr>
          <w:color w:val="000000"/>
          <w:highlight w:val="none"/>
        </w:rPr>
        <w:t xml:space="preserve">    12×9.82+12×8.3+13×3.85+13×2.35-(F</w:t>
      </w:r>
      <w:r>
        <w:rPr>
          <w:color w:val="000000"/>
          <w:highlight w:val="none"/>
          <w:vertAlign w:val="subscript"/>
        </w:rPr>
        <w:t>a1</w:t>
      </w:r>
      <w:r>
        <w:rPr>
          <w:color w:val="000000"/>
          <w:highlight w:val="none"/>
        </w:rPr>
        <w:t>+F</w:t>
      </w:r>
      <w:r>
        <w:rPr>
          <w:color w:val="000000"/>
          <w:highlight w:val="none"/>
          <w:vertAlign w:val="subscript"/>
        </w:rPr>
        <w:t>d1</w:t>
      </w:r>
      <w:r>
        <w:rPr>
          <w:color w:val="000000"/>
          <w:highlight w:val="none"/>
        </w:rPr>
        <w:t>)×6.63=0</w:t>
      </w:r>
    </w:p>
    <w:p w14:paraId="122C24E8">
      <w:pPr>
        <w:ind w:firstLine="480"/>
        <w:rPr>
          <w:highlight w:val="none"/>
        </w:rPr>
      </w:pPr>
      <w:r>
        <w:rPr>
          <w:color w:val="000000"/>
          <w:highlight w:val="none"/>
        </w:rPr>
        <w:t xml:space="preserve">    并且F</w:t>
      </w:r>
      <w:r>
        <w:rPr>
          <w:color w:val="000000"/>
          <w:highlight w:val="none"/>
          <w:vertAlign w:val="subscript"/>
        </w:rPr>
        <w:t>a1</w:t>
      </w:r>
      <w:r>
        <w:rPr>
          <w:color w:val="000000"/>
          <w:highlight w:val="none"/>
        </w:rPr>
        <w:t>=F</w:t>
      </w:r>
      <w:r>
        <w:rPr>
          <w:color w:val="000000"/>
          <w:highlight w:val="none"/>
          <w:vertAlign w:val="subscript"/>
        </w:rPr>
        <w:t>d1</w:t>
      </w:r>
      <w:r>
        <w:rPr>
          <w:color w:val="000000"/>
          <w:highlight w:val="none"/>
        </w:rPr>
        <w:t>，得到：</w:t>
      </w:r>
    </w:p>
    <w:p w14:paraId="4033FB4D">
      <w:pPr>
        <w:ind w:firstLine="480"/>
        <w:rPr>
          <w:highlight w:val="none"/>
        </w:rPr>
      </w:pPr>
      <w:r>
        <w:rPr>
          <w:color w:val="000000"/>
          <w:highlight w:val="none"/>
        </w:rPr>
        <w:t xml:space="preserve">    F</w:t>
      </w:r>
      <w:r>
        <w:rPr>
          <w:color w:val="000000"/>
          <w:highlight w:val="none"/>
          <w:vertAlign w:val="subscript"/>
        </w:rPr>
        <w:t>a1</w:t>
      </w:r>
      <w:r>
        <w:rPr>
          <w:color w:val="000000"/>
          <w:highlight w:val="none"/>
        </w:rPr>
        <w:t>=F</w:t>
      </w:r>
      <w:r>
        <w:rPr>
          <w:color w:val="000000"/>
          <w:highlight w:val="none"/>
          <w:vertAlign w:val="subscript"/>
        </w:rPr>
        <w:t>d1</w:t>
      </w:r>
      <w:r>
        <w:rPr>
          <w:color w:val="000000"/>
          <w:highlight w:val="none"/>
        </w:rPr>
        <w:t>=22.477吨</w:t>
      </w:r>
    </w:p>
    <w:p w14:paraId="21F544C9">
      <w:pPr>
        <w:ind w:firstLine="480"/>
        <w:rPr>
          <w:highlight w:val="none"/>
        </w:rPr>
      </w:pPr>
      <w:r>
        <w:rPr>
          <w:color w:val="000000"/>
          <w:highlight w:val="none"/>
        </w:rPr>
        <w:t xml:space="preserve">    F</w:t>
      </w:r>
      <w:r>
        <w:rPr>
          <w:color w:val="000000"/>
          <w:highlight w:val="none"/>
          <w:vertAlign w:val="subscript"/>
        </w:rPr>
        <w:t>b1</w:t>
      </w:r>
      <w:r>
        <w:rPr>
          <w:color w:val="000000"/>
          <w:highlight w:val="none"/>
        </w:rPr>
        <w:t>=F</w:t>
      </w:r>
      <w:r>
        <w:rPr>
          <w:color w:val="000000"/>
          <w:highlight w:val="none"/>
          <w:vertAlign w:val="subscript"/>
        </w:rPr>
        <w:t>c1</w:t>
      </w:r>
      <w:r>
        <w:rPr>
          <w:color w:val="000000"/>
          <w:highlight w:val="none"/>
        </w:rPr>
        <w:t>=[G-(F</w:t>
      </w:r>
      <w:r>
        <w:rPr>
          <w:color w:val="000000"/>
          <w:highlight w:val="none"/>
          <w:vertAlign w:val="subscript"/>
        </w:rPr>
        <w:t>a1</w:t>
      </w:r>
      <w:r>
        <w:rPr>
          <w:color w:val="000000"/>
          <w:highlight w:val="none"/>
        </w:rPr>
        <w:t>+F</w:t>
      </w:r>
      <w:r>
        <w:rPr>
          <w:color w:val="000000"/>
          <w:highlight w:val="none"/>
          <w:vertAlign w:val="subscript"/>
        </w:rPr>
        <w:t>d1</w:t>
      </w:r>
      <w:r>
        <w:rPr>
          <w:color w:val="000000"/>
          <w:highlight w:val="none"/>
        </w:rPr>
        <w:t>)]/2=[50-(22.477+22.477)]/2=2.523吨</w:t>
      </w:r>
    </w:p>
    <w:p w14:paraId="652AE76B">
      <w:pPr>
        <w:ind w:firstLine="480"/>
        <w:rPr>
          <w:highlight w:val="none"/>
        </w:rPr>
      </w:pPr>
      <w:r>
        <w:rPr>
          <w:color w:val="000000"/>
          <w:highlight w:val="none"/>
        </w:rPr>
        <w:t xml:space="preserve">    将吊重及活动配重对支腿产生的影响分成吊重及活动配重移动至回转中心后竖向力对支腿产生荷载+吊重及活动配重幅度产生的弯矩对支腿力荷载</w:t>
      </w:r>
    </w:p>
    <w:p w14:paraId="048B24AE">
      <w:pPr>
        <w:ind w:firstLine="482"/>
        <w:rPr>
          <w:highlight w:val="none"/>
        </w:rPr>
      </w:pPr>
      <w:r>
        <w:rPr>
          <w:b/>
          <w:color w:val="000000"/>
          <w:highlight w:val="none"/>
        </w:rPr>
        <w:t xml:space="preserve">  3、吊重及活动配重移至回转中心后竖向力对支腿产生荷载计算</w:t>
      </w:r>
    </w:p>
    <w:p w14:paraId="259983F2">
      <w:pPr>
        <w:ind w:firstLine="480"/>
        <w:rPr>
          <w:highlight w:val="none"/>
        </w:rPr>
      </w:pPr>
      <w:r>
        <w:rPr>
          <w:color w:val="000000"/>
          <w:highlight w:val="none"/>
        </w:rPr>
        <w:t xml:space="preserve">    (k×G</w:t>
      </w:r>
      <w:r>
        <w:rPr>
          <w:color w:val="000000"/>
          <w:highlight w:val="none"/>
          <w:vertAlign w:val="subscript"/>
        </w:rPr>
        <w:t>w</w:t>
      </w:r>
      <w:r>
        <w:rPr>
          <w:color w:val="000000"/>
          <w:highlight w:val="none"/>
        </w:rPr>
        <w:t>+G</w:t>
      </w:r>
      <w:r>
        <w:rPr>
          <w:color w:val="000000"/>
          <w:highlight w:val="none"/>
          <w:vertAlign w:val="subscript"/>
        </w:rPr>
        <w:t>活</w:t>
      </w:r>
      <w:r>
        <w:rPr>
          <w:color w:val="000000"/>
          <w:highlight w:val="none"/>
        </w:rPr>
        <w:t>)×L</w:t>
      </w:r>
      <w:r>
        <w:rPr>
          <w:color w:val="000000"/>
          <w:highlight w:val="none"/>
          <w:vertAlign w:val="subscript"/>
        </w:rPr>
        <w:t>h</w:t>
      </w:r>
      <w:r>
        <w:rPr>
          <w:color w:val="000000"/>
          <w:highlight w:val="none"/>
        </w:rPr>
        <w:t>-(F</w:t>
      </w:r>
      <w:r>
        <w:rPr>
          <w:color w:val="000000"/>
          <w:highlight w:val="none"/>
          <w:vertAlign w:val="subscript"/>
        </w:rPr>
        <w:t>a2</w:t>
      </w:r>
      <w:r>
        <w:rPr>
          <w:color w:val="000000"/>
          <w:highlight w:val="none"/>
        </w:rPr>
        <w:t>+F</w:t>
      </w:r>
      <w:r>
        <w:rPr>
          <w:color w:val="000000"/>
          <w:highlight w:val="none"/>
          <w:vertAlign w:val="subscript"/>
        </w:rPr>
        <w:t>d2</w:t>
      </w:r>
      <w:r>
        <w:rPr>
          <w:color w:val="000000"/>
          <w:highlight w:val="none"/>
        </w:rPr>
        <w:t>)×L=0</w:t>
      </w:r>
    </w:p>
    <w:p w14:paraId="2FB658B7">
      <w:pPr>
        <w:ind w:firstLine="480"/>
        <w:rPr>
          <w:highlight w:val="none"/>
        </w:rPr>
      </w:pPr>
      <w:r>
        <w:rPr>
          <w:color w:val="000000"/>
          <w:highlight w:val="none"/>
        </w:rPr>
        <w:t xml:space="preserve">    F</w:t>
      </w:r>
      <w:r>
        <w:rPr>
          <w:color w:val="000000"/>
          <w:highlight w:val="none"/>
          <w:vertAlign w:val="subscript"/>
        </w:rPr>
        <w:t>a2</w:t>
      </w:r>
      <w:r>
        <w:rPr>
          <w:color w:val="000000"/>
          <w:highlight w:val="none"/>
        </w:rPr>
        <w:t>=F</w:t>
      </w:r>
      <w:r>
        <w:rPr>
          <w:color w:val="000000"/>
          <w:highlight w:val="none"/>
          <w:vertAlign w:val="subscript"/>
        </w:rPr>
        <w:t>d2</w:t>
      </w:r>
      <w:r>
        <w:rPr>
          <w:color w:val="000000"/>
          <w:highlight w:val="none"/>
        </w:rPr>
        <w:t>=(k×G</w:t>
      </w:r>
      <w:r>
        <w:rPr>
          <w:color w:val="000000"/>
          <w:highlight w:val="none"/>
          <w:vertAlign w:val="subscript"/>
        </w:rPr>
        <w:t>w</w:t>
      </w:r>
      <w:r>
        <w:rPr>
          <w:color w:val="000000"/>
          <w:highlight w:val="none"/>
        </w:rPr>
        <w:t>+G</w:t>
      </w:r>
      <w:r>
        <w:rPr>
          <w:color w:val="000000"/>
          <w:highlight w:val="none"/>
          <w:vertAlign w:val="subscript"/>
        </w:rPr>
        <w:t>活</w:t>
      </w:r>
      <w:r>
        <w:rPr>
          <w:color w:val="000000"/>
          <w:highlight w:val="none"/>
        </w:rPr>
        <w:t>)×L</w:t>
      </w:r>
      <w:r>
        <w:rPr>
          <w:color w:val="000000"/>
          <w:highlight w:val="none"/>
          <w:vertAlign w:val="subscript"/>
        </w:rPr>
        <w:t>h</w:t>
      </w:r>
      <w:r>
        <w:rPr>
          <w:color w:val="000000"/>
          <w:highlight w:val="none"/>
        </w:rPr>
        <w:t>/(2L)=(1.2×6.85+21.5)×3.5/(2×6.63)=7.845吨</w:t>
      </w:r>
    </w:p>
    <w:p w14:paraId="0B96C59B">
      <w:pPr>
        <w:ind w:firstLine="480"/>
        <w:rPr>
          <w:highlight w:val="none"/>
        </w:rPr>
      </w:pPr>
      <w:r>
        <w:rPr>
          <w:color w:val="000000"/>
          <w:highlight w:val="none"/>
        </w:rPr>
        <w:t xml:space="preserve">    F</w:t>
      </w:r>
      <w:r>
        <w:rPr>
          <w:color w:val="000000"/>
          <w:highlight w:val="none"/>
          <w:vertAlign w:val="subscript"/>
        </w:rPr>
        <w:t>b2</w:t>
      </w:r>
      <w:r>
        <w:rPr>
          <w:color w:val="000000"/>
          <w:highlight w:val="none"/>
        </w:rPr>
        <w:t>=F</w:t>
      </w:r>
      <w:r>
        <w:rPr>
          <w:color w:val="000000"/>
          <w:highlight w:val="none"/>
          <w:vertAlign w:val="subscript"/>
        </w:rPr>
        <w:t>c2</w:t>
      </w:r>
      <w:r>
        <w:rPr>
          <w:color w:val="000000"/>
          <w:highlight w:val="none"/>
        </w:rPr>
        <w:t>=(k×G</w:t>
      </w:r>
      <w:r>
        <w:rPr>
          <w:color w:val="000000"/>
          <w:highlight w:val="none"/>
          <w:vertAlign w:val="subscript"/>
        </w:rPr>
        <w:t>w</w:t>
      </w:r>
      <w:r>
        <w:rPr>
          <w:color w:val="000000"/>
          <w:highlight w:val="none"/>
        </w:rPr>
        <w:t>+G</w:t>
      </w:r>
      <w:r>
        <w:rPr>
          <w:color w:val="000000"/>
          <w:highlight w:val="none"/>
          <w:vertAlign w:val="subscript"/>
        </w:rPr>
        <w:t>活</w:t>
      </w:r>
      <w:r>
        <w:rPr>
          <w:color w:val="000000"/>
          <w:highlight w:val="none"/>
        </w:rPr>
        <w:t>)×(L-L</w:t>
      </w:r>
      <w:r>
        <w:rPr>
          <w:color w:val="000000"/>
          <w:highlight w:val="none"/>
          <w:vertAlign w:val="subscript"/>
        </w:rPr>
        <w:t>h</w:t>
      </w:r>
      <w:r>
        <w:rPr>
          <w:color w:val="000000"/>
          <w:highlight w:val="none"/>
        </w:rPr>
        <w:t>)/(2L)=(1.2×6.85+21.5)×(6.63-3.5)/(2×6.63)=7.015吨</w:t>
      </w:r>
    </w:p>
    <w:p w14:paraId="18C6A35D">
      <w:pPr>
        <w:ind w:firstLine="482"/>
        <w:rPr>
          <w:highlight w:val="none"/>
        </w:rPr>
      </w:pPr>
      <w:r>
        <w:rPr>
          <w:b/>
          <w:color w:val="000000"/>
          <w:highlight w:val="none"/>
        </w:rPr>
        <w:t xml:space="preserve">   1）吊重及活动配重考虑幅度后的弯矩对各支腿产生的荷载计算</w:t>
      </w:r>
    </w:p>
    <w:p w14:paraId="6E884E26">
      <w:pPr>
        <w:ind w:firstLine="482"/>
        <w:rPr>
          <w:highlight w:val="none"/>
        </w:rPr>
      </w:pPr>
      <w:r>
        <w:rPr>
          <w:b/>
          <w:color w:val="000000"/>
          <w:highlight w:val="none"/>
        </w:rPr>
        <w:t xml:space="preserve">     ①求X方向吊重、X方向活动配重考虑幅度后的弯矩对各支腿荷载影响计算，各支腿荷载为F</w:t>
      </w:r>
      <w:r>
        <w:rPr>
          <w:color w:val="000000"/>
          <w:highlight w:val="none"/>
          <w:vertAlign w:val="subscript"/>
        </w:rPr>
        <w:t>ax</w:t>
      </w:r>
      <w:r>
        <w:rPr>
          <w:b/>
          <w:color w:val="000000"/>
          <w:highlight w:val="none"/>
        </w:rPr>
        <w:t>=F</w:t>
      </w:r>
      <w:r>
        <w:rPr>
          <w:color w:val="000000"/>
          <w:highlight w:val="none"/>
          <w:vertAlign w:val="subscript"/>
        </w:rPr>
        <w:t>dx</w:t>
      </w:r>
      <w:r>
        <w:rPr>
          <w:b/>
          <w:color w:val="000000"/>
          <w:highlight w:val="none"/>
        </w:rPr>
        <w:t>，F</w:t>
      </w:r>
      <w:r>
        <w:rPr>
          <w:color w:val="000000"/>
          <w:highlight w:val="none"/>
          <w:vertAlign w:val="subscript"/>
        </w:rPr>
        <w:t>bx</w:t>
      </w:r>
      <w:r>
        <w:rPr>
          <w:b/>
          <w:color w:val="000000"/>
          <w:highlight w:val="none"/>
        </w:rPr>
        <w:t>=F</w:t>
      </w:r>
      <w:r>
        <w:rPr>
          <w:color w:val="000000"/>
          <w:highlight w:val="none"/>
          <w:vertAlign w:val="subscript"/>
        </w:rPr>
        <w:t>cx</w:t>
      </w:r>
    </w:p>
    <w:p w14:paraId="310EF73B">
      <w:pPr>
        <w:ind w:firstLine="480"/>
        <w:jc w:val="center"/>
        <w:rPr>
          <w:highlight w:val="none"/>
        </w:rPr>
      </w:pPr>
      <w:r>
        <w:rPr>
          <w:highlight w:val="none"/>
        </w:rPr>
        <w:drawing>
          <wp:inline distT="0" distB="0" distL="0" distR="0">
            <wp:extent cx="4152900" cy="2638425"/>
            <wp:effectExtent l="0" t="0" r="0" b="9525"/>
            <wp:docPr id="36"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 3"/>
                    <pic:cNvPicPr>
                      <a:picLocks noChangeAspect="1"/>
                    </pic:cNvPicPr>
                  </pic:nvPicPr>
                  <pic:blipFill>
                    <a:blip r:embed="rId144" cstate="print"/>
                    <a:stretch>
                      <a:fillRect/>
                    </a:stretch>
                  </pic:blipFill>
                  <pic:spPr>
                    <a:xfrm>
                      <a:off x="0" y="0"/>
                      <a:ext cx="4152900" cy="2638425"/>
                    </a:xfrm>
                    <a:prstGeom prst="rect">
                      <a:avLst/>
                    </a:prstGeom>
                  </pic:spPr>
                </pic:pic>
              </a:graphicData>
            </a:graphic>
          </wp:inline>
        </w:drawing>
      </w:r>
    </w:p>
    <w:p w14:paraId="73A3EDAB">
      <w:pPr>
        <w:ind w:firstLine="480"/>
        <w:rPr>
          <w:highlight w:val="none"/>
        </w:rPr>
      </w:pPr>
      <w:r>
        <w:rPr>
          <w:color w:val="000000"/>
          <w:highlight w:val="none"/>
        </w:rPr>
        <w:t xml:space="preserve">    (k×G</w:t>
      </w:r>
      <w:r>
        <w:rPr>
          <w:color w:val="000000"/>
          <w:highlight w:val="none"/>
          <w:vertAlign w:val="subscript"/>
        </w:rPr>
        <w:t>w</w:t>
      </w:r>
      <w:r>
        <w:rPr>
          <w:color w:val="000000"/>
          <w:highlight w:val="none"/>
        </w:rPr>
        <w:t>×R-G</w:t>
      </w:r>
      <w:r>
        <w:rPr>
          <w:color w:val="000000"/>
          <w:highlight w:val="none"/>
          <w:vertAlign w:val="subscript"/>
        </w:rPr>
        <w:t>活</w:t>
      </w:r>
      <w:r>
        <w:rPr>
          <w:color w:val="000000"/>
          <w:highlight w:val="none"/>
        </w:rPr>
        <w:t>×L</w:t>
      </w:r>
      <w:r>
        <w:rPr>
          <w:color w:val="000000"/>
          <w:highlight w:val="none"/>
          <w:vertAlign w:val="subscript"/>
        </w:rPr>
        <w:t>d</w:t>
      </w:r>
      <w:r>
        <w:rPr>
          <w:color w:val="000000"/>
          <w:highlight w:val="none"/>
        </w:rPr>
        <w:t>)cosβ-(F</w:t>
      </w:r>
      <w:r>
        <w:rPr>
          <w:color w:val="000000"/>
          <w:highlight w:val="none"/>
          <w:vertAlign w:val="subscript"/>
        </w:rPr>
        <w:t>bx</w:t>
      </w:r>
      <w:r>
        <w:rPr>
          <w:color w:val="000000"/>
          <w:highlight w:val="none"/>
        </w:rPr>
        <w:t>+F</w:t>
      </w:r>
      <w:r>
        <w:rPr>
          <w:color w:val="000000"/>
          <w:highlight w:val="none"/>
          <w:vertAlign w:val="subscript"/>
        </w:rPr>
        <w:t>cx</w:t>
      </w:r>
      <w:r>
        <w:rPr>
          <w:color w:val="000000"/>
          <w:highlight w:val="none"/>
        </w:rPr>
        <w:t>)×L=0</w:t>
      </w:r>
    </w:p>
    <w:p w14:paraId="098857A7">
      <w:pPr>
        <w:ind w:firstLine="480"/>
        <w:rPr>
          <w:highlight w:val="none"/>
        </w:rPr>
      </w:pPr>
      <w:r>
        <w:rPr>
          <w:color w:val="000000"/>
          <w:highlight w:val="none"/>
        </w:rPr>
        <w:t xml:space="preserve">    F</w:t>
      </w:r>
      <w:r>
        <w:rPr>
          <w:color w:val="000000"/>
          <w:highlight w:val="none"/>
          <w:vertAlign w:val="subscript"/>
        </w:rPr>
        <w:t>bx</w:t>
      </w:r>
      <w:r>
        <w:rPr>
          <w:color w:val="000000"/>
          <w:highlight w:val="none"/>
        </w:rPr>
        <w:t>=F</w:t>
      </w:r>
      <w:r>
        <w:rPr>
          <w:color w:val="000000"/>
          <w:highlight w:val="none"/>
          <w:vertAlign w:val="subscript"/>
        </w:rPr>
        <w:t>cx</w:t>
      </w:r>
      <w:r>
        <w:rPr>
          <w:color w:val="000000"/>
          <w:highlight w:val="none"/>
        </w:rPr>
        <w:t>=(k×G</w:t>
      </w:r>
      <w:r>
        <w:rPr>
          <w:color w:val="000000"/>
          <w:highlight w:val="none"/>
          <w:vertAlign w:val="subscript"/>
        </w:rPr>
        <w:t>w</w:t>
      </w:r>
      <w:r>
        <w:rPr>
          <w:color w:val="000000"/>
          <w:highlight w:val="none"/>
        </w:rPr>
        <w:t>×R-G</w:t>
      </w:r>
      <w:r>
        <w:rPr>
          <w:color w:val="000000"/>
          <w:highlight w:val="none"/>
          <w:vertAlign w:val="subscript"/>
        </w:rPr>
        <w:t>活</w:t>
      </w:r>
      <w:r>
        <w:rPr>
          <w:color w:val="000000"/>
          <w:highlight w:val="none"/>
        </w:rPr>
        <w:t>×L</w:t>
      </w:r>
      <w:r>
        <w:rPr>
          <w:color w:val="000000"/>
          <w:highlight w:val="none"/>
          <w:vertAlign w:val="subscript"/>
        </w:rPr>
        <w:t>d</w:t>
      </w:r>
      <w:r>
        <w:rPr>
          <w:color w:val="000000"/>
          <w:highlight w:val="none"/>
        </w:rPr>
        <w:t>)×cosβ/(2L)=(1.2×6.85×22-21.5×3.8)×cosβ/(2×6.63)=7.477cosβ</w:t>
      </w:r>
    </w:p>
    <w:p w14:paraId="50D8CB48">
      <w:pPr>
        <w:ind w:firstLine="480"/>
        <w:rPr>
          <w:highlight w:val="none"/>
        </w:rPr>
      </w:pPr>
      <w:r>
        <w:rPr>
          <w:color w:val="000000"/>
          <w:highlight w:val="none"/>
        </w:rPr>
        <w:t xml:space="preserve">    F</w:t>
      </w:r>
      <w:r>
        <w:rPr>
          <w:color w:val="000000"/>
          <w:highlight w:val="none"/>
          <w:vertAlign w:val="subscript"/>
        </w:rPr>
        <w:t>ax</w:t>
      </w:r>
      <w:r>
        <w:rPr>
          <w:color w:val="000000"/>
          <w:highlight w:val="none"/>
        </w:rPr>
        <w:t>=F</w:t>
      </w:r>
      <w:r>
        <w:rPr>
          <w:color w:val="000000"/>
          <w:highlight w:val="none"/>
          <w:vertAlign w:val="subscript"/>
        </w:rPr>
        <w:t>dx</w:t>
      </w:r>
      <w:r>
        <w:rPr>
          <w:color w:val="000000"/>
          <w:highlight w:val="none"/>
        </w:rPr>
        <w:t>=-7.477cosβ</w:t>
      </w:r>
    </w:p>
    <w:p w14:paraId="6A2BDBF0">
      <w:pPr>
        <w:ind w:firstLine="482"/>
        <w:rPr>
          <w:highlight w:val="none"/>
        </w:rPr>
      </w:pPr>
      <w:r>
        <w:rPr>
          <w:b/>
          <w:color w:val="000000"/>
          <w:highlight w:val="none"/>
        </w:rPr>
        <w:t xml:space="preserve">     ②求Y方向吊重、Y方向活动配重考虑幅度后的弯矩对各支腿荷载影响计算，各支腿荷载为F</w:t>
      </w:r>
      <w:r>
        <w:rPr>
          <w:color w:val="000000"/>
          <w:highlight w:val="none"/>
          <w:vertAlign w:val="subscript"/>
        </w:rPr>
        <w:t>ay</w:t>
      </w:r>
      <w:r>
        <w:rPr>
          <w:b/>
          <w:color w:val="000000"/>
          <w:highlight w:val="none"/>
        </w:rPr>
        <w:t>=F</w:t>
      </w:r>
      <w:r>
        <w:rPr>
          <w:color w:val="000000"/>
          <w:highlight w:val="none"/>
          <w:vertAlign w:val="subscript"/>
        </w:rPr>
        <w:t>by</w:t>
      </w:r>
      <w:r>
        <w:rPr>
          <w:b/>
          <w:color w:val="000000"/>
          <w:highlight w:val="none"/>
        </w:rPr>
        <w:t>，F</w:t>
      </w:r>
      <w:r>
        <w:rPr>
          <w:color w:val="000000"/>
          <w:highlight w:val="none"/>
          <w:vertAlign w:val="subscript"/>
        </w:rPr>
        <w:t>cy</w:t>
      </w:r>
      <w:r>
        <w:rPr>
          <w:b/>
          <w:color w:val="000000"/>
          <w:highlight w:val="none"/>
        </w:rPr>
        <w:t>=F</w:t>
      </w:r>
      <w:r>
        <w:rPr>
          <w:color w:val="000000"/>
          <w:highlight w:val="none"/>
          <w:vertAlign w:val="subscript"/>
        </w:rPr>
        <w:t>dy</w:t>
      </w:r>
    </w:p>
    <w:p w14:paraId="698D008F">
      <w:pPr>
        <w:ind w:firstLine="480"/>
        <w:jc w:val="center"/>
        <w:rPr>
          <w:highlight w:val="none"/>
        </w:rPr>
      </w:pPr>
      <w:r>
        <w:rPr>
          <w:highlight w:val="none"/>
        </w:rPr>
        <w:drawing>
          <wp:inline distT="0" distB="0" distL="0" distR="0">
            <wp:extent cx="4152900" cy="2638425"/>
            <wp:effectExtent l="0" t="0" r="0" b="9525"/>
            <wp:docPr id="39"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 4"/>
                    <pic:cNvPicPr>
                      <a:picLocks noChangeAspect="1"/>
                    </pic:cNvPicPr>
                  </pic:nvPicPr>
                  <pic:blipFill>
                    <a:blip r:embed="rId145" cstate="print"/>
                    <a:stretch>
                      <a:fillRect/>
                    </a:stretch>
                  </pic:blipFill>
                  <pic:spPr>
                    <a:xfrm>
                      <a:off x="0" y="0"/>
                      <a:ext cx="4152900" cy="2638425"/>
                    </a:xfrm>
                    <a:prstGeom prst="rect">
                      <a:avLst/>
                    </a:prstGeom>
                  </pic:spPr>
                </pic:pic>
              </a:graphicData>
            </a:graphic>
          </wp:inline>
        </w:drawing>
      </w:r>
    </w:p>
    <w:p w14:paraId="133D9D91">
      <w:pPr>
        <w:ind w:firstLine="480"/>
        <w:rPr>
          <w:highlight w:val="none"/>
        </w:rPr>
      </w:pPr>
      <w:r>
        <w:rPr>
          <w:color w:val="000000"/>
          <w:highlight w:val="none"/>
        </w:rPr>
        <w:t xml:space="preserve">    (k×G</w:t>
      </w:r>
      <w:r>
        <w:rPr>
          <w:color w:val="000000"/>
          <w:highlight w:val="none"/>
          <w:vertAlign w:val="subscript"/>
        </w:rPr>
        <w:t>w</w:t>
      </w:r>
      <w:r>
        <w:rPr>
          <w:color w:val="000000"/>
          <w:highlight w:val="none"/>
        </w:rPr>
        <w:t>×R-G</w:t>
      </w:r>
      <w:r>
        <w:rPr>
          <w:color w:val="000000"/>
          <w:highlight w:val="none"/>
          <w:vertAlign w:val="subscript"/>
        </w:rPr>
        <w:t>活</w:t>
      </w:r>
      <w:r>
        <w:rPr>
          <w:color w:val="000000"/>
          <w:highlight w:val="none"/>
        </w:rPr>
        <w:t>×L</w:t>
      </w:r>
      <w:r>
        <w:rPr>
          <w:color w:val="000000"/>
          <w:highlight w:val="none"/>
          <w:vertAlign w:val="subscript"/>
        </w:rPr>
        <w:t>d</w:t>
      </w:r>
      <w:r>
        <w:rPr>
          <w:color w:val="000000"/>
          <w:highlight w:val="none"/>
        </w:rPr>
        <w:t>)sinβ-(F</w:t>
      </w:r>
      <w:r>
        <w:rPr>
          <w:color w:val="000000"/>
          <w:highlight w:val="none"/>
          <w:vertAlign w:val="subscript"/>
        </w:rPr>
        <w:t>ay</w:t>
      </w:r>
      <w:r>
        <w:rPr>
          <w:color w:val="000000"/>
          <w:highlight w:val="none"/>
        </w:rPr>
        <w:t>+F</w:t>
      </w:r>
      <w:r>
        <w:rPr>
          <w:color w:val="000000"/>
          <w:highlight w:val="none"/>
          <w:vertAlign w:val="subscript"/>
        </w:rPr>
        <w:t>by</w:t>
      </w:r>
      <w:r>
        <w:rPr>
          <w:color w:val="000000"/>
          <w:highlight w:val="none"/>
        </w:rPr>
        <w:t>)×L=0</w:t>
      </w:r>
    </w:p>
    <w:p w14:paraId="444D0C17">
      <w:pPr>
        <w:ind w:firstLine="480"/>
        <w:rPr>
          <w:highlight w:val="none"/>
        </w:rPr>
      </w:pPr>
      <w:r>
        <w:rPr>
          <w:color w:val="000000"/>
          <w:highlight w:val="none"/>
        </w:rPr>
        <w:t xml:space="preserve">    F</w:t>
      </w:r>
      <w:r>
        <w:rPr>
          <w:color w:val="000000"/>
          <w:highlight w:val="none"/>
          <w:vertAlign w:val="subscript"/>
        </w:rPr>
        <w:t>ay</w:t>
      </w:r>
      <w:r>
        <w:rPr>
          <w:color w:val="000000"/>
          <w:highlight w:val="none"/>
        </w:rPr>
        <w:t>=F</w:t>
      </w:r>
      <w:r>
        <w:rPr>
          <w:color w:val="000000"/>
          <w:highlight w:val="none"/>
          <w:vertAlign w:val="subscript"/>
        </w:rPr>
        <w:t>by</w:t>
      </w:r>
      <w:r>
        <w:rPr>
          <w:color w:val="000000"/>
          <w:highlight w:val="none"/>
        </w:rPr>
        <w:t>=(k×G</w:t>
      </w:r>
      <w:r>
        <w:rPr>
          <w:color w:val="000000"/>
          <w:highlight w:val="none"/>
          <w:vertAlign w:val="subscript"/>
        </w:rPr>
        <w:t>w</w:t>
      </w:r>
      <w:r>
        <w:rPr>
          <w:color w:val="000000"/>
          <w:highlight w:val="none"/>
        </w:rPr>
        <w:t>×R-G</w:t>
      </w:r>
      <w:r>
        <w:rPr>
          <w:color w:val="000000"/>
          <w:highlight w:val="none"/>
          <w:vertAlign w:val="subscript"/>
        </w:rPr>
        <w:t>活</w:t>
      </w:r>
      <w:r>
        <w:rPr>
          <w:color w:val="000000"/>
          <w:highlight w:val="none"/>
        </w:rPr>
        <w:t>×L</w:t>
      </w:r>
      <w:r>
        <w:rPr>
          <w:color w:val="000000"/>
          <w:highlight w:val="none"/>
          <w:vertAlign w:val="subscript"/>
        </w:rPr>
        <w:t>d</w:t>
      </w:r>
      <w:r>
        <w:rPr>
          <w:color w:val="000000"/>
          <w:highlight w:val="none"/>
        </w:rPr>
        <w:t>)×sinβ/(2L)=(1.2×6.85×22-21.5×3.8)×sinβ/(2×6.63)=7.477sinβ</w:t>
      </w:r>
    </w:p>
    <w:p w14:paraId="7E1EBF59">
      <w:pPr>
        <w:ind w:firstLine="480"/>
        <w:rPr>
          <w:highlight w:val="none"/>
        </w:rPr>
      </w:pPr>
      <w:r>
        <w:rPr>
          <w:color w:val="000000"/>
          <w:highlight w:val="none"/>
        </w:rPr>
        <w:t xml:space="preserve">    F</w:t>
      </w:r>
      <w:r>
        <w:rPr>
          <w:color w:val="000000"/>
          <w:highlight w:val="none"/>
          <w:vertAlign w:val="subscript"/>
        </w:rPr>
        <w:t>cy</w:t>
      </w:r>
      <w:r>
        <w:rPr>
          <w:color w:val="000000"/>
          <w:highlight w:val="none"/>
        </w:rPr>
        <w:t>=F</w:t>
      </w:r>
      <w:r>
        <w:rPr>
          <w:color w:val="000000"/>
          <w:highlight w:val="none"/>
          <w:vertAlign w:val="subscript"/>
        </w:rPr>
        <w:t>dy</w:t>
      </w:r>
      <w:r>
        <w:rPr>
          <w:color w:val="000000"/>
          <w:highlight w:val="none"/>
        </w:rPr>
        <w:t>=-7.477sinβ</w:t>
      </w:r>
    </w:p>
    <w:p w14:paraId="6A386E33">
      <w:pPr>
        <w:ind w:firstLine="482"/>
        <w:rPr>
          <w:highlight w:val="none"/>
        </w:rPr>
      </w:pPr>
      <w:r>
        <w:rPr>
          <w:b/>
          <w:color w:val="000000"/>
          <w:highlight w:val="none"/>
        </w:rPr>
        <w:t xml:space="preserve">   2）考虑各因素影响后，各支腿的荷载分别为：</w:t>
      </w:r>
    </w:p>
    <w:p w14:paraId="275E3AFA">
      <w:pPr>
        <w:ind w:firstLine="480"/>
        <w:rPr>
          <w:highlight w:val="none"/>
        </w:rPr>
      </w:pPr>
      <w:r>
        <w:rPr>
          <w:color w:val="000000"/>
          <w:highlight w:val="none"/>
        </w:rPr>
        <w:t xml:space="preserve">    支腿a:F</w:t>
      </w:r>
      <w:r>
        <w:rPr>
          <w:color w:val="000000"/>
          <w:highlight w:val="none"/>
          <w:vertAlign w:val="subscript"/>
        </w:rPr>
        <w:t>a</w:t>
      </w:r>
      <w:r>
        <w:rPr>
          <w:color w:val="000000"/>
          <w:highlight w:val="none"/>
        </w:rPr>
        <w:t>=F</w:t>
      </w:r>
      <w:r>
        <w:rPr>
          <w:color w:val="000000"/>
          <w:highlight w:val="none"/>
          <w:vertAlign w:val="subscript"/>
        </w:rPr>
        <w:t>a1</w:t>
      </w:r>
      <w:r>
        <w:rPr>
          <w:color w:val="000000"/>
          <w:highlight w:val="none"/>
        </w:rPr>
        <w:t>+F</w:t>
      </w:r>
      <w:r>
        <w:rPr>
          <w:color w:val="000000"/>
          <w:highlight w:val="none"/>
          <w:vertAlign w:val="subscript"/>
        </w:rPr>
        <w:t>a2</w:t>
      </w:r>
      <w:r>
        <w:rPr>
          <w:color w:val="000000"/>
          <w:highlight w:val="none"/>
        </w:rPr>
        <w:t>+F</w:t>
      </w:r>
      <w:r>
        <w:rPr>
          <w:color w:val="000000"/>
          <w:highlight w:val="none"/>
          <w:vertAlign w:val="subscript"/>
        </w:rPr>
        <w:t>ax</w:t>
      </w:r>
      <w:r>
        <w:rPr>
          <w:color w:val="000000"/>
          <w:highlight w:val="none"/>
        </w:rPr>
        <w:t>+F</w:t>
      </w:r>
      <w:r>
        <w:rPr>
          <w:color w:val="000000"/>
          <w:highlight w:val="none"/>
          <w:vertAlign w:val="subscript"/>
        </w:rPr>
        <w:t>ay</w:t>
      </w:r>
      <w:r>
        <w:rPr>
          <w:color w:val="000000"/>
          <w:highlight w:val="none"/>
        </w:rPr>
        <w:t>=22.477+7.845-7.477cosβ+7.477sinβ</w:t>
      </w:r>
    </w:p>
    <w:p w14:paraId="6A61BDD8">
      <w:pPr>
        <w:ind w:firstLine="480"/>
        <w:rPr>
          <w:highlight w:val="none"/>
        </w:rPr>
      </w:pPr>
      <w:r>
        <w:rPr>
          <w:color w:val="000000"/>
          <w:highlight w:val="none"/>
        </w:rPr>
        <w:t xml:space="preserve">    支腿b:F</w:t>
      </w:r>
      <w:r>
        <w:rPr>
          <w:color w:val="000000"/>
          <w:highlight w:val="none"/>
          <w:vertAlign w:val="subscript"/>
        </w:rPr>
        <w:t>b</w:t>
      </w:r>
      <w:r>
        <w:rPr>
          <w:color w:val="000000"/>
          <w:highlight w:val="none"/>
        </w:rPr>
        <w:t>=F</w:t>
      </w:r>
      <w:r>
        <w:rPr>
          <w:color w:val="000000"/>
          <w:highlight w:val="none"/>
          <w:vertAlign w:val="subscript"/>
        </w:rPr>
        <w:t>b1</w:t>
      </w:r>
      <w:r>
        <w:rPr>
          <w:color w:val="000000"/>
          <w:highlight w:val="none"/>
        </w:rPr>
        <w:t>+F</w:t>
      </w:r>
      <w:r>
        <w:rPr>
          <w:color w:val="000000"/>
          <w:highlight w:val="none"/>
          <w:vertAlign w:val="subscript"/>
        </w:rPr>
        <w:t>b2</w:t>
      </w:r>
      <w:r>
        <w:rPr>
          <w:color w:val="000000"/>
          <w:highlight w:val="none"/>
        </w:rPr>
        <w:t>+F</w:t>
      </w:r>
      <w:r>
        <w:rPr>
          <w:color w:val="000000"/>
          <w:highlight w:val="none"/>
          <w:vertAlign w:val="subscript"/>
        </w:rPr>
        <w:t>bx</w:t>
      </w:r>
      <w:r>
        <w:rPr>
          <w:color w:val="000000"/>
          <w:highlight w:val="none"/>
        </w:rPr>
        <w:t>+F</w:t>
      </w:r>
      <w:r>
        <w:rPr>
          <w:color w:val="000000"/>
          <w:highlight w:val="none"/>
          <w:vertAlign w:val="subscript"/>
        </w:rPr>
        <w:t>by</w:t>
      </w:r>
      <w:r>
        <w:rPr>
          <w:color w:val="000000"/>
          <w:highlight w:val="none"/>
        </w:rPr>
        <w:t>=2.523+7.015+7.477cosβ+7.477sinβ</w:t>
      </w:r>
    </w:p>
    <w:p w14:paraId="2034A1CE">
      <w:pPr>
        <w:ind w:firstLine="480"/>
        <w:rPr>
          <w:highlight w:val="none"/>
        </w:rPr>
      </w:pPr>
      <w:r>
        <w:rPr>
          <w:color w:val="000000"/>
          <w:highlight w:val="none"/>
        </w:rPr>
        <w:t xml:space="preserve">    支腿c:F</w:t>
      </w:r>
      <w:r>
        <w:rPr>
          <w:color w:val="000000"/>
          <w:highlight w:val="none"/>
          <w:vertAlign w:val="subscript"/>
        </w:rPr>
        <w:t>c</w:t>
      </w:r>
      <w:r>
        <w:rPr>
          <w:color w:val="000000"/>
          <w:highlight w:val="none"/>
        </w:rPr>
        <w:t>=F</w:t>
      </w:r>
      <w:r>
        <w:rPr>
          <w:color w:val="000000"/>
          <w:highlight w:val="none"/>
          <w:vertAlign w:val="subscript"/>
        </w:rPr>
        <w:t>c1</w:t>
      </w:r>
      <w:r>
        <w:rPr>
          <w:color w:val="000000"/>
          <w:highlight w:val="none"/>
        </w:rPr>
        <w:t>+F</w:t>
      </w:r>
      <w:r>
        <w:rPr>
          <w:color w:val="000000"/>
          <w:highlight w:val="none"/>
          <w:vertAlign w:val="subscript"/>
        </w:rPr>
        <w:t>c2</w:t>
      </w:r>
      <w:r>
        <w:rPr>
          <w:color w:val="000000"/>
          <w:highlight w:val="none"/>
        </w:rPr>
        <w:t>+F</w:t>
      </w:r>
      <w:r>
        <w:rPr>
          <w:color w:val="000000"/>
          <w:highlight w:val="none"/>
          <w:vertAlign w:val="subscript"/>
        </w:rPr>
        <w:t>cx</w:t>
      </w:r>
      <w:r>
        <w:rPr>
          <w:color w:val="000000"/>
          <w:highlight w:val="none"/>
        </w:rPr>
        <w:t>+F</w:t>
      </w:r>
      <w:r>
        <w:rPr>
          <w:color w:val="000000"/>
          <w:highlight w:val="none"/>
          <w:vertAlign w:val="subscript"/>
        </w:rPr>
        <w:t>cy</w:t>
      </w:r>
      <w:r>
        <w:rPr>
          <w:color w:val="000000"/>
          <w:highlight w:val="none"/>
        </w:rPr>
        <w:t>=2.523+7.015+7.477cosβ-7.477sinβ</w:t>
      </w:r>
    </w:p>
    <w:p w14:paraId="7318A771">
      <w:pPr>
        <w:ind w:firstLine="480"/>
        <w:rPr>
          <w:highlight w:val="none"/>
        </w:rPr>
      </w:pPr>
      <w:r>
        <w:rPr>
          <w:color w:val="000000"/>
          <w:highlight w:val="none"/>
        </w:rPr>
        <w:t xml:space="preserve">    支腿d:F</w:t>
      </w:r>
      <w:r>
        <w:rPr>
          <w:color w:val="000000"/>
          <w:highlight w:val="none"/>
          <w:vertAlign w:val="subscript"/>
        </w:rPr>
        <w:t>d</w:t>
      </w:r>
      <w:r>
        <w:rPr>
          <w:color w:val="000000"/>
          <w:highlight w:val="none"/>
        </w:rPr>
        <w:t>=F</w:t>
      </w:r>
      <w:r>
        <w:rPr>
          <w:color w:val="000000"/>
          <w:highlight w:val="none"/>
          <w:vertAlign w:val="subscript"/>
        </w:rPr>
        <w:t>d1</w:t>
      </w:r>
      <w:r>
        <w:rPr>
          <w:color w:val="000000"/>
          <w:highlight w:val="none"/>
        </w:rPr>
        <w:t>+F</w:t>
      </w:r>
      <w:r>
        <w:rPr>
          <w:color w:val="000000"/>
          <w:highlight w:val="none"/>
          <w:vertAlign w:val="subscript"/>
        </w:rPr>
        <w:t>d2</w:t>
      </w:r>
      <w:r>
        <w:rPr>
          <w:color w:val="000000"/>
          <w:highlight w:val="none"/>
        </w:rPr>
        <w:t>+F</w:t>
      </w:r>
      <w:r>
        <w:rPr>
          <w:color w:val="000000"/>
          <w:highlight w:val="none"/>
          <w:vertAlign w:val="subscript"/>
        </w:rPr>
        <w:t>dx</w:t>
      </w:r>
      <w:r>
        <w:rPr>
          <w:color w:val="000000"/>
          <w:highlight w:val="none"/>
        </w:rPr>
        <w:t>+F</w:t>
      </w:r>
      <w:r>
        <w:rPr>
          <w:color w:val="000000"/>
          <w:highlight w:val="none"/>
          <w:vertAlign w:val="subscript"/>
        </w:rPr>
        <w:t>dy</w:t>
      </w:r>
      <w:r>
        <w:rPr>
          <w:color w:val="000000"/>
          <w:highlight w:val="none"/>
        </w:rPr>
        <w:t>=22.477+7.845-7.477cosβ-7.477sinβ</w:t>
      </w:r>
    </w:p>
    <w:p w14:paraId="24A3599F">
      <w:pPr>
        <w:ind w:firstLine="482"/>
        <w:rPr>
          <w:highlight w:val="none"/>
        </w:rPr>
      </w:pPr>
      <w:r>
        <w:rPr>
          <w:b/>
          <w:color w:val="000000"/>
          <w:highlight w:val="none"/>
        </w:rPr>
        <w:t xml:space="preserve">   3）各吊装工况及最不利工况支腿荷载计算</w:t>
      </w:r>
    </w:p>
    <w:p w14:paraId="23D21D65">
      <w:pPr>
        <w:ind w:firstLine="482"/>
        <w:rPr>
          <w:highlight w:val="none"/>
        </w:rPr>
      </w:pPr>
      <w:r>
        <w:rPr>
          <w:b/>
          <w:color w:val="000000"/>
          <w:highlight w:val="none"/>
        </w:rPr>
        <w:t xml:space="preserve">     ①当β=0°时，此时吊物在起重机后方</w:t>
      </w:r>
    </w:p>
    <w:p w14:paraId="79B4FCD5">
      <w:pPr>
        <w:ind w:firstLine="0" w:firstLineChars="0"/>
        <w:rPr>
          <w:highlight w:val="none"/>
        </w:rPr>
      </w:pPr>
      <w:r>
        <w:rPr>
          <w:highlight w:val="none"/>
        </w:rPr>
        <w:drawing>
          <wp:inline distT="0" distB="0" distL="0" distR="0">
            <wp:extent cx="5810250" cy="3505200"/>
            <wp:effectExtent l="0" t="0" r="0" b="0"/>
            <wp:docPr id="41" name="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 5"/>
                    <pic:cNvPicPr>
                      <a:picLocks noChangeAspect="1"/>
                    </pic:cNvPicPr>
                  </pic:nvPicPr>
                  <pic:blipFill>
                    <a:blip r:embed="rId143" cstate="print"/>
                    <a:stretch>
                      <a:fillRect/>
                    </a:stretch>
                  </pic:blipFill>
                  <pic:spPr>
                    <a:xfrm>
                      <a:off x="0" y="0"/>
                      <a:ext cx="5810250" cy="3505200"/>
                    </a:xfrm>
                    <a:prstGeom prst="rect">
                      <a:avLst/>
                    </a:prstGeom>
                  </pic:spPr>
                </pic:pic>
              </a:graphicData>
            </a:graphic>
          </wp:inline>
        </w:drawing>
      </w:r>
    </w:p>
    <w:p w14:paraId="3F7E6B96">
      <w:pPr>
        <w:ind w:firstLine="480"/>
        <w:rPr>
          <w:highlight w:val="none"/>
        </w:rPr>
      </w:pPr>
      <w:r>
        <w:rPr>
          <w:color w:val="000000"/>
          <w:highlight w:val="none"/>
        </w:rPr>
        <w:t xml:space="preserve">    将β=0°代入得到：</w:t>
      </w:r>
    </w:p>
    <w:p w14:paraId="121E6206">
      <w:pPr>
        <w:ind w:firstLine="480"/>
        <w:rPr>
          <w:highlight w:val="none"/>
        </w:rPr>
      </w:pPr>
      <w:r>
        <w:rPr>
          <w:color w:val="000000"/>
          <w:highlight w:val="none"/>
        </w:rPr>
        <w:t xml:space="preserve">    F</w:t>
      </w:r>
      <w:r>
        <w:rPr>
          <w:color w:val="000000"/>
          <w:highlight w:val="none"/>
          <w:vertAlign w:val="subscript"/>
        </w:rPr>
        <w:t>a</w:t>
      </w:r>
      <w:r>
        <w:rPr>
          <w:color w:val="000000"/>
          <w:highlight w:val="none"/>
        </w:rPr>
        <w:t>=22.845吨，F</w:t>
      </w:r>
      <w:r>
        <w:rPr>
          <w:color w:val="000000"/>
          <w:highlight w:val="none"/>
          <w:vertAlign w:val="subscript"/>
        </w:rPr>
        <w:t>b</w:t>
      </w:r>
      <w:r>
        <w:rPr>
          <w:color w:val="000000"/>
          <w:highlight w:val="none"/>
        </w:rPr>
        <w:t>=17.015吨，F</w:t>
      </w:r>
      <w:r>
        <w:rPr>
          <w:color w:val="000000"/>
          <w:highlight w:val="none"/>
          <w:vertAlign w:val="subscript"/>
        </w:rPr>
        <w:t>c</w:t>
      </w:r>
      <w:r>
        <w:rPr>
          <w:color w:val="000000"/>
          <w:highlight w:val="none"/>
        </w:rPr>
        <w:t>=17.015吨，F</w:t>
      </w:r>
      <w:r>
        <w:rPr>
          <w:color w:val="000000"/>
          <w:highlight w:val="none"/>
          <w:vertAlign w:val="subscript"/>
        </w:rPr>
        <w:t>d</w:t>
      </w:r>
      <w:r>
        <w:rPr>
          <w:color w:val="000000"/>
          <w:highlight w:val="none"/>
        </w:rPr>
        <w:t>=22.845吨</w:t>
      </w:r>
    </w:p>
    <w:p w14:paraId="70A19032">
      <w:pPr>
        <w:ind w:firstLine="480"/>
        <w:rPr>
          <w:highlight w:val="none"/>
        </w:rPr>
      </w:pPr>
      <w:r>
        <w:rPr>
          <w:color w:val="000000"/>
          <w:highlight w:val="none"/>
        </w:rPr>
        <w:t xml:space="preserve">    各支腿最大荷载F</w:t>
      </w:r>
      <w:r>
        <w:rPr>
          <w:color w:val="000000"/>
          <w:highlight w:val="none"/>
          <w:vertAlign w:val="subscript"/>
        </w:rPr>
        <w:t>1</w:t>
      </w:r>
      <w:r>
        <w:rPr>
          <w:color w:val="000000"/>
          <w:highlight w:val="none"/>
        </w:rPr>
        <w:t>=max(F</w:t>
      </w:r>
      <w:r>
        <w:rPr>
          <w:color w:val="000000"/>
          <w:highlight w:val="none"/>
          <w:vertAlign w:val="subscript"/>
        </w:rPr>
        <w:t>a</w:t>
      </w:r>
      <w:r>
        <w:rPr>
          <w:color w:val="000000"/>
          <w:highlight w:val="none"/>
        </w:rPr>
        <w:t>、F</w:t>
      </w:r>
      <w:r>
        <w:rPr>
          <w:color w:val="000000"/>
          <w:highlight w:val="none"/>
          <w:vertAlign w:val="subscript"/>
        </w:rPr>
        <w:t>b</w:t>
      </w:r>
      <w:r>
        <w:rPr>
          <w:color w:val="000000"/>
          <w:highlight w:val="none"/>
        </w:rPr>
        <w:t>、F</w:t>
      </w:r>
      <w:r>
        <w:rPr>
          <w:color w:val="000000"/>
          <w:highlight w:val="none"/>
          <w:vertAlign w:val="subscript"/>
        </w:rPr>
        <w:t>c</w:t>
      </w:r>
      <w:r>
        <w:rPr>
          <w:color w:val="000000"/>
          <w:highlight w:val="none"/>
        </w:rPr>
        <w:t>、F</w:t>
      </w:r>
      <w:r>
        <w:rPr>
          <w:color w:val="000000"/>
          <w:highlight w:val="none"/>
          <w:vertAlign w:val="subscript"/>
        </w:rPr>
        <w:t>d</w:t>
      </w:r>
      <w:r>
        <w:rPr>
          <w:color w:val="000000"/>
          <w:highlight w:val="none"/>
        </w:rPr>
        <w:t>)=max(22.845、17.015、17.015、22.845)=22.845吨</w:t>
      </w:r>
    </w:p>
    <w:p w14:paraId="1CB772E0">
      <w:pPr>
        <w:ind w:firstLine="482"/>
        <w:rPr>
          <w:highlight w:val="none"/>
        </w:rPr>
      </w:pPr>
      <w:r>
        <w:rPr>
          <w:b/>
          <w:color w:val="000000"/>
          <w:highlight w:val="none"/>
        </w:rPr>
        <w:t xml:space="preserve">     ②当β=90°时，此时吊物在起重机侧方</w:t>
      </w:r>
    </w:p>
    <w:p w14:paraId="34D4EFB9">
      <w:pPr>
        <w:ind w:firstLine="0" w:firstLineChars="0"/>
        <w:rPr>
          <w:highlight w:val="none"/>
        </w:rPr>
      </w:pPr>
      <w:r>
        <w:rPr>
          <w:highlight w:val="none"/>
        </w:rPr>
        <w:drawing>
          <wp:inline distT="0" distB="0" distL="0" distR="0">
            <wp:extent cx="5810250" cy="4000500"/>
            <wp:effectExtent l="0" t="0" r="0" b="0"/>
            <wp:docPr id="43" name="P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 6"/>
                    <pic:cNvPicPr>
                      <a:picLocks noChangeAspect="1"/>
                    </pic:cNvPicPr>
                  </pic:nvPicPr>
                  <pic:blipFill>
                    <a:blip r:embed="rId146" cstate="print"/>
                    <a:stretch>
                      <a:fillRect/>
                    </a:stretch>
                  </pic:blipFill>
                  <pic:spPr>
                    <a:xfrm>
                      <a:off x="0" y="0"/>
                      <a:ext cx="5810250" cy="4000500"/>
                    </a:xfrm>
                    <a:prstGeom prst="rect">
                      <a:avLst/>
                    </a:prstGeom>
                  </pic:spPr>
                </pic:pic>
              </a:graphicData>
            </a:graphic>
          </wp:inline>
        </w:drawing>
      </w:r>
    </w:p>
    <w:p w14:paraId="3002E0BC">
      <w:pPr>
        <w:ind w:firstLine="480"/>
        <w:rPr>
          <w:highlight w:val="none"/>
        </w:rPr>
      </w:pPr>
      <w:r>
        <w:rPr>
          <w:color w:val="000000"/>
          <w:highlight w:val="none"/>
        </w:rPr>
        <w:t xml:space="preserve">    将β=90°代入得到：</w:t>
      </w:r>
    </w:p>
    <w:p w14:paraId="20CA28BE">
      <w:pPr>
        <w:ind w:firstLine="480"/>
        <w:rPr>
          <w:highlight w:val="none"/>
        </w:rPr>
      </w:pPr>
      <w:r>
        <w:rPr>
          <w:color w:val="000000"/>
          <w:highlight w:val="none"/>
        </w:rPr>
        <w:t xml:space="preserve">    F</w:t>
      </w:r>
      <w:r>
        <w:rPr>
          <w:color w:val="000000"/>
          <w:highlight w:val="none"/>
          <w:vertAlign w:val="subscript"/>
        </w:rPr>
        <w:t>a</w:t>
      </w:r>
      <w:r>
        <w:rPr>
          <w:color w:val="000000"/>
          <w:highlight w:val="none"/>
        </w:rPr>
        <w:t>=37.798吨，F</w:t>
      </w:r>
      <w:r>
        <w:rPr>
          <w:color w:val="000000"/>
          <w:highlight w:val="none"/>
          <w:vertAlign w:val="subscript"/>
        </w:rPr>
        <w:t>b</w:t>
      </w:r>
      <w:r>
        <w:rPr>
          <w:color w:val="000000"/>
          <w:highlight w:val="none"/>
        </w:rPr>
        <w:t>=17.015吨，F</w:t>
      </w:r>
      <w:r>
        <w:rPr>
          <w:color w:val="000000"/>
          <w:highlight w:val="none"/>
          <w:vertAlign w:val="subscript"/>
        </w:rPr>
        <w:t>c</w:t>
      </w:r>
      <w:r>
        <w:rPr>
          <w:color w:val="000000"/>
          <w:highlight w:val="none"/>
        </w:rPr>
        <w:t>=2.062吨，F</w:t>
      </w:r>
      <w:r>
        <w:rPr>
          <w:color w:val="000000"/>
          <w:highlight w:val="none"/>
          <w:vertAlign w:val="subscript"/>
        </w:rPr>
        <w:t>d</w:t>
      </w:r>
      <w:r>
        <w:rPr>
          <w:color w:val="000000"/>
          <w:highlight w:val="none"/>
        </w:rPr>
        <w:t>=22.845吨</w:t>
      </w:r>
    </w:p>
    <w:p w14:paraId="0745193B">
      <w:pPr>
        <w:ind w:firstLine="480"/>
        <w:rPr>
          <w:highlight w:val="none"/>
        </w:rPr>
      </w:pPr>
      <w:r>
        <w:rPr>
          <w:color w:val="000000"/>
          <w:highlight w:val="none"/>
        </w:rPr>
        <w:t xml:space="preserve">    各支腿最大荷载F</w:t>
      </w:r>
      <w:r>
        <w:rPr>
          <w:color w:val="000000"/>
          <w:highlight w:val="none"/>
          <w:vertAlign w:val="subscript"/>
        </w:rPr>
        <w:t>2</w:t>
      </w:r>
      <w:r>
        <w:rPr>
          <w:color w:val="000000"/>
          <w:highlight w:val="none"/>
        </w:rPr>
        <w:t>=max(F</w:t>
      </w:r>
      <w:r>
        <w:rPr>
          <w:color w:val="000000"/>
          <w:highlight w:val="none"/>
          <w:vertAlign w:val="subscript"/>
        </w:rPr>
        <w:t>a</w:t>
      </w:r>
      <w:r>
        <w:rPr>
          <w:color w:val="000000"/>
          <w:highlight w:val="none"/>
        </w:rPr>
        <w:t>、F</w:t>
      </w:r>
      <w:r>
        <w:rPr>
          <w:color w:val="000000"/>
          <w:highlight w:val="none"/>
          <w:vertAlign w:val="subscript"/>
        </w:rPr>
        <w:t>b</w:t>
      </w:r>
      <w:r>
        <w:rPr>
          <w:color w:val="000000"/>
          <w:highlight w:val="none"/>
        </w:rPr>
        <w:t>、F</w:t>
      </w:r>
      <w:r>
        <w:rPr>
          <w:color w:val="000000"/>
          <w:highlight w:val="none"/>
          <w:vertAlign w:val="subscript"/>
        </w:rPr>
        <w:t>c</w:t>
      </w:r>
      <w:r>
        <w:rPr>
          <w:color w:val="000000"/>
          <w:highlight w:val="none"/>
        </w:rPr>
        <w:t>、F</w:t>
      </w:r>
      <w:r>
        <w:rPr>
          <w:color w:val="000000"/>
          <w:highlight w:val="none"/>
          <w:vertAlign w:val="subscript"/>
        </w:rPr>
        <w:t>d</w:t>
      </w:r>
      <w:r>
        <w:rPr>
          <w:color w:val="000000"/>
          <w:highlight w:val="none"/>
        </w:rPr>
        <w:t>)=max(37.798、17.015、2.062、22.845)=37.798吨</w:t>
      </w:r>
    </w:p>
    <w:p w14:paraId="00041284">
      <w:pPr>
        <w:ind w:firstLine="482"/>
        <w:rPr>
          <w:highlight w:val="none"/>
        </w:rPr>
      </w:pPr>
      <w:r>
        <w:rPr>
          <w:b/>
          <w:color w:val="000000"/>
          <w:highlight w:val="none"/>
        </w:rPr>
        <w:t xml:space="preserve">     ③起重臂位于支腿b方向工况</w:t>
      </w:r>
    </w:p>
    <w:p w14:paraId="797ACCA1">
      <w:pPr>
        <w:ind w:firstLine="0" w:firstLineChars="0"/>
        <w:rPr>
          <w:highlight w:val="none"/>
        </w:rPr>
      </w:pPr>
      <w:r>
        <w:rPr>
          <w:highlight w:val="none"/>
        </w:rPr>
        <w:drawing>
          <wp:inline distT="0" distB="0" distL="0" distR="0">
            <wp:extent cx="5800725" cy="3505200"/>
            <wp:effectExtent l="0" t="0" r="9525" b="0"/>
            <wp:docPr id="83" name="P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 7"/>
                    <pic:cNvPicPr>
                      <a:picLocks noChangeAspect="1"/>
                    </pic:cNvPicPr>
                  </pic:nvPicPr>
                  <pic:blipFill>
                    <a:blip r:embed="rId147" cstate="print"/>
                    <a:stretch>
                      <a:fillRect/>
                    </a:stretch>
                  </pic:blipFill>
                  <pic:spPr>
                    <a:xfrm>
                      <a:off x="0" y="0"/>
                      <a:ext cx="5800725" cy="3505200"/>
                    </a:xfrm>
                    <a:prstGeom prst="rect">
                      <a:avLst/>
                    </a:prstGeom>
                  </pic:spPr>
                </pic:pic>
              </a:graphicData>
            </a:graphic>
          </wp:inline>
        </w:drawing>
      </w:r>
    </w:p>
    <w:p w14:paraId="656DD0D3">
      <w:pPr>
        <w:ind w:firstLine="480"/>
        <w:rPr>
          <w:highlight w:val="none"/>
        </w:rPr>
      </w:pPr>
      <w:r>
        <w:rPr>
          <w:color w:val="000000"/>
          <w:highlight w:val="none"/>
        </w:rPr>
        <w:t xml:space="preserve">    当β=49.857°时，起重臂在支腿b方向，此时：</w:t>
      </w:r>
    </w:p>
    <w:p w14:paraId="1F8A1D9F">
      <w:pPr>
        <w:ind w:firstLine="480"/>
        <w:rPr>
          <w:highlight w:val="none"/>
        </w:rPr>
      </w:pPr>
      <w:r>
        <w:rPr>
          <w:color w:val="000000"/>
          <w:highlight w:val="none"/>
        </w:rPr>
        <w:t xml:space="preserve">    F</w:t>
      </w:r>
      <w:r>
        <w:rPr>
          <w:color w:val="000000"/>
          <w:highlight w:val="none"/>
          <w:vertAlign w:val="subscript"/>
        </w:rPr>
        <w:t>a</w:t>
      </w:r>
      <w:r>
        <w:rPr>
          <w:color w:val="000000"/>
          <w:highlight w:val="none"/>
        </w:rPr>
        <w:t>=31.216吨，F</w:t>
      </w:r>
      <w:r>
        <w:rPr>
          <w:color w:val="000000"/>
          <w:highlight w:val="none"/>
          <w:vertAlign w:val="subscript"/>
        </w:rPr>
        <w:t>b</w:t>
      </w:r>
      <w:r>
        <w:rPr>
          <w:color w:val="000000"/>
          <w:highlight w:val="none"/>
        </w:rPr>
        <w:t>=20.074吨，F</w:t>
      </w:r>
      <w:r>
        <w:rPr>
          <w:color w:val="000000"/>
          <w:highlight w:val="none"/>
          <w:vertAlign w:val="subscript"/>
        </w:rPr>
        <w:t>c</w:t>
      </w:r>
      <w:r>
        <w:rPr>
          <w:color w:val="000000"/>
          <w:highlight w:val="none"/>
        </w:rPr>
        <w:t>=8.644吨，F</w:t>
      </w:r>
      <w:r>
        <w:rPr>
          <w:color w:val="000000"/>
          <w:highlight w:val="none"/>
          <w:vertAlign w:val="subscript"/>
        </w:rPr>
        <w:t>d</w:t>
      </w:r>
      <w:r>
        <w:rPr>
          <w:color w:val="000000"/>
          <w:highlight w:val="none"/>
        </w:rPr>
        <w:t>=19.786吨</w:t>
      </w:r>
    </w:p>
    <w:p w14:paraId="407A4D97">
      <w:pPr>
        <w:ind w:firstLine="480"/>
        <w:rPr>
          <w:highlight w:val="none"/>
        </w:rPr>
      </w:pPr>
      <w:r>
        <w:rPr>
          <w:color w:val="000000"/>
          <w:highlight w:val="none"/>
        </w:rPr>
        <w:t xml:space="preserve">    各支腿最大荷载F</w:t>
      </w:r>
      <w:r>
        <w:rPr>
          <w:color w:val="000000"/>
          <w:highlight w:val="none"/>
          <w:vertAlign w:val="subscript"/>
        </w:rPr>
        <w:t>3</w:t>
      </w:r>
      <w:r>
        <w:rPr>
          <w:color w:val="000000"/>
          <w:highlight w:val="none"/>
        </w:rPr>
        <w:t>=max(F</w:t>
      </w:r>
      <w:r>
        <w:rPr>
          <w:color w:val="000000"/>
          <w:highlight w:val="none"/>
          <w:vertAlign w:val="subscript"/>
        </w:rPr>
        <w:t>a</w:t>
      </w:r>
      <w:r>
        <w:rPr>
          <w:color w:val="000000"/>
          <w:highlight w:val="none"/>
        </w:rPr>
        <w:t>、F</w:t>
      </w:r>
      <w:r>
        <w:rPr>
          <w:color w:val="000000"/>
          <w:highlight w:val="none"/>
          <w:vertAlign w:val="subscript"/>
        </w:rPr>
        <w:t>b</w:t>
      </w:r>
      <w:r>
        <w:rPr>
          <w:color w:val="000000"/>
          <w:highlight w:val="none"/>
        </w:rPr>
        <w:t>、F</w:t>
      </w:r>
      <w:r>
        <w:rPr>
          <w:color w:val="000000"/>
          <w:highlight w:val="none"/>
          <w:vertAlign w:val="subscript"/>
        </w:rPr>
        <w:t>c</w:t>
      </w:r>
      <w:r>
        <w:rPr>
          <w:color w:val="000000"/>
          <w:highlight w:val="none"/>
        </w:rPr>
        <w:t>、F</w:t>
      </w:r>
      <w:r>
        <w:rPr>
          <w:color w:val="000000"/>
          <w:highlight w:val="none"/>
          <w:vertAlign w:val="subscript"/>
        </w:rPr>
        <w:t>d</w:t>
      </w:r>
      <w:r>
        <w:rPr>
          <w:color w:val="000000"/>
          <w:highlight w:val="none"/>
        </w:rPr>
        <w:t>)=max(31.216、20.074、8.644、19.786)=31.216吨</w:t>
      </w:r>
    </w:p>
    <w:p w14:paraId="5359887C">
      <w:pPr>
        <w:ind w:firstLine="480"/>
        <w:rPr>
          <w:highlight w:val="none"/>
        </w:rPr>
      </w:pPr>
      <w:r>
        <w:rPr>
          <w:color w:val="000000"/>
          <w:highlight w:val="none"/>
        </w:rPr>
        <w:t xml:space="preserve">    考虑各个工况按最不利原则；支腿最大受力N</w:t>
      </w:r>
      <w:r>
        <w:rPr>
          <w:color w:val="000000"/>
          <w:highlight w:val="none"/>
          <w:vertAlign w:val="subscript"/>
        </w:rPr>
        <w:t>k</w:t>
      </w:r>
      <w:r>
        <w:rPr>
          <w:color w:val="000000"/>
          <w:highlight w:val="none"/>
        </w:rPr>
        <w:t>=max(F</w:t>
      </w:r>
      <w:r>
        <w:rPr>
          <w:color w:val="000000"/>
          <w:highlight w:val="none"/>
          <w:vertAlign w:val="subscript"/>
        </w:rPr>
        <w:t>1</w:t>
      </w:r>
      <w:r>
        <w:rPr>
          <w:color w:val="000000"/>
          <w:highlight w:val="none"/>
        </w:rPr>
        <w:t>,F</w:t>
      </w:r>
      <w:r>
        <w:rPr>
          <w:color w:val="000000"/>
          <w:highlight w:val="none"/>
          <w:vertAlign w:val="subscript"/>
        </w:rPr>
        <w:t>2</w:t>
      </w:r>
      <w:r>
        <w:rPr>
          <w:color w:val="000000"/>
          <w:highlight w:val="none"/>
        </w:rPr>
        <w:t>,F</w:t>
      </w:r>
      <w:r>
        <w:rPr>
          <w:color w:val="000000"/>
          <w:highlight w:val="none"/>
          <w:vertAlign w:val="subscript"/>
        </w:rPr>
        <w:t>3</w:t>
      </w:r>
      <w:r>
        <w:rPr>
          <w:color w:val="000000"/>
          <w:highlight w:val="none"/>
        </w:rPr>
        <w:t>)=max(22.845，37.798，31.216)=37.798吨</w:t>
      </w:r>
    </w:p>
    <w:p w14:paraId="0AEB0644">
      <w:pPr>
        <w:ind w:firstLine="562"/>
        <w:rPr>
          <w:highlight w:val="none"/>
        </w:rPr>
      </w:pPr>
      <w:r>
        <w:rPr>
          <w:b/>
          <w:color w:val="000000"/>
          <w:sz w:val="28"/>
          <w:highlight w:val="none"/>
        </w:rPr>
        <w:t xml:space="preserve"> 三、地基基础验算</w:t>
      </w:r>
    </w:p>
    <w:p w14:paraId="65AA3A10">
      <w:pPr>
        <w:ind w:firstLine="482"/>
        <w:rPr>
          <w:highlight w:val="none"/>
        </w:rPr>
      </w:pPr>
      <w:r>
        <w:rPr>
          <w:b/>
          <w:color w:val="000000"/>
          <w:highlight w:val="none"/>
        </w:rPr>
        <w:t xml:space="preserve">  1、地基参数</w:t>
      </w:r>
    </w:p>
    <w:tbl>
      <w:tblPr>
        <w:tblStyle w:val="44"/>
        <w:tblW w:w="9435" w:type="dxa"/>
        <w:jc w:val="center"/>
        <w:shd w:val="clear" w:color="auto" w:fill="FFFFFF"/>
        <w:tblLayout w:type="autofit"/>
        <w:tblCellMar>
          <w:top w:w="45" w:type="dxa"/>
          <w:left w:w="45" w:type="dxa"/>
          <w:bottom w:w="45" w:type="dxa"/>
          <w:right w:w="45" w:type="dxa"/>
        </w:tblCellMar>
      </w:tblPr>
      <w:tblGrid>
        <w:gridCol w:w="3109"/>
        <w:gridCol w:w="1608"/>
        <w:gridCol w:w="3110"/>
        <w:gridCol w:w="1608"/>
      </w:tblGrid>
      <w:tr w14:paraId="4C3A5A5F">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5DA10855">
            <w:pPr>
              <w:ind w:firstLine="360"/>
              <w:rPr>
                <w:highlight w:val="none"/>
              </w:rPr>
            </w:pPr>
            <w:r>
              <w:rPr>
                <w:color w:val="000000"/>
                <w:sz w:val="18"/>
                <w:highlight w:val="none"/>
              </w:rPr>
              <w:t>单根支腿受力面积A</w:t>
            </w:r>
            <w:r>
              <w:rPr>
                <w:color w:val="000000"/>
                <w:highlight w:val="none"/>
                <w:vertAlign w:val="subscript"/>
              </w:rPr>
              <w:t>d1</w:t>
            </w:r>
            <w:r>
              <w:rPr>
                <w:color w:val="000000"/>
                <w:sz w:val="18"/>
                <w:highlight w:val="none"/>
              </w:rPr>
              <w:t>(m</w:t>
            </w:r>
            <w:r>
              <w:rPr>
                <w:color w:val="000000"/>
                <w:highlight w:val="none"/>
                <w:vertAlign w:val="superscript"/>
              </w:rPr>
              <w:t>2</w:t>
            </w:r>
            <w:r>
              <w:rPr>
                <w:color w:val="000000"/>
                <w:sz w:val="18"/>
                <w:highlight w:val="none"/>
              </w:rPr>
              <w:t>)</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0FA98D4A">
            <w:pPr>
              <w:ind w:firstLine="360"/>
              <w:rPr>
                <w:highlight w:val="none"/>
              </w:rPr>
            </w:pPr>
            <w:r>
              <w:rPr>
                <w:color w:val="000000"/>
                <w:sz w:val="18"/>
                <w:highlight w:val="none"/>
              </w:rPr>
              <w:t>4</w:t>
            </w:r>
          </w:p>
        </w:tc>
        <w:tc>
          <w:tcPr>
            <w:tcW w:w="3105" w:type="dxa"/>
            <w:tcBorders>
              <w:top w:val="single" w:color="auto" w:sz="6" w:space="0"/>
              <w:left w:val="single" w:color="auto" w:sz="6" w:space="0"/>
              <w:bottom w:val="single" w:color="auto" w:sz="6" w:space="0"/>
              <w:right w:val="single" w:color="auto" w:sz="6" w:space="0"/>
            </w:tcBorders>
            <w:shd w:val="clear" w:color="auto" w:fill="FFFFFF"/>
          </w:tcPr>
          <w:p w14:paraId="41E9EC27">
            <w:pPr>
              <w:ind w:firstLine="360"/>
              <w:rPr>
                <w:highlight w:val="none"/>
              </w:rPr>
            </w:pPr>
            <w:r>
              <w:rPr>
                <w:color w:val="000000"/>
                <w:sz w:val="18"/>
                <w:highlight w:val="none"/>
              </w:rPr>
              <w:t>地基土类型</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6628E36E">
            <w:pPr>
              <w:ind w:firstLine="360"/>
              <w:rPr>
                <w:highlight w:val="none"/>
              </w:rPr>
            </w:pPr>
            <w:r>
              <w:rPr>
                <w:rFonts w:hint="eastAsia"/>
                <w:color w:val="000000"/>
                <w:sz w:val="18"/>
                <w:highlight w:val="none"/>
              </w:rPr>
              <w:t>钢平台栈桥</w:t>
            </w:r>
          </w:p>
        </w:tc>
      </w:tr>
      <w:tr w14:paraId="2AC9D4E4">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13DD3E40">
            <w:pPr>
              <w:ind w:firstLine="360"/>
              <w:rPr>
                <w:highlight w:val="none"/>
              </w:rPr>
            </w:pPr>
            <w:r>
              <w:rPr>
                <w:color w:val="000000"/>
                <w:sz w:val="18"/>
                <w:highlight w:val="none"/>
              </w:rPr>
              <w:t>地基承载力特征值fak(kPa)</w:t>
            </w:r>
          </w:p>
        </w:tc>
        <w:tc>
          <w:tcPr>
            <w:tcW w:w="6105" w:type="dxa"/>
            <w:gridSpan w:val="3"/>
            <w:tcBorders>
              <w:top w:val="single" w:color="auto" w:sz="6" w:space="0"/>
              <w:left w:val="single" w:color="auto" w:sz="6" w:space="0"/>
              <w:bottom w:val="single" w:color="auto" w:sz="6" w:space="0"/>
              <w:right w:val="single" w:color="auto" w:sz="6" w:space="0"/>
            </w:tcBorders>
            <w:shd w:val="clear" w:color="auto" w:fill="FFFFFF"/>
          </w:tcPr>
          <w:p w14:paraId="1B4F6328">
            <w:pPr>
              <w:ind w:firstLine="360"/>
              <w:rPr>
                <w:highlight w:val="none"/>
              </w:rPr>
            </w:pPr>
            <w:r>
              <w:rPr>
                <w:color w:val="000000"/>
                <w:sz w:val="18"/>
                <w:highlight w:val="none"/>
              </w:rPr>
              <w:t>325</w:t>
            </w:r>
          </w:p>
        </w:tc>
      </w:tr>
    </w:tbl>
    <w:p w14:paraId="5B6C7AC8">
      <w:pPr>
        <w:ind w:firstLine="480"/>
        <w:rPr>
          <w:highlight w:val="none"/>
        </w:rPr>
      </w:pPr>
      <w:r>
        <w:rPr>
          <w:color w:val="000000"/>
          <w:highlight w:val="none"/>
        </w:rPr>
        <w:t xml:space="preserve">    单个支腿传至基础顶面的轴向力标准值为：N'=9.8×N</w:t>
      </w:r>
      <w:r>
        <w:rPr>
          <w:color w:val="000000"/>
          <w:highlight w:val="none"/>
          <w:vertAlign w:val="subscript"/>
        </w:rPr>
        <w:t>k</w:t>
      </w:r>
      <w:r>
        <w:rPr>
          <w:color w:val="000000"/>
          <w:highlight w:val="none"/>
        </w:rPr>
        <w:t>=9.8×37.798=370.419kN</w:t>
      </w:r>
    </w:p>
    <w:p w14:paraId="13679C6D">
      <w:pPr>
        <w:ind w:firstLine="480"/>
        <w:rPr>
          <w:highlight w:val="none"/>
        </w:rPr>
      </w:pPr>
      <w:r>
        <w:rPr>
          <w:color w:val="000000"/>
          <w:highlight w:val="none"/>
        </w:rPr>
        <w:t xml:space="preserve">    单个支腿垫板的底面平均压力p=N'/A</w:t>
      </w:r>
      <w:r>
        <w:rPr>
          <w:color w:val="000000"/>
          <w:highlight w:val="none"/>
          <w:vertAlign w:val="subscript"/>
        </w:rPr>
        <w:t>d1</w:t>
      </w:r>
      <w:r>
        <w:rPr>
          <w:color w:val="000000"/>
          <w:highlight w:val="none"/>
        </w:rPr>
        <w:t>=370.419/4=92.605kPa≤f</w:t>
      </w:r>
      <w:r>
        <w:rPr>
          <w:color w:val="000000"/>
          <w:highlight w:val="none"/>
          <w:vertAlign w:val="subscript"/>
        </w:rPr>
        <w:t>ak</w:t>
      </w:r>
      <w:r>
        <w:rPr>
          <w:color w:val="000000"/>
          <w:highlight w:val="none"/>
        </w:rPr>
        <w:t>=325kPa</w:t>
      </w:r>
    </w:p>
    <w:p w14:paraId="2E76F303">
      <w:pPr>
        <w:ind w:firstLine="480"/>
        <w:rPr>
          <w:highlight w:val="none"/>
        </w:rPr>
      </w:pPr>
      <w:r>
        <w:rPr>
          <w:color w:val="008000"/>
          <w:highlight w:val="none"/>
        </w:rPr>
        <w:t xml:space="preserve">    满足要求！</w:t>
      </w:r>
    </w:p>
    <w:p w14:paraId="5BDEAE72">
      <w:pPr>
        <w:ind w:firstLine="562"/>
        <w:rPr>
          <w:highlight w:val="none"/>
        </w:rPr>
      </w:pPr>
      <w:r>
        <w:rPr>
          <w:b/>
          <w:color w:val="000000"/>
          <w:sz w:val="28"/>
          <w:highlight w:val="none"/>
        </w:rPr>
        <w:t xml:space="preserve"> 四、汽车式起重机抗倾覆计算</w:t>
      </w:r>
    </w:p>
    <w:p w14:paraId="7E4F0884">
      <w:pPr>
        <w:ind w:firstLine="480"/>
        <w:rPr>
          <w:highlight w:val="none"/>
        </w:rPr>
      </w:pPr>
      <w:r>
        <w:rPr>
          <w:color w:val="000000"/>
          <w:highlight w:val="none"/>
        </w:rPr>
        <w:t xml:space="preserve">    考虑抗倾覆安全系数后，如果出现支腿力为负数时，代表抗倾覆不满足要求，反之抗倾覆满足要求。考虑最不利情况，分别计算吊物在起重机后方和吊物在起重机侧方两种工况。</w:t>
      </w:r>
    </w:p>
    <w:p w14:paraId="26865B05">
      <w:pPr>
        <w:ind w:firstLine="482"/>
        <w:rPr>
          <w:highlight w:val="none"/>
        </w:rPr>
      </w:pPr>
      <w:r>
        <w:rPr>
          <w:b/>
          <w:color w:val="000000"/>
          <w:highlight w:val="none"/>
        </w:rPr>
        <w:t xml:space="preserve">  1、吊物在起重机后方时</w:t>
      </w:r>
    </w:p>
    <w:p w14:paraId="1314A19A">
      <w:pPr>
        <w:ind w:firstLine="480"/>
        <w:rPr>
          <w:highlight w:val="none"/>
        </w:rPr>
      </w:pPr>
      <w:r>
        <w:rPr>
          <w:color w:val="000000"/>
          <w:highlight w:val="none"/>
        </w:rPr>
        <w:t xml:space="preserve">    参考起重机支腿力计算章节，吊物在起重机后方时取β=0°，同时将吊重产生的倾覆力矩乘以k</w:t>
      </w:r>
      <w:r>
        <w:rPr>
          <w:color w:val="000000"/>
          <w:highlight w:val="none"/>
          <w:vertAlign w:val="subscript"/>
        </w:rPr>
        <w:t>2</w:t>
      </w:r>
      <w:r>
        <w:rPr>
          <w:color w:val="000000"/>
          <w:highlight w:val="none"/>
        </w:rPr>
        <w:t>=1.2，此时支腿荷载分别为F</w:t>
      </w:r>
      <w:r>
        <w:rPr>
          <w:color w:val="000000"/>
          <w:highlight w:val="none"/>
          <w:vertAlign w:val="subscript"/>
        </w:rPr>
        <w:t>a</w:t>
      </w:r>
      <w:r>
        <w:rPr>
          <w:color w:val="000000"/>
          <w:highlight w:val="none"/>
        </w:rPr>
        <w:t>=20.551吨，F</w:t>
      </w:r>
      <w:r>
        <w:rPr>
          <w:color w:val="000000"/>
          <w:highlight w:val="none"/>
          <w:vertAlign w:val="subscript"/>
        </w:rPr>
        <w:t>b</w:t>
      </w:r>
      <w:r>
        <w:rPr>
          <w:color w:val="000000"/>
          <w:highlight w:val="none"/>
        </w:rPr>
        <w:t>=20.131吨，F</w:t>
      </w:r>
      <w:r>
        <w:rPr>
          <w:color w:val="000000"/>
          <w:highlight w:val="none"/>
          <w:vertAlign w:val="subscript"/>
        </w:rPr>
        <w:t>c</w:t>
      </w:r>
      <w:r>
        <w:rPr>
          <w:color w:val="000000"/>
          <w:highlight w:val="none"/>
        </w:rPr>
        <w:t>=20.131吨，F</w:t>
      </w:r>
      <w:r>
        <w:rPr>
          <w:color w:val="000000"/>
          <w:highlight w:val="none"/>
          <w:vertAlign w:val="subscript"/>
        </w:rPr>
        <w:t>d</w:t>
      </w:r>
      <w:r>
        <w:rPr>
          <w:color w:val="000000"/>
          <w:highlight w:val="none"/>
        </w:rPr>
        <w:t>=20.551吨。</w:t>
      </w:r>
    </w:p>
    <w:p w14:paraId="444CBDFD">
      <w:pPr>
        <w:ind w:firstLine="480"/>
        <w:rPr>
          <w:highlight w:val="none"/>
        </w:rPr>
      </w:pPr>
      <w:r>
        <w:rPr>
          <w:color w:val="000000"/>
          <w:highlight w:val="none"/>
        </w:rPr>
        <w:t xml:space="preserve">    没有出现支腿荷载为负数。</w:t>
      </w:r>
    </w:p>
    <w:p w14:paraId="786E6CE0">
      <w:pPr>
        <w:ind w:firstLine="480"/>
        <w:rPr>
          <w:highlight w:val="none"/>
        </w:rPr>
      </w:pPr>
      <w:r>
        <w:rPr>
          <w:color w:val="008000"/>
          <w:highlight w:val="none"/>
        </w:rPr>
        <w:t xml:space="preserve">    抗倾覆满足要求！</w:t>
      </w:r>
    </w:p>
    <w:p w14:paraId="74021971">
      <w:pPr>
        <w:ind w:firstLine="482"/>
        <w:rPr>
          <w:highlight w:val="none"/>
        </w:rPr>
      </w:pPr>
      <w:r>
        <w:rPr>
          <w:b/>
          <w:color w:val="000000"/>
          <w:highlight w:val="none"/>
        </w:rPr>
        <w:t xml:space="preserve">  2、吊物在起重机侧方时</w:t>
      </w:r>
    </w:p>
    <w:p w14:paraId="280E316C">
      <w:pPr>
        <w:ind w:firstLine="480"/>
        <w:rPr>
          <w:highlight w:val="none"/>
        </w:rPr>
      </w:pPr>
      <w:r>
        <w:rPr>
          <w:color w:val="000000"/>
          <w:highlight w:val="none"/>
        </w:rPr>
        <w:t xml:space="preserve">    参考起重机支腿力计算章节，吊物在起重机侧方时取β=90°，同时将吊重产生的倾覆力矩乘以k</w:t>
      </w:r>
      <w:r>
        <w:rPr>
          <w:color w:val="000000"/>
          <w:highlight w:val="none"/>
          <w:vertAlign w:val="subscript"/>
        </w:rPr>
        <w:t>2</w:t>
      </w:r>
      <w:r>
        <w:rPr>
          <w:color w:val="000000"/>
          <w:highlight w:val="none"/>
        </w:rPr>
        <w:t>=1.2，此时支腿荷载分别为F</w:t>
      </w:r>
      <w:r>
        <w:rPr>
          <w:color w:val="000000"/>
          <w:highlight w:val="none"/>
          <w:vertAlign w:val="subscript"/>
        </w:rPr>
        <w:t>a</w:t>
      </w:r>
      <w:r>
        <w:rPr>
          <w:color w:val="000000"/>
          <w:highlight w:val="none"/>
        </w:rPr>
        <w:t>=39.361吨，F</w:t>
      </w:r>
      <w:r>
        <w:rPr>
          <w:color w:val="000000"/>
          <w:highlight w:val="none"/>
          <w:vertAlign w:val="subscript"/>
        </w:rPr>
        <w:t>b</w:t>
      </w:r>
      <w:r>
        <w:rPr>
          <w:color w:val="000000"/>
          <w:highlight w:val="none"/>
        </w:rPr>
        <w:t>=17.623吨，F</w:t>
      </w:r>
      <w:r>
        <w:rPr>
          <w:color w:val="000000"/>
          <w:highlight w:val="none"/>
          <w:vertAlign w:val="subscript"/>
        </w:rPr>
        <w:t>c</w:t>
      </w:r>
      <w:r>
        <w:rPr>
          <w:color w:val="000000"/>
          <w:highlight w:val="none"/>
        </w:rPr>
        <w:t>=2.231吨，F</w:t>
      </w:r>
      <w:r>
        <w:rPr>
          <w:color w:val="000000"/>
          <w:highlight w:val="none"/>
          <w:vertAlign w:val="subscript"/>
        </w:rPr>
        <w:t>d</w:t>
      </w:r>
      <w:r>
        <w:rPr>
          <w:color w:val="000000"/>
          <w:highlight w:val="none"/>
        </w:rPr>
        <w:t>=22.149吨。</w:t>
      </w:r>
    </w:p>
    <w:p w14:paraId="39B8C884">
      <w:pPr>
        <w:ind w:firstLine="480"/>
        <w:rPr>
          <w:highlight w:val="none"/>
        </w:rPr>
      </w:pPr>
      <w:r>
        <w:rPr>
          <w:color w:val="000000"/>
          <w:highlight w:val="none"/>
        </w:rPr>
        <w:t xml:space="preserve">    没有出现支腿荷载为负数。</w:t>
      </w:r>
    </w:p>
    <w:p w14:paraId="3D84CE2A">
      <w:pPr>
        <w:ind w:firstLine="480"/>
        <w:rPr>
          <w:highlight w:val="none"/>
        </w:rPr>
      </w:pPr>
      <w:r>
        <w:rPr>
          <w:highlight w:val="none"/>
        </w:rPr>
        <w:t xml:space="preserve">    </w:t>
      </w:r>
      <w:r>
        <w:rPr>
          <w:color w:val="008000"/>
          <w:highlight w:val="none"/>
        </w:rPr>
        <w:t>抗倾覆满足要求！</w:t>
      </w:r>
    </w:p>
    <w:bookmarkEnd w:id="215"/>
    <w:p w14:paraId="31E73CE3">
      <w:pPr>
        <w:pStyle w:val="5"/>
        <w:bidi w:val="0"/>
        <w:ind w:left="0" w:leftChars="0" w:firstLine="0" w:firstLineChars="0"/>
        <w:rPr>
          <w:highlight w:val="none"/>
        </w:rPr>
      </w:pPr>
      <w:r>
        <w:rPr>
          <w:rFonts w:hint="eastAsia"/>
          <w:highlight w:val="none"/>
        </w:rPr>
        <w:t>钢丝绳选型计算</w:t>
      </w:r>
    </w:p>
    <w:p w14:paraId="1D28BF01">
      <w:pPr>
        <w:ind w:firstLine="480"/>
        <w:rPr>
          <w:highlight w:val="none"/>
        </w:rPr>
      </w:pPr>
      <w:bookmarkStart w:id="221" w:name="_Toc16842"/>
      <w:r>
        <w:rPr>
          <w:rFonts w:hint="eastAsia"/>
          <w:highlight w:val="none"/>
        </w:rPr>
        <w:t>1、</w:t>
      </w:r>
      <w:r>
        <w:rPr>
          <w:highlight w:val="none"/>
        </w:rPr>
        <w:t>钢丝绳选型依据</w:t>
      </w:r>
      <w:bookmarkEnd w:id="221"/>
    </w:p>
    <w:p w14:paraId="7B99533E">
      <w:pPr>
        <w:ind w:firstLine="480"/>
        <w:rPr>
          <w:highlight w:val="none"/>
        </w:rPr>
      </w:pPr>
      <w:r>
        <w:rPr>
          <w:rFonts w:hint="eastAsia"/>
          <w:highlight w:val="none"/>
        </w:rPr>
        <w:t>根据起吊重量选择相对应的钢丝绳和卸扣。</w:t>
      </w:r>
    </w:p>
    <w:p w14:paraId="355B89F1">
      <w:pPr>
        <w:ind w:firstLine="480"/>
        <w:rPr>
          <w:highlight w:val="none"/>
        </w:rPr>
      </w:pPr>
      <w:r>
        <w:rPr>
          <w:rFonts w:hint="eastAsia"/>
          <w:highlight w:val="none"/>
        </w:rPr>
        <w:t>有对称分布的与垂直方向具有相同角度的单肢吊索组成的多肢吊索的工作荷载按《一般用途钢丝绳吊索特性和技术条件》公式计算：</w:t>
      </w:r>
    </w:p>
    <w:p w14:paraId="450959FF">
      <w:pPr>
        <w:tabs>
          <w:tab w:val="left" w:pos="1320"/>
        </w:tabs>
        <w:ind w:firstLine="0" w:firstLineChars="0"/>
        <w:jc w:val="center"/>
        <w:rPr>
          <w:i/>
          <w:highlight w:val="none"/>
        </w:rPr>
      </w:pPr>
      <m:oMathPara>
        <m:oMath>
          <m:r>
            <m:rPr>
              <m:nor/>
              <m:sty m:val="p"/>
            </m:rPr>
            <w:rPr>
              <w:b w:val="0"/>
              <w:i w:val="0"/>
              <w:highlight w:val="none"/>
            </w:rPr>
            <m:t>WLL=</m:t>
          </m:r>
          <m:sSub>
            <m:sSubPr>
              <m:ctrlPr>
                <w:rPr>
                  <w:rFonts w:ascii="Cambria Math" w:hAnsi="Cambria Math"/>
                  <w:highlight w:val="none"/>
                </w:rPr>
              </m:ctrlPr>
            </m:sSubPr>
            <m:e>
              <m:r>
                <m:rPr>
                  <m:nor/>
                  <m:sty m:val="p"/>
                </m:rPr>
                <w:rPr>
                  <w:b w:val="0"/>
                  <w:i w:val="0"/>
                  <w:highlight w:val="none"/>
                </w:rPr>
                <m:t>F</m:t>
              </m:r>
              <m:ctrlPr>
                <w:rPr>
                  <w:rFonts w:ascii="Cambria Math" w:hAnsi="Cambria Math"/>
                  <w:highlight w:val="none"/>
                </w:rPr>
              </m:ctrlPr>
            </m:e>
            <m:sub>
              <m:r>
                <m:rPr>
                  <m:nor/>
                  <m:sty m:val="p"/>
                </m:rPr>
                <w:rPr>
                  <w:b w:val="0"/>
                  <w:i w:val="0"/>
                  <w:highlight w:val="none"/>
                </w:rPr>
                <m:t>0</m:t>
              </m:r>
              <m:ctrlPr>
                <w:rPr>
                  <w:rFonts w:ascii="Cambria Math" w:hAnsi="Cambria Math"/>
                  <w:highlight w:val="none"/>
                </w:rPr>
              </m:ctrlPr>
            </m:sub>
          </m:sSub>
          <m:r>
            <m:rPr>
              <m:nor/>
              <m:sty m:val="p"/>
            </m:rPr>
            <w:rPr>
              <w:b w:val="0"/>
              <w:i w:val="0"/>
              <w:highlight w:val="none"/>
            </w:rPr>
            <m:t>×</m:t>
          </m:r>
          <m:sSub>
            <m:sSubPr>
              <m:ctrlPr>
                <w:rPr>
                  <w:rFonts w:ascii="Cambria Math" w:hAnsi="Cambria Math"/>
                  <w:highlight w:val="none"/>
                </w:rPr>
              </m:ctrlPr>
            </m:sSubPr>
            <m:e>
              <m:r>
                <m:rPr>
                  <m:nor/>
                  <m:sty m:val="p"/>
                </m:rPr>
                <w:rPr>
                  <w:b w:val="0"/>
                  <w:i w:val="0"/>
                  <w:highlight w:val="none"/>
                </w:rPr>
                <m:t>K</m:t>
              </m:r>
              <m:ctrlPr>
                <w:rPr>
                  <w:rFonts w:ascii="Cambria Math" w:hAnsi="Cambria Math"/>
                  <w:highlight w:val="none"/>
                </w:rPr>
              </m:ctrlPr>
            </m:e>
            <m:sub>
              <m:r>
                <m:rPr>
                  <m:nor/>
                  <m:sty m:val="p"/>
                </m:rPr>
                <w:rPr>
                  <w:b w:val="0"/>
                  <w:i w:val="0"/>
                  <w:highlight w:val="none"/>
                </w:rPr>
                <m:t>e</m:t>
              </m:r>
              <m:ctrlPr>
                <w:rPr>
                  <w:rFonts w:ascii="Cambria Math" w:hAnsi="Cambria Math"/>
                  <w:highlight w:val="none"/>
                </w:rPr>
              </m:ctrlPr>
            </m:sub>
          </m:sSub>
          <m:r>
            <m:rPr>
              <m:nor/>
              <m:sty m:val="p"/>
            </m:rPr>
            <w:rPr>
              <w:b w:val="0"/>
              <w:i w:val="0"/>
              <w:highlight w:val="none"/>
            </w:rPr>
            <m:t>×K÷</m:t>
          </m:r>
          <m:d>
            <m:dPr>
              <m:ctrlPr>
                <w:rPr>
                  <w:rFonts w:ascii="Cambria Math" w:hAnsi="Cambria Math"/>
                  <w:highlight w:val="none"/>
                </w:rPr>
              </m:ctrlPr>
            </m:dPr>
            <m:e>
              <m:sSub>
                <m:sSubPr>
                  <m:ctrlPr>
                    <w:rPr>
                      <w:rFonts w:ascii="Cambria Math" w:hAnsi="Cambria Math"/>
                      <w:highlight w:val="none"/>
                    </w:rPr>
                  </m:ctrlPr>
                </m:sSubPr>
                <m:e>
                  <m:r>
                    <m:rPr>
                      <m:nor/>
                      <m:sty m:val="p"/>
                    </m:rPr>
                    <w:rPr>
                      <w:b w:val="0"/>
                      <w:i w:val="0"/>
                      <w:highlight w:val="none"/>
                    </w:rPr>
                    <m:t>K</m:t>
                  </m:r>
                  <m:ctrlPr>
                    <w:rPr>
                      <w:rFonts w:ascii="Cambria Math" w:hAnsi="Cambria Math"/>
                      <w:highlight w:val="none"/>
                    </w:rPr>
                  </m:ctrlPr>
                </m:e>
                <m:sub>
                  <m:r>
                    <m:rPr>
                      <m:nor/>
                      <m:sty m:val="p"/>
                    </m:rPr>
                    <w:rPr>
                      <w:b w:val="0"/>
                      <w:i w:val="0"/>
                      <w:highlight w:val="none"/>
                    </w:rPr>
                    <m:t>m</m:t>
                  </m:r>
                  <m:ctrlPr>
                    <w:rPr>
                      <w:rFonts w:ascii="Cambria Math" w:hAnsi="Cambria Math"/>
                      <w:highlight w:val="none"/>
                    </w:rPr>
                  </m:ctrlPr>
                </m:sub>
              </m:sSub>
              <m:r>
                <m:rPr>
                  <m:nor/>
                  <m:sty m:val="p"/>
                </m:rPr>
                <w:rPr>
                  <w:b w:val="0"/>
                  <w:i w:val="0"/>
                  <w:highlight w:val="none"/>
                </w:rPr>
                <m:t>×</m:t>
              </m:r>
              <m:sSub>
                <m:sSubPr>
                  <m:ctrlPr>
                    <w:rPr>
                      <w:rFonts w:ascii="Cambria Math" w:hAnsi="Cambria Math"/>
                      <w:highlight w:val="none"/>
                    </w:rPr>
                  </m:ctrlPr>
                </m:sSubPr>
                <m:e>
                  <m:r>
                    <m:rPr>
                      <m:nor/>
                      <m:sty m:val="p"/>
                    </m:rPr>
                    <w:rPr>
                      <w:b w:val="0"/>
                      <w:i w:val="0"/>
                      <w:highlight w:val="none"/>
                    </w:rPr>
                    <m:t>K</m:t>
                  </m:r>
                  <m:ctrlPr>
                    <w:rPr>
                      <w:rFonts w:ascii="Cambria Math" w:hAnsi="Cambria Math"/>
                      <w:highlight w:val="none"/>
                    </w:rPr>
                  </m:ctrlPr>
                </m:e>
                <m:sub>
                  <m:r>
                    <m:rPr>
                      <m:nor/>
                      <m:sty m:val="p"/>
                    </m:rPr>
                    <w:rPr>
                      <w:b w:val="0"/>
                      <w:i w:val="0"/>
                      <w:highlight w:val="none"/>
                    </w:rPr>
                    <m:t>u</m:t>
                  </m:r>
                  <m:ctrlPr>
                    <w:rPr>
                      <w:rFonts w:ascii="Cambria Math" w:hAnsi="Cambria Math"/>
                      <w:highlight w:val="none"/>
                    </w:rPr>
                  </m:ctrlPr>
                </m:sub>
              </m:sSub>
              <m:ctrlPr>
                <w:rPr>
                  <w:rFonts w:ascii="Cambria Math" w:hAnsi="Cambria Math"/>
                  <w:highlight w:val="none"/>
                </w:rPr>
              </m:ctrlPr>
            </m:e>
          </m:d>
        </m:oMath>
      </m:oMathPara>
    </w:p>
    <w:p w14:paraId="1BCE2086">
      <w:pPr>
        <w:tabs>
          <w:tab w:val="left" w:pos="1200"/>
        </w:tabs>
        <w:ind w:firstLine="0" w:firstLineChars="0"/>
        <w:rPr>
          <w:highlight w:val="none"/>
        </w:rPr>
      </w:pPr>
      <w:r>
        <w:rPr>
          <w:rFonts w:hint="eastAsia"/>
          <w:highlight w:val="none"/>
        </w:rPr>
        <w:t>式中：</w:t>
      </w:r>
    </w:p>
    <w:p w14:paraId="3E5E0199">
      <w:pPr>
        <w:tabs>
          <w:tab w:val="left" w:pos="1200"/>
        </w:tabs>
        <w:ind w:firstLine="0" w:firstLineChars="0"/>
        <w:rPr>
          <w:highlight w:val="none"/>
        </w:rPr>
      </w:pPr>
    </w:p>
    <w:p w14:paraId="05A96F49">
      <w:pPr>
        <w:tabs>
          <w:tab w:val="left" w:pos="1200"/>
        </w:tabs>
        <w:ind w:firstLine="0" w:firstLineChars="0"/>
        <w:rPr>
          <w:highlight w:val="none"/>
        </w:rPr>
      </w:pPr>
    </w:p>
    <w:tbl>
      <w:tblPr>
        <w:tblStyle w:val="2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5"/>
        <w:gridCol w:w="849"/>
        <w:gridCol w:w="8013"/>
      </w:tblGrid>
      <w:tr w14:paraId="672D4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tcPr>
          <w:p w14:paraId="21327FDC">
            <w:pPr>
              <w:tabs>
                <w:tab w:val="left" w:pos="1320"/>
              </w:tabs>
              <w:ind w:firstLine="0" w:firstLineChars="0"/>
              <w:jc w:val="center"/>
              <w:rPr>
                <w:rFonts w:asciiTheme="minorHAnsi" w:hAnsiTheme="minorHAnsi" w:eastAsiaTheme="minorEastAsia" w:cstheme="minorBidi"/>
                <w:i/>
                <w:kern w:val="0"/>
                <w:szCs w:val="20"/>
                <w:highlight w:val="none"/>
              </w:rPr>
            </w:pPr>
          </w:p>
        </w:tc>
        <w:tc>
          <w:tcPr>
            <w:tcW w:w="850" w:type="dxa"/>
          </w:tcPr>
          <w:p w14:paraId="7C2617DD">
            <w:pPr>
              <w:tabs>
                <w:tab w:val="left" w:pos="1320"/>
              </w:tabs>
              <w:ind w:firstLine="0" w:firstLineChars="0"/>
              <w:jc w:val="center"/>
              <w:rPr>
                <w:rFonts w:asciiTheme="minorHAnsi" w:hAnsiTheme="minorHAnsi" w:eastAsiaTheme="minorEastAsia" w:cstheme="minorBidi"/>
                <w:i/>
                <w:kern w:val="0"/>
                <w:szCs w:val="20"/>
                <w:highlight w:val="none"/>
              </w:rPr>
            </w:pPr>
            <w:r>
              <w:rPr>
                <w:rFonts w:asciiTheme="minorHAnsi" w:hAnsiTheme="minorHAnsi" w:eastAsiaTheme="minorEastAsia" w:cstheme="minorBidi"/>
                <w:i/>
                <w:kern w:val="0"/>
                <w:szCs w:val="20"/>
                <w:highlight w:val="none"/>
              </w:rPr>
              <w:t>WLL</w:t>
            </w:r>
          </w:p>
        </w:tc>
        <w:tc>
          <w:tcPr>
            <w:tcW w:w="8048" w:type="dxa"/>
          </w:tcPr>
          <w:p w14:paraId="15475F7E">
            <w:pPr>
              <w:tabs>
                <w:tab w:val="left" w:pos="1200"/>
              </w:tabs>
              <w:ind w:firstLine="0" w:firstLineChars="0"/>
              <w:rPr>
                <w:rFonts w:asciiTheme="minorHAnsi" w:hAnsiTheme="minorHAnsi" w:eastAsiaTheme="minorEastAsia" w:cstheme="minorBidi"/>
                <w:kern w:val="0"/>
                <w:szCs w:val="20"/>
                <w:highlight w:val="none"/>
              </w:rPr>
            </w:pPr>
            <w:r>
              <w:rPr>
                <w:rFonts w:hint="eastAsia" w:asciiTheme="minorHAnsi" w:hAnsiTheme="minorHAnsi" w:eastAsiaTheme="minorEastAsia" w:cstheme="minorBidi"/>
                <w:kern w:val="0"/>
                <w:szCs w:val="20"/>
                <w:highlight w:val="none"/>
              </w:rPr>
              <w:t>——吊索额定工作荷载，单位为t；</w:t>
            </w:r>
          </w:p>
        </w:tc>
      </w:tr>
      <w:tr w14:paraId="6BA47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tcPr>
          <w:p w14:paraId="2AC9752C">
            <w:pPr>
              <w:tabs>
                <w:tab w:val="left" w:pos="1320"/>
              </w:tabs>
              <w:ind w:firstLine="0" w:firstLineChars="0"/>
              <w:jc w:val="center"/>
              <w:rPr>
                <w:rFonts w:asciiTheme="minorHAnsi" w:hAnsiTheme="minorHAnsi" w:eastAsiaTheme="minorEastAsia" w:cstheme="minorBidi"/>
                <w:i/>
                <w:kern w:val="0"/>
                <w:szCs w:val="20"/>
                <w:highlight w:val="none"/>
              </w:rPr>
            </w:pPr>
          </w:p>
        </w:tc>
        <w:tc>
          <w:tcPr>
            <w:tcW w:w="850" w:type="dxa"/>
          </w:tcPr>
          <w:p w14:paraId="02649D5E">
            <w:pPr>
              <w:tabs>
                <w:tab w:val="left" w:pos="1320"/>
              </w:tabs>
              <w:ind w:firstLine="0" w:firstLineChars="0"/>
              <w:jc w:val="center"/>
              <w:rPr>
                <w:rFonts w:asciiTheme="minorHAnsi" w:hAnsiTheme="minorHAnsi" w:eastAsiaTheme="minorEastAsia" w:cstheme="minorBidi"/>
                <w:i/>
                <w:kern w:val="0"/>
                <w:szCs w:val="20"/>
                <w:highlight w:val="none"/>
              </w:rPr>
            </w:pPr>
            <w:r>
              <w:rPr>
                <w:rFonts w:asciiTheme="minorHAnsi" w:hAnsiTheme="minorHAnsi" w:eastAsiaTheme="minorEastAsia" w:cstheme="minorBidi"/>
                <w:i/>
                <w:kern w:val="0"/>
                <w:szCs w:val="20"/>
                <w:highlight w:val="none"/>
              </w:rPr>
              <w:t>F</w:t>
            </w:r>
            <w:r>
              <w:rPr>
                <w:rFonts w:asciiTheme="minorHAnsi" w:hAnsiTheme="minorHAnsi" w:eastAsiaTheme="minorEastAsia" w:cstheme="minorBidi"/>
                <w:i/>
                <w:kern w:val="0"/>
                <w:szCs w:val="20"/>
                <w:highlight w:val="none"/>
                <w:vertAlign w:val="subscript"/>
              </w:rPr>
              <w:t>0</w:t>
            </w:r>
          </w:p>
        </w:tc>
        <w:tc>
          <w:tcPr>
            <w:tcW w:w="8048" w:type="dxa"/>
          </w:tcPr>
          <w:p w14:paraId="23EB96C8">
            <w:pPr>
              <w:tabs>
                <w:tab w:val="left" w:pos="1200"/>
              </w:tabs>
              <w:ind w:firstLine="0" w:firstLineChars="0"/>
              <w:rPr>
                <w:rFonts w:asciiTheme="minorHAnsi" w:hAnsiTheme="minorHAnsi" w:eastAsiaTheme="minorEastAsia" w:cstheme="minorBidi"/>
                <w:kern w:val="0"/>
                <w:szCs w:val="20"/>
                <w:highlight w:val="none"/>
              </w:rPr>
            </w:pPr>
            <w:r>
              <w:rPr>
                <w:rFonts w:hint="eastAsia" w:asciiTheme="minorHAnsi" w:hAnsiTheme="minorHAnsi" w:eastAsiaTheme="minorEastAsia" w:cstheme="minorBidi"/>
                <w:kern w:val="0"/>
                <w:szCs w:val="20"/>
                <w:highlight w:val="none"/>
              </w:rPr>
              <w:t>——钢丝绳最小破断拉力，单位为kN；</w:t>
            </w:r>
          </w:p>
        </w:tc>
      </w:tr>
      <w:tr w14:paraId="3DDE3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tcPr>
          <w:p w14:paraId="25703BA8">
            <w:pPr>
              <w:tabs>
                <w:tab w:val="left" w:pos="1320"/>
              </w:tabs>
              <w:ind w:firstLine="0" w:firstLineChars="0"/>
              <w:jc w:val="center"/>
              <w:rPr>
                <w:rFonts w:asciiTheme="minorHAnsi" w:hAnsiTheme="minorHAnsi" w:eastAsiaTheme="minorEastAsia" w:cstheme="minorBidi"/>
                <w:i/>
                <w:kern w:val="0"/>
                <w:szCs w:val="20"/>
                <w:highlight w:val="none"/>
              </w:rPr>
            </w:pPr>
          </w:p>
        </w:tc>
        <w:tc>
          <w:tcPr>
            <w:tcW w:w="850" w:type="dxa"/>
          </w:tcPr>
          <w:p w14:paraId="66B2961F">
            <w:pPr>
              <w:tabs>
                <w:tab w:val="left" w:pos="1320"/>
              </w:tabs>
              <w:ind w:firstLine="0" w:firstLineChars="0"/>
              <w:jc w:val="center"/>
              <w:rPr>
                <w:rFonts w:asciiTheme="minorHAnsi" w:hAnsiTheme="minorHAnsi" w:eastAsiaTheme="minorEastAsia" w:cstheme="minorBidi"/>
                <w:i/>
                <w:kern w:val="0"/>
                <w:szCs w:val="20"/>
                <w:highlight w:val="none"/>
              </w:rPr>
            </w:pPr>
            <w:r>
              <w:rPr>
                <w:rFonts w:asciiTheme="minorHAnsi" w:hAnsiTheme="minorHAnsi" w:eastAsiaTheme="minorEastAsia" w:cstheme="minorBidi"/>
                <w:i/>
                <w:kern w:val="0"/>
                <w:szCs w:val="20"/>
                <w:highlight w:val="none"/>
              </w:rPr>
              <w:t>K</w:t>
            </w:r>
            <w:r>
              <w:rPr>
                <w:rFonts w:asciiTheme="minorHAnsi" w:hAnsiTheme="minorHAnsi" w:eastAsiaTheme="minorEastAsia" w:cstheme="minorBidi"/>
                <w:i/>
                <w:kern w:val="0"/>
                <w:szCs w:val="20"/>
                <w:highlight w:val="none"/>
                <w:vertAlign w:val="subscript"/>
              </w:rPr>
              <w:t>e</w:t>
            </w:r>
          </w:p>
        </w:tc>
        <w:tc>
          <w:tcPr>
            <w:tcW w:w="8048" w:type="dxa"/>
          </w:tcPr>
          <w:p w14:paraId="2AD7ACDA">
            <w:pPr>
              <w:tabs>
                <w:tab w:val="left" w:pos="1200"/>
              </w:tabs>
              <w:ind w:firstLine="0" w:firstLineChars="0"/>
              <w:rPr>
                <w:rFonts w:asciiTheme="minorHAnsi" w:hAnsiTheme="minorHAnsi" w:eastAsiaTheme="minorEastAsia" w:cstheme="minorBidi"/>
                <w:kern w:val="0"/>
                <w:szCs w:val="20"/>
                <w:highlight w:val="none"/>
              </w:rPr>
            </w:pPr>
            <w:r>
              <w:rPr>
                <w:rFonts w:hint="eastAsia" w:asciiTheme="minorHAnsi" w:hAnsiTheme="minorHAnsi" w:eastAsiaTheme="minorEastAsia" w:cstheme="minorBidi"/>
                <w:kern w:val="0"/>
                <w:szCs w:val="20"/>
                <w:highlight w:val="none"/>
              </w:rPr>
              <w:t>——接头形式效能近似系数，压制接头取0.9，插编接头取0.75；</w:t>
            </w:r>
          </w:p>
        </w:tc>
      </w:tr>
      <w:tr w14:paraId="2EFDF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tcPr>
          <w:p w14:paraId="6A2143FE">
            <w:pPr>
              <w:tabs>
                <w:tab w:val="left" w:pos="1320"/>
              </w:tabs>
              <w:ind w:firstLine="0" w:firstLineChars="0"/>
              <w:jc w:val="center"/>
              <w:rPr>
                <w:rFonts w:asciiTheme="minorHAnsi" w:hAnsiTheme="minorHAnsi" w:eastAsiaTheme="minorEastAsia" w:cstheme="minorBidi"/>
                <w:i/>
                <w:kern w:val="0"/>
                <w:szCs w:val="20"/>
                <w:highlight w:val="none"/>
              </w:rPr>
            </w:pPr>
          </w:p>
        </w:tc>
        <w:tc>
          <w:tcPr>
            <w:tcW w:w="850" w:type="dxa"/>
          </w:tcPr>
          <w:p w14:paraId="4431639C">
            <w:pPr>
              <w:tabs>
                <w:tab w:val="left" w:pos="1320"/>
              </w:tabs>
              <w:ind w:firstLine="0" w:firstLineChars="0"/>
              <w:jc w:val="center"/>
              <w:rPr>
                <w:rFonts w:asciiTheme="minorHAnsi" w:hAnsiTheme="minorHAnsi" w:eastAsiaTheme="minorEastAsia" w:cstheme="minorBidi"/>
                <w:i/>
                <w:kern w:val="0"/>
                <w:szCs w:val="20"/>
                <w:highlight w:val="none"/>
              </w:rPr>
            </w:pPr>
            <w:r>
              <w:rPr>
                <w:rFonts w:hint="eastAsia" w:asciiTheme="minorHAnsi" w:hAnsiTheme="minorHAnsi" w:eastAsiaTheme="minorEastAsia" w:cstheme="minorBidi"/>
                <w:i/>
                <w:kern w:val="0"/>
                <w:szCs w:val="20"/>
                <w:highlight w:val="none"/>
              </w:rPr>
              <w:t>K</w:t>
            </w:r>
          </w:p>
        </w:tc>
        <w:tc>
          <w:tcPr>
            <w:tcW w:w="8048" w:type="dxa"/>
          </w:tcPr>
          <w:p w14:paraId="1ED5E704">
            <w:pPr>
              <w:tabs>
                <w:tab w:val="left" w:pos="1200"/>
              </w:tabs>
              <w:ind w:firstLine="0" w:firstLineChars="0"/>
              <w:rPr>
                <w:rFonts w:asciiTheme="minorHAnsi" w:hAnsiTheme="minorHAnsi" w:eastAsiaTheme="minorEastAsia" w:cstheme="minorBidi"/>
                <w:kern w:val="0"/>
                <w:szCs w:val="20"/>
                <w:highlight w:val="none"/>
              </w:rPr>
            </w:pPr>
            <w:r>
              <w:rPr>
                <w:rFonts w:hint="eastAsia" w:asciiTheme="minorHAnsi" w:hAnsiTheme="minorHAnsi" w:eastAsiaTheme="minorEastAsia" w:cstheme="minorBidi"/>
                <w:kern w:val="0"/>
                <w:szCs w:val="20"/>
                <w:highlight w:val="none"/>
              </w:rPr>
              <w:t>——肢的数量与垂直方向角度的相关系数，两肢吊索取1.4，3～4肢吊索取2.1；</w:t>
            </w:r>
          </w:p>
        </w:tc>
      </w:tr>
      <w:tr w14:paraId="4A835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tcPr>
          <w:p w14:paraId="3919B43E">
            <w:pPr>
              <w:tabs>
                <w:tab w:val="left" w:pos="1320"/>
              </w:tabs>
              <w:ind w:firstLine="0" w:firstLineChars="0"/>
              <w:jc w:val="center"/>
              <w:rPr>
                <w:rFonts w:asciiTheme="minorHAnsi" w:hAnsiTheme="minorHAnsi" w:eastAsiaTheme="minorEastAsia" w:cstheme="minorBidi"/>
                <w:i/>
                <w:kern w:val="0"/>
                <w:szCs w:val="20"/>
                <w:highlight w:val="none"/>
              </w:rPr>
            </w:pPr>
          </w:p>
        </w:tc>
        <w:tc>
          <w:tcPr>
            <w:tcW w:w="850" w:type="dxa"/>
          </w:tcPr>
          <w:p w14:paraId="557CA81A">
            <w:pPr>
              <w:tabs>
                <w:tab w:val="left" w:pos="1320"/>
              </w:tabs>
              <w:ind w:firstLine="0" w:firstLineChars="0"/>
              <w:jc w:val="center"/>
              <w:rPr>
                <w:rFonts w:asciiTheme="minorHAnsi" w:hAnsiTheme="minorHAnsi" w:eastAsiaTheme="minorEastAsia" w:cstheme="minorBidi"/>
                <w:i/>
                <w:kern w:val="0"/>
                <w:szCs w:val="20"/>
                <w:highlight w:val="none"/>
              </w:rPr>
            </w:pPr>
            <w:r>
              <w:rPr>
                <w:rFonts w:asciiTheme="minorHAnsi" w:hAnsiTheme="minorHAnsi" w:eastAsiaTheme="minorEastAsia" w:cstheme="minorBidi"/>
                <w:i/>
                <w:kern w:val="0"/>
                <w:szCs w:val="20"/>
                <w:highlight w:val="none"/>
              </w:rPr>
              <w:t>K</w:t>
            </w:r>
            <w:r>
              <w:rPr>
                <w:rFonts w:asciiTheme="minorHAnsi" w:hAnsiTheme="minorHAnsi" w:eastAsiaTheme="minorEastAsia" w:cstheme="minorBidi"/>
                <w:i/>
                <w:kern w:val="0"/>
                <w:szCs w:val="20"/>
                <w:highlight w:val="none"/>
                <w:vertAlign w:val="subscript"/>
              </w:rPr>
              <w:t>u</w:t>
            </w:r>
          </w:p>
        </w:tc>
        <w:tc>
          <w:tcPr>
            <w:tcW w:w="8048" w:type="dxa"/>
          </w:tcPr>
          <w:p w14:paraId="2B68C8C1">
            <w:pPr>
              <w:tabs>
                <w:tab w:val="left" w:pos="1200"/>
              </w:tabs>
              <w:ind w:firstLine="0" w:firstLineChars="0"/>
              <w:rPr>
                <w:rFonts w:asciiTheme="minorHAnsi" w:hAnsiTheme="minorHAnsi" w:eastAsiaTheme="minorEastAsia" w:cstheme="minorBidi"/>
                <w:kern w:val="0"/>
                <w:szCs w:val="20"/>
                <w:highlight w:val="none"/>
              </w:rPr>
            </w:pPr>
            <w:r>
              <w:rPr>
                <w:rFonts w:hint="eastAsia" w:asciiTheme="minorHAnsi" w:hAnsiTheme="minorHAnsi" w:eastAsiaTheme="minorEastAsia" w:cstheme="minorBidi"/>
                <w:kern w:val="0"/>
                <w:szCs w:val="20"/>
                <w:highlight w:val="none"/>
              </w:rPr>
              <w:t>——安全系数，一般取6；</w:t>
            </w:r>
          </w:p>
        </w:tc>
      </w:tr>
      <w:tr w14:paraId="4F986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tcPr>
          <w:p w14:paraId="20F98D2A">
            <w:pPr>
              <w:tabs>
                <w:tab w:val="left" w:pos="1320"/>
              </w:tabs>
              <w:ind w:firstLine="0" w:firstLineChars="0"/>
              <w:jc w:val="center"/>
              <w:rPr>
                <w:rFonts w:asciiTheme="minorHAnsi" w:hAnsiTheme="minorHAnsi" w:eastAsiaTheme="minorEastAsia" w:cstheme="minorBidi"/>
                <w:i/>
                <w:kern w:val="0"/>
                <w:szCs w:val="20"/>
                <w:highlight w:val="none"/>
              </w:rPr>
            </w:pPr>
          </w:p>
        </w:tc>
        <w:tc>
          <w:tcPr>
            <w:tcW w:w="850" w:type="dxa"/>
          </w:tcPr>
          <w:p w14:paraId="462ACC9E">
            <w:pPr>
              <w:tabs>
                <w:tab w:val="left" w:pos="1320"/>
              </w:tabs>
              <w:ind w:firstLine="0" w:firstLineChars="0"/>
              <w:jc w:val="center"/>
              <w:rPr>
                <w:rFonts w:asciiTheme="minorHAnsi" w:hAnsiTheme="minorHAnsi" w:eastAsiaTheme="minorEastAsia" w:cstheme="minorBidi"/>
                <w:i/>
                <w:kern w:val="0"/>
                <w:szCs w:val="20"/>
                <w:highlight w:val="none"/>
              </w:rPr>
            </w:pPr>
            <w:r>
              <w:rPr>
                <w:rFonts w:asciiTheme="minorHAnsi" w:hAnsiTheme="minorHAnsi" w:eastAsiaTheme="minorEastAsia" w:cstheme="minorBidi"/>
                <w:i/>
                <w:kern w:val="0"/>
                <w:szCs w:val="20"/>
                <w:highlight w:val="none"/>
              </w:rPr>
              <w:t>K</w:t>
            </w:r>
            <w:r>
              <w:rPr>
                <w:rFonts w:asciiTheme="minorHAnsi" w:hAnsiTheme="minorHAnsi" w:eastAsiaTheme="minorEastAsia" w:cstheme="minorBidi"/>
                <w:i/>
                <w:kern w:val="0"/>
                <w:szCs w:val="20"/>
                <w:highlight w:val="none"/>
                <w:vertAlign w:val="subscript"/>
              </w:rPr>
              <w:t>m</w:t>
            </w:r>
          </w:p>
        </w:tc>
        <w:tc>
          <w:tcPr>
            <w:tcW w:w="8048" w:type="dxa"/>
          </w:tcPr>
          <w:p w14:paraId="50F5B2AD">
            <w:pPr>
              <w:tabs>
                <w:tab w:val="left" w:pos="1200"/>
              </w:tabs>
              <w:ind w:firstLine="0" w:firstLineChars="0"/>
              <w:rPr>
                <w:rFonts w:asciiTheme="minorHAnsi" w:hAnsiTheme="minorHAnsi" w:eastAsiaTheme="minorEastAsia" w:cstheme="minorBidi"/>
                <w:kern w:val="0"/>
                <w:szCs w:val="20"/>
                <w:highlight w:val="none"/>
              </w:rPr>
            </w:pPr>
            <w:r>
              <w:rPr>
                <w:rFonts w:hint="eastAsia" w:asciiTheme="minorHAnsi" w:hAnsiTheme="minorHAnsi" w:eastAsiaTheme="minorEastAsia" w:cstheme="minorBidi"/>
                <w:kern w:val="0"/>
                <w:szCs w:val="20"/>
                <w:highlight w:val="none"/>
              </w:rPr>
              <w:t>——质量与力的转换系数，取值为9.80665。</w:t>
            </w:r>
          </w:p>
        </w:tc>
      </w:tr>
    </w:tbl>
    <w:p w14:paraId="40878A49">
      <w:pPr>
        <w:tabs>
          <w:tab w:val="left" w:pos="1200"/>
        </w:tabs>
        <w:ind w:firstLine="0" w:firstLineChars="0"/>
        <w:rPr>
          <w:highlight w:val="none"/>
        </w:rPr>
      </w:pPr>
      <w:r>
        <w:rPr>
          <w:rFonts w:hint="eastAsia"/>
          <w:highlight w:val="none"/>
        </w:rPr>
        <w:t>钢丝绳最小破断拉力按《重要用途钢丝绳》公式计算：</w:t>
      </w:r>
    </w:p>
    <w:p w14:paraId="71B27597">
      <w:pPr>
        <w:tabs>
          <w:tab w:val="left" w:pos="1320"/>
        </w:tabs>
        <w:ind w:firstLine="0" w:firstLineChars="0"/>
        <w:jc w:val="center"/>
        <w:rPr>
          <w:i/>
          <w:highlight w:val="none"/>
        </w:rPr>
      </w:pPr>
      <m:oMathPara>
        <m:oMath>
          <m:sSub>
            <m:sSubPr>
              <m:ctrlPr>
                <w:rPr>
                  <w:rFonts w:ascii="Cambria Math" w:hAnsi="Cambria Math"/>
                  <w:highlight w:val="none"/>
                </w:rPr>
              </m:ctrlPr>
            </m:sSubPr>
            <m:e>
              <m:r>
                <m:rPr>
                  <m:nor/>
                  <m:sty m:val="p"/>
                </m:rPr>
                <w:rPr>
                  <w:b w:val="0"/>
                  <w:i w:val="0"/>
                  <w:highlight w:val="none"/>
                </w:rPr>
                <m:t>F</m:t>
              </m:r>
              <m:ctrlPr>
                <w:rPr>
                  <w:rFonts w:ascii="Cambria Math" w:hAnsi="Cambria Math"/>
                  <w:highlight w:val="none"/>
                </w:rPr>
              </m:ctrlPr>
            </m:e>
            <m:sub>
              <m:r>
                <m:rPr>
                  <m:nor/>
                  <m:sty m:val="p"/>
                </m:rPr>
                <w:rPr>
                  <w:b w:val="0"/>
                  <w:i w:val="0"/>
                  <w:highlight w:val="none"/>
                </w:rPr>
                <m:t>0</m:t>
              </m:r>
              <m:ctrlPr>
                <w:rPr>
                  <w:rFonts w:ascii="Cambria Math" w:hAnsi="Cambria Math"/>
                  <w:highlight w:val="none"/>
                </w:rPr>
              </m:ctrlPr>
            </m:sub>
          </m:sSub>
          <m:r>
            <m:rPr>
              <m:nor/>
              <m:sty m:val="p"/>
            </m:rPr>
            <w:rPr>
              <w:b w:val="0"/>
              <w:i w:val="0"/>
              <w:highlight w:val="none"/>
            </w:rPr>
            <m:t>=</m:t>
          </m:r>
          <m:sSup>
            <m:sSupPr>
              <m:ctrlPr>
                <w:rPr>
                  <w:rFonts w:ascii="Cambria Math" w:hAnsi="Cambria Math"/>
                  <w:highlight w:val="none"/>
                </w:rPr>
              </m:ctrlPr>
            </m:sSupPr>
            <m:e>
              <m:r>
                <m:rPr>
                  <m:nor/>
                  <m:sty m:val="p"/>
                </m:rPr>
                <w:rPr>
                  <w:b w:val="0"/>
                  <w:i w:val="0"/>
                  <w:highlight w:val="none"/>
                </w:rPr>
                <m:t>K</m:t>
              </m:r>
              <m:ctrlPr>
                <w:rPr>
                  <w:rFonts w:ascii="Cambria Math" w:hAnsi="Cambria Math"/>
                  <w:highlight w:val="none"/>
                </w:rPr>
              </m:ctrlPr>
            </m:e>
            <m:sup>
              <m:r>
                <m:rPr>
                  <m:nor/>
                  <m:sty m:val="p"/>
                </m:rPr>
                <w:rPr>
                  <w:b w:val="0"/>
                  <w:i w:val="0"/>
                  <w:highlight w:val="none"/>
                </w:rPr>
                <m:t>'</m:t>
              </m:r>
              <m:ctrlPr>
                <w:rPr>
                  <w:rFonts w:ascii="Cambria Math" w:hAnsi="Cambria Math"/>
                  <w:highlight w:val="none"/>
                </w:rPr>
              </m:ctrlPr>
            </m:sup>
          </m:sSup>
          <m:r>
            <m:rPr>
              <m:nor/>
              <m:sty m:val="p"/>
            </m:rPr>
            <w:rPr>
              <w:b w:val="0"/>
              <w:i w:val="0"/>
              <w:highlight w:val="none"/>
            </w:rPr>
            <m:t>×</m:t>
          </m:r>
          <m:sSup>
            <m:sSupPr>
              <m:ctrlPr>
                <w:rPr>
                  <w:rFonts w:ascii="Cambria Math" w:hAnsi="Cambria Math"/>
                  <w:highlight w:val="none"/>
                </w:rPr>
              </m:ctrlPr>
            </m:sSupPr>
            <m:e>
              <m:r>
                <m:rPr>
                  <m:nor/>
                  <m:sty m:val="p"/>
                </m:rPr>
                <w:rPr>
                  <w:b w:val="0"/>
                  <w:i w:val="0"/>
                  <w:highlight w:val="none"/>
                </w:rPr>
                <m:t>D</m:t>
              </m:r>
              <m:ctrlPr>
                <w:rPr>
                  <w:rFonts w:ascii="Cambria Math" w:hAnsi="Cambria Math"/>
                  <w:highlight w:val="none"/>
                </w:rPr>
              </m:ctrlPr>
            </m:e>
            <m:sup>
              <m:r>
                <m:rPr>
                  <m:nor/>
                  <m:sty m:val="p"/>
                </m:rPr>
                <w:rPr>
                  <w:b w:val="0"/>
                  <w:i w:val="0"/>
                  <w:highlight w:val="none"/>
                </w:rPr>
                <m:t>2</m:t>
              </m:r>
              <m:ctrlPr>
                <w:rPr>
                  <w:rFonts w:ascii="Cambria Math" w:hAnsi="Cambria Math"/>
                  <w:highlight w:val="none"/>
                </w:rPr>
              </m:ctrlPr>
            </m:sup>
          </m:sSup>
          <m:r>
            <m:rPr>
              <m:nor/>
              <m:sty m:val="p"/>
            </m:rPr>
            <w:rPr>
              <w:b w:val="0"/>
              <w:i w:val="0"/>
              <w:highlight w:val="none"/>
            </w:rPr>
            <m:t>×</m:t>
          </m:r>
          <m:sSub>
            <m:sSubPr>
              <m:ctrlPr>
                <w:rPr>
                  <w:rFonts w:ascii="Cambria Math" w:hAnsi="Cambria Math"/>
                  <w:highlight w:val="none"/>
                </w:rPr>
              </m:ctrlPr>
            </m:sSubPr>
            <m:e>
              <m:r>
                <m:rPr>
                  <m:nor/>
                  <m:sty m:val="p"/>
                </m:rPr>
                <w:rPr>
                  <w:b w:val="0"/>
                  <w:i w:val="0"/>
                  <w:highlight w:val="none"/>
                </w:rPr>
                <m:t>R</m:t>
              </m:r>
              <m:ctrlPr>
                <w:rPr>
                  <w:rFonts w:ascii="Cambria Math" w:hAnsi="Cambria Math"/>
                  <w:highlight w:val="none"/>
                </w:rPr>
              </m:ctrlPr>
            </m:e>
            <m:sub>
              <m:r>
                <m:rPr>
                  <m:nor/>
                  <m:sty m:val="p"/>
                </m:rPr>
                <w:rPr>
                  <w:b w:val="0"/>
                  <w:i w:val="0"/>
                  <w:highlight w:val="none"/>
                </w:rPr>
                <m:t>0</m:t>
              </m:r>
              <m:ctrlPr>
                <w:rPr>
                  <w:rFonts w:ascii="Cambria Math" w:hAnsi="Cambria Math"/>
                  <w:highlight w:val="none"/>
                </w:rPr>
              </m:ctrlPr>
            </m:sub>
          </m:sSub>
          <m:r>
            <m:rPr>
              <m:nor/>
              <m:sty m:val="p"/>
            </m:rPr>
            <w:rPr>
              <w:b w:val="0"/>
              <w:i w:val="0"/>
              <w:highlight w:val="none"/>
            </w:rPr>
            <m:t>÷1000</m:t>
          </m:r>
        </m:oMath>
      </m:oMathPara>
    </w:p>
    <w:p w14:paraId="4C137B88">
      <w:pPr>
        <w:tabs>
          <w:tab w:val="left" w:pos="1200"/>
        </w:tabs>
        <w:ind w:firstLine="0" w:firstLineChars="0"/>
        <w:rPr>
          <w:highlight w:val="none"/>
        </w:rPr>
      </w:pPr>
      <w:r>
        <w:rPr>
          <w:rFonts w:hint="eastAsia"/>
          <w:highlight w:val="none"/>
        </w:rPr>
        <w:t>式中：</w:t>
      </w:r>
    </w:p>
    <w:tbl>
      <w:tblPr>
        <w:tblStyle w:val="2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5"/>
        <w:gridCol w:w="863"/>
        <w:gridCol w:w="8029"/>
      </w:tblGrid>
      <w:tr w14:paraId="1F29B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tcPr>
          <w:p w14:paraId="5B5DBFFC">
            <w:pPr>
              <w:tabs>
                <w:tab w:val="left" w:pos="1320"/>
              </w:tabs>
              <w:ind w:firstLine="0" w:firstLineChars="0"/>
              <w:jc w:val="center"/>
              <w:rPr>
                <w:rFonts w:asciiTheme="minorHAnsi" w:hAnsiTheme="minorHAnsi" w:eastAsiaTheme="minorEastAsia" w:cstheme="minorBidi"/>
                <w:i/>
                <w:kern w:val="0"/>
                <w:szCs w:val="20"/>
                <w:highlight w:val="none"/>
              </w:rPr>
            </w:pPr>
          </w:p>
        </w:tc>
        <w:tc>
          <w:tcPr>
            <w:tcW w:w="865" w:type="dxa"/>
            <w:vAlign w:val="center"/>
          </w:tcPr>
          <w:p w14:paraId="4150C5E8">
            <w:pPr>
              <w:tabs>
                <w:tab w:val="left" w:pos="1320"/>
              </w:tabs>
              <w:ind w:firstLine="0" w:firstLineChars="0"/>
              <w:jc w:val="center"/>
              <w:rPr>
                <w:rFonts w:asciiTheme="minorHAnsi" w:hAnsiTheme="minorHAnsi" w:eastAsiaTheme="minorEastAsia" w:cstheme="minorBidi"/>
                <w:i/>
                <w:kern w:val="0"/>
                <w:szCs w:val="20"/>
                <w:highlight w:val="none"/>
              </w:rPr>
            </w:pPr>
            <w:r>
              <w:rPr>
                <w:rFonts w:asciiTheme="minorHAnsi" w:hAnsiTheme="minorHAnsi" w:eastAsiaTheme="minorEastAsia" w:cstheme="minorBidi"/>
                <w:i/>
                <w:kern w:val="0"/>
                <w:szCs w:val="20"/>
                <w:highlight w:val="none"/>
              </w:rPr>
              <w:t>F</w:t>
            </w:r>
            <w:r>
              <w:rPr>
                <w:rFonts w:asciiTheme="minorHAnsi" w:hAnsiTheme="minorHAnsi" w:eastAsiaTheme="minorEastAsia" w:cstheme="minorBidi"/>
                <w:i/>
                <w:kern w:val="0"/>
                <w:szCs w:val="20"/>
                <w:highlight w:val="none"/>
                <w:vertAlign w:val="subscript"/>
              </w:rPr>
              <w:t>0</w:t>
            </w:r>
          </w:p>
        </w:tc>
        <w:tc>
          <w:tcPr>
            <w:tcW w:w="8063" w:type="dxa"/>
          </w:tcPr>
          <w:p w14:paraId="5E8F177B">
            <w:pPr>
              <w:tabs>
                <w:tab w:val="left" w:pos="1200"/>
              </w:tabs>
              <w:ind w:firstLine="0" w:firstLineChars="0"/>
              <w:rPr>
                <w:rFonts w:asciiTheme="minorHAnsi" w:hAnsiTheme="minorHAnsi" w:eastAsiaTheme="minorEastAsia" w:cstheme="minorBidi"/>
                <w:kern w:val="0"/>
                <w:szCs w:val="20"/>
                <w:highlight w:val="none"/>
              </w:rPr>
            </w:pPr>
            <w:r>
              <w:rPr>
                <w:rFonts w:hint="eastAsia" w:asciiTheme="minorHAnsi" w:hAnsiTheme="minorHAnsi" w:eastAsiaTheme="minorEastAsia" w:cstheme="minorBidi"/>
                <w:kern w:val="0"/>
                <w:szCs w:val="20"/>
                <w:highlight w:val="none"/>
              </w:rPr>
              <w:t>——钢丝绳最小破断拉力，单位为kN；</w:t>
            </w:r>
          </w:p>
        </w:tc>
      </w:tr>
      <w:tr w14:paraId="5E917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tcPr>
          <w:p w14:paraId="36EBBA71">
            <w:pPr>
              <w:tabs>
                <w:tab w:val="left" w:pos="1320"/>
              </w:tabs>
              <w:ind w:firstLine="0" w:firstLineChars="0"/>
              <w:jc w:val="center"/>
              <w:rPr>
                <w:rFonts w:asciiTheme="minorHAnsi" w:hAnsiTheme="minorHAnsi" w:eastAsiaTheme="minorEastAsia" w:cstheme="minorBidi"/>
                <w:i/>
                <w:kern w:val="0"/>
                <w:szCs w:val="20"/>
                <w:highlight w:val="none"/>
              </w:rPr>
            </w:pPr>
          </w:p>
        </w:tc>
        <w:tc>
          <w:tcPr>
            <w:tcW w:w="865" w:type="dxa"/>
            <w:vAlign w:val="center"/>
          </w:tcPr>
          <w:p w14:paraId="118BAB09">
            <w:pPr>
              <w:tabs>
                <w:tab w:val="left" w:pos="1320"/>
              </w:tabs>
              <w:ind w:firstLine="0" w:firstLineChars="0"/>
              <w:jc w:val="center"/>
              <w:rPr>
                <w:rFonts w:asciiTheme="minorHAnsi" w:hAnsiTheme="minorHAnsi" w:eastAsiaTheme="minorEastAsia" w:cstheme="minorBidi"/>
                <w:i/>
                <w:kern w:val="0"/>
                <w:szCs w:val="20"/>
                <w:highlight w:val="none"/>
              </w:rPr>
            </w:pPr>
            <w:r>
              <w:rPr>
                <w:rFonts w:asciiTheme="minorHAnsi" w:hAnsiTheme="minorHAnsi" w:eastAsiaTheme="minorEastAsia" w:cstheme="minorBidi"/>
                <w:i/>
                <w:kern w:val="0"/>
                <w:szCs w:val="20"/>
                <w:highlight w:val="none"/>
              </w:rPr>
              <w:t>D</w:t>
            </w:r>
          </w:p>
        </w:tc>
        <w:tc>
          <w:tcPr>
            <w:tcW w:w="8063" w:type="dxa"/>
          </w:tcPr>
          <w:p w14:paraId="1C841660">
            <w:pPr>
              <w:tabs>
                <w:tab w:val="left" w:pos="1200"/>
              </w:tabs>
              <w:ind w:firstLine="0" w:firstLineChars="0"/>
              <w:rPr>
                <w:rFonts w:asciiTheme="minorHAnsi" w:hAnsiTheme="minorHAnsi" w:eastAsiaTheme="minorEastAsia" w:cstheme="minorBidi"/>
                <w:kern w:val="0"/>
                <w:szCs w:val="20"/>
                <w:highlight w:val="none"/>
              </w:rPr>
            </w:pPr>
            <w:r>
              <w:rPr>
                <w:rFonts w:hint="eastAsia" w:asciiTheme="minorHAnsi" w:hAnsiTheme="minorHAnsi" w:eastAsiaTheme="minorEastAsia" w:cstheme="minorBidi"/>
                <w:kern w:val="0"/>
                <w:szCs w:val="20"/>
                <w:highlight w:val="none"/>
              </w:rPr>
              <w:t>——钢丝绳公称直径，单位为mm；</w:t>
            </w:r>
          </w:p>
        </w:tc>
      </w:tr>
      <w:tr w14:paraId="052A9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tcPr>
          <w:p w14:paraId="0FE14C43">
            <w:pPr>
              <w:tabs>
                <w:tab w:val="left" w:pos="1320"/>
              </w:tabs>
              <w:ind w:firstLine="0" w:firstLineChars="0"/>
              <w:jc w:val="center"/>
              <w:rPr>
                <w:rFonts w:asciiTheme="minorHAnsi" w:hAnsiTheme="minorHAnsi" w:eastAsiaTheme="minorEastAsia" w:cstheme="minorBidi"/>
                <w:i/>
                <w:kern w:val="0"/>
                <w:szCs w:val="20"/>
                <w:highlight w:val="none"/>
              </w:rPr>
            </w:pPr>
          </w:p>
        </w:tc>
        <w:tc>
          <w:tcPr>
            <w:tcW w:w="865" w:type="dxa"/>
            <w:vAlign w:val="center"/>
          </w:tcPr>
          <w:p w14:paraId="64375919">
            <w:pPr>
              <w:tabs>
                <w:tab w:val="left" w:pos="1320"/>
              </w:tabs>
              <w:ind w:firstLine="0" w:firstLineChars="0"/>
              <w:jc w:val="center"/>
              <w:rPr>
                <w:rFonts w:asciiTheme="minorHAnsi" w:hAnsiTheme="minorHAnsi" w:eastAsiaTheme="minorEastAsia" w:cstheme="minorBidi"/>
                <w:i/>
                <w:kern w:val="0"/>
                <w:szCs w:val="20"/>
                <w:highlight w:val="none"/>
              </w:rPr>
            </w:pPr>
            <w:r>
              <w:rPr>
                <w:rFonts w:asciiTheme="minorHAnsi" w:hAnsiTheme="minorHAnsi" w:eastAsiaTheme="minorEastAsia" w:cstheme="minorBidi"/>
                <w:i/>
                <w:kern w:val="0"/>
                <w:szCs w:val="20"/>
                <w:highlight w:val="none"/>
              </w:rPr>
              <w:t>R</w:t>
            </w:r>
            <w:r>
              <w:rPr>
                <w:rFonts w:asciiTheme="minorHAnsi" w:hAnsiTheme="minorHAnsi" w:eastAsiaTheme="minorEastAsia" w:cstheme="minorBidi"/>
                <w:i/>
                <w:kern w:val="0"/>
                <w:szCs w:val="20"/>
                <w:highlight w:val="none"/>
                <w:vertAlign w:val="subscript"/>
              </w:rPr>
              <w:t>0</w:t>
            </w:r>
          </w:p>
        </w:tc>
        <w:tc>
          <w:tcPr>
            <w:tcW w:w="8063" w:type="dxa"/>
          </w:tcPr>
          <w:p w14:paraId="18C68C5C">
            <w:pPr>
              <w:tabs>
                <w:tab w:val="left" w:pos="1200"/>
              </w:tabs>
              <w:ind w:firstLine="0" w:firstLineChars="0"/>
              <w:rPr>
                <w:rFonts w:asciiTheme="minorHAnsi" w:hAnsiTheme="minorHAnsi" w:eastAsiaTheme="minorEastAsia" w:cstheme="minorBidi"/>
                <w:kern w:val="0"/>
                <w:szCs w:val="20"/>
                <w:highlight w:val="none"/>
              </w:rPr>
            </w:pPr>
            <w:r>
              <w:rPr>
                <w:rFonts w:hint="eastAsia" w:asciiTheme="minorHAnsi" w:hAnsiTheme="minorHAnsi" w:eastAsiaTheme="minorEastAsia" w:cstheme="minorBidi"/>
                <w:kern w:val="0"/>
                <w:szCs w:val="20"/>
                <w:highlight w:val="none"/>
              </w:rPr>
              <w:t>——钢丝绳公称抗拉强度，取1870MPa；</w:t>
            </w:r>
          </w:p>
        </w:tc>
      </w:tr>
      <w:tr w14:paraId="259B5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tcPr>
          <w:p w14:paraId="7A47CADD">
            <w:pPr>
              <w:tabs>
                <w:tab w:val="left" w:pos="1320"/>
              </w:tabs>
              <w:ind w:firstLine="0" w:firstLineChars="0"/>
              <w:jc w:val="center"/>
              <w:rPr>
                <w:rFonts w:asciiTheme="minorHAnsi" w:hAnsiTheme="minorHAnsi" w:eastAsiaTheme="minorEastAsia" w:cstheme="minorBidi"/>
                <w:i/>
                <w:kern w:val="0"/>
                <w:szCs w:val="20"/>
                <w:highlight w:val="none"/>
              </w:rPr>
            </w:pPr>
          </w:p>
        </w:tc>
        <w:tc>
          <w:tcPr>
            <w:tcW w:w="865" w:type="dxa"/>
            <w:vAlign w:val="center"/>
          </w:tcPr>
          <w:p w14:paraId="41365CB5">
            <w:pPr>
              <w:tabs>
                <w:tab w:val="left" w:pos="1320"/>
              </w:tabs>
              <w:ind w:firstLine="0" w:firstLineChars="0"/>
              <w:jc w:val="center"/>
              <w:rPr>
                <w:rFonts w:asciiTheme="minorHAnsi" w:hAnsiTheme="minorHAnsi" w:eastAsiaTheme="minorEastAsia" w:cstheme="minorBidi"/>
                <w:i/>
                <w:kern w:val="0"/>
                <w:szCs w:val="20"/>
                <w:highlight w:val="none"/>
              </w:rPr>
            </w:pPr>
            <w:r>
              <w:rPr>
                <w:rFonts w:hint="eastAsia" w:asciiTheme="minorHAnsi" w:hAnsiTheme="minorHAnsi" w:eastAsiaTheme="minorEastAsia" w:cstheme="minorBidi"/>
                <w:i/>
                <w:kern w:val="0"/>
                <w:szCs w:val="20"/>
                <w:highlight w:val="none"/>
              </w:rPr>
              <w:t>K</w:t>
            </w:r>
            <w:r>
              <w:rPr>
                <w:rFonts w:asciiTheme="minorHAnsi" w:hAnsiTheme="minorHAnsi" w:eastAsiaTheme="minorEastAsia" w:cstheme="minorBidi"/>
                <w:i/>
                <w:kern w:val="0"/>
                <w:szCs w:val="20"/>
                <w:highlight w:val="none"/>
              </w:rPr>
              <w:t>’</w:t>
            </w:r>
          </w:p>
        </w:tc>
        <w:tc>
          <w:tcPr>
            <w:tcW w:w="8063" w:type="dxa"/>
          </w:tcPr>
          <w:p w14:paraId="382C1026">
            <w:pPr>
              <w:tabs>
                <w:tab w:val="left" w:pos="1200"/>
              </w:tabs>
              <w:ind w:firstLine="0" w:firstLineChars="0"/>
              <w:rPr>
                <w:rFonts w:asciiTheme="minorHAnsi" w:hAnsiTheme="minorHAnsi" w:eastAsiaTheme="minorEastAsia" w:cstheme="minorBidi"/>
                <w:kern w:val="0"/>
                <w:szCs w:val="20"/>
                <w:highlight w:val="none"/>
              </w:rPr>
            </w:pPr>
            <w:r>
              <w:rPr>
                <w:rFonts w:hint="eastAsia" w:asciiTheme="minorHAnsi" w:hAnsiTheme="minorHAnsi" w:eastAsiaTheme="minorEastAsia" w:cstheme="minorBidi"/>
                <w:kern w:val="0"/>
                <w:szCs w:val="20"/>
                <w:highlight w:val="none"/>
              </w:rPr>
              <w:t>——钢丝绳的最小破断拉力系数，6×19W+IWR钢丝绳取0.33。</w:t>
            </w:r>
          </w:p>
        </w:tc>
      </w:tr>
      <w:tr w14:paraId="6162E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tcPr>
          <w:p w14:paraId="5E85E009">
            <w:pPr>
              <w:tabs>
                <w:tab w:val="left" w:pos="1320"/>
              </w:tabs>
              <w:ind w:firstLine="0" w:firstLineChars="0"/>
              <w:jc w:val="center"/>
              <w:rPr>
                <w:rFonts w:asciiTheme="minorHAnsi" w:hAnsiTheme="minorHAnsi" w:eastAsiaTheme="minorEastAsia" w:cstheme="minorBidi"/>
                <w:i/>
                <w:kern w:val="0"/>
                <w:szCs w:val="20"/>
                <w:highlight w:val="none"/>
              </w:rPr>
            </w:pPr>
          </w:p>
        </w:tc>
        <w:tc>
          <w:tcPr>
            <w:tcW w:w="865" w:type="dxa"/>
            <w:vAlign w:val="center"/>
          </w:tcPr>
          <w:p w14:paraId="0F1BC029">
            <w:pPr>
              <w:tabs>
                <w:tab w:val="left" w:pos="1320"/>
              </w:tabs>
              <w:ind w:firstLine="0" w:firstLineChars="0"/>
              <w:jc w:val="center"/>
              <w:rPr>
                <w:rFonts w:asciiTheme="minorHAnsi" w:hAnsiTheme="minorHAnsi" w:eastAsiaTheme="minorEastAsia" w:cstheme="minorBidi"/>
                <w:i/>
                <w:kern w:val="0"/>
                <w:szCs w:val="20"/>
                <w:highlight w:val="none"/>
              </w:rPr>
            </w:pPr>
          </w:p>
        </w:tc>
        <w:tc>
          <w:tcPr>
            <w:tcW w:w="8063" w:type="dxa"/>
          </w:tcPr>
          <w:p w14:paraId="66489C5A">
            <w:pPr>
              <w:tabs>
                <w:tab w:val="left" w:pos="1200"/>
              </w:tabs>
              <w:ind w:firstLine="0" w:firstLineChars="0"/>
              <w:rPr>
                <w:rFonts w:asciiTheme="minorHAnsi" w:hAnsiTheme="minorHAnsi" w:eastAsiaTheme="minorEastAsia" w:cstheme="minorBidi"/>
                <w:kern w:val="0"/>
                <w:szCs w:val="20"/>
                <w:highlight w:val="none"/>
              </w:rPr>
            </w:pPr>
            <w:r>
              <w:rPr>
                <w:rFonts w:hint="eastAsia" w:asciiTheme="minorHAnsi" w:hAnsiTheme="minorHAnsi" w:eastAsiaTheme="minorEastAsia" w:cstheme="minorBidi"/>
                <w:kern w:val="0"/>
                <w:szCs w:val="20"/>
                <w:highlight w:val="none"/>
              </w:rPr>
              <w:t>动载系数取1.1</w:t>
            </w:r>
          </w:p>
        </w:tc>
      </w:tr>
    </w:tbl>
    <w:p w14:paraId="661B1A9D">
      <w:pPr>
        <w:ind w:firstLine="480"/>
        <w:rPr>
          <w:highlight w:val="none"/>
        </w:rPr>
      </w:pPr>
      <w:r>
        <w:rPr>
          <w:rFonts w:hint="eastAsia"/>
          <w:highlight w:val="none"/>
        </w:rPr>
        <w:t>采用四点吊的塔吊主要部件中最大重量为回转总成，回转总成起重量约6.85t，钢丝绳与回转总成60°夹角，以回转总成顶部四个销轴孔作为吊装孔，钢丝绳采用压制接头。</w:t>
      </w:r>
    </w:p>
    <w:p w14:paraId="6D42B0DA">
      <w:pPr>
        <w:ind w:firstLine="480"/>
        <w:rPr>
          <w:highlight w:val="none"/>
        </w:rPr>
      </w:pPr>
      <w:r>
        <w:rPr>
          <w:rFonts w:hint="eastAsia"/>
          <w:highlight w:val="none"/>
        </w:rPr>
        <w:t>每根钢丝绳最小破断拉力：</w:t>
      </w:r>
    </w:p>
    <w:p w14:paraId="72478514">
      <w:pPr>
        <w:tabs>
          <w:tab w:val="left" w:pos="1320"/>
        </w:tabs>
        <w:ind w:firstLine="0" w:firstLineChars="0"/>
        <w:jc w:val="center"/>
        <w:rPr>
          <w:i/>
          <w:highlight w:val="none"/>
        </w:rPr>
      </w:pPr>
      <m:oMathPara>
        <m:oMath>
          <m:sSub>
            <m:sSubPr>
              <m:ctrlPr>
                <w:rPr>
                  <w:rFonts w:ascii="Cambria Math" w:hAnsi="Cambria Math"/>
                  <w:highlight w:val="none"/>
                </w:rPr>
              </m:ctrlPr>
            </m:sSubPr>
            <m:e>
              <m:r>
                <m:rPr>
                  <m:nor/>
                  <m:sty m:val="p"/>
                </m:rPr>
                <w:rPr>
                  <w:b w:val="0"/>
                  <w:i w:val="0"/>
                  <w:highlight w:val="none"/>
                </w:rPr>
                <m:t>F</m:t>
              </m:r>
              <m:ctrlPr>
                <w:rPr>
                  <w:rFonts w:ascii="Cambria Math" w:hAnsi="Cambria Math"/>
                  <w:highlight w:val="none"/>
                </w:rPr>
              </m:ctrlPr>
            </m:e>
            <m:sub>
              <m:r>
                <m:rPr>
                  <m:nor/>
                  <m:sty m:val="p"/>
                </m:rPr>
                <w:rPr>
                  <w:b w:val="0"/>
                  <w:i w:val="0"/>
                  <w:highlight w:val="none"/>
                </w:rPr>
                <m:t>0</m:t>
              </m:r>
              <m:ctrlPr>
                <w:rPr>
                  <w:rFonts w:ascii="Cambria Math" w:hAnsi="Cambria Math"/>
                  <w:highlight w:val="none"/>
                </w:rPr>
              </m:ctrlPr>
            </m:sub>
          </m:sSub>
          <m:r>
            <m:rPr>
              <m:nor/>
              <m:sty m:val="p"/>
            </m:rPr>
            <w:rPr>
              <w:b w:val="0"/>
              <w:i w:val="0"/>
              <w:highlight w:val="none"/>
            </w:rPr>
            <m:t>=</m:t>
          </m:r>
          <m:f>
            <m:fPr>
              <m:ctrlPr>
                <w:rPr>
                  <w:rFonts w:ascii="Cambria Math" w:hAnsi="Cambria Math"/>
                  <w:highlight w:val="none"/>
                </w:rPr>
              </m:ctrlPr>
            </m:fPr>
            <m:num>
              <m:r>
                <m:rPr>
                  <m:nor/>
                  <m:sty m:val="p"/>
                </m:rPr>
                <w:rPr>
                  <w:b w:val="0"/>
                  <w:i w:val="0"/>
                  <w:highlight w:val="none"/>
                </w:rPr>
                <m:t>WLL×</m:t>
              </m:r>
              <m:sSub>
                <m:sSubPr>
                  <m:ctrlPr>
                    <w:rPr>
                      <w:rFonts w:ascii="Cambria Math" w:hAnsi="Cambria Math"/>
                      <w:highlight w:val="none"/>
                    </w:rPr>
                  </m:ctrlPr>
                </m:sSubPr>
                <m:e>
                  <m:r>
                    <m:rPr>
                      <m:nor/>
                      <m:sty m:val="p"/>
                    </m:rPr>
                    <w:rPr>
                      <w:b w:val="0"/>
                      <w:i w:val="0"/>
                      <w:highlight w:val="none"/>
                    </w:rPr>
                    <m:t>K</m:t>
                  </m:r>
                  <m:ctrlPr>
                    <w:rPr>
                      <w:rFonts w:ascii="Cambria Math" w:hAnsi="Cambria Math"/>
                      <w:highlight w:val="none"/>
                    </w:rPr>
                  </m:ctrlPr>
                </m:e>
                <m:sub>
                  <m:r>
                    <m:rPr>
                      <m:nor/>
                      <m:sty m:val="p"/>
                    </m:rPr>
                    <w:rPr>
                      <w:b w:val="0"/>
                      <w:i w:val="0"/>
                      <w:highlight w:val="none"/>
                    </w:rPr>
                    <m:t>m</m:t>
                  </m:r>
                  <m:ctrlPr>
                    <w:rPr>
                      <w:rFonts w:ascii="Cambria Math" w:hAnsi="Cambria Math"/>
                      <w:highlight w:val="none"/>
                    </w:rPr>
                  </m:ctrlPr>
                </m:sub>
              </m:sSub>
              <m:r>
                <m:rPr>
                  <m:nor/>
                  <m:sty m:val="p"/>
                </m:rPr>
                <w:rPr>
                  <w:b w:val="0"/>
                  <w:i w:val="0"/>
                  <w:highlight w:val="none"/>
                </w:rPr>
                <m:t>×</m:t>
              </m:r>
              <m:sSub>
                <m:sSubPr>
                  <m:ctrlPr>
                    <w:rPr>
                      <w:rFonts w:ascii="Cambria Math" w:hAnsi="Cambria Math"/>
                      <w:highlight w:val="none"/>
                    </w:rPr>
                  </m:ctrlPr>
                </m:sSubPr>
                <m:e>
                  <m:r>
                    <m:rPr>
                      <m:nor/>
                      <m:sty m:val="p"/>
                    </m:rPr>
                    <w:rPr>
                      <w:b w:val="0"/>
                      <w:i w:val="0"/>
                      <w:highlight w:val="none"/>
                    </w:rPr>
                    <m:t>K</m:t>
                  </m:r>
                  <m:ctrlPr>
                    <w:rPr>
                      <w:rFonts w:ascii="Cambria Math" w:hAnsi="Cambria Math"/>
                      <w:highlight w:val="none"/>
                    </w:rPr>
                  </m:ctrlPr>
                </m:e>
                <m:sub>
                  <m:r>
                    <m:rPr>
                      <m:nor/>
                      <m:sty m:val="p"/>
                    </m:rPr>
                    <w:rPr>
                      <w:b w:val="0"/>
                      <w:i w:val="0"/>
                      <w:highlight w:val="none"/>
                    </w:rPr>
                    <m:t>u</m:t>
                  </m:r>
                  <m:ctrlPr>
                    <w:rPr>
                      <w:rFonts w:ascii="Cambria Math" w:hAnsi="Cambria Math"/>
                      <w:highlight w:val="none"/>
                    </w:rPr>
                  </m:ctrlPr>
                </m:sub>
              </m:sSub>
              <m:ctrlPr>
                <w:rPr>
                  <w:rFonts w:ascii="Cambria Math" w:hAnsi="Cambria Math"/>
                  <w:highlight w:val="none"/>
                </w:rPr>
              </m:ctrlPr>
            </m:num>
            <m:den>
              <m:sSub>
                <m:sSubPr>
                  <m:ctrlPr>
                    <w:rPr>
                      <w:rFonts w:ascii="Cambria Math" w:hAnsi="Cambria Math"/>
                      <w:highlight w:val="none"/>
                    </w:rPr>
                  </m:ctrlPr>
                </m:sSubPr>
                <m:e>
                  <m:r>
                    <m:rPr>
                      <m:nor/>
                      <m:sty m:val="p"/>
                    </m:rPr>
                    <w:rPr>
                      <w:b w:val="0"/>
                      <w:i w:val="0"/>
                      <w:highlight w:val="none"/>
                    </w:rPr>
                    <m:t>K</m:t>
                  </m:r>
                  <m:ctrlPr>
                    <w:rPr>
                      <w:rFonts w:ascii="Cambria Math" w:hAnsi="Cambria Math"/>
                      <w:highlight w:val="none"/>
                    </w:rPr>
                  </m:ctrlPr>
                </m:e>
                <m:sub>
                  <m:r>
                    <m:rPr>
                      <m:nor/>
                      <m:sty m:val="p"/>
                    </m:rPr>
                    <w:rPr>
                      <w:b w:val="0"/>
                      <w:i w:val="0"/>
                      <w:highlight w:val="none"/>
                    </w:rPr>
                    <m:t>e</m:t>
                  </m:r>
                  <m:ctrlPr>
                    <w:rPr>
                      <w:rFonts w:ascii="Cambria Math" w:hAnsi="Cambria Math"/>
                      <w:highlight w:val="none"/>
                    </w:rPr>
                  </m:ctrlPr>
                </m:sub>
              </m:sSub>
              <m:r>
                <m:rPr>
                  <m:nor/>
                  <m:sty m:val="p"/>
                </m:rPr>
                <w:rPr>
                  <w:b w:val="0"/>
                  <w:i w:val="0"/>
                  <w:highlight w:val="none"/>
                </w:rPr>
                <m:t>×K</m:t>
              </m:r>
              <m:ctrlPr>
                <w:rPr>
                  <w:rFonts w:ascii="Cambria Math" w:hAnsi="Cambria Math"/>
                  <w:highlight w:val="none"/>
                </w:rPr>
              </m:ctrlPr>
            </m:den>
          </m:f>
          <m:r>
            <m:rPr>
              <m:nor/>
              <m:sty m:val="p"/>
            </m:rPr>
            <w:rPr>
              <w:b w:val="0"/>
              <w:i w:val="0"/>
              <w:highlight w:val="none"/>
            </w:rPr>
            <m:t>=</m:t>
          </m:r>
          <m:f>
            <m:fPr>
              <m:ctrlPr>
                <w:rPr>
                  <w:rFonts w:ascii="Cambria Math" w:hAnsi="Cambria Math"/>
                  <w:highlight w:val="none"/>
                </w:rPr>
              </m:ctrlPr>
            </m:fPr>
            <m:num>
              <m:r>
                <m:rPr>
                  <m:nor/>
                  <m:sty m:val="p"/>
                </m:rPr>
                <w:rPr>
                  <w:rFonts w:ascii="Cambria Math" w:hAnsi="Cambria Math"/>
                  <w:b w:val="0"/>
                  <w:i w:val="0"/>
                  <w:highlight w:val="none"/>
                </w:rPr>
                <m:t>7.535</m:t>
              </m:r>
              <m:r>
                <m:rPr>
                  <m:nor/>
                  <m:sty m:val="p"/>
                </m:rPr>
                <w:rPr>
                  <w:b w:val="0"/>
                  <w:i w:val="0"/>
                  <w:highlight w:val="none"/>
                </w:rPr>
                <m:t>×9.80665×6</m:t>
              </m:r>
              <m:ctrlPr>
                <w:rPr>
                  <w:rFonts w:ascii="Cambria Math" w:hAnsi="Cambria Math"/>
                  <w:highlight w:val="none"/>
                </w:rPr>
              </m:ctrlPr>
            </m:num>
            <m:den>
              <m:r>
                <m:rPr>
                  <m:nor/>
                  <m:sty m:val="p"/>
                </m:rPr>
                <w:rPr>
                  <w:b w:val="0"/>
                  <w:i w:val="0"/>
                  <w:highlight w:val="none"/>
                </w:rPr>
                <m:t>0.9×2.1</m:t>
              </m:r>
              <m:ctrlPr>
                <w:rPr>
                  <w:rFonts w:ascii="Cambria Math" w:hAnsi="Cambria Math"/>
                  <w:highlight w:val="none"/>
                </w:rPr>
              </m:ctrlPr>
            </m:den>
          </m:f>
          <m:r>
            <m:rPr>
              <m:nor/>
              <m:sty m:val="p"/>
            </m:rPr>
            <w:rPr>
              <w:b w:val="0"/>
              <w:i w:val="0"/>
              <w:highlight w:val="none"/>
            </w:rPr>
            <m:t>=</m:t>
          </m:r>
          <m:r>
            <m:rPr>
              <m:nor/>
              <m:sty m:val="p"/>
            </m:rPr>
            <w:rPr>
              <w:rFonts w:ascii="Cambria Math" w:hAnsi="Cambria Math"/>
              <w:b w:val="0"/>
              <w:i w:val="0"/>
              <w:highlight w:val="none"/>
            </w:rPr>
            <m:t>234.59</m:t>
          </m:r>
          <m:r>
            <m:rPr>
              <m:nor/>
              <m:sty m:val="p"/>
            </m:rPr>
            <w:rPr>
              <w:b w:val="0"/>
              <w:i w:val="0"/>
              <w:highlight w:val="none"/>
            </w:rPr>
            <m:t>kN</m:t>
          </m:r>
        </m:oMath>
      </m:oMathPara>
    </w:p>
    <w:p w14:paraId="58850CA8">
      <w:pPr>
        <w:ind w:firstLine="480"/>
        <w:rPr>
          <w:highlight w:val="none"/>
        </w:rPr>
      </w:pPr>
      <w:r>
        <w:rPr>
          <w:rFonts w:hint="eastAsia"/>
          <w:highlight w:val="none"/>
        </w:rPr>
        <w:t>则钢丝绳最小公称直径：</w:t>
      </w:r>
    </w:p>
    <w:p w14:paraId="1B87920A">
      <w:pPr>
        <w:tabs>
          <w:tab w:val="left" w:pos="1320"/>
        </w:tabs>
        <w:ind w:firstLine="0" w:firstLineChars="0"/>
        <w:jc w:val="center"/>
        <w:rPr>
          <w:i/>
          <w:highlight w:val="none"/>
        </w:rPr>
      </w:pPr>
      <m:oMathPara>
        <m:oMath>
          <m:r>
            <m:rPr>
              <m:nor/>
              <m:sty m:val="p"/>
            </m:rPr>
            <w:rPr>
              <w:b w:val="0"/>
              <w:i w:val="0"/>
              <w:highlight w:val="none"/>
            </w:rPr>
            <m:t>D=</m:t>
          </m:r>
          <m:rad>
            <m:radPr>
              <m:degHide m:val="1"/>
              <m:ctrlPr>
                <w:rPr>
                  <w:rFonts w:ascii="Cambria Math" w:hAnsi="Cambria Math"/>
                  <w:highlight w:val="none"/>
                </w:rPr>
              </m:ctrlPr>
            </m:radPr>
            <m:deg>
              <m:ctrlPr>
                <w:rPr>
                  <w:rFonts w:ascii="Cambria Math" w:hAnsi="Cambria Math"/>
                  <w:highlight w:val="none"/>
                </w:rPr>
              </m:ctrlPr>
            </m:deg>
            <m:e>
              <m:f>
                <m:fPr>
                  <m:ctrlPr>
                    <w:rPr>
                      <w:rFonts w:ascii="Cambria Math" w:hAnsi="Cambria Math"/>
                      <w:highlight w:val="none"/>
                    </w:rPr>
                  </m:ctrlPr>
                </m:fPr>
                <m:num>
                  <m:r>
                    <m:rPr>
                      <m:nor/>
                      <m:sty m:val="p"/>
                    </m:rPr>
                    <w:rPr>
                      <w:b w:val="0"/>
                      <w:i w:val="0"/>
                      <w:highlight w:val="none"/>
                    </w:rPr>
                    <m:t>1000×</m:t>
                  </m:r>
                  <m:sSub>
                    <m:sSubPr>
                      <m:ctrlPr>
                        <w:rPr>
                          <w:rFonts w:ascii="Cambria Math" w:hAnsi="Cambria Math"/>
                          <w:highlight w:val="none"/>
                        </w:rPr>
                      </m:ctrlPr>
                    </m:sSubPr>
                    <m:e>
                      <m:r>
                        <m:rPr>
                          <m:nor/>
                          <m:sty m:val="p"/>
                        </m:rPr>
                        <w:rPr>
                          <w:b w:val="0"/>
                          <w:i w:val="0"/>
                          <w:highlight w:val="none"/>
                        </w:rPr>
                        <m:t>F</m:t>
                      </m:r>
                      <m:ctrlPr>
                        <w:rPr>
                          <w:rFonts w:ascii="Cambria Math" w:hAnsi="Cambria Math"/>
                          <w:highlight w:val="none"/>
                        </w:rPr>
                      </m:ctrlPr>
                    </m:e>
                    <m:sub>
                      <m:r>
                        <m:rPr>
                          <m:nor/>
                          <m:sty m:val="p"/>
                        </m:rPr>
                        <w:rPr>
                          <w:b w:val="0"/>
                          <w:i w:val="0"/>
                          <w:highlight w:val="none"/>
                        </w:rPr>
                        <m:t>0</m:t>
                      </m:r>
                      <m:ctrlPr>
                        <w:rPr>
                          <w:rFonts w:ascii="Cambria Math" w:hAnsi="Cambria Math"/>
                          <w:highlight w:val="none"/>
                        </w:rPr>
                      </m:ctrlPr>
                    </m:sub>
                  </m:sSub>
                  <m:ctrlPr>
                    <w:rPr>
                      <w:rFonts w:ascii="Cambria Math" w:hAnsi="Cambria Math"/>
                      <w:highlight w:val="none"/>
                    </w:rPr>
                  </m:ctrlPr>
                </m:num>
                <m:den>
                  <m:sSup>
                    <m:sSupPr>
                      <m:ctrlPr>
                        <w:rPr>
                          <w:rFonts w:ascii="Cambria Math" w:hAnsi="Cambria Math"/>
                          <w:highlight w:val="none"/>
                        </w:rPr>
                      </m:ctrlPr>
                    </m:sSupPr>
                    <m:e>
                      <m:r>
                        <m:rPr>
                          <m:nor/>
                          <m:sty m:val="p"/>
                        </m:rPr>
                        <w:rPr>
                          <w:b w:val="0"/>
                          <w:i w:val="0"/>
                          <w:highlight w:val="none"/>
                        </w:rPr>
                        <m:t>K</m:t>
                      </m:r>
                      <m:ctrlPr>
                        <w:rPr>
                          <w:rFonts w:ascii="Cambria Math" w:hAnsi="Cambria Math"/>
                          <w:highlight w:val="none"/>
                        </w:rPr>
                      </m:ctrlPr>
                    </m:e>
                    <m:sup>
                      <m:r>
                        <m:rPr>
                          <m:nor/>
                          <m:sty m:val="p"/>
                        </m:rPr>
                        <w:rPr>
                          <w:b w:val="0"/>
                          <w:i w:val="0"/>
                          <w:highlight w:val="none"/>
                        </w:rPr>
                        <m:t>'</m:t>
                      </m:r>
                      <m:ctrlPr>
                        <w:rPr>
                          <w:rFonts w:ascii="Cambria Math" w:hAnsi="Cambria Math"/>
                          <w:highlight w:val="none"/>
                        </w:rPr>
                      </m:ctrlPr>
                    </m:sup>
                  </m:sSup>
                  <m:r>
                    <m:rPr>
                      <m:nor/>
                      <m:sty m:val="p"/>
                    </m:rPr>
                    <w:rPr>
                      <w:b w:val="0"/>
                      <w:i w:val="0"/>
                      <w:highlight w:val="none"/>
                    </w:rPr>
                    <m:t>×</m:t>
                  </m:r>
                  <m:sSub>
                    <m:sSubPr>
                      <m:ctrlPr>
                        <w:rPr>
                          <w:rFonts w:ascii="Cambria Math" w:hAnsi="Cambria Math"/>
                          <w:highlight w:val="none"/>
                        </w:rPr>
                      </m:ctrlPr>
                    </m:sSubPr>
                    <m:e>
                      <m:r>
                        <m:rPr>
                          <m:nor/>
                          <m:sty m:val="p"/>
                        </m:rPr>
                        <w:rPr>
                          <w:b w:val="0"/>
                          <w:i w:val="0"/>
                          <w:highlight w:val="none"/>
                        </w:rPr>
                        <m:t>R</m:t>
                      </m:r>
                      <m:ctrlPr>
                        <w:rPr>
                          <w:rFonts w:ascii="Cambria Math" w:hAnsi="Cambria Math"/>
                          <w:highlight w:val="none"/>
                        </w:rPr>
                      </m:ctrlPr>
                    </m:e>
                    <m:sub>
                      <m:r>
                        <m:rPr>
                          <m:nor/>
                          <m:sty m:val="p"/>
                        </m:rPr>
                        <w:rPr>
                          <w:b w:val="0"/>
                          <w:i w:val="0"/>
                          <w:highlight w:val="none"/>
                        </w:rPr>
                        <m:t>0</m:t>
                      </m:r>
                      <m:ctrlPr>
                        <w:rPr>
                          <w:rFonts w:ascii="Cambria Math" w:hAnsi="Cambria Math"/>
                          <w:highlight w:val="none"/>
                        </w:rPr>
                      </m:ctrlPr>
                    </m:sub>
                  </m:sSub>
                  <m:ctrlPr>
                    <w:rPr>
                      <w:rFonts w:ascii="Cambria Math" w:hAnsi="Cambria Math"/>
                      <w:highlight w:val="none"/>
                    </w:rPr>
                  </m:ctrlPr>
                </m:den>
              </m:f>
              <m:ctrlPr>
                <w:rPr>
                  <w:rFonts w:ascii="Cambria Math" w:hAnsi="Cambria Math"/>
                  <w:highlight w:val="none"/>
                </w:rPr>
              </m:ctrlPr>
            </m:e>
          </m:rad>
          <m:r>
            <m:rPr>
              <m:nor/>
              <m:sty m:val="p"/>
            </m:rPr>
            <w:rPr>
              <w:b w:val="0"/>
              <w:i w:val="0"/>
              <w:highlight w:val="none"/>
            </w:rPr>
            <m:t>=</m:t>
          </m:r>
          <m:rad>
            <m:radPr>
              <m:degHide m:val="1"/>
              <m:ctrlPr>
                <w:rPr>
                  <w:rFonts w:ascii="Cambria Math" w:hAnsi="Cambria Math"/>
                  <w:highlight w:val="none"/>
                </w:rPr>
              </m:ctrlPr>
            </m:radPr>
            <m:deg>
              <m:ctrlPr>
                <w:rPr>
                  <w:rFonts w:ascii="Cambria Math" w:hAnsi="Cambria Math"/>
                  <w:highlight w:val="none"/>
                </w:rPr>
              </m:ctrlPr>
            </m:deg>
            <m:e>
              <m:f>
                <m:fPr>
                  <m:ctrlPr>
                    <w:rPr>
                      <w:rFonts w:ascii="Cambria Math" w:hAnsi="Cambria Math"/>
                      <w:highlight w:val="none"/>
                    </w:rPr>
                  </m:ctrlPr>
                </m:fPr>
                <m:num>
                  <m:r>
                    <m:rPr>
                      <m:nor/>
                      <m:sty m:val="p"/>
                    </m:rPr>
                    <w:rPr>
                      <w:b w:val="0"/>
                      <w:i w:val="0"/>
                      <w:highlight w:val="none"/>
                    </w:rPr>
                    <m:t>1000×</m:t>
                  </m:r>
                  <m:r>
                    <m:rPr>
                      <m:nor/>
                      <m:sty m:val="p"/>
                    </m:rPr>
                    <w:rPr>
                      <w:rFonts w:ascii="Cambria Math" w:hAnsi="Cambria Math"/>
                      <w:b w:val="0"/>
                      <w:i w:val="0"/>
                      <w:highlight w:val="none"/>
                    </w:rPr>
                    <m:t>234.59</m:t>
                  </m:r>
                  <m:ctrlPr>
                    <w:rPr>
                      <w:rFonts w:ascii="Cambria Math" w:hAnsi="Cambria Math"/>
                      <w:highlight w:val="none"/>
                    </w:rPr>
                  </m:ctrlPr>
                </m:num>
                <m:den>
                  <m:r>
                    <m:rPr>
                      <m:nor/>
                      <m:sty m:val="p"/>
                    </m:rPr>
                    <w:rPr>
                      <w:b w:val="0"/>
                      <w:i w:val="0"/>
                      <w:highlight w:val="none"/>
                    </w:rPr>
                    <m:t>0.33×1</m:t>
                  </m:r>
                  <m:r>
                    <m:rPr>
                      <m:nor/>
                      <m:sty m:val="p"/>
                    </m:rPr>
                    <w:rPr>
                      <w:rFonts w:ascii="Cambria Math" w:hAnsi="Cambria Math"/>
                      <w:b w:val="0"/>
                      <w:i w:val="0"/>
                      <w:highlight w:val="none"/>
                    </w:rPr>
                    <m:t>87</m:t>
                  </m:r>
                  <m:r>
                    <m:rPr>
                      <m:nor/>
                      <m:sty m:val="p"/>
                    </m:rPr>
                    <w:rPr>
                      <w:b w:val="0"/>
                      <w:i w:val="0"/>
                      <w:highlight w:val="none"/>
                    </w:rPr>
                    <m:t>0</m:t>
                  </m:r>
                  <m:ctrlPr>
                    <w:rPr>
                      <w:rFonts w:ascii="Cambria Math" w:hAnsi="Cambria Math"/>
                      <w:highlight w:val="none"/>
                    </w:rPr>
                  </m:ctrlPr>
                </m:den>
              </m:f>
              <m:ctrlPr>
                <w:rPr>
                  <w:rFonts w:ascii="Cambria Math" w:hAnsi="Cambria Math"/>
                  <w:highlight w:val="none"/>
                </w:rPr>
              </m:ctrlPr>
            </m:e>
          </m:rad>
          <m:r>
            <m:rPr>
              <m:nor/>
              <m:sty m:val="p"/>
            </m:rPr>
            <w:rPr>
              <w:b w:val="0"/>
              <w:i w:val="0"/>
              <w:highlight w:val="none"/>
            </w:rPr>
            <m:t>=</m:t>
          </m:r>
          <m:r>
            <m:rPr>
              <m:nor/>
              <m:sty m:val="p"/>
            </m:rPr>
            <w:rPr>
              <w:rFonts w:ascii="Cambria Math" w:hAnsi="Cambria Math"/>
              <w:b w:val="0"/>
              <w:i w:val="0"/>
              <w:highlight w:val="none"/>
            </w:rPr>
            <m:t>19.49</m:t>
          </m:r>
          <m:r>
            <m:rPr>
              <m:nor/>
              <m:sty m:val="p"/>
            </m:rPr>
            <w:rPr>
              <w:b w:val="0"/>
              <w:i w:val="0"/>
              <w:highlight w:val="none"/>
            </w:rPr>
            <m:t>mm</m:t>
          </m:r>
        </m:oMath>
      </m:oMathPara>
    </w:p>
    <w:p w14:paraId="656A2378">
      <w:pPr>
        <w:ind w:firstLine="480"/>
        <w:rPr>
          <w:highlight w:val="none"/>
        </w:rPr>
      </w:pPr>
      <w:r>
        <w:rPr>
          <w:rFonts w:hint="eastAsia"/>
          <w:highlight w:val="none"/>
        </w:rPr>
        <w:t>采用φ</w:t>
      </w:r>
      <w:r>
        <w:rPr>
          <w:rFonts w:hint="eastAsia" w:ascii="SJQY" w:hAnsi="SJQY" w:eastAsia="SJQY"/>
          <w:highlight w:val="none"/>
        </w:rPr>
        <w:t>20</w:t>
      </w:r>
      <w:r>
        <w:rPr>
          <w:rFonts w:hint="eastAsia"/>
          <w:highlight w:val="none"/>
        </w:rPr>
        <w:t>mm钢丝绳可满足要求。</w:t>
      </w:r>
    </w:p>
    <w:p w14:paraId="71A3EB3C">
      <w:pPr>
        <w:ind w:firstLine="480"/>
        <w:rPr>
          <w:highlight w:val="none"/>
        </w:rPr>
      </w:pPr>
      <w:r>
        <w:rPr>
          <w:rFonts w:hint="eastAsia"/>
          <w:highlight w:val="none"/>
        </w:rPr>
        <w:t>采用两点吊的塔吊主要部件中最大重量为平衡重A，平衡重A最大重量约3.32t，钢丝绳与</w:t>
      </w:r>
      <w:r>
        <w:rPr>
          <w:rFonts w:hint="eastAsia"/>
          <w:highlight w:val="none"/>
          <w:lang w:val="en-US" w:eastAsia="zh-CN"/>
        </w:rPr>
        <w:t>平衡重</w:t>
      </w:r>
      <w:r>
        <w:rPr>
          <w:rFonts w:hint="eastAsia"/>
          <w:highlight w:val="none"/>
        </w:rPr>
        <w:t>成60°夹角，</w:t>
      </w:r>
      <w:r>
        <w:rPr>
          <w:rFonts w:hint="eastAsia"/>
          <w:highlight w:val="none"/>
          <w:lang w:val="en-US" w:eastAsia="zh-CN"/>
        </w:rPr>
        <w:t>平衡重</w:t>
      </w:r>
      <w:r>
        <w:rPr>
          <w:rFonts w:hint="eastAsia"/>
          <w:highlight w:val="none"/>
        </w:rPr>
        <w:t>吊装采用两点吊，在</w:t>
      </w:r>
      <w:r>
        <w:rPr>
          <w:rFonts w:hint="eastAsia"/>
          <w:highlight w:val="none"/>
          <w:lang w:val="en-US" w:eastAsia="zh-CN"/>
        </w:rPr>
        <w:t>平衡重</w:t>
      </w:r>
      <w:r>
        <w:rPr>
          <w:rFonts w:hint="eastAsia"/>
          <w:highlight w:val="none"/>
        </w:rPr>
        <w:t>上设置2个吊点，钢丝绳采用压制接头。</w:t>
      </w:r>
    </w:p>
    <w:p w14:paraId="682F4B5D">
      <w:pPr>
        <w:ind w:firstLine="480"/>
        <w:rPr>
          <w:highlight w:val="none"/>
        </w:rPr>
      </w:pPr>
      <w:r>
        <w:rPr>
          <w:rFonts w:hint="eastAsia"/>
          <w:highlight w:val="none"/>
        </w:rPr>
        <w:t>每根钢丝绳最小破断拉力：</w:t>
      </w:r>
    </w:p>
    <w:p w14:paraId="746B0E93">
      <w:pPr>
        <w:tabs>
          <w:tab w:val="left" w:pos="1320"/>
        </w:tabs>
        <w:ind w:firstLine="0" w:firstLineChars="0"/>
        <w:jc w:val="center"/>
        <w:rPr>
          <w:i/>
          <w:highlight w:val="none"/>
        </w:rPr>
      </w:pPr>
      <m:oMathPara>
        <m:oMath>
          <m:sSub>
            <m:sSubPr>
              <m:ctrlPr>
                <w:rPr>
                  <w:rFonts w:ascii="Cambria Math" w:hAnsi="Cambria Math"/>
                  <w:highlight w:val="none"/>
                </w:rPr>
              </m:ctrlPr>
            </m:sSubPr>
            <m:e>
              <m:r>
                <m:rPr>
                  <m:nor/>
                  <m:sty m:val="p"/>
                </m:rPr>
                <w:rPr>
                  <w:b w:val="0"/>
                  <w:i w:val="0"/>
                  <w:highlight w:val="none"/>
                </w:rPr>
                <m:t>F</m:t>
              </m:r>
              <m:ctrlPr>
                <w:rPr>
                  <w:rFonts w:ascii="Cambria Math" w:hAnsi="Cambria Math"/>
                  <w:highlight w:val="none"/>
                </w:rPr>
              </m:ctrlPr>
            </m:e>
            <m:sub>
              <m:r>
                <m:rPr>
                  <m:nor/>
                  <m:sty m:val="p"/>
                </m:rPr>
                <w:rPr>
                  <w:b w:val="0"/>
                  <w:i w:val="0"/>
                  <w:highlight w:val="none"/>
                </w:rPr>
                <m:t>0</m:t>
              </m:r>
              <m:ctrlPr>
                <w:rPr>
                  <w:rFonts w:ascii="Cambria Math" w:hAnsi="Cambria Math"/>
                  <w:highlight w:val="none"/>
                </w:rPr>
              </m:ctrlPr>
            </m:sub>
          </m:sSub>
          <m:r>
            <m:rPr>
              <m:nor/>
              <m:sty m:val="p"/>
            </m:rPr>
            <w:rPr>
              <w:b w:val="0"/>
              <w:i w:val="0"/>
              <w:highlight w:val="none"/>
            </w:rPr>
            <m:t>=</m:t>
          </m:r>
          <m:f>
            <m:fPr>
              <m:ctrlPr>
                <w:rPr>
                  <w:rFonts w:ascii="Cambria Math" w:hAnsi="Cambria Math"/>
                  <w:highlight w:val="none"/>
                </w:rPr>
              </m:ctrlPr>
            </m:fPr>
            <m:num>
              <m:r>
                <m:rPr>
                  <m:nor/>
                  <m:sty m:val="p"/>
                </m:rPr>
                <w:rPr>
                  <w:b w:val="0"/>
                  <w:i w:val="0"/>
                  <w:highlight w:val="none"/>
                </w:rPr>
                <m:t>WLL×</m:t>
              </m:r>
              <m:sSub>
                <m:sSubPr>
                  <m:ctrlPr>
                    <w:rPr>
                      <w:rFonts w:ascii="Cambria Math" w:hAnsi="Cambria Math"/>
                      <w:highlight w:val="none"/>
                    </w:rPr>
                  </m:ctrlPr>
                </m:sSubPr>
                <m:e>
                  <m:r>
                    <m:rPr>
                      <m:nor/>
                      <m:sty m:val="p"/>
                    </m:rPr>
                    <w:rPr>
                      <w:b w:val="0"/>
                      <w:i w:val="0"/>
                      <w:highlight w:val="none"/>
                    </w:rPr>
                    <m:t>K</m:t>
                  </m:r>
                  <m:ctrlPr>
                    <w:rPr>
                      <w:rFonts w:ascii="Cambria Math" w:hAnsi="Cambria Math"/>
                      <w:highlight w:val="none"/>
                    </w:rPr>
                  </m:ctrlPr>
                </m:e>
                <m:sub>
                  <m:r>
                    <m:rPr>
                      <m:nor/>
                      <m:sty m:val="p"/>
                    </m:rPr>
                    <w:rPr>
                      <w:b w:val="0"/>
                      <w:i w:val="0"/>
                      <w:highlight w:val="none"/>
                    </w:rPr>
                    <m:t>m</m:t>
                  </m:r>
                  <m:ctrlPr>
                    <w:rPr>
                      <w:rFonts w:ascii="Cambria Math" w:hAnsi="Cambria Math"/>
                      <w:highlight w:val="none"/>
                    </w:rPr>
                  </m:ctrlPr>
                </m:sub>
              </m:sSub>
              <m:r>
                <m:rPr>
                  <m:nor/>
                  <m:sty m:val="p"/>
                </m:rPr>
                <w:rPr>
                  <w:b w:val="0"/>
                  <w:i w:val="0"/>
                  <w:highlight w:val="none"/>
                </w:rPr>
                <m:t>×</m:t>
              </m:r>
              <m:sSub>
                <m:sSubPr>
                  <m:ctrlPr>
                    <w:rPr>
                      <w:rFonts w:ascii="Cambria Math" w:hAnsi="Cambria Math"/>
                      <w:highlight w:val="none"/>
                    </w:rPr>
                  </m:ctrlPr>
                </m:sSubPr>
                <m:e>
                  <m:r>
                    <m:rPr>
                      <m:nor/>
                      <m:sty m:val="p"/>
                    </m:rPr>
                    <w:rPr>
                      <w:b w:val="0"/>
                      <w:i w:val="0"/>
                      <w:highlight w:val="none"/>
                    </w:rPr>
                    <m:t>K</m:t>
                  </m:r>
                  <m:ctrlPr>
                    <w:rPr>
                      <w:rFonts w:ascii="Cambria Math" w:hAnsi="Cambria Math"/>
                      <w:highlight w:val="none"/>
                    </w:rPr>
                  </m:ctrlPr>
                </m:e>
                <m:sub>
                  <m:r>
                    <m:rPr>
                      <m:nor/>
                      <m:sty m:val="p"/>
                    </m:rPr>
                    <w:rPr>
                      <w:b w:val="0"/>
                      <w:i w:val="0"/>
                      <w:highlight w:val="none"/>
                    </w:rPr>
                    <m:t>u</m:t>
                  </m:r>
                  <m:ctrlPr>
                    <w:rPr>
                      <w:rFonts w:ascii="Cambria Math" w:hAnsi="Cambria Math"/>
                      <w:highlight w:val="none"/>
                    </w:rPr>
                  </m:ctrlPr>
                </m:sub>
              </m:sSub>
              <m:ctrlPr>
                <w:rPr>
                  <w:rFonts w:ascii="Cambria Math" w:hAnsi="Cambria Math"/>
                  <w:highlight w:val="none"/>
                </w:rPr>
              </m:ctrlPr>
            </m:num>
            <m:den>
              <m:sSub>
                <m:sSubPr>
                  <m:ctrlPr>
                    <w:rPr>
                      <w:rFonts w:ascii="Cambria Math" w:hAnsi="Cambria Math"/>
                      <w:highlight w:val="none"/>
                    </w:rPr>
                  </m:ctrlPr>
                </m:sSubPr>
                <m:e>
                  <m:r>
                    <m:rPr>
                      <m:nor/>
                      <m:sty m:val="p"/>
                    </m:rPr>
                    <w:rPr>
                      <w:b w:val="0"/>
                      <w:i w:val="0"/>
                      <w:highlight w:val="none"/>
                    </w:rPr>
                    <m:t>K</m:t>
                  </m:r>
                  <m:ctrlPr>
                    <w:rPr>
                      <w:rFonts w:ascii="Cambria Math" w:hAnsi="Cambria Math"/>
                      <w:highlight w:val="none"/>
                    </w:rPr>
                  </m:ctrlPr>
                </m:e>
                <m:sub>
                  <m:r>
                    <m:rPr>
                      <m:nor/>
                      <m:sty m:val="p"/>
                    </m:rPr>
                    <w:rPr>
                      <w:b w:val="0"/>
                      <w:i w:val="0"/>
                      <w:highlight w:val="none"/>
                    </w:rPr>
                    <m:t>e</m:t>
                  </m:r>
                  <m:ctrlPr>
                    <w:rPr>
                      <w:rFonts w:ascii="Cambria Math" w:hAnsi="Cambria Math"/>
                      <w:highlight w:val="none"/>
                    </w:rPr>
                  </m:ctrlPr>
                </m:sub>
              </m:sSub>
              <m:r>
                <m:rPr>
                  <m:nor/>
                  <m:sty m:val="p"/>
                </m:rPr>
                <w:rPr>
                  <w:b w:val="0"/>
                  <w:i w:val="0"/>
                  <w:highlight w:val="none"/>
                </w:rPr>
                <m:t>×K</m:t>
              </m:r>
              <m:ctrlPr>
                <w:rPr>
                  <w:rFonts w:ascii="Cambria Math" w:hAnsi="Cambria Math"/>
                  <w:highlight w:val="none"/>
                </w:rPr>
              </m:ctrlPr>
            </m:den>
          </m:f>
          <m:r>
            <m:rPr>
              <m:nor/>
              <m:sty m:val="p"/>
            </m:rPr>
            <w:rPr>
              <w:b w:val="0"/>
              <w:i w:val="0"/>
              <w:highlight w:val="none"/>
            </w:rPr>
            <m:t>=</m:t>
          </m:r>
          <m:f>
            <m:fPr>
              <m:ctrlPr>
                <w:rPr>
                  <w:rFonts w:ascii="Cambria Math" w:hAnsi="Cambria Math"/>
                  <w:highlight w:val="none"/>
                </w:rPr>
              </m:ctrlPr>
            </m:fPr>
            <m:num>
              <m:r>
                <m:rPr>
                  <m:nor/>
                  <m:sty m:val="p"/>
                </m:rPr>
                <w:rPr>
                  <w:rFonts w:ascii="Cambria Math" w:hAnsi="Cambria Math"/>
                  <w:b w:val="0"/>
                  <w:i w:val="0"/>
                  <w:highlight w:val="none"/>
                </w:rPr>
                <m:t>3.652</m:t>
              </m:r>
              <m:r>
                <m:rPr>
                  <m:nor/>
                  <m:sty m:val="p"/>
                </m:rPr>
                <w:rPr>
                  <w:b w:val="0"/>
                  <w:i w:val="0"/>
                  <w:highlight w:val="none"/>
                </w:rPr>
                <m:t>×9.80665×6</m:t>
              </m:r>
              <m:ctrlPr>
                <w:rPr>
                  <w:rFonts w:ascii="Cambria Math" w:hAnsi="Cambria Math"/>
                  <w:highlight w:val="none"/>
                </w:rPr>
              </m:ctrlPr>
            </m:num>
            <m:den>
              <m:r>
                <m:rPr>
                  <m:nor/>
                  <m:sty m:val="p"/>
                </m:rPr>
                <w:rPr>
                  <w:b w:val="0"/>
                  <w:i w:val="0"/>
                  <w:highlight w:val="none"/>
                </w:rPr>
                <m:t>0.9×1.4</m:t>
              </m:r>
              <m:ctrlPr>
                <w:rPr>
                  <w:rFonts w:ascii="Cambria Math" w:hAnsi="Cambria Math"/>
                  <w:highlight w:val="none"/>
                </w:rPr>
              </m:ctrlPr>
            </m:den>
          </m:f>
          <m:r>
            <m:rPr>
              <m:nor/>
              <m:sty m:val="p"/>
            </m:rPr>
            <w:rPr>
              <w:b w:val="0"/>
              <w:i w:val="0"/>
              <w:highlight w:val="none"/>
            </w:rPr>
            <m:t>=</m:t>
          </m:r>
          <m:r>
            <m:rPr>
              <m:nor/>
              <m:sty m:val="p"/>
            </m:rPr>
            <w:rPr>
              <w:rFonts w:ascii="Cambria Math" w:hAnsi="Cambria Math"/>
              <w:b w:val="0"/>
              <w:i w:val="0"/>
              <w:highlight w:val="none"/>
            </w:rPr>
            <m:t>170.55</m:t>
          </m:r>
          <m:r>
            <m:rPr>
              <m:nor/>
              <m:sty m:val="p"/>
            </m:rPr>
            <w:rPr>
              <w:b w:val="0"/>
              <w:i w:val="0"/>
              <w:highlight w:val="none"/>
            </w:rPr>
            <m:t>kN</m:t>
          </m:r>
        </m:oMath>
      </m:oMathPara>
    </w:p>
    <w:p w14:paraId="1A21C6CB">
      <w:pPr>
        <w:ind w:firstLine="480"/>
        <w:rPr>
          <w:highlight w:val="none"/>
        </w:rPr>
      </w:pPr>
      <w:r>
        <w:rPr>
          <w:rFonts w:hint="eastAsia"/>
          <w:highlight w:val="none"/>
        </w:rPr>
        <w:t>则钢丝绳最小公称直径：</w:t>
      </w:r>
    </w:p>
    <w:p w14:paraId="5D632D35">
      <w:pPr>
        <w:tabs>
          <w:tab w:val="left" w:pos="1320"/>
        </w:tabs>
        <w:ind w:firstLine="0" w:firstLineChars="0"/>
        <w:jc w:val="center"/>
        <w:rPr>
          <w:i/>
          <w:highlight w:val="none"/>
        </w:rPr>
      </w:pPr>
      <m:oMathPara>
        <m:oMath>
          <m:r>
            <m:rPr>
              <m:nor/>
              <m:sty m:val="p"/>
            </m:rPr>
            <w:rPr>
              <w:b w:val="0"/>
              <w:i w:val="0"/>
              <w:highlight w:val="none"/>
            </w:rPr>
            <m:t>D=</m:t>
          </m:r>
          <m:rad>
            <m:radPr>
              <m:degHide m:val="1"/>
              <m:ctrlPr>
                <w:rPr>
                  <w:rFonts w:ascii="Cambria Math" w:hAnsi="Cambria Math"/>
                  <w:highlight w:val="none"/>
                </w:rPr>
              </m:ctrlPr>
            </m:radPr>
            <m:deg>
              <m:ctrlPr>
                <w:rPr>
                  <w:rFonts w:ascii="Cambria Math" w:hAnsi="Cambria Math"/>
                  <w:highlight w:val="none"/>
                </w:rPr>
              </m:ctrlPr>
            </m:deg>
            <m:e>
              <m:f>
                <m:fPr>
                  <m:ctrlPr>
                    <w:rPr>
                      <w:rFonts w:ascii="Cambria Math" w:hAnsi="Cambria Math"/>
                      <w:highlight w:val="none"/>
                    </w:rPr>
                  </m:ctrlPr>
                </m:fPr>
                <m:num>
                  <m:r>
                    <m:rPr>
                      <m:nor/>
                      <m:sty m:val="p"/>
                    </m:rPr>
                    <w:rPr>
                      <w:b w:val="0"/>
                      <w:i w:val="0"/>
                      <w:highlight w:val="none"/>
                    </w:rPr>
                    <m:t>1000×</m:t>
                  </m:r>
                  <m:sSub>
                    <m:sSubPr>
                      <m:ctrlPr>
                        <w:rPr>
                          <w:rFonts w:ascii="Cambria Math" w:hAnsi="Cambria Math"/>
                          <w:highlight w:val="none"/>
                        </w:rPr>
                      </m:ctrlPr>
                    </m:sSubPr>
                    <m:e>
                      <m:r>
                        <m:rPr>
                          <m:nor/>
                          <m:sty m:val="p"/>
                        </m:rPr>
                        <w:rPr>
                          <w:b w:val="0"/>
                          <w:i w:val="0"/>
                          <w:highlight w:val="none"/>
                        </w:rPr>
                        <m:t>F</m:t>
                      </m:r>
                      <m:ctrlPr>
                        <w:rPr>
                          <w:rFonts w:ascii="Cambria Math" w:hAnsi="Cambria Math"/>
                          <w:highlight w:val="none"/>
                        </w:rPr>
                      </m:ctrlPr>
                    </m:e>
                    <m:sub>
                      <m:r>
                        <m:rPr>
                          <m:nor/>
                          <m:sty m:val="p"/>
                        </m:rPr>
                        <w:rPr>
                          <w:b w:val="0"/>
                          <w:i w:val="0"/>
                          <w:highlight w:val="none"/>
                        </w:rPr>
                        <m:t>0</m:t>
                      </m:r>
                      <m:ctrlPr>
                        <w:rPr>
                          <w:rFonts w:ascii="Cambria Math" w:hAnsi="Cambria Math"/>
                          <w:highlight w:val="none"/>
                        </w:rPr>
                      </m:ctrlPr>
                    </m:sub>
                  </m:sSub>
                  <m:ctrlPr>
                    <w:rPr>
                      <w:rFonts w:ascii="Cambria Math" w:hAnsi="Cambria Math"/>
                      <w:highlight w:val="none"/>
                    </w:rPr>
                  </m:ctrlPr>
                </m:num>
                <m:den>
                  <m:sSup>
                    <m:sSupPr>
                      <m:ctrlPr>
                        <w:rPr>
                          <w:rFonts w:ascii="Cambria Math" w:hAnsi="Cambria Math"/>
                          <w:highlight w:val="none"/>
                        </w:rPr>
                      </m:ctrlPr>
                    </m:sSupPr>
                    <m:e>
                      <m:r>
                        <m:rPr>
                          <m:nor/>
                          <m:sty m:val="p"/>
                        </m:rPr>
                        <w:rPr>
                          <w:b w:val="0"/>
                          <w:i w:val="0"/>
                          <w:highlight w:val="none"/>
                        </w:rPr>
                        <m:t>K</m:t>
                      </m:r>
                      <m:ctrlPr>
                        <w:rPr>
                          <w:rFonts w:ascii="Cambria Math" w:hAnsi="Cambria Math"/>
                          <w:highlight w:val="none"/>
                        </w:rPr>
                      </m:ctrlPr>
                    </m:e>
                    <m:sup>
                      <m:r>
                        <m:rPr>
                          <m:nor/>
                          <m:sty m:val="p"/>
                        </m:rPr>
                        <w:rPr>
                          <w:b w:val="0"/>
                          <w:i w:val="0"/>
                          <w:highlight w:val="none"/>
                        </w:rPr>
                        <m:t>'</m:t>
                      </m:r>
                      <m:ctrlPr>
                        <w:rPr>
                          <w:rFonts w:ascii="Cambria Math" w:hAnsi="Cambria Math"/>
                          <w:highlight w:val="none"/>
                        </w:rPr>
                      </m:ctrlPr>
                    </m:sup>
                  </m:sSup>
                  <m:r>
                    <m:rPr>
                      <m:nor/>
                      <m:sty m:val="p"/>
                    </m:rPr>
                    <w:rPr>
                      <w:b w:val="0"/>
                      <w:i w:val="0"/>
                      <w:highlight w:val="none"/>
                    </w:rPr>
                    <m:t>×</m:t>
                  </m:r>
                  <m:sSub>
                    <m:sSubPr>
                      <m:ctrlPr>
                        <w:rPr>
                          <w:rFonts w:ascii="Cambria Math" w:hAnsi="Cambria Math"/>
                          <w:highlight w:val="none"/>
                        </w:rPr>
                      </m:ctrlPr>
                    </m:sSubPr>
                    <m:e>
                      <m:r>
                        <m:rPr>
                          <m:nor/>
                          <m:sty m:val="p"/>
                        </m:rPr>
                        <w:rPr>
                          <w:b w:val="0"/>
                          <w:i w:val="0"/>
                          <w:highlight w:val="none"/>
                        </w:rPr>
                        <m:t>R</m:t>
                      </m:r>
                      <m:ctrlPr>
                        <w:rPr>
                          <w:rFonts w:ascii="Cambria Math" w:hAnsi="Cambria Math"/>
                          <w:highlight w:val="none"/>
                        </w:rPr>
                      </m:ctrlPr>
                    </m:e>
                    <m:sub>
                      <m:r>
                        <m:rPr>
                          <m:nor/>
                          <m:sty m:val="p"/>
                        </m:rPr>
                        <w:rPr>
                          <w:b w:val="0"/>
                          <w:i w:val="0"/>
                          <w:highlight w:val="none"/>
                        </w:rPr>
                        <m:t>0</m:t>
                      </m:r>
                      <m:ctrlPr>
                        <w:rPr>
                          <w:rFonts w:ascii="Cambria Math" w:hAnsi="Cambria Math"/>
                          <w:highlight w:val="none"/>
                        </w:rPr>
                      </m:ctrlPr>
                    </m:sub>
                  </m:sSub>
                  <m:ctrlPr>
                    <w:rPr>
                      <w:rFonts w:ascii="Cambria Math" w:hAnsi="Cambria Math"/>
                      <w:highlight w:val="none"/>
                    </w:rPr>
                  </m:ctrlPr>
                </m:den>
              </m:f>
              <m:ctrlPr>
                <w:rPr>
                  <w:rFonts w:ascii="Cambria Math" w:hAnsi="Cambria Math"/>
                  <w:highlight w:val="none"/>
                </w:rPr>
              </m:ctrlPr>
            </m:e>
          </m:rad>
          <m:r>
            <m:rPr>
              <m:nor/>
              <m:sty m:val="p"/>
            </m:rPr>
            <w:rPr>
              <w:b w:val="0"/>
              <w:i w:val="0"/>
              <w:highlight w:val="none"/>
            </w:rPr>
            <m:t>=</m:t>
          </m:r>
          <m:rad>
            <m:radPr>
              <m:degHide m:val="1"/>
              <m:ctrlPr>
                <w:rPr>
                  <w:rFonts w:ascii="Cambria Math" w:hAnsi="Cambria Math"/>
                  <w:highlight w:val="none"/>
                </w:rPr>
              </m:ctrlPr>
            </m:radPr>
            <m:deg>
              <m:ctrlPr>
                <w:rPr>
                  <w:rFonts w:ascii="Cambria Math" w:hAnsi="Cambria Math"/>
                  <w:highlight w:val="none"/>
                </w:rPr>
              </m:ctrlPr>
            </m:deg>
            <m:e>
              <m:f>
                <m:fPr>
                  <m:ctrlPr>
                    <w:rPr>
                      <w:rFonts w:ascii="Cambria Math" w:hAnsi="Cambria Math"/>
                      <w:highlight w:val="none"/>
                    </w:rPr>
                  </m:ctrlPr>
                </m:fPr>
                <m:num>
                  <m:r>
                    <m:rPr>
                      <m:nor/>
                      <m:sty m:val="p"/>
                    </m:rPr>
                    <w:rPr>
                      <w:b w:val="0"/>
                      <w:i w:val="0"/>
                      <w:highlight w:val="none"/>
                    </w:rPr>
                    <m:t>1000×</m:t>
                  </m:r>
                  <m:r>
                    <m:rPr>
                      <m:nor/>
                      <m:sty m:val="p"/>
                    </m:rPr>
                    <w:rPr>
                      <w:rFonts w:ascii="Cambria Math" w:hAnsi="Cambria Math"/>
                      <w:b w:val="0"/>
                      <w:i w:val="0"/>
                      <w:highlight w:val="none"/>
                    </w:rPr>
                    <m:t>170.55</m:t>
                  </m:r>
                  <m:ctrlPr>
                    <w:rPr>
                      <w:rFonts w:ascii="Cambria Math" w:hAnsi="Cambria Math"/>
                      <w:highlight w:val="none"/>
                    </w:rPr>
                  </m:ctrlPr>
                </m:num>
                <m:den>
                  <m:r>
                    <m:rPr>
                      <m:nor/>
                      <m:sty m:val="p"/>
                    </m:rPr>
                    <w:rPr>
                      <w:b w:val="0"/>
                      <w:i w:val="0"/>
                      <w:highlight w:val="none"/>
                    </w:rPr>
                    <m:t>0.33×1</m:t>
                  </m:r>
                  <m:r>
                    <m:rPr>
                      <m:nor/>
                      <m:sty m:val="p"/>
                    </m:rPr>
                    <w:rPr>
                      <w:rFonts w:ascii="Cambria Math" w:hAnsi="Cambria Math"/>
                      <w:b w:val="0"/>
                      <w:i w:val="0"/>
                      <w:highlight w:val="none"/>
                    </w:rPr>
                    <m:t>87</m:t>
                  </m:r>
                  <m:r>
                    <m:rPr>
                      <m:nor/>
                      <m:sty m:val="p"/>
                    </m:rPr>
                    <w:rPr>
                      <w:b w:val="0"/>
                      <w:i w:val="0"/>
                      <w:highlight w:val="none"/>
                    </w:rPr>
                    <m:t>0</m:t>
                  </m:r>
                  <m:ctrlPr>
                    <w:rPr>
                      <w:rFonts w:ascii="Cambria Math" w:hAnsi="Cambria Math"/>
                      <w:highlight w:val="none"/>
                    </w:rPr>
                  </m:ctrlPr>
                </m:den>
              </m:f>
              <m:ctrlPr>
                <w:rPr>
                  <w:rFonts w:ascii="Cambria Math" w:hAnsi="Cambria Math"/>
                  <w:highlight w:val="none"/>
                </w:rPr>
              </m:ctrlPr>
            </m:e>
          </m:rad>
          <m:r>
            <m:rPr>
              <m:nor/>
              <m:sty m:val="p"/>
            </m:rPr>
            <w:rPr>
              <w:b w:val="0"/>
              <w:i w:val="0"/>
              <w:highlight w:val="none"/>
            </w:rPr>
            <m:t>=</m:t>
          </m:r>
          <m:r>
            <m:rPr>
              <m:nor/>
              <m:sty m:val="p"/>
            </m:rPr>
            <w:rPr>
              <w:rFonts w:ascii="Cambria Math" w:hAnsi="Cambria Math"/>
              <w:b w:val="0"/>
              <w:i w:val="0"/>
              <w:highlight w:val="none"/>
            </w:rPr>
            <m:t>16.63</m:t>
          </m:r>
          <m:r>
            <m:rPr>
              <m:nor/>
              <m:sty m:val="p"/>
            </m:rPr>
            <w:rPr>
              <w:b w:val="0"/>
              <w:i w:val="0"/>
              <w:highlight w:val="none"/>
            </w:rPr>
            <m:t>mm</m:t>
          </m:r>
        </m:oMath>
      </m:oMathPara>
    </w:p>
    <w:p w14:paraId="236E4628">
      <w:pPr>
        <w:ind w:firstLine="480"/>
        <w:rPr>
          <w:highlight w:val="none"/>
        </w:rPr>
      </w:pPr>
      <w:r>
        <w:rPr>
          <w:rFonts w:hint="eastAsia" w:ascii="宋体" w:hAnsi="宋体" w:cs="宋体"/>
          <w:highlight w:val="none"/>
        </w:rPr>
        <w:t>采用</w:t>
      </w:r>
      <w:r>
        <w:rPr>
          <w:rFonts w:hint="eastAsia" w:ascii="SJQY" w:hAnsi="SJQY" w:eastAsia="SJQY"/>
          <w:highlight w:val="none"/>
        </w:rPr>
        <w:t>φ</w:t>
      </w:r>
      <w:r>
        <w:rPr>
          <w:rFonts w:hint="eastAsia"/>
          <w:highlight w:val="none"/>
        </w:rPr>
        <w:t>18mm钢丝绳可满足要求。</w:t>
      </w:r>
    </w:p>
    <w:p w14:paraId="49538B60">
      <w:pPr>
        <w:pStyle w:val="5"/>
        <w:bidi w:val="0"/>
        <w:ind w:left="0" w:leftChars="0" w:firstLine="0" w:firstLineChars="0"/>
        <w:rPr>
          <w:highlight w:val="none"/>
        </w:rPr>
      </w:pPr>
      <w:bookmarkStart w:id="222" w:name="_Toc132535969"/>
      <w:r>
        <w:rPr>
          <w:rFonts w:hint="eastAsia"/>
          <w:highlight w:val="none"/>
        </w:rPr>
        <w:t>卸扣选型</w:t>
      </w:r>
      <w:bookmarkEnd w:id="222"/>
    </w:p>
    <w:p w14:paraId="2F55A624">
      <w:pPr>
        <w:ind w:firstLine="480"/>
        <w:rPr>
          <w:highlight w:val="none"/>
        </w:rPr>
      </w:pPr>
      <w:r>
        <w:rPr>
          <w:rFonts w:hint="eastAsia"/>
          <w:highlight w:val="none"/>
        </w:rPr>
        <w:t>卸扣根据《一般起重用D形和弓形锻造卸扣》（GB/T25854-2010）的规定选用。</w:t>
      </w:r>
    </w:p>
    <w:p w14:paraId="10517F36">
      <w:pPr>
        <w:keepNext/>
        <w:tabs>
          <w:tab w:val="left" w:pos="360"/>
        </w:tabs>
        <w:ind w:firstLine="420"/>
        <w:jc w:val="center"/>
        <w:rPr>
          <w:rFonts w:eastAsia="黑体"/>
          <w:sz w:val="21"/>
          <w:highlight w:val="none"/>
        </w:rPr>
      </w:pPr>
      <w:r>
        <w:rPr>
          <w:rFonts w:hint="eastAsia" w:eastAsia="黑体"/>
          <w:sz w:val="21"/>
          <w:highlight w:val="none"/>
        </w:rPr>
        <w:t>表11.1.</w:t>
      </w:r>
      <w:r>
        <w:rPr>
          <w:rFonts w:hint="eastAsia" w:eastAsia="黑体"/>
          <w:sz w:val="21"/>
          <w:highlight w:val="none"/>
          <w:lang w:val="en-US" w:eastAsia="zh-CN"/>
        </w:rPr>
        <w:t>3</w:t>
      </w:r>
      <w:r>
        <w:rPr>
          <w:rFonts w:eastAsia="黑体"/>
          <w:sz w:val="21"/>
          <w:highlight w:val="none"/>
        </w:rPr>
        <w:noBreakHyphen/>
      </w:r>
      <w:r>
        <w:rPr>
          <w:rFonts w:hint="eastAsia" w:eastAsia="黑体"/>
          <w:sz w:val="21"/>
          <w:highlight w:val="none"/>
        </w:rPr>
        <w:t>1D形卸扣尺寸</w:t>
      </w:r>
    </w:p>
    <w:tbl>
      <w:tblPr>
        <w:tblStyle w:val="393"/>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205"/>
        <w:gridCol w:w="1205"/>
        <w:gridCol w:w="1205"/>
        <w:gridCol w:w="1072"/>
        <w:gridCol w:w="1072"/>
        <w:gridCol w:w="1229"/>
        <w:gridCol w:w="1012"/>
        <w:gridCol w:w="1101"/>
      </w:tblGrid>
      <w:tr w14:paraId="38B35B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1986" w:type="pct"/>
            <w:gridSpan w:val="3"/>
            <w:shd w:val="clear" w:color="auto" w:fill="4472C4"/>
            <w:vAlign w:val="center"/>
          </w:tcPr>
          <w:p w14:paraId="1F043789">
            <w:pPr>
              <w:spacing w:line="240" w:lineRule="auto"/>
              <w:ind w:firstLine="0" w:firstLineChars="0"/>
              <w:jc w:val="center"/>
              <w:rPr>
                <w:rFonts w:ascii="Times New Roman" w:hAnsi="Times New Roman" w:eastAsia="仿宋"/>
                <w:b/>
                <w:color w:val="FFFFFF"/>
                <w:kern w:val="0"/>
                <w:sz w:val="21"/>
                <w:highlight w:val="none"/>
              </w:rPr>
            </w:pPr>
            <w:r>
              <w:rPr>
                <w:rFonts w:ascii="Times New Roman" w:hAnsi="Times New Roman" w:eastAsia="仿宋"/>
                <w:b/>
                <w:color w:val="FFFFFF"/>
                <w:kern w:val="0"/>
                <w:sz w:val="21"/>
                <w:highlight w:val="none"/>
              </w:rPr>
              <w:t>极限工作荷载WLL</w:t>
            </w:r>
          </w:p>
        </w:tc>
        <w:tc>
          <w:tcPr>
            <w:tcW w:w="589" w:type="pct"/>
            <w:vMerge w:val="restart"/>
            <w:shd w:val="clear" w:color="auto" w:fill="4472C4"/>
            <w:vAlign w:val="center"/>
          </w:tcPr>
          <w:p w14:paraId="3AF76716">
            <w:pPr>
              <w:spacing w:line="240" w:lineRule="auto"/>
              <w:ind w:firstLine="0" w:firstLineChars="0"/>
              <w:jc w:val="center"/>
              <w:rPr>
                <w:rFonts w:ascii="Times New Roman" w:hAnsi="Times New Roman" w:eastAsia="仿宋"/>
                <w:b/>
                <w:color w:val="FFFFFF"/>
                <w:kern w:val="0"/>
                <w:sz w:val="21"/>
                <w:highlight w:val="none"/>
              </w:rPr>
            </w:pPr>
            <w:r>
              <w:rPr>
                <w:rFonts w:ascii="Times New Roman" w:hAnsi="Times New Roman" w:eastAsia="仿宋"/>
                <w:b/>
                <w:color w:val="FFFFFF"/>
                <w:kern w:val="0"/>
                <w:sz w:val="21"/>
                <w:highlight w:val="none"/>
              </w:rPr>
              <w:t>d</w:t>
            </w:r>
            <w:r>
              <w:rPr>
                <w:rFonts w:ascii="Times New Roman" w:hAnsi="Times New Roman" w:eastAsia="仿宋"/>
                <w:b/>
                <w:color w:val="FFFFFF"/>
                <w:kern w:val="0"/>
                <w:sz w:val="21"/>
                <w:highlight w:val="none"/>
                <w:vertAlign w:val="superscript"/>
              </w:rPr>
              <w:t>a</w:t>
            </w:r>
          </w:p>
          <w:p w14:paraId="70870A13">
            <w:pPr>
              <w:spacing w:line="240" w:lineRule="auto"/>
              <w:ind w:firstLine="0" w:firstLineChars="0"/>
              <w:jc w:val="center"/>
              <w:rPr>
                <w:rFonts w:ascii="Times New Roman" w:hAnsi="Times New Roman" w:eastAsia="仿宋"/>
                <w:b/>
                <w:color w:val="FFFFFF"/>
                <w:kern w:val="0"/>
                <w:sz w:val="21"/>
                <w:highlight w:val="none"/>
              </w:rPr>
            </w:pPr>
            <w:r>
              <w:rPr>
                <w:rFonts w:ascii="Times New Roman" w:hAnsi="Times New Roman" w:eastAsia="仿宋"/>
                <w:b/>
                <w:color w:val="FFFFFF"/>
                <w:kern w:val="0"/>
                <w:sz w:val="21"/>
                <w:highlight w:val="none"/>
              </w:rPr>
              <w:t>max</w:t>
            </w:r>
          </w:p>
        </w:tc>
        <w:tc>
          <w:tcPr>
            <w:tcW w:w="589" w:type="pct"/>
            <w:vMerge w:val="restart"/>
            <w:shd w:val="clear" w:color="auto" w:fill="4472C4"/>
            <w:vAlign w:val="center"/>
          </w:tcPr>
          <w:p w14:paraId="2F223F0F">
            <w:pPr>
              <w:spacing w:line="240" w:lineRule="auto"/>
              <w:ind w:firstLine="0" w:firstLineChars="0"/>
              <w:jc w:val="center"/>
              <w:rPr>
                <w:rFonts w:ascii="Times New Roman" w:hAnsi="Times New Roman" w:eastAsia="仿宋"/>
                <w:b/>
                <w:color w:val="FFFFFF"/>
                <w:kern w:val="0"/>
                <w:sz w:val="21"/>
                <w:highlight w:val="none"/>
              </w:rPr>
            </w:pPr>
            <w:r>
              <w:rPr>
                <w:rFonts w:ascii="Times New Roman" w:hAnsi="Times New Roman" w:eastAsia="仿宋"/>
                <w:b/>
                <w:color w:val="FFFFFF"/>
                <w:kern w:val="0"/>
                <w:sz w:val="21"/>
                <w:highlight w:val="none"/>
              </w:rPr>
              <w:t>D</w:t>
            </w:r>
            <w:r>
              <w:rPr>
                <w:rFonts w:ascii="Times New Roman" w:hAnsi="Times New Roman" w:eastAsia="仿宋"/>
                <w:b/>
                <w:color w:val="FFFFFF"/>
                <w:kern w:val="0"/>
                <w:sz w:val="21"/>
                <w:highlight w:val="none"/>
                <w:vertAlign w:val="superscript"/>
              </w:rPr>
              <w:t>b</w:t>
            </w:r>
          </w:p>
          <w:p w14:paraId="0EB2F2B5">
            <w:pPr>
              <w:spacing w:line="240" w:lineRule="auto"/>
              <w:ind w:firstLine="0" w:firstLineChars="0"/>
              <w:jc w:val="center"/>
              <w:rPr>
                <w:rFonts w:ascii="Times New Roman" w:hAnsi="Times New Roman" w:eastAsia="仿宋"/>
                <w:b/>
                <w:color w:val="FFFFFF"/>
                <w:kern w:val="0"/>
                <w:sz w:val="21"/>
                <w:highlight w:val="none"/>
              </w:rPr>
            </w:pPr>
            <w:r>
              <w:rPr>
                <w:rFonts w:ascii="Times New Roman" w:hAnsi="Times New Roman" w:eastAsia="仿宋"/>
                <w:b/>
                <w:color w:val="FFFFFF"/>
                <w:kern w:val="0"/>
                <w:sz w:val="21"/>
                <w:highlight w:val="none"/>
              </w:rPr>
              <w:t>max</w:t>
            </w:r>
          </w:p>
        </w:tc>
        <w:tc>
          <w:tcPr>
            <w:tcW w:w="675" w:type="pct"/>
            <w:vMerge w:val="restart"/>
            <w:shd w:val="clear" w:color="auto" w:fill="4472C4"/>
            <w:vAlign w:val="center"/>
          </w:tcPr>
          <w:p w14:paraId="366E6EB1">
            <w:pPr>
              <w:spacing w:line="240" w:lineRule="auto"/>
              <w:ind w:firstLine="0" w:firstLineChars="0"/>
              <w:jc w:val="center"/>
              <w:rPr>
                <w:rFonts w:ascii="Times New Roman" w:hAnsi="Times New Roman" w:eastAsia="仿宋"/>
                <w:b/>
                <w:color w:val="FFFFFF"/>
                <w:kern w:val="0"/>
                <w:sz w:val="21"/>
                <w:highlight w:val="none"/>
                <w:vertAlign w:val="superscript"/>
              </w:rPr>
            </w:pPr>
            <w:r>
              <w:rPr>
                <w:rFonts w:ascii="Times New Roman" w:hAnsi="Times New Roman" w:eastAsia="仿宋"/>
                <w:b/>
                <w:color w:val="FFFFFF"/>
                <w:kern w:val="0"/>
                <w:sz w:val="21"/>
                <w:highlight w:val="none"/>
              </w:rPr>
              <w:t>e</w:t>
            </w:r>
            <w:r>
              <w:rPr>
                <w:rFonts w:ascii="Times New Roman" w:hAnsi="Times New Roman" w:eastAsia="仿宋"/>
                <w:b/>
                <w:color w:val="FFFFFF"/>
                <w:kern w:val="0"/>
                <w:sz w:val="21"/>
                <w:highlight w:val="none"/>
                <w:vertAlign w:val="superscript"/>
              </w:rPr>
              <w:t>c</w:t>
            </w:r>
          </w:p>
          <w:p w14:paraId="07F6CB58">
            <w:pPr>
              <w:spacing w:line="240" w:lineRule="auto"/>
              <w:ind w:firstLine="0" w:firstLineChars="0"/>
              <w:jc w:val="center"/>
              <w:rPr>
                <w:rFonts w:ascii="Times New Roman" w:hAnsi="Times New Roman" w:eastAsia="仿宋"/>
                <w:b/>
                <w:color w:val="FFFFFF"/>
                <w:kern w:val="0"/>
                <w:sz w:val="21"/>
                <w:highlight w:val="none"/>
              </w:rPr>
            </w:pPr>
            <w:r>
              <w:rPr>
                <w:rFonts w:ascii="Times New Roman" w:hAnsi="Times New Roman" w:eastAsia="仿宋"/>
                <w:b/>
                <w:color w:val="FFFFFF"/>
                <w:kern w:val="0"/>
                <w:sz w:val="21"/>
                <w:highlight w:val="none"/>
              </w:rPr>
              <w:t>max</w:t>
            </w:r>
          </w:p>
        </w:tc>
        <w:tc>
          <w:tcPr>
            <w:tcW w:w="556" w:type="pct"/>
            <w:vMerge w:val="restart"/>
            <w:shd w:val="clear" w:color="auto" w:fill="4472C4"/>
            <w:vAlign w:val="center"/>
          </w:tcPr>
          <w:p w14:paraId="34AE20EE">
            <w:pPr>
              <w:spacing w:line="240" w:lineRule="auto"/>
              <w:ind w:firstLine="0" w:firstLineChars="0"/>
              <w:jc w:val="center"/>
              <w:rPr>
                <w:rFonts w:ascii="Times New Roman" w:hAnsi="Times New Roman" w:eastAsia="仿宋"/>
                <w:b/>
                <w:color w:val="FFFFFF"/>
                <w:kern w:val="0"/>
                <w:sz w:val="21"/>
                <w:highlight w:val="none"/>
              </w:rPr>
            </w:pPr>
            <w:r>
              <w:rPr>
                <w:rFonts w:ascii="Times New Roman" w:hAnsi="Times New Roman" w:eastAsia="仿宋"/>
                <w:b/>
                <w:color w:val="FFFFFF"/>
                <w:kern w:val="0"/>
                <w:sz w:val="21"/>
                <w:highlight w:val="none"/>
              </w:rPr>
              <w:t>S</w:t>
            </w:r>
            <w:r>
              <w:rPr>
                <w:rFonts w:ascii="Times New Roman" w:hAnsi="Times New Roman" w:eastAsia="仿宋"/>
                <w:b/>
                <w:color w:val="FFFFFF"/>
                <w:kern w:val="0"/>
                <w:sz w:val="21"/>
                <w:highlight w:val="none"/>
                <w:vertAlign w:val="superscript"/>
              </w:rPr>
              <w:t>d</w:t>
            </w:r>
          </w:p>
          <w:p w14:paraId="44A85B67">
            <w:pPr>
              <w:spacing w:line="240" w:lineRule="auto"/>
              <w:ind w:firstLine="0" w:firstLineChars="0"/>
              <w:jc w:val="center"/>
              <w:rPr>
                <w:rFonts w:ascii="Times New Roman" w:hAnsi="Times New Roman" w:eastAsia="仿宋"/>
                <w:b/>
                <w:color w:val="FFFFFF"/>
                <w:kern w:val="0"/>
                <w:sz w:val="21"/>
                <w:highlight w:val="none"/>
              </w:rPr>
            </w:pPr>
            <w:r>
              <w:rPr>
                <w:rFonts w:ascii="Times New Roman" w:hAnsi="Times New Roman" w:eastAsia="仿宋"/>
                <w:b/>
                <w:color w:val="FFFFFF"/>
                <w:kern w:val="0"/>
                <w:sz w:val="21"/>
                <w:highlight w:val="none"/>
              </w:rPr>
              <w:t>min</w:t>
            </w:r>
          </w:p>
        </w:tc>
        <w:tc>
          <w:tcPr>
            <w:tcW w:w="605" w:type="pct"/>
            <w:vMerge w:val="restart"/>
            <w:shd w:val="clear" w:color="auto" w:fill="4472C4"/>
            <w:vAlign w:val="center"/>
          </w:tcPr>
          <w:p w14:paraId="4A6F8911">
            <w:pPr>
              <w:spacing w:line="240" w:lineRule="auto"/>
              <w:ind w:firstLine="0" w:firstLineChars="0"/>
              <w:jc w:val="center"/>
              <w:rPr>
                <w:rFonts w:ascii="Times New Roman" w:hAnsi="Times New Roman" w:eastAsia="仿宋"/>
                <w:b/>
                <w:color w:val="FFFFFF"/>
                <w:kern w:val="0"/>
                <w:sz w:val="21"/>
                <w:highlight w:val="none"/>
                <w:vertAlign w:val="superscript"/>
              </w:rPr>
            </w:pPr>
            <w:r>
              <w:rPr>
                <w:rFonts w:ascii="Times New Roman" w:hAnsi="Times New Roman" w:eastAsia="仿宋"/>
                <w:b/>
                <w:color w:val="FFFFFF"/>
                <w:kern w:val="0"/>
                <w:sz w:val="21"/>
                <w:highlight w:val="none"/>
              </w:rPr>
              <w:t>W</w:t>
            </w:r>
            <w:r>
              <w:rPr>
                <w:rFonts w:ascii="Times New Roman" w:hAnsi="Times New Roman" w:eastAsia="仿宋"/>
                <w:b/>
                <w:color w:val="FFFFFF"/>
                <w:kern w:val="0"/>
                <w:sz w:val="21"/>
                <w:highlight w:val="none"/>
                <w:vertAlign w:val="superscript"/>
              </w:rPr>
              <w:t>b</w:t>
            </w:r>
          </w:p>
          <w:p w14:paraId="31176E8F">
            <w:pPr>
              <w:spacing w:line="240" w:lineRule="auto"/>
              <w:ind w:firstLine="0" w:firstLineChars="0"/>
              <w:jc w:val="center"/>
              <w:rPr>
                <w:rFonts w:ascii="Times New Roman" w:hAnsi="Times New Roman" w:eastAsia="仿宋"/>
                <w:b/>
                <w:color w:val="FFFFFF"/>
                <w:kern w:val="0"/>
                <w:sz w:val="21"/>
                <w:highlight w:val="none"/>
              </w:rPr>
            </w:pPr>
            <w:r>
              <w:rPr>
                <w:rFonts w:ascii="Times New Roman" w:hAnsi="Times New Roman" w:eastAsia="仿宋"/>
                <w:b/>
                <w:color w:val="FFFFFF"/>
                <w:kern w:val="0"/>
                <w:sz w:val="21"/>
                <w:highlight w:val="none"/>
              </w:rPr>
              <w:t>min</w:t>
            </w:r>
          </w:p>
        </w:tc>
      </w:tr>
      <w:tr w14:paraId="354662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4472C4"/>
            <w:vAlign w:val="center"/>
          </w:tcPr>
          <w:p w14:paraId="1561C5E3">
            <w:pPr>
              <w:spacing w:line="240" w:lineRule="auto"/>
              <w:ind w:firstLine="0" w:firstLineChars="0"/>
              <w:jc w:val="center"/>
              <w:rPr>
                <w:rFonts w:eastAsia="仿宋"/>
                <w:b/>
                <w:bCs/>
                <w:color w:val="FFFFFF"/>
                <w:kern w:val="0"/>
                <w:sz w:val="21"/>
                <w:highlight w:val="none"/>
              </w:rPr>
            </w:pPr>
            <w:r>
              <w:rPr>
                <w:rFonts w:eastAsia="仿宋"/>
                <w:b/>
                <w:bCs/>
                <w:color w:val="FFFFFF"/>
                <w:kern w:val="0"/>
                <w:sz w:val="21"/>
                <w:highlight w:val="none"/>
              </w:rPr>
              <w:t>4级</w:t>
            </w:r>
          </w:p>
        </w:tc>
        <w:tc>
          <w:tcPr>
            <w:tcW w:w="662" w:type="pct"/>
            <w:shd w:val="clear" w:color="auto" w:fill="4472C4"/>
            <w:vAlign w:val="center"/>
          </w:tcPr>
          <w:p w14:paraId="0280915D">
            <w:pPr>
              <w:spacing w:line="240" w:lineRule="auto"/>
              <w:ind w:firstLine="0" w:firstLineChars="0"/>
              <w:jc w:val="center"/>
              <w:rPr>
                <w:rFonts w:eastAsia="仿宋"/>
                <w:b/>
                <w:bCs/>
                <w:color w:val="FFFFFF"/>
                <w:kern w:val="0"/>
                <w:sz w:val="21"/>
                <w:highlight w:val="none"/>
              </w:rPr>
            </w:pPr>
            <w:r>
              <w:rPr>
                <w:rFonts w:eastAsia="仿宋"/>
                <w:b/>
                <w:bCs/>
                <w:color w:val="FFFFFF"/>
                <w:kern w:val="0"/>
                <w:sz w:val="21"/>
                <w:highlight w:val="none"/>
              </w:rPr>
              <w:t>6级</w:t>
            </w:r>
          </w:p>
        </w:tc>
        <w:tc>
          <w:tcPr>
            <w:tcW w:w="662" w:type="pct"/>
            <w:shd w:val="clear" w:color="auto" w:fill="4472C4"/>
            <w:vAlign w:val="center"/>
          </w:tcPr>
          <w:p w14:paraId="4364353D">
            <w:pPr>
              <w:spacing w:line="240" w:lineRule="auto"/>
              <w:ind w:firstLine="0" w:firstLineChars="0"/>
              <w:jc w:val="center"/>
              <w:rPr>
                <w:rFonts w:eastAsia="仿宋"/>
                <w:b/>
                <w:bCs/>
                <w:color w:val="FFFFFF"/>
                <w:kern w:val="0"/>
                <w:sz w:val="21"/>
                <w:highlight w:val="none"/>
              </w:rPr>
            </w:pPr>
            <w:r>
              <w:rPr>
                <w:rFonts w:eastAsia="仿宋"/>
                <w:b/>
                <w:bCs/>
                <w:color w:val="FFFFFF"/>
                <w:kern w:val="0"/>
                <w:sz w:val="21"/>
                <w:highlight w:val="none"/>
              </w:rPr>
              <w:t>8级</w:t>
            </w:r>
          </w:p>
        </w:tc>
        <w:tc>
          <w:tcPr>
            <w:tcW w:w="589" w:type="pct"/>
            <w:vMerge w:val="continue"/>
            <w:shd w:val="clear" w:color="auto" w:fill="auto"/>
            <w:vAlign w:val="center"/>
          </w:tcPr>
          <w:p w14:paraId="2986400C">
            <w:pPr>
              <w:spacing w:line="240" w:lineRule="auto"/>
              <w:ind w:firstLine="0" w:firstLineChars="0"/>
              <w:jc w:val="center"/>
              <w:rPr>
                <w:rFonts w:eastAsia="仿宋"/>
                <w:color w:val="000000"/>
                <w:kern w:val="0"/>
                <w:sz w:val="21"/>
                <w:highlight w:val="none"/>
              </w:rPr>
            </w:pPr>
          </w:p>
        </w:tc>
        <w:tc>
          <w:tcPr>
            <w:tcW w:w="589" w:type="pct"/>
            <w:vMerge w:val="continue"/>
            <w:shd w:val="clear" w:color="auto" w:fill="auto"/>
            <w:vAlign w:val="center"/>
          </w:tcPr>
          <w:p w14:paraId="1067FACC">
            <w:pPr>
              <w:spacing w:line="240" w:lineRule="auto"/>
              <w:ind w:firstLine="0" w:firstLineChars="0"/>
              <w:jc w:val="center"/>
              <w:rPr>
                <w:rFonts w:eastAsia="仿宋"/>
                <w:color w:val="000000"/>
                <w:kern w:val="0"/>
                <w:sz w:val="21"/>
                <w:highlight w:val="none"/>
              </w:rPr>
            </w:pPr>
          </w:p>
        </w:tc>
        <w:tc>
          <w:tcPr>
            <w:tcW w:w="675" w:type="pct"/>
            <w:vMerge w:val="continue"/>
            <w:shd w:val="clear" w:color="auto" w:fill="auto"/>
            <w:vAlign w:val="center"/>
          </w:tcPr>
          <w:p w14:paraId="5D50260A">
            <w:pPr>
              <w:spacing w:line="240" w:lineRule="auto"/>
              <w:ind w:firstLine="0" w:firstLineChars="0"/>
              <w:jc w:val="center"/>
              <w:rPr>
                <w:rFonts w:eastAsia="仿宋"/>
                <w:color w:val="000000"/>
                <w:kern w:val="0"/>
                <w:sz w:val="21"/>
                <w:highlight w:val="none"/>
              </w:rPr>
            </w:pPr>
          </w:p>
        </w:tc>
        <w:tc>
          <w:tcPr>
            <w:tcW w:w="556" w:type="pct"/>
            <w:vMerge w:val="continue"/>
            <w:shd w:val="clear" w:color="auto" w:fill="auto"/>
            <w:vAlign w:val="center"/>
          </w:tcPr>
          <w:p w14:paraId="72B9356D">
            <w:pPr>
              <w:spacing w:line="240" w:lineRule="auto"/>
              <w:ind w:firstLine="0" w:firstLineChars="0"/>
              <w:jc w:val="center"/>
              <w:rPr>
                <w:rFonts w:eastAsia="仿宋"/>
                <w:color w:val="000000"/>
                <w:kern w:val="0"/>
                <w:sz w:val="21"/>
                <w:highlight w:val="none"/>
              </w:rPr>
            </w:pPr>
          </w:p>
        </w:tc>
        <w:tc>
          <w:tcPr>
            <w:tcW w:w="605" w:type="pct"/>
            <w:vMerge w:val="continue"/>
            <w:shd w:val="clear" w:color="auto" w:fill="auto"/>
            <w:vAlign w:val="center"/>
          </w:tcPr>
          <w:p w14:paraId="3B550B5F">
            <w:pPr>
              <w:spacing w:line="240" w:lineRule="auto"/>
              <w:ind w:firstLine="0" w:firstLineChars="0"/>
              <w:jc w:val="center"/>
              <w:rPr>
                <w:rFonts w:eastAsia="仿宋"/>
                <w:color w:val="000000"/>
                <w:kern w:val="0"/>
                <w:sz w:val="21"/>
                <w:highlight w:val="none"/>
              </w:rPr>
            </w:pPr>
          </w:p>
        </w:tc>
      </w:tr>
      <w:tr w14:paraId="082746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986" w:type="pct"/>
            <w:gridSpan w:val="3"/>
            <w:shd w:val="clear" w:color="auto" w:fill="auto"/>
            <w:vAlign w:val="center"/>
          </w:tcPr>
          <w:p w14:paraId="509C75CE">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t</w:t>
            </w:r>
          </w:p>
        </w:tc>
        <w:tc>
          <w:tcPr>
            <w:tcW w:w="3014" w:type="pct"/>
            <w:gridSpan w:val="5"/>
            <w:shd w:val="clear" w:color="auto" w:fill="auto"/>
            <w:vAlign w:val="center"/>
          </w:tcPr>
          <w:p w14:paraId="21354DF7">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mm</w:t>
            </w:r>
          </w:p>
        </w:tc>
      </w:tr>
      <w:tr w14:paraId="3FB70E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3ED9E9B3">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5</w:t>
            </w:r>
          </w:p>
        </w:tc>
        <w:tc>
          <w:tcPr>
            <w:tcW w:w="662" w:type="pct"/>
            <w:shd w:val="clear" w:color="auto" w:fill="auto"/>
            <w:vAlign w:val="center"/>
          </w:tcPr>
          <w:p w14:paraId="426F0A7A">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8</w:t>
            </w:r>
          </w:p>
        </w:tc>
        <w:tc>
          <w:tcPr>
            <w:tcW w:w="662" w:type="pct"/>
            <w:shd w:val="clear" w:color="auto" w:fill="auto"/>
            <w:vAlign w:val="center"/>
          </w:tcPr>
          <w:p w14:paraId="01D35810">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10</w:t>
            </w:r>
          </w:p>
        </w:tc>
        <w:tc>
          <w:tcPr>
            <w:tcW w:w="589" w:type="pct"/>
            <w:shd w:val="clear" w:color="auto" w:fill="auto"/>
            <w:vAlign w:val="center"/>
          </w:tcPr>
          <w:p w14:paraId="316B28CE">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31.5</w:t>
            </w:r>
          </w:p>
        </w:tc>
        <w:tc>
          <w:tcPr>
            <w:tcW w:w="589" w:type="pct"/>
            <w:shd w:val="clear" w:color="auto" w:fill="auto"/>
            <w:vAlign w:val="center"/>
          </w:tcPr>
          <w:p w14:paraId="439EC407">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35.5</w:t>
            </w:r>
          </w:p>
        </w:tc>
        <w:tc>
          <w:tcPr>
            <w:tcW w:w="675" w:type="pct"/>
            <w:shd w:val="clear" w:color="auto" w:fill="auto"/>
            <w:vAlign w:val="center"/>
          </w:tcPr>
          <w:p w14:paraId="5ED71F1A">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78.1</w:t>
            </w:r>
          </w:p>
        </w:tc>
        <w:tc>
          <w:tcPr>
            <w:tcW w:w="556" w:type="pct"/>
            <w:shd w:val="clear" w:color="auto" w:fill="auto"/>
            <w:vAlign w:val="center"/>
          </w:tcPr>
          <w:p w14:paraId="264F872F">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71</w:t>
            </w:r>
          </w:p>
        </w:tc>
        <w:tc>
          <w:tcPr>
            <w:tcW w:w="605" w:type="pct"/>
            <w:shd w:val="clear" w:color="auto" w:fill="auto"/>
            <w:vAlign w:val="center"/>
          </w:tcPr>
          <w:p w14:paraId="7404012C">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35.5</w:t>
            </w:r>
          </w:p>
        </w:tc>
      </w:tr>
      <w:tr w14:paraId="4A2E66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78C5A0B7">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6.3</w:t>
            </w:r>
          </w:p>
        </w:tc>
        <w:tc>
          <w:tcPr>
            <w:tcW w:w="662" w:type="pct"/>
            <w:shd w:val="clear" w:color="auto" w:fill="auto"/>
            <w:vAlign w:val="center"/>
          </w:tcPr>
          <w:p w14:paraId="1F552B18">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10</w:t>
            </w:r>
          </w:p>
        </w:tc>
        <w:tc>
          <w:tcPr>
            <w:tcW w:w="662" w:type="pct"/>
            <w:shd w:val="clear" w:color="auto" w:fill="auto"/>
            <w:vAlign w:val="center"/>
          </w:tcPr>
          <w:p w14:paraId="77BB84E2">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12.5</w:t>
            </w:r>
          </w:p>
        </w:tc>
        <w:tc>
          <w:tcPr>
            <w:tcW w:w="589" w:type="pct"/>
            <w:shd w:val="clear" w:color="auto" w:fill="auto"/>
            <w:vAlign w:val="center"/>
          </w:tcPr>
          <w:p w14:paraId="543DF29A">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35.5</w:t>
            </w:r>
          </w:p>
        </w:tc>
        <w:tc>
          <w:tcPr>
            <w:tcW w:w="589" w:type="pct"/>
            <w:shd w:val="clear" w:color="auto" w:fill="auto"/>
            <w:vAlign w:val="center"/>
          </w:tcPr>
          <w:p w14:paraId="5C022CF3">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40</w:t>
            </w:r>
          </w:p>
        </w:tc>
        <w:tc>
          <w:tcPr>
            <w:tcW w:w="675" w:type="pct"/>
            <w:shd w:val="clear" w:color="auto" w:fill="auto"/>
            <w:vAlign w:val="center"/>
          </w:tcPr>
          <w:p w14:paraId="7CE4741E">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88</w:t>
            </w:r>
          </w:p>
        </w:tc>
        <w:tc>
          <w:tcPr>
            <w:tcW w:w="556" w:type="pct"/>
            <w:shd w:val="clear" w:color="auto" w:fill="auto"/>
            <w:vAlign w:val="center"/>
          </w:tcPr>
          <w:p w14:paraId="5EA5767A">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80</w:t>
            </w:r>
          </w:p>
        </w:tc>
        <w:tc>
          <w:tcPr>
            <w:tcW w:w="605" w:type="pct"/>
            <w:shd w:val="clear" w:color="auto" w:fill="auto"/>
            <w:vAlign w:val="center"/>
          </w:tcPr>
          <w:p w14:paraId="1DBA3C7A">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40</w:t>
            </w:r>
          </w:p>
        </w:tc>
      </w:tr>
      <w:tr w14:paraId="290E05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499C624A">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8</w:t>
            </w:r>
          </w:p>
        </w:tc>
        <w:tc>
          <w:tcPr>
            <w:tcW w:w="662" w:type="pct"/>
            <w:shd w:val="clear" w:color="auto" w:fill="auto"/>
            <w:vAlign w:val="center"/>
          </w:tcPr>
          <w:p w14:paraId="44DABA31">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12.5</w:t>
            </w:r>
          </w:p>
        </w:tc>
        <w:tc>
          <w:tcPr>
            <w:tcW w:w="662" w:type="pct"/>
            <w:shd w:val="clear" w:color="auto" w:fill="auto"/>
            <w:vAlign w:val="center"/>
          </w:tcPr>
          <w:p w14:paraId="1AA848B5">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16</w:t>
            </w:r>
          </w:p>
        </w:tc>
        <w:tc>
          <w:tcPr>
            <w:tcW w:w="589" w:type="pct"/>
            <w:shd w:val="clear" w:color="auto" w:fill="auto"/>
            <w:vAlign w:val="center"/>
          </w:tcPr>
          <w:p w14:paraId="2CBA25E2">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40</w:t>
            </w:r>
          </w:p>
        </w:tc>
        <w:tc>
          <w:tcPr>
            <w:tcW w:w="589" w:type="pct"/>
            <w:shd w:val="clear" w:color="auto" w:fill="auto"/>
            <w:vAlign w:val="center"/>
          </w:tcPr>
          <w:p w14:paraId="55E4C89C">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45</w:t>
            </w:r>
          </w:p>
        </w:tc>
        <w:tc>
          <w:tcPr>
            <w:tcW w:w="675" w:type="pct"/>
            <w:shd w:val="clear" w:color="auto" w:fill="auto"/>
            <w:vAlign w:val="center"/>
          </w:tcPr>
          <w:p w14:paraId="28A873BF">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99</w:t>
            </w:r>
          </w:p>
        </w:tc>
        <w:tc>
          <w:tcPr>
            <w:tcW w:w="556" w:type="pct"/>
            <w:shd w:val="clear" w:color="auto" w:fill="auto"/>
            <w:vAlign w:val="center"/>
          </w:tcPr>
          <w:p w14:paraId="5CE28411">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90</w:t>
            </w:r>
          </w:p>
        </w:tc>
        <w:tc>
          <w:tcPr>
            <w:tcW w:w="605" w:type="pct"/>
            <w:shd w:val="clear" w:color="auto" w:fill="auto"/>
            <w:vAlign w:val="center"/>
          </w:tcPr>
          <w:p w14:paraId="23D81149">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45</w:t>
            </w:r>
          </w:p>
        </w:tc>
      </w:tr>
      <w:tr w14:paraId="39A228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41990442">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10</w:t>
            </w:r>
          </w:p>
        </w:tc>
        <w:tc>
          <w:tcPr>
            <w:tcW w:w="662" w:type="pct"/>
            <w:shd w:val="clear" w:color="auto" w:fill="auto"/>
            <w:vAlign w:val="center"/>
          </w:tcPr>
          <w:p w14:paraId="3603355C">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16</w:t>
            </w:r>
          </w:p>
        </w:tc>
        <w:tc>
          <w:tcPr>
            <w:tcW w:w="662" w:type="pct"/>
            <w:shd w:val="clear" w:color="auto" w:fill="auto"/>
            <w:vAlign w:val="center"/>
          </w:tcPr>
          <w:p w14:paraId="69B167B2">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20</w:t>
            </w:r>
          </w:p>
        </w:tc>
        <w:tc>
          <w:tcPr>
            <w:tcW w:w="589" w:type="pct"/>
            <w:shd w:val="clear" w:color="auto" w:fill="auto"/>
            <w:vAlign w:val="center"/>
          </w:tcPr>
          <w:p w14:paraId="101C175A">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45</w:t>
            </w:r>
          </w:p>
        </w:tc>
        <w:tc>
          <w:tcPr>
            <w:tcW w:w="589" w:type="pct"/>
            <w:shd w:val="clear" w:color="auto" w:fill="auto"/>
            <w:vAlign w:val="center"/>
          </w:tcPr>
          <w:p w14:paraId="1E87BF53">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50</w:t>
            </w:r>
          </w:p>
        </w:tc>
        <w:tc>
          <w:tcPr>
            <w:tcW w:w="675" w:type="pct"/>
            <w:shd w:val="clear" w:color="auto" w:fill="auto"/>
            <w:vAlign w:val="center"/>
          </w:tcPr>
          <w:p w14:paraId="4CE71F29">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110</w:t>
            </w:r>
          </w:p>
        </w:tc>
        <w:tc>
          <w:tcPr>
            <w:tcW w:w="556" w:type="pct"/>
            <w:shd w:val="clear" w:color="auto" w:fill="auto"/>
            <w:vAlign w:val="center"/>
          </w:tcPr>
          <w:p w14:paraId="6F085B2E">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100</w:t>
            </w:r>
          </w:p>
        </w:tc>
        <w:tc>
          <w:tcPr>
            <w:tcW w:w="605" w:type="pct"/>
            <w:shd w:val="clear" w:color="auto" w:fill="auto"/>
            <w:vAlign w:val="center"/>
          </w:tcPr>
          <w:p w14:paraId="5228C399">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50</w:t>
            </w:r>
          </w:p>
        </w:tc>
      </w:tr>
      <w:tr w14:paraId="25F233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7DAF6D7C">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12.5</w:t>
            </w:r>
          </w:p>
        </w:tc>
        <w:tc>
          <w:tcPr>
            <w:tcW w:w="662" w:type="pct"/>
            <w:shd w:val="clear" w:color="auto" w:fill="auto"/>
            <w:vAlign w:val="center"/>
          </w:tcPr>
          <w:p w14:paraId="1CA80CBB">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20</w:t>
            </w:r>
          </w:p>
        </w:tc>
        <w:tc>
          <w:tcPr>
            <w:tcW w:w="662" w:type="pct"/>
            <w:shd w:val="clear" w:color="auto" w:fill="auto"/>
            <w:vAlign w:val="center"/>
          </w:tcPr>
          <w:p w14:paraId="15310E3E">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25</w:t>
            </w:r>
          </w:p>
        </w:tc>
        <w:tc>
          <w:tcPr>
            <w:tcW w:w="589" w:type="pct"/>
            <w:shd w:val="clear" w:color="auto" w:fill="auto"/>
            <w:vAlign w:val="center"/>
          </w:tcPr>
          <w:p w14:paraId="26745360">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50</w:t>
            </w:r>
          </w:p>
        </w:tc>
        <w:tc>
          <w:tcPr>
            <w:tcW w:w="589" w:type="pct"/>
            <w:shd w:val="clear" w:color="auto" w:fill="auto"/>
            <w:vAlign w:val="center"/>
          </w:tcPr>
          <w:p w14:paraId="3086A469">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56</w:t>
            </w:r>
          </w:p>
        </w:tc>
        <w:tc>
          <w:tcPr>
            <w:tcW w:w="675" w:type="pct"/>
            <w:shd w:val="clear" w:color="auto" w:fill="auto"/>
            <w:vAlign w:val="center"/>
          </w:tcPr>
          <w:p w14:paraId="5FC7C722">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123.2</w:t>
            </w:r>
          </w:p>
        </w:tc>
        <w:tc>
          <w:tcPr>
            <w:tcW w:w="556" w:type="pct"/>
            <w:shd w:val="clear" w:color="auto" w:fill="auto"/>
            <w:vAlign w:val="center"/>
          </w:tcPr>
          <w:p w14:paraId="6A63885A">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112</w:t>
            </w:r>
          </w:p>
        </w:tc>
        <w:tc>
          <w:tcPr>
            <w:tcW w:w="605" w:type="pct"/>
            <w:shd w:val="clear" w:color="auto" w:fill="auto"/>
            <w:vAlign w:val="center"/>
          </w:tcPr>
          <w:p w14:paraId="1E67EB0B">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56</w:t>
            </w:r>
          </w:p>
        </w:tc>
      </w:tr>
      <w:tr w14:paraId="7F3AB1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716E7ED8">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16</w:t>
            </w:r>
          </w:p>
        </w:tc>
        <w:tc>
          <w:tcPr>
            <w:tcW w:w="662" w:type="pct"/>
            <w:shd w:val="clear" w:color="auto" w:fill="auto"/>
            <w:vAlign w:val="center"/>
          </w:tcPr>
          <w:p w14:paraId="4D191A65">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25</w:t>
            </w:r>
          </w:p>
        </w:tc>
        <w:tc>
          <w:tcPr>
            <w:tcW w:w="662" w:type="pct"/>
            <w:shd w:val="clear" w:color="auto" w:fill="auto"/>
            <w:vAlign w:val="center"/>
          </w:tcPr>
          <w:p w14:paraId="177508EE">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32</w:t>
            </w:r>
          </w:p>
        </w:tc>
        <w:tc>
          <w:tcPr>
            <w:tcW w:w="589" w:type="pct"/>
            <w:shd w:val="clear" w:color="auto" w:fill="auto"/>
            <w:vAlign w:val="center"/>
          </w:tcPr>
          <w:p w14:paraId="3F30BE87">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56</w:t>
            </w:r>
          </w:p>
        </w:tc>
        <w:tc>
          <w:tcPr>
            <w:tcW w:w="589" w:type="pct"/>
            <w:shd w:val="clear" w:color="auto" w:fill="auto"/>
            <w:vAlign w:val="center"/>
          </w:tcPr>
          <w:p w14:paraId="6FC0D835">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63</w:t>
            </w:r>
          </w:p>
        </w:tc>
        <w:tc>
          <w:tcPr>
            <w:tcW w:w="675" w:type="pct"/>
            <w:shd w:val="clear" w:color="auto" w:fill="auto"/>
            <w:vAlign w:val="center"/>
          </w:tcPr>
          <w:p w14:paraId="68B1814B">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138.6</w:t>
            </w:r>
          </w:p>
        </w:tc>
        <w:tc>
          <w:tcPr>
            <w:tcW w:w="556" w:type="pct"/>
            <w:shd w:val="clear" w:color="auto" w:fill="auto"/>
            <w:vAlign w:val="center"/>
          </w:tcPr>
          <w:p w14:paraId="7DE8CC64">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125</w:t>
            </w:r>
          </w:p>
        </w:tc>
        <w:tc>
          <w:tcPr>
            <w:tcW w:w="605" w:type="pct"/>
            <w:shd w:val="clear" w:color="auto" w:fill="auto"/>
            <w:vAlign w:val="center"/>
          </w:tcPr>
          <w:p w14:paraId="5D62D2D3">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63</w:t>
            </w:r>
          </w:p>
        </w:tc>
      </w:tr>
      <w:tr w14:paraId="523307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0F5F5668">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20</w:t>
            </w:r>
          </w:p>
        </w:tc>
        <w:tc>
          <w:tcPr>
            <w:tcW w:w="662" w:type="pct"/>
            <w:shd w:val="clear" w:color="auto" w:fill="auto"/>
            <w:vAlign w:val="center"/>
          </w:tcPr>
          <w:p w14:paraId="73EFB67F">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32</w:t>
            </w:r>
          </w:p>
        </w:tc>
        <w:tc>
          <w:tcPr>
            <w:tcW w:w="662" w:type="pct"/>
            <w:shd w:val="clear" w:color="auto" w:fill="auto"/>
            <w:vAlign w:val="center"/>
          </w:tcPr>
          <w:p w14:paraId="4FFCA11D">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40</w:t>
            </w:r>
          </w:p>
        </w:tc>
        <w:tc>
          <w:tcPr>
            <w:tcW w:w="589" w:type="pct"/>
            <w:shd w:val="clear" w:color="auto" w:fill="auto"/>
            <w:vAlign w:val="center"/>
          </w:tcPr>
          <w:p w14:paraId="37CC1291">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63</w:t>
            </w:r>
          </w:p>
        </w:tc>
        <w:tc>
          <w:tcPr>
            <w:tcW w:w="589" w:type="pct"/>
            <w:shd w:val="clear" w:color="auto" w:fill="auto"/>
            <w:vAlign w:val="center"/>
          </w:tcPr>
          <w:p w14:paraId="6B6AA48F">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71</w:t>
            </w:r>
          </w:p>
        </w:tc>
        <w:tc>
          <w:tcPr>
            <w:tcW w:w="675" w:type="pct"/>
            <w:shd w:val="clear" w:color="auto" w:fill="auto"/>
            <w:vAlign w:val="center"/>
          </w:tcPr>
          <w:p w14:paraId="57835C3E">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156.2</w:t>
            </w:r>
          </w:p>
        </w:tc>
        <w:tc>
          <w:tcPr>
            <w:tcW w:w="556" w:type="pct"/>
            <w:shd w:val="clear" w:color="auto" w:fill="auto"/>
            <w:vAlign w:val="center"/>
          </w:tcPr>
          <w:p w14:paraId="2041E6E9">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140</w:t>
            </w:r>
          </w:p>
        </w:tc>
        <w:tc>
          <w:tcPr>
            <w:tcW w:w="605" w:type="pct"/>
            <w:shd w:val="clear" w:color="auto" w:fill="auto"/>
            <w:vAlign w:val="center"/>
          </w:tcPr>
          <w:p w14:paraId="226CE1F3">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71</w:t>
            </w:r>
          </w:p>
        </w:tc>
      </w:tr>
      <w:tr w14:paraId="557C78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7C6B0BDE">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25</w:t>
            </w:r>
          </w:p>
        </w:tc>
        <w:tc>
          <w:tcPr>
            <w:tcW w:w="662" w:type="pct"/>
            <w:shd w:val="clear" w:color="auto" w:fill="auto"/>
            <w:vAlign w:val="center"/>
          </w:tcPr>
          <w:p w14:paraId="3BCC6957">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40</w:t>
            </w:r>
          </w:p>
        </w:tc>
        <w:tc>
          <w:tcPr>
            <w:tcW w:w="662" w:type="pct"/>
            <w:shd w:val="clear" w:color="auto" w:fill="auto"/>
            <w:vAlign w:val="center"/>
          </w:tcPr>
          <w:p w14:paraId="4C34CBFC">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50</w:t>
            </w:r>
          </w:p>
        </w:tc>
        <w:tc>
          <w:tcPr>
            <w:tcW w:w="589" w:type="pct"/>
            <w:shd w:val="clear" w:color="auto" w:fill="auto"/>
            <w:vAlign w:val="center"/>
          </w:tcPr>
          <w:p w14:paraId="3FA6D981">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71</w:t>
            </w:r>
          </w:p>
        </w:tc>
        <w:tc>
          <w:tcPr>
            <w:tcW w:w="589" w:type="pct"/>
            <w:shd w:val="clear" w:color="auto" w:fill="auto"/>
            <w:vAlign w:val="center"/>
          </w:tcPr>
          <w:p w14:paraId="5460AFD2">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80</w:t>
            </w:r>
          </w:p>
        </w:tc>
        <w:tc>
          <w:tcPr>
            <w:tcW w:w="675" w:type="pct"/>
            <w:shd w:val="clear" w:color="auto" w:fill="auto"/>
            <w:vAlign w:val="center"/>
          </w:tcPr>
          <w:p w14:paraId="4C9927EC">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178</w:t>
            </w:r>
          </w:p>
        </w:tc>
        <w:tc>
          <w:tcPr>
            <w:tcW w:w="556" w:type="pct"/>
            <w:shd w:val="clear" w:color="auto" w:fill="auto"/>
            <w:vAlign w:val="center"/>
          </w:tcPr>
          <w:p w14:paraId="158849D4">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160</w:t>
            </w:r>
          </w:p>
        </w:tc>
        <w:tc>
          <w:tcPr>
            <w:tcW w:w="605" w:type="pct"/>
            <w:shd w:val="clear" w:color="auto" w:fill="auto"/>
            <w:vAlign w:val="center"/>
          </w:tcPr>
          <w:p w14:paraId="70A21610">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80</w:t>
            </w:r>
          </w:p>
        </w:tc>
      </w:tr>
      <w:tr w14:paraId="13B4CB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0711B951">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32</w:t>
            </w:r>
          </w:p>
        </w:tc>
        <w:tc>
          <w:tcPr>
            <w:tcW w:w="662" w:type="pct"/>
            <w:shd w:val="clear" w:color="auto" w:fill="auto"/>
            <w:vAlign w:val="center"/>
          </w:tcPr>
          <w:p w14:paraId="0FD35A51">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50</w:t>
            </w:r>
          </w:p>
        </w:tc>
        <w:tc>
          <w:tcPr>
            <w:tcW w:w="662" w:type="pct"/>
            <w:shd w:val="clear" w:color="auto" w:fill="auto"/>
            <w:vAlign w:val="center"/>
          </w:tcPr>
          <w:p w14:paraId="2873EA20">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63</w:t>
            </w:r>
          </w:p>
        </w:tc>
        <w:tc>
          <w:tcPr>
            <w:tcW w:w="589" w:type="pct"/>
            <w:shd w:val="clear" w:color="auto" w:fill="auto"/>
            <w:vAlign w:val="center"/>
          </w:tcPr>
          <w:p w14:paraId="639E9363">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80</w:t>
            </w:r>
          </w:p>
        </w:tc>
        <w:tc>
          <w:tcPr>
            <w:tcW w:w="589" w:type="pct"/>
            <w:shd w:val="clear" w:color="auto" w:fill="auto"/>
            <w:vAlign w:val="center"/>
          </w:tcPr>
          <w:p w14:paraId="54446813">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90</w:t>
            </w:r>
          </w:p>
        </w:tc>
        <w:tc>
          <w:tcPr>
            <w:tcW w:w="675" w:type="pct"/>
            <w:shd w:val="clear" w:color="auto" w:fill="auto"/>
            <w:vAlign w:val="center"/>
          </w:tcPr>
          <w:p w14:paraId="2AEF8EC1">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198</w:t>
            </w:r>
          </w:p>
        </w:tc>
        <w:tc>
          <w:tcPr>
            <w:tcW w:w="556" w:type="pct"/>
            <w:shd w:val="clear" w:color="auto" w:fill="auto"/>
            <w:vAlign w:val="center"/>
          </w:tcPr>
          <w:p w14:paraId="69A17BCE">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180</w:t>
            </w:r>
          </w:p>
        </w:tc>
        <w:tc>
          <w:tcPr>
            <w:tcW w:w="605" w:type="pct"/>
            <w:shd w:val="clear" w:color="auto" w:fill="auto"/>
            <w:vAlign w:val="center"/>
          </w:tcPr>
          <w:p w14:paraId="4DC830DD">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90</w:t>
            </w:r>
          </w:p>
        </w:tc>
      </w:tr>
      <w:tr w14:paraId="66C09D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6C40BFA6">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40</w:t>
            </w:r>
          </w:p>
        </w:tc>
        <w:tc>
          <w:tcPr>
            <w:tcW w:w="662" w:type="pct"/>
            <w:shd w:val="clear" w:color="auto" w:fill="auto"/>
            <w:vAlign w:val="center"/>
          </w:tcPr>
          <w:p w14:paraId="1CC54C52">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63</w:t>
            </w:r>
          </w:p>
        </w:tc>
        <w:tc>
          <w:tcPr>
            <w:tcW w:w="662" w:type="pct"/>
            <w:shd w:val="clear" w:color="auto" w:fill="auto"/>
            <w:vAlign w:val="center"/>
          </w:tcPr>
          <w:p w14:paraId="6DD7EB78">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80</w:t>
            </w:r>
          </w:p>
        </w:tc>
        <w:tc>
          <w:tcPr>
            <w:tcW w:w="589" w:type="pct"/>
            <w:shd w:val="clear" w:color="auto" w:fill="auto"/>
            <w:vAlign w:val="center"/>
          </w:tcPr>
          <w:p w14:paraId="2DB26801">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90</w:t>
            </w:r>
          </w:p>
        </w:tc>
        <w:tc>
          <w:tcPr>
            <w:tcW w:w="589" w:type="pct"/>
            <w:shd w:val="clear" w:color="auto" w:fill="auto"/>
            <w:vAlign w:val="center"/>
          </w:tcPr>
          <w:p w14:paraId="3C8B4D7A">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100</w:t>
            </w:r>
          </w:p>
        </w:tc>
        <w:tc>
          <w:tcPr>
            <w:tcW w:w="675" w:type="pct"/>
            <w:shd w:val="clear" w:color="auto" w:fill="auto"/>
            <w:vAlign w:val="center"/>
          </w:tcPr>
          <w:p w14:paraId="410329A5">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220</w:t>
            </w:r>
          </w:p>
        </w:tc>
        <w:tc>
          <w:tcPr>
            <w:tcW w:w="556" w:type="pct"/>
            <w:shd w:val="clear" w:color="auto" w:fill="auto"/>
            <w:vAlign w:val="center"/>
          </w:tcPr>
          <w:p w14:paraId="0CE5E7FB">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200</w:t>
            </w:r>
          </w:p>
        </w:tc>
        <w:tc>
          <w:tcPr>
            <w:tcW w:w="605" w:type="pct"/>
            <w:shd w:val="clear" w:color="auto" w:fill="auto"/>
            <w:vAlign w:val="center"/>
          </w:tcPr>
          <w:p w14:paraId="4A47ABAC">
            <w:pPr>
              <w:spacing w:line="240" w:lineRule="auto"/>
              <w:ind w:firstLine="0" w:firstLineChars="0"/>
              <w:jc w:val="center"/>
              <w:rPr>
                <w:rFonts w:eastAsia="仿宋"/>
                <w:color w:val="000000"/>
                <w:kern w:val="0"/>
                <w:sz w:val="21"/>
                <w:highlight w:val="none"/>
              </w:rPr>
            </w:pPr>
            <w:r>
              <w:rPr>
                <w:rFonts w:eastAsia="仿宋"/>
                <w:color w:val="000000"/>
                <w:kern w:val="0"/>
                <w:sz w:val="21"/>
                <w:highlight w:val="none"/>
              </w:rPr>
              <w:t>100</w:t>
            </w:r>
          </w:p>
        </w:tc>
      </w:tr>
    </w:tbl>
    <w:p w14:paraId="6B6EAF5E">
      <w:pPr>
        <w:ind w:firstLine="480"/>
        <w:rPr>
          <w:highlight w:val="none"/>
        </w:rPr>
      </w:pPr>
      <w:r>
        <w:rPr>
          <w:rFonts w:hint="eastAsia"/>
          <w:highlight w:val="none"/>
        </w:rPr>
        <w:t>四点吊的塔吊主要部件为回转总成，回转总成起重量约6.85t，钢丝绳连接卸扣工作荷载：</w:t>
      </w:r>
    </w:p>
    <w:p w14:paraId="59A64054">
      <w:pPr>
        <w:ind w:firstLine="480"/>
        <w:rPr>
          <w:highlight w:val="none"/>
        </w:rPr>
      </w:pPr>
      <m:oMath>
        <m:r>
          <m:rPr>
            <m:nor/>
            <m:sty m:val="p"/>
          </m:rPr>
          <w:rPr>
            <w:b w:val="0"/>
            <w:i w:val="0"/>
            <w:highlight w:val="none"/>
          </w:rPr>
          <m:t>WL</m:t>
        </m:r>
        <m:sSub>
          <m:sSubPr>
            <m:ctrlPr>
              <w:rPr>
                <w:rFonts w:ascii="Cambria Math" w:hAnsi="Cambria Math"/>
                <w:i/>
                <w:highlight w:val="none"/>
              </w:rPr>
            </m:ctrlPr>
          </m:sSubPr>
          <m:e>
            <m:r>
              <m:rPr>
                <m:nor/>
                <m:sty m:val="p"/>
              </m:rPr>
              <w:rPr>
                <w:b w:val="0"/>
                <w:i w:val="0"/>
                <w:highlight w:val="none"/>
              </w:rPr>
              <m:t>L</m:t>
            </m:r>
            <m:ctrlPr>
              <w:rPr>
                <w:rFonts w:ascii="Cambria Math" w:hAnsi="Cambria Math"/>
                <w:i/>
                <w:highlight w:val="none"/>
              </w:rPr>
            </m:ctrlPr>
          </m:e>
          <m:sub>
            <m:r>
              <m:rPr>
                <m:nor/>
                <m:sty m:val="p"/>
              </m:rPr>
              <w:rPr>
                <w:b w:val="0"/>
                <w:i w:val="0"/>
                <w:highlight w:val="none"/>
              </w:rPr>
              <m:t>0</m:t>
            </m:r>
            <m:ctrlPr>
              <w:rPr>
                <w:rFonts w:ascii="Cambria Math" w:hAnsi="Cambria Math"/>
                <w:i/>
                <w:highlight w:val="none"/>
              </w:rPr>
            </m:ctrlPr>
          </m:sub>
        </m:sSub>
        <m:r>
          <m:rPr>
            <m:nor/>
            <m:sty m:val="p"/>
          </m:rPr>
          <w:rPr>
            <w:b w:val="0"/>
            <w:i w:val="0"/>
            <w:highlight w:val="none"/>
          </w:rPr>
          <m:t>=</m:t>
        </m:r>
        <m:f>
          <m:fPr>
            <m:ctrlPr>
              <w:rPr>
                <w:rFonts w:ascii="Cambria Math" w:hAnsi="Cambria Math"/>
                <w:i/>
                <w:highlight w:val="none"/>
              </w:rPr>
            </m:ctrlPr>
          </m:fPr>
          <m:num>
            <m:r>
              <m:rPr>
                <m:nor/>
                <m:sty m:val="p"/>
              </m:rPr>
              <w:rPr>
                <w:rFonts w:ascii="Cambria Math" w:hAnsi="Cambria Math"/>
                <w:b w:val="0"/>
                <w:i w:val="0"/>
                <w:highlight w:val="none"/>
              </w:rPr>
              <m:t>234.59</m:t>
            </m:r>
            <m:ctrlPr>
              <w:rPr>
                <w:rFonts w:ascii="Cambria Math" w:hAnsi="Cambria Math"/>
                <w:i/>
                <w:highlight w:val="none"/>
              </w:rPr>
            </m:ctrlPr>
          </m:num>
          <m:den>
            <m:r>
              <m:rPr>
                <m:nor/>
                <m:sty m:val="p"/>
              </m:rPr>
              <w:rPr>
                <w:b w:val="0"/>
                <w:i w:val="0"/>
                <w:highlight w:val="none"/>
              </w:rPr>
              <m:t>6</m:t>
            </m:r>
            <m:ctrlPr>
              <w:rPr>
                <w:rFonts w:ascii="Cambria Math" w:hAnsi="Cambria Math"/>
                <w:i/>
                <w:highlight w:val="none"/>
              </w:rPr>
            </m:ctrlPr>
          </m:den>
        </m:f>
        <m:r>
          <m:rPr>
            <m:nor/>
            <m:sty m:val="p"/>
          </m:rPr>
          <w:rPr>
            <w:b w:val="0"/>
            <w:i w:val="0"/>
            <w:highlight w:val="none"/>
          </w:rPr>
          <m:t>=</m:t>
        </m:r>
        <m:r>
          <m:rPr>
            <m:nor/>
            <m:sty m:val="p"/>
          </m:rPr>
          <w:rPr>
            <w:rFonts w:ascii="Cambria Math" w:hAnsi="Cambria Math"/>
            <w:b w:val="0"/>
            <w:i w:val="0"/>
            <w:highlight w:val="none"/>
          </w:rPr>
          <m:t>39.10</m:t>
        </m:r>
        <m:r>
          <m:rPr>
            <m:nor/>
            <m:sty m:val="p"/>
          </m:rPr>
          <w:rPr>
            <w:b w:val="0"/>
            <w:i w:val="0"/>
            <w:highlight w:val="none"/>
          </w:rPr>
          <m:t>kN</m:t>
        </m:r>
      </m:oMath>
      <w:r>
        <w:rPr>
          <w:rFonts w:hint="eastAsia"/>
          <w:highlight w:val="none"/>
        </w:rPr>
        <w:t>，选用卸扣GB/T25854-6-DW10。</w:t>
      </w:r>
    </w:p>
    <w:p w14:paraId="33CBC637">
      <w:pPr>
        <w:ind w:firstLine="480"/>
        <w:rPr>
          <w:highlight w:val="none"/>
        </w:rPr>
      </w:pPr>
      <w:r>
        <w:rPr>
          <w:rFonts w:hint="eastAsia"/>
          <w:highlight w:val="none"/>
        </w:rPr>
        <w:t>两点吊的塔吊主要部件为平衡重A，平衡重A最大重量约3.32t，钢丝绳连接卸扣工作荷载：</w:t>
      </w:r>
    </w:p>
    <w:p w14:paraId="2A7AFEB2">
      <w:pPr>
        <w:ind w:firstLine="480"/>
        <w:rPr>
          <w:highlight w:val="none"/>
        </w:rPr>
      </w:pPr>
      <m:oMath>
        <m:r>
          <m:rPr>
            <m:nor/>
            <m:sty m:val="p"/>
          </m:rPr>
          <w:rPr>
            <w:rFonts w:ascii="Cambria Math"/>
            <w:b w:val="0"/>
            <w:i w:val="0"/>
            <w:highlight w:val="none"/>
          </w:rPr>
          <m:t>WL</m:t>
        </m:r>
        <m:sSub>
          <m:sSubPr>
            <m:ctrlPr>
              <w:rPr>
                <w:rFonts w:ascii="Cambria Math" w:hAnsi="Cambria Math"/>
                <w:i/>
                <w:highlight w:val="none"/>
              </w:rPr>
            </m:ctrlPr>
          </m:sSubPr>
          <m:e>
            <m:r>
              <m:rPr>
                <m:nor/>
                <m:sty m:val="p"/>
              </m:rPr>
              <w:rPr>
                <w:rFonts w:ascii="Cambria Math"/>
                <w:b w:val="0"/>
                <w:i w:val="0"/>
                <w:highlight w:val="none"/>
              </w:rPr>
              <m:t>L</m:t>
            </m:r>
            <m:ctrlPr>
              <w:rPr>
                <w:rFonts w:ascii="Cambria Math" w:hAnsi="Cambria Math"/>
                <w:i/>
                <w:highlight w:val="none"/>
              </w:rPr>
            </m:ctrlPr>
          </m:e>
          <m:sub>
            <m:r>
              <m:rPr>
                <m:nor/>
                <m:sty m:val="p"/>
              </m:rPr>
              <w:rPr>
                <w:rFonts w:ascii="Cambria Math"/>
                <w:b w:val="0"/>
                <w:i w:val="0"/>
                <w:highlight w:val="none"/>
              </w:rPr>
              <m:t>0</m:t>
            </m:r>
            <m:ctrlPr>
              <w:rPr>
                <w:rFonts w:ascii="Cambria Math" w:hAnsi="Cambria Math"/>
                <w:i/>
                <w:highlight w:val="none"/>
              </w:rPr>
            </m:ctrlPr>
          </m:sub>
        </m:sSub>
        <m:r>
          <m:rPr>
            <m:nor/>
            <m:sty m:val="p"/>
          </m:rPr>
          <w:rPr>
            <w:rFonts w:ascii="Cambria Math"/>
            <w:b w:val="0"/>
            <w:i w:val="0"/>
            <w:highlight w:val="none"/>
          </w:rPr>
          <m:t>=</m:t>
        </m:r>
        <m:f>
          <m:fPr>
            <m:ctrlPr>
              <w:rPr>
                <w:rFonts w:ascii="Cambria Math" w:hAnsi="Cambria Math"/>
                <w:i/>
                <w:highlight w:val="none"/>
              </w:rPr>
            </m:ctrlPr>
          </m:fPr>
          <m:num>
            <m:r>
              <m:rPr>
                <m:nor/>
                <m:sty m:val="p"/>
              </m:rPr>
              <w:rPr>
                <w:rFonts w:ascii="Cambria Math" w:hAnsi="Cambria Math"/>
                <w:b w:val="0"/>
                <w:i w:val="0"/>
                <w:highlight w:val="none"/>
              </w:rPr>
              <m:t>170.55</m:t>
            </m:r>
            <m:ctrlPr>
              <w:rPr>
                <w:rFonts w:ascii="Cambria Math" w:hAnsi="Cambria Math"/>
                <w:i/>
                <w:highlight w:val="none"/>
              </w:rPr>
            </m:ctrlPr>
          </m:num>
          <m:den>
            <m:r>
              <m:rPr>
                <m:nor/>
                <m:sty m:val="p"/>
              </m:rPr>
              <w:rPr>
                <w:rFonts w:ascii="Cambria Math"/>
                <w:b w:val="0"/>
                <w:i w:val="0"/>
                <w:highlight w:val="none"/>
              </w:rPr>
              <m:t>6</m:t>
            </m:r>
            <m:ctrlPr>
              <w:rPr>
                <w:rFonts w:ascii="Cambria Math" w:hAnsi="Cambria Math"/>
                <w:i/>
                <w:highlight w:val="none"/>
              </w:rPr>
            </m:ctrlPr>
          </m:den>
        </m:f>
        <m:r>
          <m:rPr>
            <m:nor/>
            <m:sty m:val="p"/>
          </m:rPr>
          <w:rPr>
            <w:rFonts w:ascii="Cambria Math"/>
            <w:b w:val="0"/>
            <w:i w:val="0"/>
            <w:highlight w:val="none"/>
          </w:rPr>
          <m:t>=</m:t>
        </m:r>
        <m:r>
          <m:rPr>
            <m:nor/>
            <m:sty m:val="p"/>
          </m:rPr>
          <w:rPr>
            <w:rFonts w:ascii="Cambria Math" w:hAnsi="Cambria Math"/>
            <w:b w:val="0"/>
            <w:i w:val="0"/>
            <w:highlight w:val="none"/>
          </w:rPr>
          <m:t>16.63</m:t>
        </m:r>
        <m:r>
          <m:rPr>
            <m:nor/>
            <m:sty m:val="p"/>
          </m:rPr>
          <w:rPr>
            <w:rFonts w:ascii="Cambria Math"/>
            <w:b w:val="0"/>
            <w:i w:val="0"/>
            <w:highlight w:val="none"/>
          </w:rPr>
          <m:t>kN</m:t>
        </m:r>
      </m:oMath>
      <w:r>
        <w:rPr>
          <w:rFonts w:hint="eastAsia"/>
          <w:highlight w:val="none"/>
        </w:rPr>
        <w:t>，选用卸扣GB/T25854-6-DW10。</w:t>
      </w:r>
    </w:p>
    <w:p w14:paraId="22A18C06">
      <w:pPr>
        <w:ind w:firstLine="480"/>
        <w:rPr>
          <w:highlight w:val="none"/>
        </w:rPr>
      </w:pPr>
      <w:r>
        <w:rPr>
          <w:highlight w:val="none"/>
        </w:rPr>
        <w:t>根据塔吊基础设计参数及塔吊主要部件重量及吊</w:t>
      </w:r>
      <w:r>
        <w:rPr>
          <w:rFonts w:hint="eastAsia"/>
          <w:highlight w:val="none"/>
        </w:rPr>
        <w:t>装</w:t>
      </w:r>
      <w:r>
        <w:rPr>
          <w:highlight w:val="none"/>
        </w:rPr>
        <w:t>高度，确定安装过程中所需的最大吊重、最大钢丝绳夹角，结合施工现场实际情况，确定起重钢丝绳型号。钢丝绳及卸扣选型见下表。</w:t>
      </w:r>
    </w:p>
    <w:p w14:paraId="70990263">
      <w:pPr>
        <w:pStyle w:val="18"/>
        <w:rPr>
          <w:highlight w:val="none"/>
        </w:rPr>
      </w:pPr>
      <w:r>
        <w:rPr>
          <w:highlight w:val="none"/>
        </w:rPr>
        <w:t xml:space="preserve">表 </w:t>
      </w:r>
      <w:r>
        <w:rPr>
          <w:rFonts w:hint="eastAsia"/>
          <w:highlight w:val="none"/>
        </w:rPr>
        <w:t>11.1-1</w:t>
      </w:r>
      <w:r>
        <w:rPr>
          <w:highlight w:val="none"/>
        </w:rPr>
        <w:t>钢丝绳选型表</w:t>
      </w:r>
    </w:p>
    <w:tbl>
      <w:tblPr>
        <w:tblStyle w:val="45"/>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38"/>
        <w:gridCol w:w="2436"/>
        <w:gridCol w:w="4435"/>
        <w:gridCol w:w="886"/>
        <w:gridCol w:w="886"/>
      </w:tblGrid>
      <w:tr w14:paraId="3F618A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344" w:type="pct"/>
            <w:vAlign w:val="center"/>
          </w:tcPr>
          <w:p w14:paraId="4AAF5AD6">
            <w:pPr>
              <w:pStyle w:val="331"/>
              <w:rPr>
                <w:color w:val="auto"/>
                <w:highlight w:val="none"/>
              </w:rPr>
            </w:pPr>
            <w:r>
              <w:rPr>
                <w:b/>
                <w:color w:val="auto"/>
                <w:highlight w:val="none"/>
              </w:rPr>
              <w:t>序号</w:t>
            </w:r>
          </w:p>
        </w:tc>
        <w:tc>
          <w:tcPr>
            <w:tcW w:w="1312" w:type="pct"/>
            <w:vAlign w:val="center"/>
          </w:tcPr>
          <w:p w14:paraId="7CE3F5C1">
            <w:pPr>
              <w:pStyle w:val="331"/>
              <w:rPr>
                <w:color w:val="auto"/>
                <w:highlight w:val="none"/>
              </w:rPr>
            </w:pPr>
            <w:r>
              <w:rPr>
                <w:b/>
                <w:color w:val="auto"/>
                <w:highlight w:val="none"/>
              </w:rPr>
              <w:t>设备名称</w:t>
            </w:r>
          </w:p>
        </w:tc>
        <w:tc>
          <w:tcPr>
            <w:tcW w:w="2388" w:type="pct"/>
            <w:vAlign w:val="center"/>
          </w:tcPr>
          <w:p w14:paraId="6774683C">
            <w:pPr>
              <w:pStyle w:val="331"/>
              <w:rPr>
                <w:color w:val="auto"/>
                <w:highlight w:val="none"/>
              </w:rPr>
            </w:pPr>
            <w:r>
              <w:rPr>
                <w:b/>
                <w:color w:val="auto"/>
                <w:highlight w:val="none"/>
              </w:rPr>
              <w:t>规格型号</w:t>
            </w:r>
          </w:p>
        </w:tc>
        <w:tc>
          <w:tcPr>
            <w:tcW w:w="477" w:type="pct"/>
            <w:vAlign w:val="center"/>
          </w:tcPr>
          <w:p w14:paraId="779F6DDA">
            <w:pPr>
              <w:pStyle w:val="331"/>
              <w:rPr>
                <w:color w:val="auto"/>
                <w:highlight w:val="none"/>
              </w:rPr>
            </w:pPr>
            <w:r>
              <w:rPr>
                <w:b/>
                <w:color w:val="auto"/>
                <w:highlight w:val="none"/>
              </w:rPr>
              <w:t>单位</w:t>
            </w:r>
          </w:p>
        </w:tc>
        <w:tc>
          <w:tcPr>
            <w:tcW w:w="477" w:type="pct"/>
            <w:vAlign w:val="center"/>
          </w:tcPr>
          <w:p w14:paraId="6658B0A1">
            <w:pPr>
              <w:pStyle w:val="331"/>
              <w:rPr>
                <w:color w:val="auto"/>
                <w:highlight w:val="none"/>
              </w:rPr>
            </w:pPr>
            <w:r>
              <w:rPr>
                <w:b/>
                <w:color w:val="auto"/>
                <w:highlight w:val="none"/>
              </w:rPr>
              <w:t>数量</w:t>
            </w:r>
          </w:p>
        </w:tc>
      </w:tr>
      <w:tr w14:paraId="4D1E03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44" w:type="pct"/>
            <w:vAlign w:val="center"/>
          </w:tcPr>
          <w:p w14:paraId="104E879C">
            <w:pPr>
              <w:pStyle w:val="331"/>
              <w:rPr>
                <w:color w:val="auto"/>
                <w:highlight w:val="none"/>
              </w:rPr>
            </w:pPr>
            <w:r>
              <w:rPr>
                <w:rFonts w:hint="eastAsia"/>
                <w:color w:val="auto"/>
                <w:highlight w:val="none"/>
              </w:rPr>
              <w:t>1</w:t>
            </w:r>
          </w:p>
        </w:tc>
        <w:tc>
          <w:tcPr>
            <w:tcW w:w="1312" w:type="pct"/>
            <w:vAlign w:val="center"/>
          </w:tcPr>
          <w:p w14:paraId="26282E4A">
            <w:pPr>
              <w:pStyle w:val="331"/>
              <w:rPr>
                <w:color w:val="auto"/>
                <w:highlight w:val="none"/>
              </w:rPr>
            </w:pPr>
            <w:r>
              <w:rPr>
                <w:color w:val="auto"/>
                <w:highlight w:val="none"/>
              </w:rPr>
              <w:t>起重用钢丝绳</w:t>
            </w:r>
          </w:p>
        </w:tc>
        <w:tc>
          <w:tcPr>
            <w:tcW w:w="2388" w:type="pct"/>
            <w:vAlign w:val="center"/>
          </w:tcPr>
          <w:p w14:paraId="2FB80F99">
            <w:pPr>
              <w:pStyle w:val="331"/>
              <w:rPr>
                <w:color w:val="auto"/>
                <w:highlight w:val="none"/>
              </w:rPr>
            </w:pPr>
            <w:r>
              <w:rPr>
                <w:rFonts w:hint="eastAsia" w:cs="Times New Roman"/>
                <w:highlight w:val="none"/>
              </w:rPr>
              <w:t>20</w:t>
            </w:r>
            <w:r>
              <w:rPr>
                <w:rFonts w:cs="Times New Roman"/>
                <w:highlight w:val="none"/>
              </w:rPr>
              <w:t>mm</w:t>
            </w:r>
            <w:r>
              <w:rPr>
                <w:rFonts w:eastAsia="仿宋" w:cs="Times New Roman"/>
                <w:highlight w:val="none"/>
              </w:rPr>
              <w:t>6×19S+FC1</w:t>
            </w:r>
            <w:r>
              <w:rPr>
                <w:rFonts w:hint="eastAsia" w:eastAsia="仿宋" w:cs="Times New Roman"/>
                <w:highlight w:val="none"/>
              </w:rPr>
              <w:t>8</w:t>
            </w:r>
            <w:r>
              <w:rPr>
                <w:rFonts w:eastAsia="仿宋" w:cs="Times New Roman"/>
                <w:highlight w:val="none"/>
              </w:rPr>
              <w:t>70</w:t>
            </w:r>
            <w:r>
              <w:rPr>
                <w:rFonts w:cs="Times New Roman"/>
                <w:highlight w:val="none"/>
              </w:rPr>
              <w:t>Mpa</w:t>
            </w:r>
          </w:p>
        </w:tc>
        <w:tc>
          <w:tcPr>
            <w:tcW w:w="477" w:type="pct"/>
            <w:vAlign w:val="center"/>
          </w:tcPr>
          <w:p w14:paraId="2AA712B3">
            <w:pPr>
              <w:pStyle w:val="331"/>
              <w:rPr>
                <w:color w:val="auto"/>
                <w:highlight w:val="none"/>
              </w:rPr>
            </w:pPr>
            <w:r>
              <w:rPr>
                <w:color w:val="auto"/>
                <w:highlight w:val="none"/>
              </w:rPr>
              <w:t>根</w:t>
            </w:r>
          </w:p>
        </w:tc>
        <w:tc>
          <w:tcPr>
            <w:tcW w:w="477" w:type="pct"/>
            <w:vAlign w:val="center"/>
          </w:tcPr>
          <w:p w14:paraId="02D73EA5">
            <w:pPr>
              <w:pStyle w:val="331"/>
              <w:rPr>
                <w:color w:val="auto"/>
                <w:highlight w:val="none"/>
              </w:rPr>
            </w:pPr>
            <w:r>
              <w:rPr>
                <w:rFonts w:hint="eastAsia"/>
                <w:color w:val="auto"/>
                <w:highlight w:val="none"/>
              </w:rPr>
              <w:t>4</w:t>
            </w:r>
          </w:p>
        </w:tc>
      </w:tr>
      <w:tr w14:paraId="504B64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44" w:type="pct"/>
            <w:vAlign w:val="center"/>
          </w:tcPr>
          <w:p w14:paraId="49525F8B">
            <w:pPr>
              <w:pStyle w:val="331"/>
              <w:rPr>
                <w:color w:val="auto"/>
                <w:highlight w:val="none"/>
              </w:rPr>
            </w:pPr>
            <w:r>
              <w:rPr>
                <w:rFonts w:hint="eastAsia"/>
                <w:color w:val="auto"/>
                <w:highlight w:val="none"/>
              </w:rPr>
              <w:t>2</w:t>
            </w:r>
          </w:p>
        </w:tc>
        <w:tc>
          <w:tcPr>
            <w:tcW w:w="1312" w:type="pct"/>
            <w:vAlign w:val="center"/>
          </w:tcPr>
          <w:p w14:paraId="40433A87">
            <w:pPr>
              <w:pStyle w:val="331"/>
              <w:rPr>
                <w:color w:val="auto"/>
                <w:highlight w:val="none"/>
              </w:rPr>
            </w:pPr>
            <w:r>
              <w:rPr>
                <w:color w:val="auto"/>
                <w:highlight w:val="none"/>
              </w:rPr>
              <w:t>起重用钢丝绳</w:t>
            </w:r>
          </w:p>
        </w:tc>
        <w:tc>
          <w:tcPr>
            <w:tcW w:w="2388" w:type="pct"/>
            <w:vAlign w:val="center"/>
          </w:tcPr>
          <w:p w14:paraId="5800F41E">
            <w:pPr>
              <w:pStyle w:val="331"/>
              <w:rPr>
                <w:color w:val="auto"/>
                <w:highlight w:val="none"/>
              </w:rPr>
            </w:pPr>
            <w:r>
              <w:rPr>
                <w:rFonts w:hint="eastAsia" w:cs="Times New Roman"/>
                <w:highlight w:val="none"/>
              </w:rPr>
              <w:t>18mm6×19S+FC1870Mpa</w:t>
            </w:r>
          </w:p>
        </w:tc>
        <w:tc>
          <w:tcPr>
            <w:tcW w:w="477" w:type="pct"/>
            <w:vAlign w:val="center"/>
          </w:tcPr>
          <w:p w14:paraId="490BA09F">
            <w:pPr>
              <w:pStyle w:val="331"/>
              <w:rPr>
                <w:color w:val="auto"/>
                <w:highlight w:val="none"/>
              </w:rPr>
            </w:pPr>
            <w:r>
              <w:rPr>
                <w:color w:val="auto"/>
                <w:highlight w:val="none"/>
              </w:rPr>
              <w:t>根</w:t>
            </w:r>
          </w:p>
        </w:tc>
        <w:tc>
          <w:tcPr>
            <w:tcW w:w="477" w:type="pct"/>
            <w:vAlign w:val="center"/>
          </w:tcPr>
          <w:p w14:paraId="55E63C0E">
            <w:pPr>
              <w:pStyle w:val="331"/>
              <w:rPr>
                <w:color w:val="auto"/>
                <w:highlight w:val="none"/>
              </w:rPr>
            </w:pPr>
            <w:r>
              <w:rPr>
                <w:color w:val="auto"/>
                <w:highlight w:val="none"/>
              </w:rPr>
              <w:t>4</w:t>
            </w:r>
          </w:p>
        </w:tc>
      </w:tr>
      <w:tr w14:paraId="4A31F4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44" w:type="pct"/>
            <w:vAlign w:val="center"/>
          </w:tcPr>
          <w:p w14:paraId="78296879">
            <w:pPr>
              <w:pStyle w:val="331"/>
              <w:rPr>
                <w:color w:val="auto"/>
                <w:highlight w:val="none"/>
              </w:rPr>
            </w:pPr>
            <w:r>
              <w:rPr>
                <w:rFonts w:hint="eastAsia"/>
                <w:color w:val="auto"/>
                <w:highlight w:val="none"/>
              </w:rPr>
              <w:t>3</w:t>
            </w:r>
          </w:p>
        </w:tc>
        <w:tc>
          <w:tcPr>
            <w:tcW w:w="1312" w:type="pct"/>
            <w:vAlign w:val="center"/>
          </w:tcPr>
          <w:p w14:paraId="6F87FCCA">
            <w:pPr>
              <w:pStyle w:val="331"/>
              <w:rPr>
                <w:color w:val="auto"/>
                <w:highlight w:val="none"/>
              </w:rPr>
            </w:pPr>
            <w:r>
              <w:rPr>
                <w:color w:val="auto"/>
                <w:highlight w:val="none"/>
              </w:rPr>
              <w:t>卸扣</w:t>
            </w:r>
          </w:p>
        </w:tc>
        <w:tc>
          <w:tcPr>
            <w:tcW w:w="2388" w:type="pct"/>
            <w:vAlign w:val="center"/>
          </w:tcPr>
          <w:p w14:paraId="41EE3D07">
            <w:pPr>
              <w:pStyle w:val="331"/>
              <w:rPr>
                <w:color w:val="auto"/>
                <w:highlight w:val="none"/>
              </w:rPr>
            </w:pPr>
            <w:r>
              <w:rPr>
                <w:rFonts w:hint="eastAsia"/>
                <w:highlight w:val="none"/>
              </w:rPr>
              <w:t>GB/T 25854-6-DW10</w:t>
            </w:r>
          </w:p>
        </w:tc>
        <w:tc>
          <w:tcPr>
            <w:tcW w:w="477" w:type="pct"/>
            <w:vAlign w:val="center"/>
          </w:tcPr>
          <w:p w14:paraId="7234A08C">
            <w:pPr>
              <w:pStyle w:val="331"/>
              <w:rPr>
                <w:color w:val="auto"/>
                <w:highlight w:val="none"/>
              </w:rPr>
            </w:pPr>
            <w:r>
              <w:rPr>
                <w:color w:val="auto"/>
                <w:highlight w:val="none"/>
              </w:rPr>
              <w:t>个</w:t>
            </w:r>
          </w:p>
        </w:tc>
        <w:tc>
          <w:tcPr>
            <w:tcW w:w="477" w:type="pct"/>
            <w:vAlign w:val="center"/>
          </w:tcPr>
          <w:p w14:paraId="23903394">
            <w:pPr>
              <w:pStyle w:val="331"/>
              <w:rPr>
                <w:color w:val="auto"/>
                <w:highlight w:val="none"/>
              </w:rPr>
            </w:pPr>
            <w:r>
              <w:rPr>
                <w:color w:val="auto"/>
                <w:highlight w:val="none"/>
              </w:rPr>
              <w:t>4</w:t>
            </w:r>
          </w:p>
        </w:tc>
      </w:tr>
    </w:tbl>
    <w:p w14:paraId="01D91E2A">
      <w:pPr>
        <w:pStyle w:val="3"/>
        <w:bidi w:val="0"/>
        <w:ind w:left="0" w:leftChars="0" w:firstLine="0" w:firstLineChars="0"/>
        <w:rPr>
          <w:highlight w:val="none"/>
        </w:rPr>
      </w:pPr>
      <w:bookmarkStart w:id="223" w:name="_Toc20310"/>
      <w:r>
        <w:rPr>
          <w:rFonts w:hint="eastAsia"/>
          <w:highlight w:val="none"/>
        </w:rPr>
        <w:t>附件</w:t>
      </w:r>
      <w:bookmarkEnd w:id="223"/>
    </w:p>
    <w:p w14:paraId="18173A4D">
      <w:pPr>
        <w:bidi w:val="0"/>
        <w:rPr>
          <w:highlight w:val="none"/>
        </w:rPr>
      </w:pPr>
      <w:r>
        <w:rPr>
          <w:rFonts w:hint="eastAsia"/>
          <w:highlight w:val="none"/>
        </w:rPr>
        <w:t>附件1：安装单位资质及人员证件</w:t>
      </w:r>
      <w:bookmarkEnd w:id="216"/>
      <w:bookmarkEnd w:id="217"/>
      <w:bookmarkEnd w:id="218"/>
      <w:bookmarkEnd w:id="219"/>
      <w:bookmarkEnd w:id="220"/>
    </w:p>
    <w:p w14:paraId="1DC6208F">
      <w:pPr>
        <w:bidi w:val="0"/>
        <w:rPr>
          <w:highlight w:val="none"/>
        </w:rPr>
      </w:pPr>
      <w:bookmarkStart w:id="224" w:name="_Toc25359"/>
      <w:bookmarkStart w:id="225" w:name="_Toc29018"/>
      <w:bookmarkStart w:id="226" w:name="_Toc12411"/>
      <w:bookmarkStart w:id="227" w:name="_Toc7629"/>
      <w:r>
        <w:rPr>
          <w:rFonts w:hint="eastAsia"/>
          <w:highlight w:val="none"/>
        </w:rPr>
        <w:t>附件2：制造单位资质</w:t>
      </w:r>
      <w:bookmarkEnd w:id="224"/>
      <w:bookmarkEnd w:id="225"/>
      <w:bookmarkEnd w:id="226"/>
      <w:bookmarkEnd w:id="227"/>
    </w:p>
    <w:p w14:paraId="3E78AF00">
      <w:pPr>
        <w:bidi w:val="0"/>
        <w:rPr>
          <w:highlight w:val="none"/>
        </w:rPr>
      </w:pPr>
      <w:r>
        <w:rPr>
          <w:rFonts w:hint="eastAsia"/>
          <w:highlight w:val="none"/>
        </w:rPr>
        <w:t>附件3: 塔式起重机安装自检验收表</w:t>
      </w:r>
    </w:p>
    <w:p w14:paraId="409CF494">
      <w:pPr>
        <w:bidi w:val="0"/>
        <w:rPr>
          <w:highlight w:val="none"/>
        </w:rPr>
      </w:pPr>
      <w:r>
        <w:rPr>
          <w:rFonts w:hint="eastAsia"/>
          <w:highlight w:val="none"/>
        </w:rPr>
        <w:t>附件4: 设备合格证</w:t>
      </w:r>
    </w:p>
    <w:p w14:paraId="09C79368">
      <w:pPr>
        <w:bidi w:val="0"/>
        <w:rPr>
          <w:rFonts w:hint="eastAsia"/>
          <w:highlight w:val="none"/>
        </w:rPr>
      </w:pPr>
      <w:r>
        <w:rPr>
          <w:rFonts w:hint="eastAsia"/>
          <w:highlight w:val="none"/>
        </w:rPr>
        <w:t xml:space="preserve">附件5: </w:t>
      </w:r>
      <w:r>
        <w:rPr>
          <w:highlight w:val="none"/>
        </w:rPr>
        <w:t>XGT360-20S1</w:t>
      </w:r>
      <w:r>
        <w:rPr>
          <w:rFonts w:hint="eastAsia"/>
          <w:highlight w:val="none"/>
        </w:rPr>
        <w:t>塔机使用说明书</w:t>
      </w:r>
    </w:p>
    <w:p w14:paraId="64B963AA">
      <w:pPr>
        <w:bidi w:val="0"/>
      </w:pPr>
      <w:r>
        <w:rPr>
          <w:highlight w:val="none"/>
        </w:rPr>
        <w:t>附件6</w:t>
      </w:r>
      <w:r>
        <w:rPr>
          <w:rFonts w:hint="eastAsia"/>
          <w:highlight w:val="none"/>
          <w:lang w:eastAsia="zh-CN"/>
        </w:rPr>
        <w:t>：</w:t>
      </w:r>
      <w:r>
        <w:rPr>
          <w:highlight w:val="none"/>
        </w:rPr>
        <w:t>XGT</w:t>
      </w:r>
      <w:r>
        <w:rPr>
          <w:rFonts w:hint="eastAsia"/>
          <w:highlight w:val="none"/>
          <w:lang w:val="en-US" w:eastAsia="zh-CN"/>
        </w:rPr>
        <w:t>7026</w:t>
      </w:r>
      <w:r>
        <w:rPr>
          <w:highlight w:val="none"/>
        </w:rPr>
        <w:t>-</w:t>
      </w:r>
      <w:r>
        <w:rPr>
          <w:rFonts w:hint="eastAsia"/>
          <w:highlight w:val="none"/>
          <w:lang w:val="en-US" w:eastAsia="zh-CN"/>
        </w:rPr>
        <w:t>12</w:t>
      </w:r>
      <w:r>
        <w:rPr>
          <w:highlight w:val="none"/>
        </w:rPr>
        <w:t>S1</w:t>
      </w:r>
      <w:r>
        <w:rPr>
          <w:rFonts w:hint="eastAsia"/>
          <w:highlight w:val="none"/>
        </w:rPr>
        <w:t>塔机使用说明书</w:t>
      </w:r>
    </w:p>
    <w:p w14:paraId="016DC187">
      <w:pPr>
        <w:bidi w:val="0"/>
        <w:rPr>
          <w:highlight w:val="none"/>
        </w:rPr>
      </w:pPr>
      <w:r>
        <w:rPr>
          <w:highlight w:val="none"/>
        </w:rPr>
        <w:t>附件</w:t>
      </w:r>
      <w:r>
        <w:rPr>
          <w:rFonts w:hint="eastAsia"/>
          <w:highlight w:val="none"/>
          <w:lang w:val="en-US" w:eastAsia="zh-CN"/>
        </w:rPr>
        <w:t>7</w:t>
      </w:r>
      <w:r>
        <w:rPr>
          <w:highlight w:val="none"/>
        </w:rPr>
        <w:t>：XGT360-20S1塔机防台风说明</w:t>
      </w:r>
    </w:p>
    <w:p w14:paraId="6F4C190A">
      <w:pPr>
        <w:pStyle w:val="2"/>
        <w:rPr>
          <w:rFonts w:hint="eastAsia" w:eastAsia="宋体"/>
          <w:lang w:val="en-US" w:eastAsia="zh-CN"/>
        </w:rPr>
      </w:pPr>
      <w:r>
        <w:rPr>
          <w:highlight w:val="none"/>
        </w:rPr>
        <w:t>附件</w:t>
      </w:r>
      <w:r>
        <w:rPr>
          <w:rFonts w:hint="eastAsia"/>
          <w:highlight w:val="none"/>
          <w:lang w:val="en-US" w:eastAsia="zh-CN"/>
        </w:rPr>
        <w:t>8：</w:t>
      </w:r>
      <w:r>
        <w:rPr>
          <w:highlight w:val="none"/>
        </w:rPr>
        <w:t>XGT</w:t>
      </w:r>
      <w:r>
        <w:rPr>
          <w:rFonts w:hint="eastAsia"/>
          <w:highlight w:val="none"/>
          <w:lang w:val="en-US" w:eastAsia="zh-CN"/>
        </w:rPr>
        <w:t>7026</w:t>
      </w:r>
      <w:r>
        <w:rPr>
          <w:highlight w:val="none"/>
        </w:rPr>
        <w:t>-</w:t>
      </w:r>
      <w:r>
        <w:rPr>
          <w:rFonts w:hint="eastAsia"/>
          <w:highlight w:val="none"/>
          <w:lang w:val="en-US" w:eastAsia="zh-CN"/>
        </w:rPr>
        <w:t>12</w:t>
      </w:r>
      <w:r>
        <w:rPr>
          <w:highlight w:val="none"/>
        </w:rPr>
        <w:t>S1塔机防台风说明</w:t>
      </w:r>
    </w:p>
    <w:p w14:paraId="4F151F1B">
      <w:pPr>
        <w:bidi w:val="0"/>
        <w:rPr>
          <w:rFonts w:hint="eastAsia"/>
          <w:highlight w:val="none"/>
        </w:rPr>
      </w:pPr>
      <w:r>
        <w:rPr>
          <w:highlight w:val="none"/>
        </w:rPr>
        <w:t>附件</w:t>
      </w:r>
      <w:r>
        <w:rPr>
          <w:rFonts w:hint="eastAsia"/>
          <w:highlight w:val="none"/>
          <w:lang w:val="en-US" w:eastAsia="zh-CN"/>
        </w:rPr>
        <w:t>9</w:t>
      </w:r>
      <w:r>
        <w:rPr>
          <w:highlight w:val="none"/>
        </w:rPr>
        <w:t>：XGT360-20S1</w:t>
      </w:r>
      <w:r>
        <w:rPr>
          <w:rFonts w:hint="eastAsia"/>
          <w:highlight w:val="none"/>
        </w:rPr>
        <w:t>塔机固定支腿与钢平台焊接方案</w:t>
      </w:r>
    </w:p>
    <w:p w14:paraId="532C9B31">
      <w:pPr>
        <w:bidi w:val="0"/>
        <w:rPr>
          <w:rFonts w:hint="eastAsia"/>
          <w:highlight w:val="none"/>
        </w:rPr>
      </w:pPr>
      <w:r>
        <w:rPr>
          <w:highlight w:val="none"/>
        </w:rPr>
        <w:t>附件</w:t>
      </w:r>
      <w:r>
        <w:rPr>
          <w:rFonts w:hint="eastAsia"/>
          <w:highlight w:val="none"/>
          <w:lang w:val="en-US" w:eastAsia="zh-CN"/>
        </w:rPr>
        <w:t>10</w:t>
      </w:r>
      <w:r>
        <w:rPr>
          <w:highlight w:val="none"/>
        </w:rPr>
        <w:t>：XGT</w:t>
      </w:r>
      <w:r>
        <w:rPr>
          <w:rFonts w:hint="eastAsia"/>
          <w:highlight w:val="none"/>
          <w:lang w:val="en-US" w:eastAsia="zh-CN"/>
        </w:rPr>
        <w:t>7026</w:t>
      </w:r>
      <w:r>
        <w:rPr>
          <w:highlight w:val="none"/>
        </w:rPr>
        <w:t>-</w:t>
      </w:r>
      <w:r>
        <w:rPr>
          <w:rFonts w:hint="eastAsia"/>
          <w:highlight w:val="none"/>
          <w:lang w:val="en-US" w:eastAsia="zh-CN"/>
        </w:rPr>
        <w:t>12</w:t>
      </w:r>
      <w:r>
        <w:rPr>
          <w:highlight w:val="none"/>
        </w:rPr>
        <w:t>S1</w:t>
      </w:r>
      <w:r>
        <w:rPr>
          <w:rFonts w:hint="eastAsia"/>
          <w:highlight w:val="none"/>
        </w:rPr>
        <w:t>塔机固定支腿与钢平台焊接方案</w:t>
      </w:r>
    </w:p>
    <w:p w14:paraId="07199063">
      <w:pPr>
        <w:bidi w:val="0"/>
        <w:rPr>
          <w:rFonts w:hint="eastAsia"/>
          <w:highlight w:val="none"/>
          <w:lang w:val="en-US" w:eastAsia="zh-CN"/>
        </w:rPr>
      </w:pPr>
      <w:r>
        <w:rPr>
          <w:highlight w:val="none"/>
        </w:rPr>
        <w:t>附件</w:t>
      </w:r>
      <w:r>
        <w:rPr>
          <w:rFonts w:hint="eastAsia"/>
          <w:highlight w:val="none"/>
          <w:lang w:val="en-US" w:eastAsia="zh-CN"/>
        </w:rPr>
        <w:t>11：厦门三通道西主塔3#4#防碰撞方案</w:t>
      </w:r>
    </w:p>
    <w:p w14:paraId="3CFE56D5">
      <w:pPr>
        <w:bidi w:val="0"/>
        <w:rPr>
          <w:rFonts w:hint="eastAsia"/>
          <w:highlight w:val="none"/>
          <w:lang w:val="en-US" w:eastAsia="zh-CN"/>
        </w:rPr>
      </w:pPr>
      <w:r>
        <w:rPr>
          <w:rFonts w:hint="eastAsia"/>
          <w:highlight w:val="none"/>
          <w:lang w:val="en-US" w:eastAsia="zh-CN"/>
        </w:rPr>
        <w:t>附件12：西主塔3#塔机附墙图纸</w:t>
      </w:r>
    </w:p>
    <w:p w14:paraId="0D9E7D70">
      <w:pPr>
        <w:bidi w:val="0"/>
        <w:rPr>
          <w:rFonts w:ascii="宋体" w:hAnsi="宋体" w:cs="宋体"/>
          <w:highlight w:val="none"/>
        </w:rPr>
      </w:pPr>
      <w:r>
        <w:rPr>
          <w:rFonts w:hint="eastAsia"/>
          <w:highlight w:val="none"/>
          <w:lang w:val="en-US" w:eastAsia="zh-CN"/>
        </w:rPr>
        <w:t>附件13：XGT360-20S1塔机</w:t>
      </w:r>
      <w:r>
        <w:rPr>
          <w:rFonts w:hint="eastAsia" w:ascii="宋体" w:hAnsi="宋体" w:cs="宋体"/>
          <w:b w:val="0"/>
          <w:bCs w:val="0"/>
          <w:highlight w:val="none"/>
          <w:lang w:val="en-US" w:eastAsia="zh-CN"/>
        </w:rPr>
        <w:t>附着</w:t>
      </w:r>
      <w:r>
        <w:rPr>
          <w:rFonts w:hint="eastAsia" w:ascii="宋体" w:hAnsi="宋体" w:eastAsia="宋体" w:cs="宋体"/>
          <w:b w:val="0"/>
          <w:bCs w:val="0"/>
          <w:highlight w:val="none"/>
          <w:lang w:val="en-US" w:eastAsia="zh-CN"/>
        </w:rPr>
        <w:t>计算书</w:t>
      </w:r>
    </w:p>
    <w:p w14:paraId="599A5239">
      <w:pPr>
        <w:bidi w:val="0"/>
        <w:rPr>
          <w:rFonts w:hint="eastAsia"/>
          <w:highlight w:val="none"/>
          <w:lang w:val="en-US" w:eastAsia="zh-CN"/>
        </w:rPr>
      </w:pPr>
    </w:p>
    <w:sectPr>
      <w:footerReference r:id="rId16" w:type="default"/>
      <w:pgSz w:w="11906" w:h="16838"/>
      <w:pgMar w:top="1417" w:right="1134" w:bottom="1417" w:left="1701" w:header="851" w:footer="850" w:gutter="0"/>
      <w:cols w:space="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Microsoft YaHei UI">
    <w:panose1 w:val="020B0503020204020204"/>
    <w:charset w:val="86"/>
    <w:family w:val="swiss"/>
    <w:pitch w:val="default"/>
    <w:sig w:usb0="80000287" w:usb1="2ACF3C50" w:usb2="00000016" w:usb3="00000000" w:csb0="0004001F" w:csb1="00000000"/>
  </w:font>
  <w:font w:name="仿宋_GB2312">
    <w:altName w:val="仿宋"/>
    <w:panose1 w:val="02010609030101010101"/>
    <w:charset w:val="86"/>
    <w:family w:val="modern"/>
    <w:pitch w:val="default"/>
    <w:sig w:usb0="00000000" w:usb1="00000000" w:usb2="00000000" w:usb3="00000000" w:csb0="00040000"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ST Kaiti">
    <w:altName w:val="宋体"/>
    <w:panose1 w:val="00000000000000000000"/>
    <w:charset w:val="86"/>
    <w:family w:val="roman"/>
    <w:pitch w:val="default"/>
    <w:sig w:usb0="00000000" w:usb1="00000000" w:usb2="00000010" w:usb3="00000000" w:csb0="00040000" w:csb1="00000000"/>
  </w:font>
  <w:font w:name="Arial Unicode MS">
    <w:panose1 w:val="020B0604020202020204"/>
    <w:charset w:val="86"/>
    <w:family w:val="swiss"/>
    <w:pitch w:val="default"/>
    <w:sig w:usb0="F7FFAEFF" w:usb1="F9DFFFFF" w:usb2="0000007F" w:usb3="00000000" w:csb0="203F01FF" w:csb1="DFFF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SJQY">
    <w:altName w:val="等线"/>
    <w:panose1 w:val="00000000000000000000"/>
    <w:charset w:val="86"/>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37E9F3">
    <w:pPr>
      <w:pStyle w:val="30"/>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D08DA4">
    <w:pPr>
      <w:pStyle w:val="30"/>
      <w:ind w:firstLine="4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572F36">
    <w:pPr>
      <w:pStyle w:val="30"/>
      <w:ind w:firstLine="42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B4B34C">
    <w:pPr>
      <w:spacing w:line="196" w:lineRule="auto"/>
      <w:ind w:firstLine="340"/>
      <w:rPr>
        <w:sz w:val="17"/>
        <w:szCs w:val="17"/>
      </w:rPr>
    </w:pPr>
    <w:r>
      <w:rPr>
        <w:sz w:val="17"/>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5ABA75">
                          <w:pPr>
                            <w:pStyle w:val="30"/>
                            <w:ind w:firstLine="420"/>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ij4t8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Pi3ywCAABXBAAADgAAAAAAAAABACAAAAAfAQAAZHJzL2Uyb0RvYy54bWxQSwUGAAAAAAYA&#10;BgBZAQAAvQUAAAAA&#10;">
              <v:fill on="f" focussize="0,0"/>
              <v:stroke on="f" weight="0.5pt"/>
              <v:imagedata o:title=""/>
              <o:lock v:ext="edit" aspectratio="f"/>
              <v:textbox inset="0mm,0mm,0mm,0mm" style="mso-fit-shape-to-text:t;">
                <w:txbxContent>
                  <w:p w14:paraId="7F5ABA75">
                    <w:pPr>
                      <w:pStyle w:val="30"/>
                      <w:ind w:firstLine="420"/>
                    </w:pPr>
                    <w:r>
                      <w:fldChar w:fldCharType="begin"/>
                    </w:r>
                    <w:r>
                      <w:instrText xml:space="preserve"> PAGE  \* MERGEFORMAT </w:instrText>
                    </w:r>
                    <w:r>
                      <w:fldChar w:fldCharType="separate"/>
                    </w:r>
                    <w:r>
                      <w:t>20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F633D5">
    <w:pPr>
      <w:spacing w:line="196" w:lineRule="auto"/>
      <w:ind w:firstLine="340"/>
      <w:rPr>
        <w:sz w:val="17"/>
        <w:szCs w:val="17"/>
      </w:rPr>
    </w:pPr>
    <w:r>
      <w:rPr>
        <w:sz w:val="17"/>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E8B845">
                          <w:pPr>
                            <w:pStyle w:val="30"/>
                            <w:ind w:firstLine="420"/>
                          </w:pPr>
                          <w:r>
                            <w:fldChar w:fldCharType="begin"/>
                          </w:r>
                          <w:r>
                            <w:instrText xml:space="preserve"> PAGE  \* MERGEFORMAT </w:instrText>
                          </w:r>
                          <w:r>
                            <w:fldChar w:fldCharType="separate"/>
                          </w:r>
                          <w:r>
                            <w:t>21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3P/FAtAgAAWQ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3P/FAtAgAAWQQAAA4AAAAAAAAAAQAgAAAAHwEAAGRycy9lMm9Eb2MueG1sUEsFBgAAAAAG&#10;AAYAWQEAAL4FAAAAAA==&#10;">
              <v:fill on="f" focussize="0,0"/>
              <v:stroke on="f" weight="0.5pt"/>
              <v:imagedata o:title=""/>
              <o:lock v:ext="edit" aspectratio="f"/>
              <v:textbox inset="0mm,0mm,0mm,0mm" style="mso-fit-shape-to-text:t;">
                <w:txbxContent>
                  <w:p w14:paraId="11E8B845">
                    <w:pPr>
                      <w:pStyle w:val="30"/>
                      <w:ind w:firstLine="420"/>
                    </w:pPr>
                    <w:r>
                      <w:fldChar w:fldCharType="begin"/>
                    </w:r>
                    <w:r>
                      <w:instrText xml:space="preserve"> PAGE  \* MERGEFORMAT </w:instrText>
                    </w:r>
                    <w:r>
                      <w:fldChar w:fldCharType="separate"/>
                    </w:r>
                    <w:r>
                      <w:t>21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D20A0D">
    <w:pPr>
      <w:pStyle w:val="30"/>
      <w:ind w:firstLine="0" w:firstLineChars="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DB58BA">
                          <w:pPr>
                            <w:pStyle w:val="30"/>
                            <w:ind w:firstLine="420"/>
                          </w:pPr>
                          <w:r>
                            <w:fldChar w:fldCharType="begin"/>
                          </w:r>
                          <w:r>
                            <w:instrText xml:space="preserve"> PAGE  \* MERGEFORMAT </w:instrText>
                          </w:r>
                          <w:r>
                            <w:fldChar w:fldCharType="separate"/>
                          </w:r>
                          <w:r>
                            <w:t>142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atkyItAgAAVw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IatkyItAgAAVwQAAA4AAAAAAAAAAQAgAAAAHwEAAGRycy9lMm9Eb2MueG1sUEsFBgAAAAAG&#10;AAYAWQEAAL4FAAAAAA==&#10;">
              <v:fill on="f" focussize="0,0"/>
              <v:stroke on="f" weight="0.5pt"/>
              <v:imagedata o:title=""/>
              <o:lock v:ext="edit" aspectratio="f"/>
              <v:textbox inset="0mm,0mm,0mm,0mm" style="mso-fit-shape-to-text:t;">
                <w:txbxContent>
                  <w:p w14:paraId="3BDB58BA">
                    <w:pPr>
                      <w:pStyle w:val="30"/>
                      <w:ind w:firstLine="420"/>
                    </w:pPr>
                    <w:r>
                      <w:fldChar w:fldCharType="begin"/>
                    </w:r>
                    <w:r>
                      <w:instrText xml:space="preserve"> PAGE  \* MERGEFORMAT </w:instrText>
                    </w:r>
                    <w:r>
                      <w:fldChar w:fldCharType="separate"/>
                    </w:r>
                    <w:r>
                      <w:t>142</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A7473E">
    <w:pPr>
      <w:pStyle w:val="30"/>
      <w:ind w:firstLine="0" w:firstLineChars="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89BF2D">
                          <w:pPr>
                            <w:pStyle w:val="30"/>
                            <w:ind w:firstLine="0" w:firstLineChars="0"/>
                            <w:jc w:val="center"/>
                          </w:pPr>
                          <w:r>
                            <w:rPr>
                              <w:rFonts w:hint="eastAsia"/>
                            </w:rPr>
                            <w:t xml:space="preserve">第 </w:t>
                          </w:r>
                          <w:sdt>
                            <w:sdtPr>
                              <w:id w:val="-384096693"/>
                            </w:sdtPr>
                            <w:sdtContent>
                              <w:r>
                                <w:fldChar w:fldCharType="begin"/>
                              </w:r>
                              <w:r>
                                <w:instrText xml:space="preserve">PAGE   \* MERGEFORMAT</w:instrText>
                              </w:r>
                              <w:r>
                                <w:fldChar w:fldCharType="separate"/>
                              </w:r>
                              <w:r>
                                <w:rPr>
                                  <w:lang w:val="zh-CN"/>
                                </w:rPr>
                                <w:t>179</w:t>
                              </w:r>
                              <w:r>
                                <w:fldChar w:fldCharType="end"/>
                              </w:r>
                              <w:r>
                                <w:t xml:space="preserve"> </w:t>
                              </w:r>
                              <w:r>
                                <w:rPr>
                                  <w:rFonts w:hint="eastAsia"/>
                                </w:rPr>
                                <w:t>页</w:t>
                              </w:r>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14:paraId="5489BF2D">
                    <w:pPr>
                      <w:pStyle w:val="30"/>
                      <w:ind w:firstLine="0" w:firstLineChars="0"/>
                      <w:jc w:val="center"/>
                    </w:pPr>
                    <w:r>
                      <w:rPr>
                        <w:rFonts w:hint="eastAsia"/>
                      </w:rPr>
                      <w:t xml:space="preserve">第 </w:t>
                    </w:r>
                    <w:sdt>
                      <w:sdtPr>
                        <w:id w:val="-384096693"/>
                      </w:sdtPr>
                      <w:sdtContent>
                        <w:r>
                          <w:fldChar w:fldCharType="begin"/>
                        </w:r>
                        <w:r>
                          <w:instrText xml:space="preserve">PAGE   \* MERGEFORMAT</w:instrText>
                        </w:r>
                        <w:r>
                          <w:fldChar w:fldCharType="separate"/>
                        </w:r>
                        <w:r>
                          <w:rPr>
                            <w:lang w:val="zh-CN"/>
                          </w:rPr>
                          <w:t>179</w:t>
                        </w:r>
                        <w:r>
                          <w:fldChar w:fldCharType="end"/>
                        </w:r>
                        <w:r>
                          <w:t xml:space="preserve"> </w:t>
                        </w:r>
                        <w:r>
                          <w:rPr>
                            <w:rFonts w:hint="eastAsia"/>
                          </w:rPr>
                          <w:t>页</w:t>
                        </w:r>
                      </w:sdtContent>
                    </w:sdt>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EBF2B9">
    <w:pPr>
      <w:pStyle w:val="31"/>
      <w:pBdr>
        <w:bottom w:val="none" w:color="auto" w:sz="0" w:space="1"/>
      </w:pBdr>
      <w:jc w:val="distribu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29DCFF">
    <w:pPr>
      <w:pStyle w:val="3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A508E">
    <w:pPr>
      <w:pStyle w:val="31"/>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3E2123">
    <w:pPr>
      <w:pStyle w:val="31"/>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FAB35D">
    <w:pPr>
      <w:pStyle w:val="3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C456C9"/>
    <w:multiLevelType w:val="singleLevel"/>
    <w:tmpl w:val="83C456C9"/>
    <w:lvl w:ilvl="0" w:tentative="0">
      <w:start w:val="1"/>
      <w:numFmt w:val="decimal"/>
      <w:lvlText w:val="(%1)"/>
      <w:lvlJc w:val="left"/>
      <w:pPr>
        <w:ind w:left="425" w:hanging="425"/>
      </w:pPr>
      <w:rPr>
        <w:rFonts w:hint="default"/>
      </w:rPr>
    </w:lvl>
  </w:abstractNum>
  <w:abstractNum w:abstractNumId="1">
    <w:nsid w:val="8435C3D3"/>
    <w:multiLevelType w:val="singleLevel"/>
    <w:tmpl w:val="8435C3D3"/>
    <w:lvl w:ilvl="0" w:tentative="0">
      <w:start w:val="1"/>
      <w:numFmt w:val="decimal"/>
      <w:suff w:val="space"/>
      <w:lvlText w:val="(%1)"/>
      <w:lvlJc w:val="left"/>
      <w:pPr>
        <w:ind w:left="454" w:leftChars="0" w:hanging="454" w:firstLineChars="0"/>
      </w:pPr>
      <w:rPr>
        <w:rFonts w:hint="default"/>
      </w:rPr>
    </w:lvl>
  </w:abstractNum>
  <w:abstractNum w:abstractNumId="2">
    <w:nsid w:val="88D1CF5B"/>
    <w:multiLevelType w:val="singleLevel"/>
    <w:tmpl w:val="88D1CF5B"/>
    <w:lvl w:ilvl="0" w:tentative="0">
      <w:start w:val="1"/>
      <w:numFmt w:val="lowerLetter"/>
      <w:lvlText w:val="%1."/>
      <w:lvlJc w:val="left"/>
      <w:pPr>
        <w:ind w:left="425" w:hanging="425"/>
      </w:pPr>
      <w:rPr>
        <w:rFonts w:hint="default"/>
      </w:rPr>
    </w:lvl>
  </w:abstractNum>
  <w:abstractNum w:abstractNumId="3">
    <w:nsid w:val="8CAD68D0"/>
    <w:multiLevelType w:val="singleLevel"/>
    <w:tmpl w:val="8CAD68D0"/>
    <w:lvl w:ilvl="0" w:tentative="0">
      <w:start w:val="1"/>
      <w:numFmt w:val="decimal"/>
      <w:lvlText w:val="%1"/>
      <w:lvlJc w:val="left"/>
      <w:pPr>
        <w:tabs>
          <w:tab w:val="left" w:pos="420"/>
        </w:tabs>
        <w:ind w:left="425" w:leftChars="0" w:hanging="425" w:firstLineChars="0"/>
      </w:pPr>
      <w:rPr>
        <w:rFonts w:hint="default"/>
      </w:rPr>
    </w:lvl>
  </w:abstractNum>
  <w:abstractNum w:abstractNumId="4">
    <w:nsid w:val="9378957D"/>
    <w:multiLevelType w:val="singleLevel"/>
    <w:tmpl w:val="9378957D"/>
    <w:lvl w:ilvl="0" w:tentative="0">
      <w:start w:val="1"/>
      <w:numFmt w:val="lowerLetter"/>
      <w:lvlText w:val="%1."/>
      <w:lvlJc w:val="left"/>
      <w:pPr>
        <w:ind w:left="425" w:hanging="425"/>
      </w:pPr>
      <w:rPr>
        <w:rFonts w:hint="default"/>
      </w:rPr>
    </w:lvl>
  </w:abstractNum>
  <w:abstractNum w:abstractNumId="5">
    <w:nsid w:val="9A5B05D1"/>
    <w:multiLevelType w:val="singleLevel"/>
    <w:tmpl w:val="9A5B05D1"/>
    <w:lvl w:ilvl="0" w:tentative="0">
      <w:start w:val="1"/>
      <w:numFmt w:val="decimal"/>
      <w:lvlText w:val="%1."/>
      <w:lvlJc w:val="left"/>
      <w:pPr>
        <w:ind w:left="425" w:hanging="425"/>
      </w:pPr>
      <w:rPr>
        <w:rFonts w:hint="default"/>
      </w:rPr>
    </w:lvl>
  </w:abstractNum>
  <w:abstractNum w:abstractNumId="6">
    <w:nsid w:val="A19511C3"/>
    <w:multiLevelType w:val="multilevel"/>
    <w:tmpl w:val="A19511C3"/>
    <w:lvl w:ilvl="0" w:tentative="0">
      <w:start w:val="1"/>
      <w:numFmt w:val="decimal"/>
      <w:suff w:val="nothing"/>
      <w:lvlText w:val="%1"/>
      <w:lvlJc w:val="center"/>
      <w:pPr>
        <w:ind w:left="240" w:hanging="240"/>
      </w:pPr>
      <w:rPr>
        <w:rFonts w:hint="default" w:ascii="Times New Roman" w:hAnsi="Times New Roman" w:eastAsia="宋体"/>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A3A42878"/>
    <w:multiLevelType w:val="singleLevel"/>
    <w:tmpl w:val="A3A42878"/>
    <w:lvl w:ilvl="0" w:tentative="0">
      <w:start w:val="1"/>
      <w:numFmt w:val="decimal"/>
      <w:suff w:val="nothing"/>
      <w:lvlText w:val="%1"/>
      <w:lvlJc w:val="left"/>
      <w:pPr>
        <w:ind w:left="0" w:firstLine="403"/>
      </w:pPr>
      <w:rPr>
        <w:rFonts w:hint="default"/>
      </w:rPr>
    </w:lvl>
  </w:abstractNum>
  <w:abstractNum w:abstractNumId="8">
    <w:nsid w:val="A86E3D3B"/>
    <w:multiLevelType w:val="singleLevel"/>
    <w:tmpl w:val="A86E3D3B"/>
    <w:lvl w:ilvl="0" w:tentative="0">
      <w:start w:val="1"/>
      <w:numFmt w:val="decimal"/>
      <w:suff w:val="space"/>
      <w:lvlText w:val="图4.4.1-%1"/>
      <w:lvlJc w:val="left"/>
      <w:pPr>
        <w:tabs>
          <w:tab w:val="left" w:pos="0"/>
        </w:tabs>
        <w:ind w:left="425" w:hanging="425"/>
      </w:pPr>
      <w:rPr>
        <w:rFonts w:hint="default" w:ascii="Times New Roman" w:hAnsi="Times New Roman" w:eastAsia="宋体" w:cs="宋体"/>
        <w:b/>
        <w:bCs/>
      </w:rPr>
    </w:lvl>
  </w:abstractNum>
  <w:abstractNum w:abstractNumId="9">
    <w:nsid w:val="AC1455DD"/>
    <w:multiLevelType w:val="multilevel"/>
    <w:tmpl w:val="AC1455DD"/>
    <w:lvl w:ilvl="0" w:tentative="0">
      <w:start w:val="1"/>
      <w:numFmt w:val="decimal"/>
      <w:suff w:val="space"/>
      <w:lvlText w:val="%1"/>
      <w:lvlJc w:val="left"/>
      <w:pPr>
        <w:tabs>
          <w:tab w:val="left" w:pos="0"/>
        </w:tabs>
        <w:ind w:left="0" w:firstLine="0"/>
      </w:pPr>
      <w:rPr>
        <w:rFonts w:hint="default" w:ascii="宋体" w:hAnsi="宋体" w:eastAsia="宋体" w:cs="宋体"/>
      </w:rPr>
    </w:lvl>
    <w:lvl w:ilvl="1" w:tentative="0">
      <w:start w:val="1"/>
      <w:numFmt w:val="decimal"/>
      <w:suff w:val="space"/>
      <w:lvlText w:val="%1.%2"/>
      <w:lvlJc w:val="left"/>
      <w:pPr>
        <w:tabs>
          <w:tab w:val="left" w:pos="420"/>
        </w:tabs>
        <w:ind w:left="0" w:firstLine="0"/>
      </w:pPr>
      <w:rPr>
        <w:rFonts w:hint="default" w:ascii="宋体" w:hAnsi="宋体" w:eastAsia="宋体" w:cs="宋体"/>
      </w:rPr>
    </w:lvl>
    <w:lvl w:ilvl="2" w:tentative="0">
      <w:start w:val="1"/>
      <w:numFmt w:val="decimal"/>
      <w:suff w:val="space"/>
      <w:lvlText w:val="%1.%2.%3"/>
      <w:lvlJc w:val="left"/>
      <w:pPr>
        <w:tabs>
          <w:tab w:val="left" w:pos="420"/>
        </w:tabs>
        <w:ind w:left="0" w:firstLine="0"/>
      </w:pPr>
      <w:rPr>
        <w:rFonts w:hint="default" w:ascii="宋体" w:hAnsi="宋体" w:eastAsia="宋体" w:cs="宋体"/>
      </w:rPr>
    </w:lvl>
    <w:lvl w:ilvl="3" w:tentative="0">
      <w:start w:val="1"/>
      <w:numFmt w:val="decimal"/>
      <w:suff w:val="space"/>
      <w:lvlText w:val="%1.%2.%3.%4"/>
      <w:lvlJc w:val="left"/>
      <w:pPr>
        <w:tabs>
          <w:tab w:val="left" w:pos="0"/>
        </w:tabs>
        <w:ind w:left="0" w:firstLine="0"/>
      </w:pPr>
      <w:rPr>
        <w:rFonts w:hint="default" w:ascii="宋体" w:hAnsi="宋体" w:eastAsia="宋体" w:cs="宋体"/>
      </w:rPr>
    </w:lvl>
    <w:lvl w:ilvl="4" w:tentative="0">
      <w:start w:val="1"/>
      <w:numFmt w:val="decimal"/>
      <w:lvlRestart w:val="2"/>
      <w:suff w:val="space"/>
      <w:lvlText w:val="表%1.%2-%5 "/>
      <w:lvlJc w:val="left"/>
      <w:pPr>
        <w:tabs>
          <w:tab w:val="left" w:pos="0"/>
        </w:tabs>
        <w:ind w:left="0" w:firstLine="0"/>
      </w:pPr>
      <w:rPr>
        <w:rFonts w:hint="default" w:ascii="宋体" w:hAnsi="宋体" w:eastAsia="宋体" w:cs="宋体"/>
        <w:b/>
        <w:sz w:val="21"/>
        <w:szCs w:val="21"/>
      </w:rPr>
    </w:lvl>
    <w:lvl w:ilvl="5" w:tentative="0">
      <w:start w:val="1"/>
      <w:numFmt w:val="decimal"/>
      <w:lvlRestart w:val="2"/>
      <w:pStyle w:val="227"/>
      <w:isLgl/>
      <w:suff w:val="space"/>
      <w:lvlText w:val="图%1.%2-%6 "/>
      <w:lvlJc w:val="left"/>
      <w:pPr>
        <w:tabs>
          <w:tab w:val="left" w:pos="3118"/>
        </w:tabs>
        <w:ind w:left="4269" w:hanging="1151"/>
      </w:pPr>
      <w:rPr>
        <w:rFonts w:hint="default" w:ascii="宋体" w:hAnsi="宋体" w:eastAsia="宋体" w:cs="宋体"/>
        <w:sz w:val="21"/>
        <w:szCs w:val="21"/>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10">
    <w:nsid w:val="C6CC345B"/>
    <w:multiLevelType w:val="singleLevel"/>
    <w:tmpl w:val="C6CC345B"/>
    <w:lvl w:ilvl="0" w:tentative="0">
      <w:start w:val="1"/>
      <w:numFmt w:val="decimal"/>
      <w:suff w:val="space"/>
      <w:lvlText w:val="(%1)"/>
      <w:lvlJc w:val="left"/>
      <w:pPr>
        <w:ind w:left="454" w:leftChars="0" w:hanging="454" w:firstLineChars="0"/>
      </w:pPr>
      <w:rPr>
        <w:rFonts w:hint="default"/>
      </w:rPr>
    </w:lvl>
  </w:abstractNum>
  <w:abstractNum w:abstractNumId="11">
    <w:nsid w:val="E3F922A7"/>
    <w:multiLevelType w:val="multilevel"/>
    <w:tmpl w:val="E3F922A7"/>
    <w:lvl w:ilvl="0" w:tentative="0">
      <w:start w:val="1"/>
      <w:numFmt w:val="decimal"/>
      <w:pStyle w:val="3"/>
      <w:lvlText w:val="%1."/>
      <w:lvlJc w:val="left"/>
      <w:pPr>
        <w:ind w:left="432" w:hanging="432"/>
      </w:pPr>
      <w:rPr>
        <w:rFonts w:hint="default"/>
      </w:rPr>
    </w:lvl>
    <w:lvl w:ilvl="1" w:tentative="0">
      <w:start w:val="1"/>
      <w:numFmt w:val="decimal"/>
      <w:pStyle w:val="4"/>
      <w:lvlText w:val="%1.%2."/>
      <w:lvlJc w:val="left"/>
      <w:pPr>
        <w:ind w:left="0" w:leftChars="0" w:firstLine="0" w:firstLineChars="0"/>
      </w:pPr>
      <w:rPr>
        <w:rFonts w:hint="default"/>
      </w:rPr>
    </w:lvl>
    <w:lvl w:ilvl="2" w:tentative="0">
      <w:start w:val="1"/>
      <w:numFmt w:val="decimal"/>
      <w:pStyle w:val="5"/>
      <w:lvlText w:val="%1.%2.%3."/>
      <w:lvlJc w:val="left"/>
      <w:pPr>
        <w:ind w:left="0" w:leftChars="0" w:firstLine="0" w:firstLineChars="0"/>
      </w:pPr>
      <w:rPr>
        <w:rFonts w:hint="default"/>
      </w:rPr>
    </w:lvl>
    <w:lvl w:ilvl="3" w:tentative="0">
      <w:start w:val="1"/>
      <w:numFmt w:val="decimal"/>
      <w:pStyle w:val="7"/>
      <w:lvlText w:val="%1.%2.%3.%4."/>
      <w:lvlJc w:val="left"/>
      <w:pPr>
        <w:ind w:left="864" w:hanging="864"/>
      </w:pPr>
      <w:rPr>
        <w:rFonts w:hint="default"/>
      </w:rPr>
    </w:lvl>
    <w:lvl w:ilvl="4" w:tentative="0">
      <w:start w:val="1"/>
      <w:numFmt w:val="decimal"/>
      <w:pStyle w:val="10"/>
      <w:lvlText w:val="%1.%2.%3.%4.%5."/>
      <w:lvlJc w:val="left"/>
      <w:pPr>
        <w:ind w:left="1008" w:hanging="1008"/>
      </w:pPr>
      <w:rPr>
        <w:rFonts w:hint="default"/>
      </w:rPr>
    </w:lvl>
    <w:lvl w:ilvl="5" w:tentative="0">
      <w:start w:val="1"/>
      <w:numFmt w:val="decimal"/>
      <w:pStyle w:val="11"/>
      <w:lvlText w:val="%1.%2.%3.%4.%5.%6."/>
      <w:lvlJc w:val="left"/>
      <w:pPr>
        <w:ind w:left="1151" w:hanging="1151"/>
      </w:pPr>
      <w:rPr>
        <w:rFonts w:hint="default"/>
      </w:rPr>
    </w:lvl>
    <w:lvl w:ilvl="6" w:tentative="0">
      <w:start w:val="1"/>
      <w:numFmt w:val="decimal"/>
      <w:pStyle w:val="12"/>
      <w:lvlText w:val="%1.%2.%3.%4.%5.%6.%7."/>
      <w:lvlJc w:val="left"/>
      <w:pPr>
        <w:ind w:left="1296" w:hanging="1296"/>
      </w:pPr>
      <w:rPr>
        <w:rFonts w:hint="default"/>
      </w:rPr>
    </w:lvl>
    <w:lvl w:ilvl="7" w:tentative="0">
      <w:start w:val="1"/>
      <w:numFmt w:val="decimal"/>
      <w:pStyle w:val="13"/>
      <w:lvlText w:val="%1.%2.%3.%4.%5.%6.%7.%8."/>
      <w:lvlJc w:val="left"/>
      <w:pPr>
        <w:ind w:left="1440" w:hanging="1440"/>
      </w:pPr>
      <w:rPr>
        <w:rFonts w:hint="default"/>
      </w:rPr>
    </w:lvl>
    <w:lvl w:ilvl="8" w:tentative="0">
      <w:start w:val="1"/>
      <w:numFmt w:val="decimal"/>
      <w:pStyle w:val="14"/>
      <w:lvlText w:val="%1.%2.%3.%4.%5.%6.%7.%8.%9."/>
      <w:lvlJc w:val="left"/>
      <w:pPr>
        <w:ind w:left="1583" w:hanging="1583"/>
      </w:pPr>
      <w:rPr>
        <w:rFonts w:hint="default"/>
      </w:rPr>
    </w:lvl>
  </w:abstractNum>
  <w:abstractNum w:abstractNumId="12">
    <w:nsid w:val="ECF1E4F2"/>
    <w:multiLevelType w:val="singleLevel"/>
    <w:tmpl w:val="ECF1E4F2"/>
    <w:lvl w:ilvl="0" w:tentative="0">
      <w:start w:val="3"/>
      <w:numFmt w:val="decimal"/>
      <w:suff w:val="nothing"/>
      <w:lvlText w:val="（%1）"/>
      <w:lvlJc w:val="left"/>
    </w:lvl>
  </w:abstractNum>
  <w:abstractNum w:abstractNumId="13">
    <w:nsid w:val="F18EA3A4"/>
    <w:multiLevelType w:val="singleLevel"/>
    <w:tmpl w:val="F18EA3A4"/>
    <w:lvl w:ilvl="0" w:tentative="0">
      <w:start w:val="1"/>
      <w:numFmt w:val="decimal"/>
      <w:lvlText w:val="(%1)"/>
      <w:lvlJc w:val="left"/>
      <w:pPr>
        <w:ind w:left="425" w:hanging="425"/>
      </w:pPr>
      <w:rPr>
        <w:rFonts w:hint="default"/>
      </w:rPr>
    </w:lvl>
  </w:abstractNum>
  <w:abstractNum w:abstractNumId="14">
    <w:nsid w:val="009156B1"/>
    <w:multiLevelType w:val="multilevel"/>
    <w:tmpl w:val="009156B1"/>
    <w:lvl w:ilvl="0" w:tentative="0">
      <w:start w:val="1"/>
      <w:numFmt w:val="decimal"/>
      <w:suff w:val="nothing"/>
      <w:lvlText w:val="（%1）"/>
      <w:lvlJc w:val="left"/>
      <w:pPr>
        <w:ind w:left="114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00934742"/>
    <w:multiLevelType w:val="multilevel"/>
    <w:tmpl w:val="00934742"/>
    <w:lvl w:ilvl="0" w:tentative="0">
      <w:start w:val="1"/>
      <w:numFmt w:val="decimal"/>
      <w:suff w:val="nothing"/>
      <w:lvlText w:val="%1"/>
      <w:lvlJc w:val="center"/>
      <w:pPr>
        <w:ind w:left="0" w:firstLine="0"/>
      </w:pPr>
      <w:rPr>
        <w:rFonts w:hint="default" w:ascii="Times New Roman" w:hAnsi="Times New Roman" w:eastAsia="宋体"/>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028F4F97"/>
    <w:multiLevelType w:val="multilevel"/>
    <w:tmpl w:val="028F4F97"/>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7">
    <w:nsid w:val="0A406FC0"/>
    <w:multiLevelType w:val="multilevel"/>
    <w:tmpl w:val="0A406FC0"/>
    <w:lvl w:ilvl="0" w:tentative="0">
      <w:start w:val="1"/>
      <w:numFmt w:val="bullet"/>
      <w:pStyle w:val="117"/>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8">
    <w:nsid w:val="0AB904C0"/>
    <w:multiLevelType w:val="multilevel"/>
    <w:tmpl w:val="0AB904C0"/>
    <w:lvl w:ilvl="0" w:tentative="0">
      <w:start w:val="1"/>
      <w:numFmt w:val="decimal"/>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suff w:val="space"/>
      <w:lvlText w:val="（%6）"/>
      <w:lvlJc w:val="left"/>
      <w:pPr>
        <w:ind w:left="0" w:firstLine="0"/>
      </w:pPr>
      <w:rPr>
        <w:rFonts w:hint="eastAsia"/>
        <w:color w:val="auto"/>
        <w:lang w:val="en-US"/>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9">
    <w:nsid w:val="0CDEB794"/>
    <w:multiLevelType w:val="singleLevel"/>
    <w:tmpl w:val="0CDEB794"/>
    <w:lvl w:ilvl="0" w:tentative="0">
      <w:start w:val="1"/>
      <w:numFmt w:val="decimal"/>
      <w:lvlText w:val="(%1)"/>
      <w:lvlJc w:val="left"/>
      <w:pPr>
        <w:ind w:left="425" w:hanging="425"/>
      </w:pPr>
      <w:rPr>
        <w:rFonts w:hint="default"/>
      </w:rPr>
    </w:lvl>
  </w:abstractNum>
  <w:abstractNum w:abstractNumId="20">
    <w:nsid w:val="1567EC35"/>
    <w:multiLevelType w:val="singleLevel"/>
    <w:tmpl w:val="1567EC35"/>
    <w:lvl w:ilvl="0" w:tentative="0">
      <w:start w:val="1"/>
      <w:numFmt w:val="decimal"/>
      <w:suff w:val="nothing"/>
      <w:lvlText w:val="%1"/>
      <w:lvlJc w:val="left"/>
      <w:pPr>
        <w:tabs>
          <w:tab w:val="left" w:pos="0"/>
        </w:tabs>
        <w:ind w:left="0" w:firstLine="0"/>
      </w:pPr>
      <w:rPr>
        <w:rFonts w:hint="default"/>
      </w:rPr>
    </w:lvl>
  </w:abstractNum>
  <w:abstractNum w:abstractNumId="21">
    <w:nsid w:val="1CA1D74B"/>
    <w:multiLevelType w:val="multilevel"/>
    <w:tmpl w:val="1CA1D74B"/>
    <w:lvl w:ilvl="0" w:tentative="0">
      <w:start w:val="1"/>
      <w:numFmt w:val="decimal"/>
      <w:pStyle w:val="81"/>
      <w:lvlText w:val="%1、"/>
      <w:lvlJc w:val="left"/>
      <w:pPr>
        <w:tabs>
          <w:tab w:val="left" w:pos="0"/>
        </w:tabs>
        <w:ind w:left="0" w:firstLine="0"/>
      </w:pPr>
      <w:rPr>
        <w:rFonts w:hint="default" w:ascii="Times New Roman" w:hAnsi="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23F9C8B0"/>
    <w:multiLevelType w:val="multilevel"/>
    <w:tmpl w:val="23F9C8B0"/>
    <w:lvl w:ilvl="0" w:tentative="0">
      <w:start w:val="1"/>
      <w:numFmt w:val="decimal"/>
      <w:suff w:val="nothing"/>
      <w:lvlText w:val="%1"/>
      <w:lvlJc w:val="center"/>
      <w:pPr>
        <w:ind w:left="240" w:hanging="240"/>
      </w:pPr>
      <w:rPr>
        <w:rFonts w:hint="default" w:ascii="Times New Roman" w:hAnsi="Times New Roman" w:eastAsia="宋体"/>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24C67998"/>
    <w:multiLevelType w:val="multilevel"/>
    <w:tmpl w:val="24C67998"/>
    <w:lvl w:ilvl="0" w:tentative="0">
      <w:start w:val="1"/>
      <w:numFmt w:val="decimal"/>
      <w:suff w:val="nothing"/>
      <w:lvlText w:val="（%1）"/>
      <w:lvlJc w:val="left"/>
      <w:pPr>
        <w:ind w:left="0" w:firstLine="480"/>
      </w:pPr>
      <w:rPr>
        <w:rFonts w:hint="default" w:ascii="Times New Roman" w:hAnsi="Times New Roman" w:eastAsia="宋体"/>
        <w:b w:val="0"/>
        <w:i w:val="0"/>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4">
    <w:nsid w:val="26B655EF"/>
    <w:multiLevelType w:val="singleLevel"/>
    <w:tmpl w:val="26B655EF"/>
    <w:lvl w:ilvl="0" w:tentative="0">
      <w:start w:val="1"/>
      <w:numFmt w:val="decimal"/>
      <w:lvlText w:val="(%1)"/>
      <w:lvlJc w:val="left"/>
      <w:pPr>
        <w:ind w:left="425" w:hanging="425"/>
      </w:pPr>
      <w:rPr>
        <w:rFonts w:hint="default"/>
      </w:rPr>
    </w:lvl>
  </w:abstractNum>
  <w:abstractNum w:abstractNumId="25">
    <w:nsid w:val="2AE010E5"/>
    <w:multiLevelType w:val="multilevel"/>
    <w:tmpl w:val="2AE010E5"/>
    <w:lvl w:ilvl="0" w:tentative="0">
      <w:start w:val="1"/>
      <w:numFmt w:val="decimal"/>
      <w:suff w:val="nothing"/>
      <w:lvlText w:val="（%1）"/>
      <w:lvlJc w:val="left"/>
      <w:pPr>
        <w:ind w:left="0" w:firstLine="400"/>
      </w:pPr>
      <w:rPr>
        <w:rFonts w:hint="default" w:ascii="Times New Roman" w:hAnsi="Times New Roman" w:eastAsia="宋体"/>
        <w:b w:val="0"/>
        <w:i w:val="0"/>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6">
    <w:nsid w:val="2F8363A2"/>
    <w:multiLevelType w:val="multilevel"/>
    <w:tmpl w:val="2F8363A2"/>
    <w:lvl w:ilvl="0" w:tentative="0">
      <w:start w:val="1"/>
      <w:numFmt w:val="decimal"/>
      <w:suff w:val="nothing"/>
      <w:lvlText w:val="（%1）"/>
      <w:lvlJc w:val="left"/>
      <w:pPr>
        <w:ind w:left="0" w:firstLine="480"/>
      </w:pPr>
      <w:rPr>
        <w:rFonts w:hint="default" w:ascii="Times New Roman" w:hAnsi="Times New Roman" w:eastAsia="宋体"/>
        <w:b w:val="0"/>
        <w:i w:val="0"/>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7">
    <w:nsid w:val="300C7EC9"/>
    <w:multiLevelType w:val="multilevel"/>
    <w:tmpl w:val="300C7EC9"/>
    <w:lvl w:ilvl="0" w:tentative="0">
      <w:start w:val="1"/>
      <w:numFmt w:val="decimal"/>
      <w:suff w:val="space"/>
      <w:lvlText w:val="%1"/>
      <w:lvlJc w:val="left"/>
      <w:pPr>
        <w:ind w:left="0" w:firstLine="0"/>
      </w:pPr>
      <w:rPr>
        <w:rFonts w:hint="eastAsia" w:ascii="宋体" w:hAnsi="宋体" w:eastAsia="宋体"/>
        <w:b/>
        <w:i w:val="0"/>
        <w:color w:val="auto"/>
        <w:sz w:val="30"/>
      </w:rPr>
    </w:lvl>
    <w:lvl w:ilvl="1" w:tentative="0">
      <w:start w:val="1"/>
      <w:numFmt w:val="decimal"/>
      <w:isLgl/>
      <w:suff w:val="space"/>
      <w:lvlText w:val="%1.%2"/>
      <w:lvlJc w:val="left"/>
      <w:pPr>
        <w:ind w:left="0" w:firstLine="0"/>
      </w:pPr>
      <w:rPr>
        <w:rFonts w:hint="eastAsia" w:ascii="宋体" w:hAnsi="宋体" w:eastAsia="宋体"/>
        <w:b/>
        <w:i w:val="0"/>
        <w:color w:val="000000"/>
        <w:sz w:val="24"/>
      </w:rPr>
    </w:lvl>
    <w:lvl w:ilvl="2" w:tentative="0">
      <w:start w:val="1"/>
      <w:numFmt w:val="decimal"/>
      <w:pStyle w:val="6"/>
      <w:isLgl/>
      <w:suff w:val="space"/>
      <w:lvlText w:val="%1.%2.%3"/>
      <w:lvlJc w:val="left"/>
      <w:pPr>
        <w:ind w:left="0" w:firstLine="0"/>
      </w:pPr>
      <w:rPr>
        <w:rFonts w:hint="eastAsia" w:ascii="宋体" w:hAnsi="宋体"/>
        <w:b/>
        <w:bCs/>
        <w:i w:val="0"/>
        <w:iCs w:val="0"/>
        <w:caps w:val="0"/>
        <w:smallCaps w:val="0"/>
        <w:strike w:val="0"/>
        <w:dstrike w:val="0"/>
        <w:vanish w:val="0"/>
        <w:color w:val="000000"/>
        <w:spacing w:val="0"/>
        <w:position w:val="0"/>
        <w:sz w:val="24"/>
        <w:u w:val="none"/>
        <w:vertAlign w:val="baseline"/>
      </w:rPr>
    </w:lvl>
    <w:lvl w:ilvl="3" w:tentative="0">
      <w:start w:val="1"/>
      <w:numFmt w:val="decimal"/>
      <w:isLgl/>
      <w:suff w:val="space"/>
      <w:lvlText w:val="%1.%2.%3.%4"/>
      <w:lvlJc w:val="left"/>
      <w:pPr>
        <w:ind w:left="0" w:firstLine="0"/>
      </w:pPr>
      <w:rPr>
        <w:rFonts w:hint="eastAsia" w:ascii="宋体" w:hAnsi="宋体" w:cs="Times New Roman"/>
        <w:b/>
        <w:bCs/>
        <w:i w:val="0"/>
        <w:iCs w:val="0"/>
        <w:caps w:val="0"/>
        <w:smallCaps w:val="0"/>
        <w:strike w:val="0"/>
        <w:dstrike w:val="0"/>
        <w:vanish w:val="0"/>
        <w:color w:val="000000"/>
        <w:spacing w:val="0"/>
        <w:kern w:val="0"/>
        <w:position w:val="0"/>
        <w:sz w:val="24"/>
        <w:u w:val="none"/>
        <w:vertAlign w:val="baseline"/>
      </w:rPr>
    </w:lvl>
    <w:lvl w:ilvl="4" w:tentative="0">
      <w:start w:val="1"/>
      <w:numFmt w:val="decimal"/>
      <w:suff w:val="space"/>
      <w:lvlText w:val="%1.%2.%3.%4.%5"/>
      <w:lvlJc w:val="left"/>
      <w:pPr>
        <w:ind w:left="0" w:firstLine="0"/>
      </w:pPr>
      <w:rPr>
        <w:rFonts w:hint="eastAsia" w:ascii="宋体" w:hAnsi="宋体" w:eastAsia="宋体"/>
        <w:b/>
        <w:i w:val="0"/>
        <w:color w:val="000000"/>
        <w:sz w:val="24"/>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28">
    <w:nsid w:val="3283101D"/>
    <w:multiLevelType w:val="multilevel"/>
    <w:tmpl w:val="3283101D"/>
    <w:lvl w:ilvl="0" w:tentative="0">
      <w:start w:val="1"/>
      <w:numFmt w:val="decimal"/>
      <w:pStyle w:val="72"/>
      <w:lvlText w:val="（%1）"/>
      <w:lvlJc w:val="left"/>
      <w:pPr>
        <w:ind w:left="840" w:hanging="420"/>
      </w:pPr>
      <w:rPr>
        <w:rFonts w:hint="default" w:ascii="Times New Roman" w:hAnsi="Times New Roman"/>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9">
    <w:nsid w:val="33910E62"/>
    <w:multiLevelType w:val="multilevel"/>
    <w:tmpl w:val="33910E62"/>
    <w:lvl w:ilvl="0" w:tentative="0">
      <w:start w:val="1"/>
      <w:numFmt w:val="decimal"/>
      <w:suff w:val="nothing"/>
      <w:lvlText w:val="%1"/>
      <w:lvlJc w:val="center"/>
      <w:pPr>
        <w:ind w:left="240" w:firstLine="0"/>
      </w:pPr>
      <w:rPr>
        <w:rFonts w:hint="default" w:ascii="Times New Roman" w:hAnsi="Times New Roman" w:eastAsia="宋体"/>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375D2254"/>
    <w:multiLevelType w:val="multilevel"/>
    <w:tmpl w:val="375D2254"/>
    <w:lvl w:ilvl="0" w:tentative="0">
      <w:start w:val="1"/>
      <w:numFmt w:val="decimal"/>
      <w:suff w:val="nothing"/>
      <w:lvlText w:val="%1"/>
      <w:lvlJc w:val="center"/>
      <w:pPr>
        <w:ind w:left="0" w:firstLine="0"/>
      </w:pPr>
      <w:rPr>
        <w:rFonts w:hint="default" w:ascii="Times New Roman" w:hAnsi="Times New Roman" w:eastAsia="宋体"/>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1">
    <w:nsid w:val="39CA451E"/>
    <w:multiLevelType w:val="multilevel"/>
    <w:tmpl w:val="39CA451E"/>
    <w:lvl w:ilvl="0" w:tentative="0">
      <w:start w:val="1"/>
      <w:numFmt w:val="decimal"/>
      <w:suff w:val="nothing"/>
      <w:lvlText w:val="（%1）"/>
      <w:lvlJc w:val="left"/>
      <w:pPr>
        <w:ind w:left="0" w:firstLine="480"/>
      </w:pPr>
      <w:rPr>
        <w:rFonts w:hint="default" w:ascii="Times New Roman" w:hAnsi="Times New Roman" w:eastAsia="宋体"/>
        <w:b w:val="0"/>
        <w:i w:val="0"/>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2">
    <w:nsid w:val="39E08CF5"/>
    <w:multiLevelType w:val="multilevel"/>
    <w:tmpl w:val="39E08CF5"/>
    <w:lvl w:ilvl="0" w:tentative="0">
      <w:start w:val="1"/>
      <w:numFmt w:val="decimal"/>
      <w:suff w:val="nothing"/>
      <w:lvlText w:val="%1"/>
      <w:lvlJc w:val="center"/>
      <w:pPr>
        <w:ind w:left="240" w:hanging="240"/>
      </w:pPr>
      <w:rPr>
        <w:rFonts w:hint="default" w:ascii="Times New Roman" w:hAnsi="Times New Roman" w:eastAsia="宋体"/>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44535BD3"/>
    <w:multiLevelType w:val="multilevel"/>
    <w:tmpl w:val="44535BD3"/>
    <w:lvl w:ilvl="0" w:tentative="0">
      <w:start w:val="1"/>
      <w:numFmt w:val="bullet"/>
      <w:pStyle w:val="156"/>
      <w:lvlText w:val=""/>
      <w:lvlJc w:val="left"/>
      <w:pPr>
        <w:ind w:left="420" w:hanging="420"/>
      </w:pPr>
      <w:rPr>
        <w:rFonts w:hint="default" w:ascii="Wingdings" w:hAnsi="Wingdings"/>
        <w:color w:val="FF0000"/>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4">
    <w:nsid w:val="4B5C54D9"/>
    <w:multiLevelType w:val="multilevel"/>
    <w:tmpl w:val="4B5C54D9"/>
    <w:lvl w:ilvl="0" w:tentative="0">
      <w:start w:val="1"/>
      <w:numFmt w:val="decimal"/>
      <w:suff w:val="nothing"/>
      <w:lvlText w:val="（%1）"/>
      <w:lvlJc w:val="left"/>
      <w:pPr>
        <w:ind w:left="0" w:firstLine="480"/>
      </w:pPr>
      <w:rPr>
        <w:rFonts w:hint="default" w:ascii="Times New Roman" w:hAnsi="Times New Roman" w:eastAsia="宋体"/>
        <w:b w:val="0"/>
        <w:i w:val="0"/>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5">
    <w:nsid w:val="500F0A56"/>
    <w:multiLevelType w:val="multilevel"/>
    <w:tmpl w:val="500F0A56"/>
    <w:lvl w:ilvl="0" w:tentative="0">
      <w:start w:val="1"/>
      <w:numFmt w:val="decimal"/>
      <w:pStyle w:val="115"/>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6">
    <w:nsid w:val="52EB4103"/>
    <w:multiLevelType w:val="multilevel"/>
    <w:tmpl w:val="52EB4103"/>
    <w:lvl w:ilvl="0" w:tentative="0">
      <w:start w:val="1"/>
      <w:numFmt w:val="decimal"/>
      <w:suff w:val="nothing"/>
      <w:lvlText w:val="%1"/>
      <w:lvlJc w:val="center"/>
      <w:pPr>
        <w:ind w:left="240" w:hanging="240"/>
      </w:pPr>
      <w:rPr>
        <w:rFonts w:hint="default" w:ascii="Times New Roman" w:hAnsi="Times New Roman" w:eastAsia="宋体"/>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552832F4"/>
    <w:multiLevelType w:val="multilevel"/>
    <w:tmpl w:val="552832F4"/>
    <w:lvl w:ilvl="0" w:tentative="0">
      <w:start w:val="1"/>
      <w:numFmt w:val="decimal"/>
      <w:suff w:val="nothing"/>
      <w:lvlText w:val="（%1）"/>
      <w:lvlJc w:val="left"/>
      <w:pPr>
        <w:ind w:left="0" w:firstLine="480"/>
      </w:pPr>
      <w:rPr>
        <w:rFonts w:hint="default" w:ascii="Times New Roman" w:hAnsi="Times New Roman" w:eastAsia="宋体"/>
        <w:b w:val="0"/>
        <w:i w:val="0"/>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8">
    <w:nsid w:val="56A92DB5"/>
    <w:multiLevelType w:val="singleLevel"/>
    <w:tmpl w:val="56A92DB5"/>
    <w:lvl w:ilvl="0" w:tentative="0">
      <w:start w:val="1"/>
      <w:numFmt w:val="decimal"/>
      <w:lvlText w:val="%1)"/>
      <w:lvlJc w:val="left"/>
      <w:pPr>
        <w:ind w:left="425" w:hanging="425"/>
      </w:pPr>
      <w:rPr>
        <w:rFonts w:hint="default"/>
      </w:rPr>
    </w:lvl>
  </w:abstractNum>
  <w:abstractNum w:abstractNumId="39">
    <w:nsid w:val="56D45BAF"/>
    <w:multiLevelType w:val="multilevel"/>
    <w:tmpl w:val="56D45BAF"/>
    <w:lvl w:ilvl="0" w:tentative="0">
      <w:start w:val="1"/>
      <w:numFmt w:val="decimal"/>
      <w:suff w:val="nothing"/>
      <w:lvlText w:val="%1"/>
      <w:lvlJc w:val="center"/>
      <w:pPr>
        <w:ind w:left="0" w:firstLine="0"/>
      </w:pPr>
      <w:rPr>
        <w:rFonts w:hint="default" w:ascii="Times New Roman" w:hAnsi="Times New Roman" w:eastAsia="宋体"/>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5F481554"/>
    <w:multiLevelType w:val="multilevel"/>
    <w:tmpl w:val="5F481554"/>
    <w:lvl w:ilvl="0" w:tentative="0">
      <w:start w:val="1"/>
      <w:numFmt w:val="decimal"/>
      <w:suff w:val="nothing"/>
      <w:lvlText w:val="（%1）"/>
      <w:lvlJc w:val="left"/>
      <w:pPr>
        <w:ind w:left="0" w:firstLine="400"/>
      </w:pPr>
      <w:rPr>
        <w:rFonts w:hint="default" w:ascii="Times New Roman" w:hAnsi="Times New Roman" w:eastAsia="宋体"/>
        <w:b w:val="0"/>
        <w:i w:val="0"/>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1">
    <w:nsid w:val="65640C4E"/>
    <w:multiLevelType w:val="multilevel"/>
    <w:tmpl w:val="65640C4E"/>
    <w:lvl w:ilvl="0" w:tentative="0">
      <w:start w:val="1"/>
      <w:numFmt w:val="decimal"/>
      <w:suff w:val="nothing"/>
      <w:lvlText w:val="%1"/>
      <w:lvlJc w:val="center"/>
      <w:pPr>
        <w:ind w:left="0" w:firstLine="0"/>
      </w:pPr>
      <w:rPr>
        <w:rFonts w:hint="default" w:ascii="Times New Roman" w:hAnsi="Times New Roman" w:eastAsia="宋体"/>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2">
    <w:nsid w:val="66815087"/>
    <w:multiLevelType w:val="singleLevel"/>
    <w:tmpl w:val="66815087"/>
    <w:lvl w:ilvl="0" w:tentative="0">
      <w:start w:val="1"/>
      <w:numFmt w:val="lowerLetter"/>
      <w:suff w:val="nothing"/>
      <w:lvlText w:val="%1."/>
      <w:lvlJc w:val="left"/>
      <w:pPr>
        <w:ind w:left="0" w:leftChars="0" w:firstLine="283" w:firstLineChars="0"/>
      </w:pPr>
      <w:rPr>
        <w:rFonts w:hint="default"/>
      </w:rPr>
    </w:lvl>
  </w:abstractNum>
  <w:abstractNum w:abstractNumId="43">
    <w:nsid w:val="6965573E"/>
    <w:multiLevelType w:val="singleLevel"/>
    <w:tmpl w:val="6965573E"/>
    <w:lvl w:ilvl="0" w:tentative="0">
      <w:start w:val="1"/>
      <w:numFmt w:val="decimal"/>
      <w:lvlText w:val="%1."/>
      <w:lvlJc w:val="left"/>
      <w:pPr>
        <w:ind w:left="425" w:hanging="425"/>
      </w:pPr>
      <w:rPr>
        <w:rFonts w:hint="default"/>
      </w:rPr>
    </w:lvl>
  </w:abstractNum>
  <w:abstractNum w:abstractNumId="44">
    <w:nsid w:val="771C2D68"/>
    <w:multiLevelType w:val="multilevel"/>
    <w:tmpl w:val="771C2D68"/>
    <w:lvl w:ilvl="0" w:tentative="0">
      <w:start w:val="1"/>
      <w:numFmt w:val="bullet"/>
      <w:pStyle w:val="90"/>
      <w:suff w:val="space"/>
      <w:lvlText w:val=""/>
      <w:lvlJc w:val="left"/>
      <w:pPr>
        <w:ind w:left="0" w:firstLine="0"/>
      </w:pPr>
      <w:rPr>
        <w:rFonts w:hint="default" w:ascii="Wingdings" w:hAnsi="Wingdings"/>
        <w:color w:val="000000" w:themeColor="text1"/>
        <w14:textFill>
          <w14:solidFill>
            <w14:schemeClr w14:val="tx1"/>
          </w14:solidFill>
        </w14:textFill>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5">
    <w:nsid w:val="774D27EF"/>
    <w:multiLevelType w:val="multilevel"/>
    <w:tmpl w:val="774D27EF"/>
    <w:lvl w:ilvl="0" w:tentative="0">
      <w:start w:val="1"/>
      <w:numFmt w:val="decimal"/>
      <w:pStyle w:val="143"/>
      <w:lvlText w:val="%1) "/>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6">
    <w:nsid w:val="7C007252"/>
    <w:multiLevelType w:val="multilevel"/>
    <w:tmpl w:val="7C007252"/>
    <w:lvl w:ilvl="0" w:tentative="0">
      <w:start w:val="1"/>
      <w:numFmt w:val="decimal"/>
      <w:suff w:val="nothing"/>
      <w:lvlText w:val="%1"/>
      <w:lvlJc w:val="center"/>
      <w:pPr>
        <w:ind w:left="0" w:firstLine="0"/>
      </w:pPr>
      <w:rPr>
        <w:rFonts w:hint="default" w:ascii="Times New Roman" w:hAnsi="Times New Roman" w:eastAsia="宋体"/>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1"/>
  </w:num>
  <w:num w:numId="2">
    <w:abstractNumId w:val="27"/>
  </w:num>
  <w:num w:numId="3">
    <w:abstractNumId w:val="28"/>
  </w:num>
  <w:num w:numId="4">
    <w:abstractNumId w:val="21"/>
  </w:num>
  <w:num w:numId="5">
    <w:abstractNumId w:val="44"/>
  </w:num>
  <w:num w:numId="6">
    <w:abstractNumId w:val="35"/>
  </w:num>
  <w:num w:numId="7">
    <w:abstractNumId w:val="17"/>
  </w:num>
  <w:num w:numId="8">
    <w:abstractNumId w:val="45"/>
  </w:num>
  <w:num w:numId="9">
    <w:abstractNumId w:val="33"/>
  </w:num>
  <w:num w:numId="10">
    <w:abstractNumId w:val="9"/>
  </w:num>
  <w:num w:numId="11">
    <w:abstractNumId w:val="7"/>
  </w:num>
  <w:num w:numId="12">
    <w:abstractNumId w:val="3"/>
  </w:num>
  <w:num w:numId="13">
    <w:abstractNumId w:val="41"/>
  </w:num>
  <w:num w:numId="14">
    <w:abstractNumId w:val="12"/>
  </w:num>
  <w:num w:numId="15">
    <w:abstractNumId w:val="40"/>
  </w:num>
  <w:num w:numId="16">
    <w:abstractNumId w:val="39"/>
  </w:num>
  <w:num w:numId="17">
    <w:abstractNumId w:val="25"/>
  </w:num>
  <w:num w:numId="18">
    <w:abstractNumId w:val="15"/>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1"/>
  </w:num>
  <w:num w:numId="21">
    <w:abstractNumId w:val="34"/>
  </w:num>
  <w:num w:numId="22">
    <w:abstractNumId w:val="37"/>
  </w:num>
  <w:num w:numId="23">
    <w:abstractNumId w:val="26"/>
  </w:num>
  <w:num w:numId="24">
    <w:abstractNumId w:val="8"/>
  </w:num>
  <w:num w:numId="25">
    <w:abstractNumId w:val="4"/>
  </w:num>
  <w:num w:numId="26">
    <w:abstractNumId w:val="1"/>
  </w:num>
  <w:num w:numId="27">
    <w:abstractNumId w:val="2"/>
  </w:num>
  <w:num w:numId="28">
    <w:abstractNumId w:val="10"/>
  </w:num>
  <w:num w:numId="29">
    <w:abstractNumId w:val="22"/>
  </w:num>
  <w:num w:numId="30">
    <w:abstractNumId w:val="20"/>
  </w:num>
  <w:num w:numId="31">
    <w:abstractNumId w:val="32"/>
  </w:num>
  <w:num w:numId="32">
    <w:abstractNumId w:val="36"/>
  </w:num>
  <w:num w:numId="33">
    <w:abstractNumId w:val="43"/>
  </w:num>
  <w:num w:numId="34">
    <w:abstractNumId w:val="5"/>
  </w:num>
  <w:num w:numId="35">
    <w:abstractNumId w:val="19"/>
  </w:num>
  <w:num w:numId="36">
    <w:abstractNumId w:val="38"/>
  </w:num>
  <w:num w:numId="37">
    <w:abstractNumId w:val="42"/>
  </w:num>
  <w:num w:numId="38">
    <w:abstractNumId w:val="24"/>
  </w:num>
  <w:num w:numId="39">
    <w:abstractNumId w:val="13"/>
  </w:num>
  <w:num w:numId="40">
    <w:abstractNumId w:val="0"/>
  </w:num>
  <w:num w:numId="41">
    <w:abstractNumId w:val="30"/>
  </w:num>
  <w:num w:numId="42">
    <w:abstractNumId w:val="46"/>
  </w:num>
  <w:num w:numId="43">
    <w:abstractNumId w:val="6"/>
  </w:num>
  <w:num w:numId="44">
    <w:abstractNumId w:val="16"/>
  </w:num>
  <w:num w:numId="4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8"/>
  </w:num>
  <w:num w:numId="4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9"/>
  </w:num>
  <w:num w:numId="5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nforcement="0"/>
  <w:defaultTabStop w:val="0"/>
  <w:drawingGridHorizontalSpacing w:val="120"/>
  <w:drawingGridVerticalSpacing w:val="163"/>
  <w:noPunctuationKerning w:val="1"/>
  <w:characterSpacingControl w:val="doNotCompress"/>
  <w:footnotePr>
    <w:footnote w:id="0"/>
    <w:footnote w:id="1"/>
  </w:footnotePr>
  <w:endnotePr>
    <w:endnote w:id="0"/>
    <w:endnote w:id="1"/>
  </w:endnotePr>
  <w:compat>
    <w:balanceSingleByteDoubleByteWidth/>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JjNTQxMzI5N2U2YmJmZjM0ZmIzYTE2OWQ0MTYxNjAifQ=="/>
  </w:docVars>
  <w:rsids>
    <w:rsidRoot w:val="002B2E32"/>
    <w:rsid w:val="00000BF2"/>
    <w:rsid w:val="00000BFB"/>
    <w:rsid w:val="00000FB1"/>
    <w:rsid w:val="00001FBA"/>
    <w:rsid w:val="000022EE"/>
    <w:rsid w:val="00002586"/>
    <w:rsid w:val="000026C2"/>
    <w:rsid w:val="00004D4E"/>
    <w:rsid w:val="000061D7"/>
    <w:rsid w:val="00006B13"/>
    <w:rsid w:val="0000744A"/>
    <w:rsid w:val="00007CAA"/>
    <w:rsid w:val="00010214"/>
    <w:rsid w:val="00011044"/>
    <w:rsid w:val="000112F2"/>
    <w:rsid w:val="00011A50"/>
    <w:rsid w:val="00011F9E"/>
    <w:rsid w:val="00012440"/>
    <w:rsid w:val="000137AD"/>
    <w:rsid w:val="00013DF8"/>
    <w:rsid w:val="00015CD6"/>
    <w:rsid w:val="00017206"/>
    <w:rsid w:val="0001780C"/>
    <w:rsid w:val="00017C1D"/>
    <w:rsid w:val="00017D4C"/>
    <w:rsid w:val="0002005A"/>
    <w:rsid w:val="00020314"/>
    <w:rsid w:val="000219D2"/>
    <w:rsid w:val="0002239E"/>
    <w:rsid w:val="00023252"/>
    <w:rsid w:val="00023825"/>
    <w:rsid w:val="0002421A"/>
    <w:rsid w:val="00024867"/>
    <w:rsid w:val="0002616F"/>
    <w:rsid w:val="00026268"/>
    <w:rsid w:val="00026F73"/>
    <w:rsid w:val="0003026A"/>
    <w:rsid w:val="00031A04"/>
    <w:rsid w:val="00031C95"/>
    <w:rsid w:val="0003233C"/>
    <w:rsid w:val="00035E0E"/>
    <w:rsid w:val="000363BE"/>
    <w:rsid w:val="00037913"/>
    <w:rsid w:val="00037CF1"/>
    <w:rsid w:val="000413C1"/>
    <w:rsid w:val="000415F2"/>
    <w:rsid w:val="00041A6C"/>
    <w:rsid w:val="0004210D"/>
    <w:rsid w:val="00044C71"/>
    <w:rsid w:val="00044E80"/>
    <w:rsid w:val="000452F6"/>
    <w:rsid w:val="00047EC2"/>
    <w:rsid w:val="00047F2C"/>
    <w:rsid w:val="00051B29"/>
    <w:rsid w:val="00052ECB"/>
    <w:rsid w:val="000532F3"/>
    <w:rsid w:val="0005399A"/>
    <w:rsid w:val="000548E9"/>
    <w:rsid w:val="00055247"/>
    <w:rsid w:val="0005660D"/>
    <w:rsid w:val="00056E56"/>
    <w:rsid w:val="0005709E"/>
    <w:rsid w:val="00057326"/>
    <w:rsid w:val="000575B8"/>
    <w:rsid w:val="000600C1"/>
    <w:rsid w:val="000607A9"/>
    <w:rsid w:val="00060ECD"/>
    <w:rsid w:val="00060EF0"/>
    <w:rsid w:val="00061784"/>
    <w:rsid w:val="000621A7"/>
    <w:rsid w:val="00064866"/>
    <w:rsid w:val="000648E9"/>
    <w:rsid w:val="00064912"/>
    <w:rsid w:val="00064C39"/>
    <w:rsid w:val="00064CCB"/>
    <w:rsid w:val="00065675"/>
    <w:rsid w:val="000658C7"/>
    <w:rsid w:val="00067E5E"/>
    <w:rsid w:val="00070767"/>
    <w:rsid w:val="00070A63"/>
    <w:rsid w:val="00071B12"/>
    <w:rsid w:val="00076091"/>
    <w:rsid w:val="000767D9"/>
    <w:rsid w:val="00076A44"/>
    <w:rsid w:val="0007702D"/>
    <w:rsid w:val="00080336"/>
    <w:rsid w:val="00080E39"/>
    <w:rsid w:val="00081400"/>
    <w:rsid w:val="00082C12"/>
    <w:rsid w:val="0008381D"/>
    <w:rsid w:val="00084009"/>
    <w:rsid w:val="000860B6"/>
    <w:rsid w:val="00086627"/>
    <w:rsid w:val="00086771"/>
    <w:rsid w:val="00086BE0"/>
    <w:rsid w:val="00087972"/>
    <w:rsid w:val="0009010D"/>
    <w:rsid w:val="000902AB"/>
    <w:rsid w:val="00091E34"/>
    <w:rsid w:val="0009366F"/>
    <w:rsid w:val="00093AA1"/>
    <w:rsid w:val="00095C9C"/>
    <w:rsid w:val="00096AF3"/>
    <w:rsid w:val="0009720D"/>
    <w:rsid w:val="000A1ED3"/>
    <w:rsid w:val="000A2158"/>
    <w:rsid w:val="000A325D"/>
    <w:rsid w:val="000A4074"/>
    <w:rsid w:val="000A4C76"/>
    <w:rsid w:val="000A4F56"/>
    <w:rsid w:val="000A4FCD"/>
    <w:rsid w:val="000A5C65"/>
    <w:rsid w:val="000A63FA"/>
    <w:rsid w:val="000A6743"/>
    <w:rsid w:val="000A6C8E"/>
    <w:rsid w:val="000B0CD8"/>
    <w:rsid w:val="000B15A8"/>
    <w:rsid w:val="000B16A4"/>
    <w:rsid w:val="000B28DA"/>
    <w:rsid w:val="000B3C56"/>
    <w:rsid w:val="000B442E"/>
    <w:rsid w:val="000B52B7"/>
    <w:rsid w:val="000B5420"/>
    <w:rsid w:val="000B617A"/>
    <w:rsid w:val="000B6DFD"/>
    <w:rsid w:val="000B6FCC"/>
    <w:rsid w:val="000C13BE"/>
    <w:rsid w:val="000C3754"/>
    <w:rsid w:val="000C38B9"/>
    <w:rsid w:val="000C3968"/>
    <w:rsid w:val="000C70E7"/>
    <w:rsid w:val="000D05BE"/>
    <w:rsid w:val="000D155E"/>
    <w:rsid w:val="000D3441"/>
    <w:rsid w:val="000D426A"/>
    <w:rsid w:val="000D5B5F"/>
    <w:rsid w:val="000D6043"/>
    <w:rsid w:val="000D63AE"/>
    <w:rsid w:val="000D6BA1"/>
    <w:rsid w:val="000D79C8"/>
    <w:rsid w:val="000E07C8"/>
    <w:rsid w:val="000E0AE0"/>
    <w:rsid w:val="000E15CA"/>
    <w:rsid w:val="000E2A4A"/>
    <w:rsid w:val="000E2FF9"/>
    <w:rsid w:val="000E37D3"/>
    <w:rsid w:val="000E4E6F"/>
    <w:rsid w:val="000E563D"/>
    <w:rsid w:val="000E5796"/>
    <w:rsid w:val="000E5D0F"/>
    <w:rsid w:val="000E5F55"/>
    <w:rsid w:val="000E644F"/>
    <w:rsid w:val="000E66FC"/>
    <w:rsid w:val="000E6750"/>
    <w:rsid w:val="000E67E0"/>
    <w:rsid w:val="000E7EF8"/>
    <w:rsid w:val="000F0B4F"/>
    <w:rsid w:val="000F2864"/>
    <w:rsid w:val="000F307A"/>
    <w:rsid w:val="000F5616"/>
    <w:rsid w:val="000F630B"/>
    <w:rsid w:val="000F73FC"/>
    <w:rsid w:val="000F77AF"/>
    <w:rsid w:val="000F7ACF"/>
    <w:rsid w:val="0010095A"/>
    <w:rsid w:val="00100FF8"/>
    <w:rsid w:val="00101E1B"/>
    <w:rsid w:val="00101E21"/>
    <w:rsid w:val="00102171"/>
    <w:rsid w:val="00103CC8"/>
    <w:rsid w:val="00104267"/>
    <w:rsid w:val="00104A7E"/>
    <w:rsid w:val="00107F0C"/>
    <w:rsid w:val="001100D2"/>
    <w:rsid w:val="001101E7"/>
    <w:rsid w:val="00110319"/>
    <w:rsid w:val="00110C88"/>
    <w:rsid w:val="00110F16"/>
    <w:rsid w:val="00111684"/>
    <w:rsid w:val="00111D76"/>
    <w:rsid w:val="001122CA"/>
    <w:rsid w:val="00112DB5"/>
    <w:rsid w:val="001138B7"/>
    <w:rsid w:val="0011520D"/>
    <w:rsid w:val="00115533"/>
    <w:rsid w:val="00115643"/>
    <w:rsid w:val="00115819"/>
    <w:rsid w:val="00115C56"/>
    <w:rsid w:val="001166E1"/>
    <w:rsid w:val="00116B59"/>
    <w:rsid w:val="0012016E"/>
    <w:rsid w:val="00121507"/>
    <w:rsid w:val="001218DD"/>
    <w:rsid w:val="0012240E"/>
    <w:rsid w:val="00124985"/>
    <w:rsid w:val="00124A1C"/>
    <w:rsid w:val="00125667"/>
    <w:rsid w:val="0012580D"/>
    <w:rsid w:val="0012608A"/>
    <w:rsid w:val="001260CF"/>
    <w:rsid w:val="00127699"/>
    <w:rsid w:val="00130213"/>
    <w:rsid w:val="001321C3"/>
    <w:rsid w:val="00132967"/>
    <w:rsid w:val="00132E28"/>
    <w:rsid w:val="0013386D"/>
    <w:rsid w:val="00133B42"/>
    <w:rsid w:val="00133B76"/>
    <w:rsid w:val="0013532F"/>
    <w:rsid w:val="00135BD2"/>
    <w:rsid w:val="00135C64"/>
    <w:rsid w:val="00140A9F"/>
    <w:rsid w:val="0014133D"/>
    <w:rsid w:val="00141C01"/>
    <w:rsid w:val="0014225C"/>
    <w:rsid w:val="00142EDC"/>
    <w:rsid w:val="001430E4"/>
    <w:rsid w:val="00143317"/>
    <w:rsid w:val="0014520E"/>
    <w:rsid w:val="001456B2"/>
    <w:rsid w:val="00145C34"/>
    <w:rsid w:val="00147333"/>
    <w:rsid w:val="00150FA6"/>
    <w:rsid w:val="00151C44"/>
    <w:rsid w:val="00151E65"/>
    <w:rsid w:val="001522E2"/>
    <w:rsid w:val="00153893"/>
    <w:rsid w:val="00153F93"/>
    <w:rsid w:val="0015522F"/>
    <w:rsid w:val="00156BBA"/>
    <w:rsid w:val="00161DAA"/>
    <w:rsid w:val="0016512C"/>
    <w:rsid w:val="0016513C"/>
    <w:rsid w:val="00165B86"/>
    <w:rsid w:val="001666A2"/>
    <w:rsid w:val="0016739C"/>
    <w:rsid w:val="001675A0"/>
    <w:rsid w:val="001677B7"/>
    <w:rsid w:val="00167888"/>
    <w:rsid w:val="00167F19"/>
    <w:rsid w:val="00167F1C"/>
    <w:rsid w:val="0017128C"/>
    <w:rsid w:val="001731CF"/>
    <w:rsid w:val="00173484"/>
    <w:rsid w:val="00173C2E"/>
    <w:rsid w:val="00174D7F"/>
    <w:rsid w:val="00175791"/>
    <w:rsid w:val="001758B8"/>
    <w:rsid w:val="00175993"/>
    <w:rsid w:val="00175C11"/>
    <w:rsid w:val="00175DEE"/>
    <w:rsid w:val="00175E5E"/>
    <w:rsid w:val="00177E62"/>
    <w:rsid w:val="00180BD0"/>
    <w:rsid w:val="00182A92"/>
    <w:rsid w:val="00182AA9"/>
    <w:rsid w:val="00183185"/>
    <w:rsid w:val="00183346"/>
    <w:rsid w:val="0018465B"/>
    <w:rsid w:val="001846AC"/>
    <w:rsid w:val="001847F7"/>
    <w:rsid w:val="00184F57"/>
    <w:rsid w:val="001879F5"/>
    <w:rsid w:val="00191796"/>
    <w:rsid w:val="00191CD4"/>
    <w:rsid w:val="001927D7"/>
    <w:rsid w:val="00192E21"/>
    <w:rsid w:val="00192F49"/>
    <w:rsid w:val="00193798"/>
    <w:rsid w:val="00195371"/>
    <w:rsid w:val="001955AF"/>
    <w:rsid w:val="00195969"/>
    <w:rsid w:val="00195A30"/>
    <w:rsid w:val="001962B4"/>
    <w:rsid w:val="0019685C"/>
    <w:rsid w:val="00196D0E"/>
    <w:rsid w:val="001972E8"/>
    <w:rsid w:val="00197909"/>
    <w:rsid w:val="001A037B"/>
    <w:rsid w:val="001A2167"/>
    <w:rsid w:val="001A2429"/>
    <w:rsid w:val="001A2595"/>
    <w:rsid w:val="001A27C7"/>
    <w:rsid w:val="001A4183"/>
    <w:rsid w:val="001A4670"/>
    <w:rsid w:val="001A4708"/>
    <w:rsid w:val="001A4C6F"/>
    <w:rsid w:val="001A4CCF"/>
    <w:rsid w:val="001A5612"/>
    <w:rsid w:val="001A58AA"/>
    <w:rsid w:val="001A5C5F"/>
    <w:rsid w:val="001A69A0"/>
    <w:rsid w:val="001A6C32"/>
    <w:rsid w:val="001A7124"/>
    <w:rsid w:val="001A7C5F"/>
    <w:rsid w:val="001B0444"/>
    <w:rsid w:val="001B1AD7"/>
    <w:rsid w:val="001B1B7E"/>
    <w:rsid w:val="001B1F40"/>
    <w:rsid w:val="001B26BD"/>
    <w:rsid w:val="001B2A14"/>
    <w:rsid w:val="001B2AF4"/>
    <w:rsid w:val="001B322D"/>
    <w:rsid w:val="001B3445"/>
    <w:rsid w:val="001B47CF"/>
    <w:rsid w:val="001B533B"/>
    <w:rsid w:val="001B61D8"/>
    <w:rsid w:val="001B6D08"/>
    <w:rsid w:val="001B6E13"/>
    <w:rsid w:val="001B7449"/>
    <w:rsid w:val="001C10EA"/>
    <w:rsid w:val="001C1588"/>
    <w:rsid w:val="001C185E"/>
    <w:rsid w:val="001C2130"/>
    <w:rsid w:val="001C24BA"/>
    <w:rsid w:val="001C35C0"/>
    <w:rsid w:val="001C3704"/>
    <w:rsid w:val="001C4C41"/>
    <w:rsid w:val="001C56D8"/>
    <w:rsid w:val="001C6DF3"/>
    <w:rsid w:val="001C79E0"/>
    <w:rsid w:val="001C7DEE"/>
    <w:rsid w:val="001D06D1"/>
    <w:rsid w:val="001D111A"/>
    <w:rsid w:val="001D16B2"/>
    <w:rsid w:val="001D1E4A"/>
    <w:rsid w:val="001D1FE7"/>
    <w:rsid w:val="001D22E3"/>
    <w:rsid w:val="001D2406"/>
    <w:rsid w:val="001D33A5"/>
    <w:rsid w:val="001D3D8B"/>
    <w:rsid w:val="001D3E63"/>
    <w:rsid w:val="001D4474"/>
    <w:rsid w:val="001D5AD6"/>
    <w:rsid w:val="001D7595"/>
    <w:rsid w:val="001D7668"/>
    <w:rsid w:val="001D777D"/>
    <w:rsid w:val="001E12C7"/>
    <w:rsid w:val="001E2490"/>
    <w:rsid w:val="001E2525"/>
    <w:rsid w:val="001E2709"/>
    <w:rsid w:val="001E318A"/>
    <w:rsid w:val="001E510E"/>
    <w:rsid w:val="001E5DCB"/>
    <w:rsid w:val="001E60BA"/>
    <w:rsid w:val="001E65D2"/>
    <w:rsid w:val="001E70CC"/>
    <w:rsid w:val="001E78D3"/>
    <w:rsid w:val="001F188B"/>
    <w:rsid w:val="001F2A29"/>
    <w:rsid w:val="001F33B2"/>
    <w:rsid w:val="001F376B"/>
    <w:rsid w:val="001F3DC4"/>
    <w:rsid w:val="001F52CE"/>
    <w:rsid w:val="001F6166"/>
    <w:rsid w:val="001F67A9"/>
    <w:rsid w:val="001F70A2"/>
    <w:rsid w:val="001F7B76"/>
    <w:rsid w:val="00200AFB"/>
    <w:rsid w:val="00201418"/>
    <w:rsid w:val="00201BDC"/>
    <w:rsid w:val="0020276E"/>
    <w:rsid w:val="00203BD3"/>
    <w:rsid w:val="00204834"/>
    <w:rsid w:val="00204AF5"/>
    <w:rsid w:val="00204C51"/>
    <w:rsid w:val="00204D82"/>
    <w:rsid w:val="002059BE"/>
    <w:rsid w:val="00205D6B"/>
    <w:rsid w:val="00205EED"/>
    <w:rsid w:val="00207479"/>
    <w:rsid w:val="002075D0"/>
    <w:rsid w:val="002078B7"/>
    <w:rsid w:val="00210104"/>
    <w:rsid w:val="00210A8A"/>
    <w:rsid w:val="00210AA4"/>
    <w:rsid w:val="002133D0"/>
    <w:rsid w:val="00213935"/>
    <w:rsid w:val="0021396F"/>
    <w:rsid w:val="002143EE"/>
    <w:rsid w:val="002145A5"/>
    <w:rsid w:val="002147BC"/>
    <w:rsid w:val="00215795"/>
    <w:rsid w:val="00216B29"/>
    <w:rsid w:val="00217919"/>
    <w:rsid w:val="00217AB8"/>
    <w:rsid w:val="00220A4C"/>
    <w:rsid w:val="00221F37"/>
    <w:rsid w:val="00222918"/>
    <w:rsid w:val="002235E9"/>
    <w:rsid w:val="002243E3"/>
    <w:rsid w:val="00224952"/>
    <w:rsid w:val="00225589"/>
    <w:rsid w:val="0022588F"/>
    <w:rsid w:val="00225C51"/>
    <w:rsid w:val="00226B1E"/>
    <w:rsid w:val="00227F55"/>
    <w:rsid w:val="00231D0C"/>
    <w:rsid w:val="00233BC2"/>
    <w:rsid w:val="002346B2"/>
    <w:rsid w:val="00235FF7"/>
    <w:rsid w:val="00236A11"/>
    <w:rsid w:val="00236E65"/>
    <w:rsid w:val="00237237"/>
    <w:rsid w:val="00242048"/>
    <w:rsid w:val="0024302B"/>
    <w:rsid w:val="002436D5"/>
    <w:rsid w:val="00244CCA"/>
    <w:rsid w:val="00245A18"/>
    <w:rsid w:val="00247054"/>
    <w:rsid w:val="00247500"/>
    <w:rsid w:val="00247A41"/>
    <w:rsid w:val="002503B1"/>
    <w:rsid w:val="002504B3"/>
    <w:rsid w:val="002516F4"/>
    <w:rsid w:val="00252080"/>
    <w:rsid w:val="0025247F"/>
    <w:rsid w:val="0025304B"/>
    <w:rsid w:val="00253524"/>
    <w:rsid w:val="002538D5"/>
    <w:rsid w:val="00253CA3"/>
    <w:rsid w:val="002555EC"/>
    <w:rsid w:val="00255FD6"/>
    <w:rsid w:val="002571FA"/>
    <w:rsid w:val="00260B68"/>
    <w:rsid w:val="00260D94"/>
    <w:rsid w:val="00260DCE"/>
    <w:rsid w:val="002624DB"/>
    <w:rsid w:val="00262D0A"/>
    <w:rsid w:val="00262FC1"/>
    <w:rsid w:val="0026315E"/>
    <w:rsid w:val="002633E2"/>
    <w:rsid w:val="002643AF"/>
    <w:rsid w:val="00264707"/>
    <w:rsid w:val="00264817"/>
    <w:rsid w:val="002653E4"/>
    <w:rsid w:val="002669C8"/>
    <w:rsid w:val="002675DA"/>
    <w:rsid w:val="0027016D"/>
    <w:rsid w:val="00270ED7"/>
    <w:rsid w:val="00270FFE"/>
    <w:rsid w:val="00271741"/>
    <w:rsid w:val="00271BE7"/>
    <w:rsid w:val="00272887"/>
    <w:rsid w:val="00273345"/>
    <w:rsid w:val="0027416B"/>
    <w:rsid w:val="0028078C"/>
    <w:rsid w:val="002808BE"/>
    <w:rsid w:val="00280BA1"/>
    <w:rsid w:val="002819E2"/>
    <w:rsid w:val="00282411"/>
    <w:rsid w:val="00282428"/>
    <w:rsid w:val="00283C7D"/>
    <w:rsid w:val="002842CE"/>
    <w:rsid w:val="0028578E"/>
    <w:rsid w:val="00286231"/>
    <w:rsid w:val="00286A15"/>
    <w:rsid w:val="00286B5C"/>
    <w:rsid w:val="002873C3"/>
    <w:rsid w:val="00287A51"/>
    <w:rsid w:val="00287AB7"/>
    <w:rsid w:val="0029039B"/>
    <w:rsid w:val="00291D4A"/>
    <w:rsid w:val="0029280F"/>
    <w:rsid w:val="00292A32"/>
    <w:rsid w:val="00292A58"/>
    <w:rsid w:val="00293046"/>
    <w:rsid w:val="002933F3"/>
    <w:rsid w:val="002951AC"/>
    <w:rsid w:val="00295603"/>
    <w:rsid w:val="0029561F"/>
    <w:rsid w:val="00295714"/>
    <w:rsid w:val="00296098"/>
    <w:rsid w:val="00296FFF"/>
    <w:rsid w:val="002974F1"/>
    <w:rsid w:val="002976BB"/>
    <w:rsid w:val="00297F07"/>
    <w:rsid w:val="00297F77"/>
    <w:rsid w:val="002A1F8D"/>
    <w:rsid w:val="002A2CCC"/>
    <w:rsid w:val="002A35DE"/>
    <w:rsid w:val="002A3652"/>
    <w:rsid w:val="002A3E74"/>
    <w:rsid w:val="002A615A"/>
    <w:rsid w:val="002B0960"/>
    <w:rsid w:val="002B2E32"/>
    <w:rsid w:val="002B3281"/>
    <w:rsid w:val="002B32F3"/>
    <w:rsid w:val="002B3A38"/>
    <w:rsid w:val="002B44F7"/>
    <w:rsid w:val="002B4845"/>
    <w:rsid w:val="002B4949"/>
    <w:rsid w:val="002B59DC"/>
    <w:rsid w:val="002B6797"/>
    <w:rsid w:val="002B6899"/>
    <w:rsid w:val="002B6E31"/>
    <w:rsid w:val="002B7271"/>
    <w:rsid w:val="002B758B"/>
    <w:rsid w:val="002B7AE9"/>
    <w:rsid w:val="002C025C"/>
    <w:rsid w:val="002C03DF"/>
    <w:rsid w:val="002C12FB"/>
    <w:rsid w:val="002C15E5"/>
    <w:rsid w:val="002C1D98"/>
    <w:rsid w:val="002C48AC"/>
    <w:rsid w:val="002C4933"/>
    <w:rsid w:val="002C4F10"/>
    <w:rsid w:val="002C7501"/>
    <w:rsid w:val="002C7641"/>
    <w:rsid w:val="002D0132"/>
    <w:rsid w:val="002D19E2"/>
    <w:rsid w:val="002D1E3F"/>
    <w:rsid w:val="002D22D9"/>
    <w:rsid w:val="002D2CFD"/>
    <w:rsid w:val="002D4156"/>
    <w:rsid w:val="002D549F"/>
    <w:rsid w:val="002D596D"/>
    <w:rsid w:val="002D6D93"/>
    <w:rsid w:val="002D7621"/>
    <w:rsid w:val="002D78F5"/>
    <w:rsid w:val="002D7998"/>
    <w:rsid w:val="002E0544"/>
    <w:rsid w:val="002E0D89"/>
    <w:rsid w:val="002E1031"/>
    <w:rsid w:val="002E24C2"/>
    <w:rsid w:val="002E3408"/>
    <w:rsid w:val="002E3762"/>
    <w:rsid w:val="002E3F78"/>
    <w:rsid w:val="002E44CC"/>
    <w:rsid w:val="002E4795"/>
    <w:rsid w:val="002E4AFC"/>
    <w:rsid w:val="002E6143"/>
    <w:rsid w:val="002E61C8"/>
    <w:rsid w:val="002E6B75"/>
    <w:rsid w:val="002E77C7"/>
    <w:rsid w:val="002E7B41"/>
    <w:rsid w:val="002F043C"/>
    <w:rsid w:val="002F17FE"/>
    <w:rsid w:val="002F23E6"/>
    <w:rsid w:val="002F2D40"/>
    <w:rsid w:val="002F3F9E"/>
    <w:rsid w:val="002F56F2"/>
    <w:rsid w:val="002F5990"/>
    <w:rsid w:val="002F639B"/>
    <w:rsid w:val="002F674E"/>
    <w:rsid w:val="002F689E"/>
    <w:rsid w:val="002F69A0"/>
    <w:rsid w:val="002F6D22"/>
    <w:rsid w:val="0030062D"/>
    <w:rsid w:val="003009FE"/>
    <w:rsid w:val="003011C6"/>
    <w:rsid w:val="0030346F"/>
    <w:rsid w:val="0030352A"/>
    <w:rsid w:val="00303A66"/>
    <w:rsid w:val="003041F3"/>
    <w:rsid w:val="00304603"/>
    <w:rsid w:val="003047D7"/>
    <w:rsid w:val="00304FDE"/>
    <w:rsid w:val="00305923"/>
    <w:rsid w:val="00305DFC"/>
    <w:rsid w:val="0030690B"/>
    <w:rsid w:val="00306F63"/>
    <w:rsid w:val="003072C3"/>
    <w:rsid w:val="00307A95"/>
    <w:rsid w:val="003103CB"/>
    <w:rsid w:val="00310736"/>
    <w:rsid w:val="00310A27"/>
    <w:rsid w:val="00310C92"/>
    <w:rsid w:val="003112E4"/>
    <w:rsid w:val="0031160E"/>
    <w:rsid w:val="003122F6"/>
    <w:rsid w:val="00312A1F"/>
    <w:rsid w:val="003136AF"/>
    <w:rsid w:val="00314259"/>
    <w:rsid w:val="003153A3"/>
    <w:rsid w:val="00316CE5"/>
    <w:rsid w:val="00316E68"/>
    <w:rsid w:val="003172C9"/>
    <w:rsid w:val="00317F94"/>
    <w:rsid w:val="0032023C"/>
    <w:rsid w:val="00320BD9"/>
    <w:rsid w:val="00321F0E"/>
    <w:rsid w:val="003220C1"/>
    <w:rsid w:val="003221A0"/>
    <w:rsid w:val="003222D7"/>
    <w:rsid w:val="00323B48"/>
    <w:rsid w:val="00324083"/>
    <w:rsid w:val="003245B6"/>
    <w:rsid w:val="00324B3B"/>
    <w:rsid w:val="003253A9"/>
    <w:rsid w:val="00326224"/>
    <w:rsid w:val="00326BE1"/>
    <w:rsid w:val="00327C76"/>
    <w:rsid w:val="00330B20"/>
    <w:rsid w:val="00330D16"/>
    <w:rsid w:val="0033199F"/>
    <w:rsid w:val="00332373"/>
    <w:rsid w:val="00332495"/>
    <w:rsid w:val="0033294A"/>
    <w:rsid w:val="003339B3"/>
    <w:rsid w:val="00333A0B"/>
    <w:rsid w:val="00334568"/>
    <w:rsid w:val="00335594"/>
    <w:rsid w:val="00336873"/>
    <w:rsid w:val="003373EB"/>
    <w:rsid w:val="0033760E"/>
    <w:rsid w:val="003405BE"/>
    <w:rsid w:val="00340C42"/>
    <w:rsid w:val="00340DD8"/>
    <w:rsid w:val="00343A5F"/>
    <w:rsid w:val="00343B98"/>
    <w:rsid w:val="00344301"/>
    <w:rsid w:val="003446F0"/>
    <w:rsid w:val="0034506C"/>
    <w:rsid w:val="00345204"/>
    <w:rsid w:val="00345267"/>
    <w:rsid w:val="00346A7C"/>
    <w:rsid w:val="00347A5E"/>
    <w:rsid w:val="00347B67"/>
    <w:rsid w:val="00347C05"/>
    <w:rsid w:val="00347CD0"/>
    <w:rsid w:val="0035013F"/>
    <w:rsid w:val="00351181"/>
    <w:rsid w:val="00353774"/>
    <w:rsid w:val="003542F6"/>
    <w:rsid w:val="0035449E"/>
    <w:rsid w:val="003550FA"/>
    <w:rsid w:val="003556B2"/>
    <w:rsid w:val="003565F3"/>
    <w:rsid w:val="003568BA"/>
    <w:rsid w:val="00356BC5"/>
    <w:rsid w:val="0035757F"/>
    <w:rsid w:val="00357E3A"/>
    <w:rsid w:val="003607EC"/>
    <w:rsid w:val="00361639"/>
    <w:rsid w:val="00361A80"/>
    <w:rsid w:val="003621BC"/>
    <w:rsid w:val="0036261B"/>
    <w:rsid w:val="0036406F"/>
    <w:rsid w:val="0036579F"/>
    <w:rsid w:val="003665CE"/>
    <w:rsid w:val="00366936"/>
    <w:rsid w:val="00367BC1"/>
    <w:rsid w:val="00367C8B"/>
    <w:rsid w:val="00367E97"/>
    <w:rsid w:val="003740CC"/>
    <w:rsid w:val="0037430C"/>
    <w:rsid w:val="00374AFA"/>
    <w:rsid w:val="003751FD"/>
    <w:rsid w:val="0037796A"/>
    <w:rsid w:val="00377DD7"/>
    <w:rsid w:val="00377F0C"/>
    <w:rsid w:val="0038001C"/>
    <w:rsid w:val="00380585"/>
    <w:rsid w:val="003806D9"/>
    <w:rsid w:val="00380D5D"/>
    <w:rsid w:val="00380E75"/>
    <w:rsid w:val="00381089"/>
    <w:rsid w:val="003812E9"/>
    <w:rsid w:val="0038157D"/>
    <w:rsid w:val="003821A3"/>
    <w:rsid w:val="00382A35"/>
    <w:rsid w:val="00382C69"/>
    <w:rsid w:val="00383701"/>
    <w:rsid w:val="00383805"/>
    <w:rsid w:val="00383CD2"/>
    <w:rsid w:val="00383D7D"/>
    <w:rsid w:val="00384106"/>
    <w:rsid w:val="003846F3"/>
    <w:rsid w:val="0038485D"/>
    <w:rsid w:val="00384D64"/>
    <w:rsid w:val="003859C4"/>
    <w:rsid w:val="00385D8B"/>
    <w:rsid w:val="00385F07"/>
    <w:rsid w:val="003862FA"/>
    <w:rsid w:val="003869E4"/>
    <w:rsid w:val="00386EE2"/>
    <w:rsid w:val="003870FD"/>
    <w:rsid w:val="003876A7"/>
    <w:rsid w:val="00387C7D"/>
    <w:rsid w:val="00387F10"/>
    <w:rsid w:val="003914D3"/>
    <w:rsid w:val="00391B3F"/>
    <w:rsid w:val="00391E2A"/>
    <w:rsid w:val="00392695"/>
    <w:rsid w:val="00393A8A"/>
    <w:rsid w:val="00394022"/>
    <w:rsid w:val="0039409C"/>
    <w:rsid w:val="003947D6"/>
    <w:rsid w:val="00394EC7"/>
    <w:rsid w:val="00395121"/>
    <w:rsid w:val="00396CF6"/>
    <w:rsid w:val="0039754C"/>
    <w:rsid w:val="003A0D12"/>
    <w:rsid w:val="003A1235"/>
    <w:rsid w:val="003A29B8"/>
    <w:rsid w:val="003A2A62"/>
    <w:rsid w:val="003A2FCD"/>
    <w:rsid w:val="003A38ED"/>
    <w:rsid w:val="003A47ED"/>
    <w:rsid w:val="003A5000"/>
    <w:rsid w:val="003A51BE"/>
    <w:rsid w:val="003A55C9"/>
    <w:rsid w:val="003A58A5"/>
    <w:rsid w:val="003A6317"/>
    <w:rsid w:val="003A6A73"/>
    <w:rsid w:val="003A6AA1"/>
    <w:rsid w:val="003A730A"/>
    <w:rsid w:val="003A78B7"/>
    <w:rsid w:val="003B0261"/>
    <w:rsid w:val="003B0AE8"/>
    <w:rsid w:val="003B0AFC"/>
    <w:rsid w:val="003B0BC4"/>
    <w:rsid w:val="003B0DFF"/>
    <w:rsid w:val="003B0F53"/>
    <w:rsid w:val="003B15B1"/>
    <w:rsid w:val="003B28F9"/>
    <w:rsid w:val="003B39D0"/>
    <w:rsid w:val="003B4141"/>
    <w:rsid w:val="003B499B"/>
    <w:rsid w:val="003B686A"/>
    <w:rsid w:val="003B735C"/>
    <w:rsid w:val="003B753C"/>
    <w:rsid w:val="003B79D1"/>
    <w:rsid w:val="003C034C"/>
    <w:rsid w:val="003C05F3"/>
    <w:rsid w:val="003C07FF"/>
    <w:rsid w:val="003C0865"/>
    <w:rsid w:val="003C11FF"/>
    <w:rsid w:val="003C1C2E"/>
    <w:rsid w:val="003C2C9E"/>
    <w:rsid w:val="003C512C"/>
    <w:rsid w:val="003C53C1"/>
    <w:rsid w:val="003C5AC5"/>
    <w:rsid w:val="003C6555"/>
    <w:rsid w:val="003C72CF"/>
    <w:rsid w:val="003D0093"/>
    <w:rsid w:val="003D027A"/>
    <w:rsid w:val="003D0852"/>
    <w:rsid w:val="003D1EDB"/>
    <w:rsid w:val="003D3D08"/>
    <w:rsid w:val="003D4F2A"/>
    <w:rsid w:val="003D5415"/>
    <w:rsid w:val="003D57FC"/>
    <w:rsid w:val="003D5D33"/>
    <w:rsid w:val="003D7458"/>
    <w:rsid w:val="003E27B6"/>
    <w:rsid w:val="003E367B"/>
    <w:rsid w:val="003E585D"/>
    <w:rsid w:val="003E5919"/>
    <w:rsid w:val="003E6155"/>
    <w:rsid w:val="003E6881"/>
    <w:rsid w:val="003E6B34"/>
    <w:rsid w:val="003E6CCA"/>
    <w:rsid w:val="003E7BFB"/>
    <w:rsid w:val="003E7C06"/>
    <w:rsid w:val="003F0A95"/>
    <w:rsid w:val="003F1743"/>
    <w:rsid w:val="003F1A6E"/>
    <w:rsid w:val="003F1C49"/>
    <w:rsid w:val="003F1D7A"/>
    <w:rsid w:val="003F271F"/>
    <w:rsid w:val="003F29AC"/>
    <w:rsid w:val="003F2C4D"/>
    <w:rsid w:val="003F309F"/>
    <w:rsid w:val="003F31B5"/>
    <w:rsid w:val="003F33D3"/>
    <w:rsid w:val="003F3ACE"/>
    <w:rsid w:val="003F3E50"/>
    <w:rsid w:val="003F4AD8"/>
    <w:rsid w:val="003F4FFB"/>
    <w:rsid w:val="003F63E9"/>
    <w:rsid w:val="003F6682"/>
    <w:rsid w:val="003F6AA6"/>
    <w:rsid w:val="003F7EEA"/>
    <w:rsid w:val="004001F9"/>
    <w:rsid w:val="0040195E"/>
    <w:rsid w:val="00402793"/>
    <w:rsid w:val="00403584"/>
    <w:rsid w:val="00406321"/>
    <w:rsid w:val="00407939"/>
    <w:rsid w:val="00410040"/>
    <w:rsid w:val="004113A6"/>
    <w:rsid w:val="00411934"/>
    <w:rsid w:val="004122BB"/>
    <w:rsid w:val="00412956"/>
    <w:rsid w:val="00412BCC"/>
    <w:rsid w:val="00412C72"/>
    <w:rsid w:val="004132AF"/>
    <w:rsid w:val="00413812"/>
    <w:rsid w:val="004139D1"/>
    <w:rsid w:val="0041445B"/>
    <w:rsid w:val="00414C6F"/>
    <w:rsid w:val="00415529"/>
    <w:rsid w:val="0041588D"/>
    <w:rsid w:val="004159BB"/>
    <w:rsid w:val="00415AC0"/>
    <w:rsid w:val="00415B12"/>
    <w:rsid w:val="0041727C"/>
    <w:rsid w:val="00417719"/>
    <w:rsid w:val="004179EE"/>
    <w:rsid w:val="004225C7"/>
    <w:rsid w:val="00422F6B"/>
    <w:rsid w:val="00423271"/>
    <w:rsid w:val="00423F81"/>
    <w:rsid w:val="00424B42"/>
    <w:rsid w:val="00424D15"/>
    <w:rsid w:val="004251FD"/>
    <w:rsid w:val="00425587"/>
    <w:rsid w:val="00425E28"/>
    <w:rsid w:val="00426872"/>
    <w:rsid w:val="00426A08"/>
    <w:rsid w:val="00427D07"/>
    <w:rsid w:val="004306DD"/>
    <w:rsid w:val="00430A3C"/>
    <w:rsid w:val="00431683"/>
    <w:rsid w:val="004317EC"/>
    <w:rsid w:val="00432E1A"/>
    <w:rsid w:val="0043363F"/>
    <w:rsid w:val="0043442A"/>
    <w:rsid w:val="004346FE"/>
    <w:rsid w:val="00434A50"/>
    <w:rsid w:val="004352D0"/>
    <w:rsid w:val="00435C6D"/>
    <w:rsid w:val="00435DFD"/>
    <w:rsid w:val="00435F01"/>
    <w:rsid w:val="004377F0"/>
    <w:rsid w:val="00441038"/>
    <w:rsid w:val="00443F58"/>
    <w:rsid w:val="00443FD0"/>
    <w:rsid w:val="00445091"/>
    <w:rsid w:val="0044558C"/>
    <w:rsid w:val="00446236"/>
    <w:rsid w:val="00446C6D"/>
    <w:rsid w:val="004501D7"/>
    <w:rsid w:val="0045075F"/>
    <w:rsid w:val="00450C8B"/>
    <w:rsid w:val="0045165A"/>
    <w:rsid w:val="00452214"/>
    <w:rsid w:val="00452FB9"/>
    <w:rsid w:val="00453B0E"/>
    <w:rsid w:val="00454AD8"/>
    <w:rsid w:val="00454C7C"/>
    <w:rsid w:val="00454C92"/>
    <w:rsid w:val="00457A34"/>
    <w:rsid w:val="00460A77"/>
    <w:rsid w:val="00461853"/>
    <w:rsid w:val="00461ADF"/>
    <w:rsid w:val="00462922"/>
    <w:rsid w:val="00462987"/>
    <w:rsid w:val="00462D6D"/>
    <w:rsid w:val="00462F85"/>
    <w:rsid w:val="00463263"/>
    <w:rsid w:val="004635CA"/>
    <w:rsid w:val="004636F3"/>
    <w:rsid w:val="00463B05"/>
    <w:rsid w:val="00463D2D"/>
    <w:rsid w:val="0046465E"/>
    <w:rsid w:val="00464ADE"/>
    <w:rsid w:val="00465CDD"/>
    <w:rsid w:val="00466173"/>
    <w:rsid w:val="0047164A"/>
    <w:rsid w:val="0047211A"/>
    <w:rsid w:val="004723DC"/>
    <w:rsid w:val="00472D39"/>
    <w:rsid w:val="00473F84"/>
    <w:rsid w:val="00474598"/>
    <w:rsid w:val="00474CAA"/>
    <w:rsid w:val="0047580B"/>
    <w:rsid w:val="0047661A"/>
    <w:rsid w:val="004766AE"/>
    <w:rsid w:val="00477168"/>
    <w:rsid w:val="00477F4E"/>
    <w:rsid w:val="00480CF9"/>
    <w:rsid w:val="0048231C"/>
    <w:rsid w:val="00482C71"/>
    <w:rsid w:val="00483ED4"/>
    <w:rsid w:val="00485DA7"/>
    <w:rsid w:val="004864F4"/>
    <w:rsid w:val="0048663B"/>
    <w:rsid w:val="004866C2"/>
    <w:rsid w:val="00486758"/>
    <w:rsid w:val="00487707"/>
    <w:rsid w:val="00487B43"/>
    <w:rsid w:val="00487C68"/>
    <w:rsid w:val="0049093C"/>
    <w:rsid w:val="00490940"/>
    <w:rsid w:val="0049278F"/>
    <w:rsid w:val="00492A81"/>
    <w:rsid w:val="00492E12"/>
    <w:rsid w:val="004936DD"/>
    <w:rsid w:val="00494CA0"/>
    <w:rsid w:val="004971F3"/>
    <w:rsid w:val="00497F94"/>
    <w:rsid w:val="004A0779"/>
    <w:rsid w:val="004A1DEB"/>
    <w:rsid w:val="004A1EE5"/>
    <w:rsid w:val="004A2714"/>
    <w:rsid w:val="004A3833"/>
    <w:rsid w:val="004A39C2"/>
    <w:rsid w:val="004A3BC3"/>
    <w:rsid w:val="004A4E0C"/>
    <w:rsid w:val="004A5426"/>
    <w:rsid w:val="004A63EB"/>
    <w:rsid w:val="004A73AB"/>
    <w:rsid w:val="004B03CC"/>
    <w:rsid w:val="004B13FC"/>
    <w:rsid w:val="004B14FE"/>
    <w:rsid w:val="004B1D51"/>
    <w:rsid w:val="004B21E4"/>
    <w:rsid w:val="004B2B0B"/>
    <w:rsid w:val="004B2F5C"/>
    <w:rsid w:val="004B368D"/>
    <w:rsid w:val="004B3DAA"/>
    <w:rsid w:val="004B4F55"/>
    <w:rsid w:val="004B510F"/>
    <w:rsid w:val="004B7213"/>
    <w:rsid w:val="004B73CD"/>
    <w:rsid w:val="004B787B"/>
    <w:rsid w:val="004C09E7"/>
    <w:rsid w:val="004C205B"/>
    <w:rsid w:val="004C2500"/>
    <w:rsid w:val="004C2F1B"/>
    <w:rsid w:val="004C433D"/>
    <w:rsid w:val="004C4792"/>
    <w:rsid w:val="004C49A2"/>
    <w:rsid w:val="004C4D79"/>
    <w:rsid w:val="004C66F5"/>
    <w:rsid w:val="004C71FA"/>
    <w:rsid w:val="004D09D2"/>
    <w:rsid w:val="004D2A2A"/>
    <w:rsid w:val="004D3475"/>
    <w:rsid w:val="004D3AFA"/>
    <w:rsid w:val="004D4110"/>
    <w:rsid w:val="004D44DE"/>
    <w:rsid w:val="004D5490"/>
    <w:rsid w:val="004D54E7"/>
    <w:rsid w:val="004D5517"/>
    <w:rsid w:val="004D7158"/>
    <w:rsid w:val="004D7A71"/>
    <w:rsid w:val="004D7AF1"/>
    <w:rsid w:val="004E07FA"/>
    <w:rsid w:val="004E1001"/>
    <w:rsid w:val="004E105E"/>
    <w:rsid w:val="004E154B"/>
    <w:rsid w:val="004E1AEA"/>
    <w:rsid w:val="004E1FC1"/>
    <w:rsid w:val="004E21C6"/>
    <w:rsid w:val="004E21E9"/>
    <w:rsid w:val="004E457C"/>
    <w:rsid w:val="004E4A80"/>
    <w:rsid w:val="004E623B"/>
    <w:rsid w:val="004E70D6"/>
    <w:rsid w:val="004E7190"/>
    <w:rsid w:val="004E736B"/>
    <w:rsid w:val="004F0F6A"/>
    <w:rsid w:val="004F10CD"/>
    <w:rsid w:val="004F2A6C"/>
    <w:rsid w:val="004F3BE9"/>
    <w:rsid w:val="004F4B7C"/>
    <w:rsid w:val="004F55CF"/>
    <w:rsid w:val="004F5616"/>
    <w:rsid w:val="004F66AB"/>
    <w:rsid w:val="004F6D98"/>
    <w:rsid w:val="004F6E2E"/>
    <w:rsid w:val="004F7FA3"/>
    <w:rsid w:val="0050060A"/>
    <w:rsid w:val="00501346"/>
    <w:rsid w:val="00501512"/>
    <w:rsid w:val="005018BA"/>
    <w:rsid w:val="005019AE"/>
    <w:rsid w:val="00502D9C"/>
    <w:rsid w:val="005043C8"/>
    <w:rsid w:val="00504CD4"/>
    <w:rsid w:val="0050503F"/>
    <w:rsid w:val="005050D5"/>
    <w:rsid w:val="00506DD5"/>
    <w:rsid w:val="005071C5"/>
    <w:rsid w:val="0050743D"/>
    <w:rsid w:val="00507576"/>
    <w:rsid w:val="005105E8"/>
    <w:rsid w:val="00510D04"/>
    <w:rsid w:val="00511742"/>
    <w:rsid w:val="005121CB"/>
    <w:rsid w:val="00513215"/>
    <w:rsid w:val="00513A4A"/>
    <w:rsid w:val="00516DD0"/>
    <w:rsid w:val="005176C4"/>
    <w:rsid w:val="00517D07"/>
    <w:rsid w:val="005217BC"/>
    <w:rsid w:val="00522849"/>
    <w:rsid w:val="00522BFF"/>
    <w:rsid w:val="005231DA"/>
    <w:rsid w:val="00523299"/>
    <w:rsid w:val="00523814"/>
    <w:rsid w:val="00524992"/>
    <w:rsid w:val="005259F8"/>
    <w:rsid w:val="00525BE9"/>
    <w:rsid w:val="00525F1C"/>
    <w:rsid w:val="00525F8F"/>
    <w:rsid w:val="00527C18"/>
    <w:rsid w:val="005303D6"/>
    <w:rsid w:val="0053067D"/>
    <w:rsid w:val="005308B5"/>
    <w:rsid w:val="00532544"/>
    <w:rsid w:val="0053261F"/>
    <w:rsid w:val="00532FD8"/>
    <w:rsid w:val="005332DA"/>
    <w:rsid w:val="005335DC"/>
    <w:rsid w:val="0053377F"/>
    <w:rsid w:val="00533A48"/>
    <w:rsid w:val="00534576"/>
    <w:rsid w:val="00534633"/>
    <w:rsid w:val="00536717"/>
    <w:rsid w:val="005367F6"/>
    <w:rsid w:val="00536F0A"/>
    <w:rsid w:val="00537161"/>
    <w:rsid w:val="0053758D"/>
    <w:rsid w:val="00540466"/>
    <w:rsid w:val="00540622"/>
    <w:rsid w:val="00540E5D"/>
    <w:rsid w:val="00542F58"/>
    <w:rsid w:val="00543F2F"/>
    <w:rsid w:val="00544219"/>
    <w:rsid w:val="005445EB"/>
    <w:rsid w:val="0054479B"/>
    <w:rsid w:val="00544DF1"/>
    <w:rsid w:val="0054565D"/>
    <w:rsid w:val="005456A5"/>
    <w:rsid w:val="0054740A"/>
    <w:rsid w:val="00547D4C"/>
    <w:rsid w:val="005509BC"/>
    <w:rsid w:val="005510B3"/>
    <w:rsid w:val="005520FE"/>
    <w:rsid w:val="00552C74"/>
    <w:rsid w:val="00553331"/>
    <w:rsid w:val="005538A6"/>
    <w:rsid w:val="00554D2B"/>
    <w:rsid w:val="00556BBF"/>
    <w:rsid w:val="00556F67"/>
    <w:rsid w:val="005578EF"/>
    <w:rsid w:val="00560243"/>
    <w:rsid w:val="005607B6"/>
    <w:rsid w:val="00560A33"/>
    <w:rsid w:val="00560F5D"/>
    <w:rsid w:val="00561050"/>
    <w:rsid w:val="00561135"/>
    <w:rsid w:val="0056316E"/>
    <w:rsid w:val="00563327"/>
    <w:rsid w:val="00563543"/>
    <w:rsid w:val="00564D23"/>
    <w:rsid w:val="00564D66"/>
    <w:rsid w:val="005653FB"/>
    <w:rsid w:val="0056650E"/>
    <w:rsid w:val="005701AA"/>
    <w:rsid w:val="005701CB"/>
    <w:rsid w:val="00570467"/>
    <w:rsid w:val="005708CA"/>
    <w:rsid w:val="00571053"/>
    <w:rsid w:val="005712A5"/>
    <w:rsid w:val="00571D94"/>
    <w:rsid w:val="005735A0"/>
    <w:rsid w:val="0057492C"/>
    <w:rsid w:val="00574C55"/>
    <w:rsid w:val="00575468"/>
    <w:rsid w:val="005767BC"/>
    <w:rsid w:val="00577904"/>
    <w:rsid w:val="00577A46"/>
    <w:rsid w:val="00577D11"/>
    <w:rsid w:val="005822B7"/>
    <w:rsid w:val="0058242C"/>
    <w:rsid w:val="0058301C"/>
    <w:rsid w:val="00583056"/>
    <w:rsid w:val="005830DC"/>
    <w:rsid w:val="0058328F"/>
    <w:rsid w:val="00584239"/>
    <w:rsid w:val="005849F0"/>
    <w:rsid w:val="00585EC0"/>
    <w:rsid w:val="005860D7"/>
    <w:rsid w:val="005860E1"/>
    <w:rsid w:val="00586ADE"/>
    <w:rsid w:val="00587363"/>
    <w:rsid w:val="0058760C"/>
    <w:rsid w:val="00590692"/>
    <w:rsid w:val="00591ECE"/>
    <w:rsid w:val="0059237A"/>
    <w:rsid w:val="00593BD8"/>
    <w:rsid w:val="00595253"/>
    <w:rsid w:val="00595D4B"/>
    <w:rsid w:val="005977FC"/>
    <w:rsid w:val="005978B7"/>
    <w:rsid w:val="00597B48"/>
    <w:rsid w:val="00597C3C"/>
    <w:rsid w:val="005A05AB"/>
    <w:rsid w:val="005A08F8"/>
    <w:rsid w:val="005A17D7"/>
    <w:rsid w:val="005A2CEE"/>
    <w:rsid w:val="005A3B56"/>
    <w:rsid w:val="005A47F4"/>
    <w:rsid w:val="005A6FC2"/>
    <w:rsid w:val="005A7801"/>
    <w:rsid w:val="005B0A76"/>
    <w:rsid w:val="005B14B6"/>
    <w:rsid w:val="005B206D"/>
    <w:rsid w:val="005B321D"/>
    <w:rsid w:val="005B715B"/>
    <w:rsid w:val="005B7D86"/>
    <w:rsid w:val="005C0167"/>
    <w:rsid w:val="005C1050"/>
    <w:rsid w:val="005C1C82"/>
    <w:rsid w:val="005C247B"/>
    <w:rsid w:val="005C302C"/>
    <w:rsid w:val="005C4C53"/>
    <w:rsid w:val="005C53F0"/>
    <w:rsid w:val="005C5C2D"/>
    <w:rsid w:val="005C627D"/>
    <w:rsid w:val="005C7950"/>
    <w:rsid w:val="005C7F7A"/>
    <w:rsid w:val="005D0BEC"/>
    <w:rsid w:val="005D18A0"/>
    <w:rsid w:val="005D1A55"/>
    <w:rsid w:val="005D1D67"/>
    <w:rsid w:val="005D2A07"/>
    <w:rsid w:val="005D3085"/>
    <w:rsid w:val="005D321F"/>
    <w:rsid w:val="005D326F"/>
    <w:rsid w:val="005D55A1"/>
    <w:rsid w:val="005D5A54"/>
    <w:rsid w:val="005D60A8"/>
    <w:rsid w:val="005D747E"/>
    <w:rsid w:val="005E094E"/>
    <w:rsid w:val="005E1568"/>
    <w:rsid w:val="005E2048"/>
    <w:rsid w:val="005E251E"/>
    <w:rsid w:val="005E2AFB"/>
    <w:rsid w:val="005E2BD0"/>
    <w:rsid w:val="005E4755"/>
    <w:rsid w:val="005E4BAC"/>
    <w:rsid w:val="005E5011"/>
    <w:rsid w:val="005E5059"/>
    <w:rsid w:val="005E5318"/>
    <w:rsid w:val="005E53DA"/>
    <w:rsid w:val="005E5AE6"/>
    <w:rsid w:val="005E5BBA"/>
    <w:rsid w:val="005E6497"/>
    <w:rsid w:val="005E6F27"/>
    <w:rsid w:val="005F0DF7"/>
    <w:rsid w:val="005F1C11"/>
    <w:rsid w:val="005F4164"/>
    <w:rsid w:val="005F4A1A"/>
    <w:rsid w:val="005F4F12"/>
    <w:rsid w:val="005F6231"/>
    <w:rsid w:val="005F7928"/>
    <w:rsid w:val="00600134"/>
    <w:rsid w:val="00600176"/>
    <w:rsid w:val="0060230A"/>
    <w:rsid w:val="006027A9"/>
    <w:rsid w:val="00602D84"/>
    <w:rsid w:val="006037B3"/>
    <w:rsid w:val="00603DC5"/>
    <w:rsid w:val="006046E4"/>
    <w:rsid w:val="0060509D"/>
    <w:rsid w:val="00605637"/>
    <w:rsid w:val="006056DB"/>
    <w:rsid w:val="00605CE3"/>
    <w:rsid w:val="00606C49"/>
    <w:rsid w:val="006070E6"/>
    <w:rsid w:val="006071C4"/>
    <w:rsid w:val="00607C50"/>
    <w:rsid w:val="006103D8"/>
    <w:rsid w:val="00610FC5"/>
    <w:rsid w:val="006148DA"/>
    <w:rsid w:val="00614CF7"/>
    <w:rsid w:val="00614F3C"/>
    <w:rsid w:val="00615C29"/>
    <w:rsid w:val="00615C6D"/>
    <w:rsid w:val="00616209"/>
    <w:rsid w:val="006166B7"/>
    <w:rsid w:val="00616920"/>
    <w:rsid w:val="0061712B"/>
    <w:rsid w:val="0062042F"/>
    <w:rsid w:val="0062091E"/>
    <w:rsid w:val="006224BC"/>
    <w:rsid w:val="00622921"/>
    <w:rsid w:val="00624084"/>
    <w:rsid w:val="006250D0"/>
    <w:rsid w:val="0062550C"/>
    <w:rsid w:val="006268ED"/>
    <w:rsid w:val="00626EE7"/>
    <w:rsid w:val="00631112"/>
    <w:rsid w:val="00631414"/>
    <w:rsid w:val="00631CBB"/>
    <w:rsid w:val="00631D32"/>
    <w:rsid w:val="00631FE0"/>
    <w:rsid w:val="006328F0"/>
    <w:rsid w:val="00632CEB"/>
    <w:rsid w:val="006338CF"/>
    <w:rsid w:val="00633905"/>
    <w:rsid w:val="00634304"/>
    <w:rsid w:val="00634C29"/>
    <w:rsid w:val="006356E1"/>
    <w:rsid w:val="00636276"/>
    <w:rsid w:val="006376B7"/>
    <w:rsid w:val="00640255"/>
    <w:rsid w:val="006414D1"/>
    <w:rsid w:val="00642F64"/>
    <w:rsid w:val="0064527C"/>
    <w:rsid w:val="00645364"/>
    <w:rsid w:val="00645D90"/>
    <w:rsid w:val="00646F4B"/>
    <w:rsid w:val="00647115"/>
    <w:rsid w:val="006504D5"/>
    <w:rsid w:val="00650866"/>
    <w:rsid w:val="00651026"/>
    <w:rsid w:val="006510D2"/>
    <w:rsid w:val="006517B6"/>
    <w:rsid w:val="00651957"/>
    <w:rsid w:val="006532D6"/>
    <w:rsid w:val="00654421"/>
    <w:rsid w:val="006554CA"/>
    <w:rsid w:val="00655D43"/>
    <w:rsid w:val="00656AB0"/>
    <w:rsid w:val="0066081B"/>
    <w:rsid w:val="00661096"/>
    <w:rsid w:val="006611B7"/>
    <w:rsid w:val="00661C91"/>
    <w:rsid w:val="0066253C"/>
    <w:rsid w:val="00665715"/>
    <w:rsid w:val="00666114"/>
    <w:rsid w:val="0066633B"/>
    <w:rsid w:val="00666805"/>
    <w:rsid w:val="00666834"/>
    <w:rsid w:val="006674D9"/>
    <w:rsid w:val="00667955"/>
    <w:rsid w:val="00667B13"/>
    <w:rsid w:val="006710C7"/>
    <w:rsid w:val="0067128A"/>
    <w:rsid w:val="006720D8"/>
    <w:rsid w:val="00672441"/>
    <w:rsid w:val="00672AF6"/>
    <w:rsid w:val="006739FD"/>
    <w:rsid w:val="006745B7"/>
    <w:rsid w:val="006747E9"/>
    <w:rsid w:val="0067496E"/>
    <w:rsid w:val="00674D6B"/>
    <w:rsid w:val="006751B5"/>
    <w:rsid w:val="00675440"/>
    <w:rsid w:val="00676981"/>
    <w:rsid w:val="00676A71"/>
    <w:rsid w:val="0067733E"/>
    <w:rsid w:val="00677418"/>
    <w:rsid w:val="0067799B"/>
    <w:rsid w:val="00677E11"/>
    <w:rsid w:val="0068039A"/>
    <w:rsid w:val="00680FE8"/>
    <w:rsid w:val="0068272D"/>
    <w:rsid w:val="00682808"/>
    <w:rsid w:val="00683289"/>
    <w:rsid w:val="006840B8"/>
    <w:rsid w:val="00684190"/>
    <w:rsid w:val="00684B0E"/>
    <w:rsid w:val="00684FFD"/>
    <w:rsid w:val="00685119"/>
    <w:rsid w:val="00685A63"/>
    <w:rsid w:val="00686464"/>
    <w:rsid w:val="00686795"/>
    <w:rsid w:val="006870BC"/>
    <w:rsid w:val="0068783A"/>
    <w:rsid w:val="006903A6"/>
    <w:rsid w:val="006903C8"/>
    <w:rsid w:val="00690997"/>
    <w:rsid w:val="00690D41"/>
    <w:rsid w:val="00691185"/>
    <w:rsid w:val="006951BE"/>
    <w:rsid w:val="00695A72"/>
    <w:rsid w:val="00696ED3"/>
    <w:rsid w:val="006A168E"/>
    <w:rsid w:val="006A1FC3"/>
    <w:rsid w:val="006A3136"/>
    <w:rsid w:val="006A36E6"/>
    <w:rsid w:val="006A387A"/>
    <w:rsid w:val="006A397C"/>
    <w:rsid w:val="006A4001"/>
    <w:rsid w:val="006A53D1"/>
    <w:rsid w:val="006A690F"/>
    <w:rsid w:val="006A6931"/>
    <w:rsid w:val="006A6D23"/>
    <w:rsid w:val="006B0175"/>
    <w:rsid w:val="006B02C7"/>
    <w:rsid w:val="006B18C6"/>
    <w:rsid w:val="006B2051"/>
    <w:rsid w:val="006B244F"/>
    <w:rsid w:val="006B26E9"/>
    <w:rsid w:val="006B2BBD"/>
    <w:rsid w:val="006B301B"/>
    <w:rsid w:val="006B30C7"/>
    <w:rsid w:val="006B3B2E"/>
    <w:rsid w:val="006B3E2E"/>
    <w:rsid w:val="006B3F66"/>
    <w:rsid w:val="006B434C"/>
    <w:rsid w:val="006B49AA"/>
    <w:rsid w:val="006B4A05"/>
    <w:rsid w:val="006B5DEC"/>
    <w:rsid w:val="006B5E2C"/>
    <w:rsid w:val="006B627D"/>
    <w:rsid w:val="006C0CCF"/>
    <w:rsid w:val="006C1AFE"/>
    <w:rsid w:val="006C1BFC"/>
    <w:rsid w:val="006C3073"/>
    <w:rsid w:val="006C35B2"/>
    <w:rsid w:val="006C390B"/>
    <w:rsid w:val="006C3CB3"/>
    <w:rsid w:val="006C3E49"/>
    <w:rsid w:val="006C449D"/>
    <w:rsid w:val="006C59AC"/>
    <w:rsid w:val="006C7DAE"/>
    <w:rsid w:val="006D004A"/>
    <w:rsid w:val="006D11BF"/>
    <w:rsid w:val="006D1277"/>
    <w:rsid w:val="006D37A2"/>
    <w:rsid w:val="006D3EAF"/>
    <w:rsid w:val="006D4AA6"/>
    <w:rsid w:val="006D4ABC"/>
    <w:rsid w:val="006D50C3"/>
    <w:rsid w:val="006D5FEA"/>
    <w:rsid w:val="006D60F8"/>
    <w:rsid w:val="006D6441"/>
    <w:rsid w:val="006D7077"/>
    <w:rsid w:val="006E0783"/>
    <w:rsid w:val="006E220D"/>
    <w:rsid w:val="006E2A09"/>
    <w:rsid w:val="006E2BF1"/>
    <w:rsid w:val="006E2F52"/>
    <w:rsid w:val="006E2F96"/>
    <w:rsid w:val="006E311F"/>
    <w:rsid w:val="006E313A"/>
    <w:rsid w:val="006E3199"/>
    <w:rsid w:val="006E42F2"/>
    <w:rsid w:val="006E44F6"/>
    <w:rsid w:val="006E4725"/>
    <w:rsid w:val="006E4B55"/>
    <w:rsid w:val="006E4DFD"/>
    <w:rsid w:val="006E4E5E"/>
    <w:rsid w:val="006E4EE3"/>
    <w:rsid w:val="006E4FDD"/>
    <w:rsid w:val="006E57E5"/>
    <w:rsid w:val="006E5DC7"/>
    <w:rsid w:val="006F0F63"/>
    <w:rsid w:val="006F1355"/>
    <w:rsid w:val="006F1F5E"/>
    <w:rsid w:val="006F3401"/>
    <w:rsid w:val="006F4437"/>
    <w:rsid w:val="006F5426"/>
    <w:rsid w:val="006F54F2"/>
    <w:rsid w:val="006F580B"/>
    <w:rsid w:val="006F67F7"/>
    <w:rsid w:val="00700001"/>
    <w:rsid w:val="007011E7"/>
    <w:rsid w:val="007016F8"/>
    <w:rsid w:val="0070181C"/>
    <w:rsid w:val="00701CD4"/>
    <w:rsid w:val="00705701"/>
    <w:rsid w:val="0070575F"/>
    <w:rsid w:val="0070594B"/>
    <w:rsid w:val="00705ADB"/>
    <w:rsid w:val="00705BEB"/>
    <w:rsid w:val="007068ED"/>
    <w:rsid w:val="00706AC8"/>
    <w:rsid w:val="0070767B"/>
    <w:rsid w:val="00707815"/>
    <w:rsid w:val="00707D10"/>
    <w:rsid w:val="007102B9"/>
    <w:rsid w:val="00710715"/>
    <w:rsid w:val="00711715"/>
    <w:rsid w:val="0071256A"/>
    <w:rsid w:val="007127F9"/>
    <w:rsid w:val="00712E38"/>
    <w:rsid w:val="007130A8"/>
    <w:rsid w:val="0071318A"/>
    <w:rsid w:val="00713312"/>
    <w:rsid w:val="00713579"/>
    <w:rsid w:val="00713768"/>
    <w:rsid w:val="00713B86"/>
    <w:rsid w:val="00713F3D"/>
    <w:rsid w:val="00714079"/>
    <w:rsid w:val="0071424C"/>
    <w:rsid w:val="00714938"/>
    <w:rsid w:val="0071540E"/>
    <w:rsid w:val="00715651"/>
    <w:rsid w:val="00715BC7"/>
    <w:rsid w:val="00716284"/>
    <w:rsid w:val="007176D4"/>
    <w:rsid w:val="00717CE1"/>
    <w:rsid w:val="0072064F"/>
    <w:rsid w:val="00721202"/>
    <w:rsid w:val="00722689"/>
    <w:rsid w:val="00722763"/>
    <w:rsid w:val="00722BF6"/>
    <w:rsid w:val="00722E12"/>
    <w:rsid w:val="007235AA"/>
    <w:rsid w:val="00724725"/>
    <w:rsid w:val="007248F6"/>
    <w:rsid w:val="00725182"/>
    <w:rsid w:val="0072646D"/>
    <w:rsid w:val="00731177"/>
    <w:rsid w:val="007312AC"/>
    <w:rsid w:val="00731577"/>
    <w:rsid w:val="00731D2F"/>
    <w:rsid w:val="0073261F"/>
    <w:rsid w:val="00732748"/>
    <w:rsid w:val="0073282E"/>
    <w:rsid w:val="00733496"/>
    <w:rsid w:val="00734115"/>
    <w:rsid w:val="00734169"/>
    <w:rsid w:val="007343BF"/>
    <w:rsid w:val="00734DA4"/>
    <w:rsid w:val="00734FE1"/>
    <w:rsid w:val="0073526A"/>
    <w:rsid w:val="00735349"/>
    <w:rsid w:val="00736504"/>
    <w:rsid w:val="0073781E"/>
    <w:rsid w:val="007378D5"/>
    <w:rsid w:val="00740157"/>
    <w:rsid w:val="00740FBD"/>
    <w:rsid w:val="00741179"/>
    <w:rsid w:val="00742458"/>
    <w:rsid w:val="00742963"/>
    <w:rsid w:val="00742A36"/>
    <w:rsid w:val="00742FB2"/>
    <w:rsid w:val="00743068"/>
    <w:rsid w:val="007440CE"/>
    <w:rsid w:val="00744675"/>
    <w:rsid w:val="0074467E"/>
    <w:rsid w:val="00745DB5"/>
    <w:rsid w:val="0074611D"/>
    <w:rsid w:val="0074691D"/>
    <w:rsid w:val="00747280"/>
    <w:rsid w:val="00747BFE"/>
    <w:rsid w:val="00752102"/>
    <w:rsid w:val="00752420"/>
    <w:rsid w:val="0075288F"/>
    <w:rsid w:val="00752A0F"/>
    <w:rsid w:val="00752B46"/>
    <w:rsid w:val="00752B8A"/>
    <w:rsid w:val="00754330"/>
    <w:rsid w:val="00754339"/>
    <w:rsid w:val="00754474"/>
    <w:rsid w:val="0075492A"/>
    <w:rsid w:val="00754DE7"/>
    <w:rsid w:val="007556D2"/>
    <w:rsid w:val="00756FE2"/>
    <w:rsid w:val="0075734E"/>
    <w:rsid w:val="00760202"/>
    <w:rsid w:val="00760361"/>
    <w:rsid w:val="00761389"/>
    <w:rsid w:val="00762B1E"/>
    <w:rsid w:val="0076326A"/>
    <w:rsid w:val="0076375C"/>
    <w:rsid w:val="0076409E"/>
    <w:rsid w:val="00764982"/>
    <w:rsid w:val="00765082"/>
    <w:rsid w:val="0076518B"/>
    <w:rsid w:val="0076530B"/>
    <w:rsid w:val="00765EBF"/>
    <w:rsid w:val="007660A8"/>
    <w:rsid w:val="0076623C"/>
    <w:rsid w:val="00767B1B"/>
    <w:rsid w:val="0077018F"/>
    <w:rsid w:val="00770771"/>
    <w:rsid w:val="00770BB4"/>
    <w:rsid w:val="007710AC"/>
    <w:rsid w:val="00772090"/>
    <w:rsid w:val="00773588"/>
    <w:rsid w:val="0077358D"/>
    <w:rsid w:val="0077424A"/>
    <w:rsid w:val="007778AE"/>
    <w:rsid w:val="00777962"/>
    <w:rsid w:val="00777A7F"/>
    <w:rsid w:val="00780CAD"/>
    <w:rsid w:val="007815B2"/>
    <w:rsid w:val="00781760"/>
    <w:rsid w:val="0078322B"/>
    <w:rsid w:val="00783F66"/>
    <w:rsid w:val="007841AD"/>
    <w:rsid w:val="007856F9"/>
    <w:rsid w:val="00785A64"/>
    <w:rsid w:val="00785C30"/>
    <w:rsid w:val="00785C33"/>
    <w:rsid w:val="00785D8A"/>
    <w:rsid w:val="00785FDA"/>
    <w:rsid w:val="00786004"/>
    <w:rsid w:val="007868A7"/>
    <w:rsid w:val="00790BB9"/>
    <w:rsid w:val="00790F46"/>
    <w:rsid w:val="007938B0"/>
    <w:rsid w:val="00794821"/>
    <w:rsid w:val="00794B29"/>
    <w:rsid w:val="00795631"/>
    <w:rsid w:val="00795826"/>
    <w:rsid w:val="00795E20"/>
    <w:rsid w:val="00795FDC"/>
    <w:rsid w:val="00796552"/>
    <w:rsid w:val="00797149"/>
    <w:rsid w:val="00797505"/>
    <w:rsid w:val="00797FF6"/>
    <w:rsid w:val="007A04CD"/>
    <w:rsid w:val="007A15FA"/>
    <w:rsid w:val="007A17DF"/>
    <w:rsid w:val="007A1A58"/>
    <w:rsid w:val="007A231D"/>
    <w:rsid w:val="007A341F"/>
    <w:rsid w:val="007A415F"/>
    <w:rsid w:val="007A50F3"/>
    <w:rsid w:val="007A635B"/>
    <w:rsid w:val="007A6518"/>
    <w:rsid w:val="007A6838"/>
    <w:rsid w:val="007A71BD"/>
    <w:rsid w:val="007A75FD"/>
    <w:rsid w:val="007B0932"/>
    <w:rsid w:val="007B20EE"/>
    <w:rsid w:val="007B22BB"/>
    <w:rsid w:val="007B2A8E"/>
    <w:rsid w:val="007B461B"/>
    <w:rsid w:val="007B6046"/>
    <w:rsid w:val="007B60AE"/>
    <w:rsid w:val="007B6564"/>
    <w:rsid w:val="007B724E"/>
    <w:rsid w:val="007B7406"/>
    <w:rsid w:val="007C1AC3"/>
    <w:rsid w:val="007C2C51"/>
    <w:rsid w:val="007C2EE0"/>
    <w:rsid w:val="007C3BFB"/>
    <w:rsid w:val="007C47AA"/>
    <w:rsid w:val="007C4A5B"/>
    <w:rsid w:val="007C4B51"/>
    <w:rsid w:val="007C5468"/>
    <w:rsid w:val="007C5E7E"/>
    <w:rsid w:val="007C60BD"/>
    <w:rsid w:val="007C60D9"/>
    <w:rsid w:val="007C6DC1"/>
    <w:rsid w:val="007D07B5"/>
    <w:rsid w:val="007D0C10"/>
    <w:rsid w:val="007D1A96"/>
    <w:rsid w:val="007D2767"/>
    <w:rsid w:val="007D2895"/>
    <w:rsid w:val="007D3C65"/>
    <w:rsid w:val="007D3D91"/>
    <w:rsid w:val="007D4133"/>
    <w:rsid w:val="007D47D1"/>
    <w:rsid w:val="007D5104"/>
    <w:rsid w:val="007D5452"/>
    <w:rsid w:val="007D57F2"/>
    <w:rsid w:val="007D5836"/>
    <w:rsid w:val="007D5DE4"/>
    <w:rsid w:val="007D5F7C"/>
    <w:rsid w:val="007D6600"/>
    <w:rsid w:val="007D7F1E"/>
    <w:rsid w:val="007E111E"/>
    <w:rsid w:val="007E1758"/>
    <w:rsid w:val="007E1BA2"/>
    <w:rsid w:val="007E1C70"/>
    <w:rsid w:val="007E2A4A"/>
    <w:rsid w:val="007E3C38"/>
    <w:rsid w:val="007E6A0C"/>
    <w:rsid w:val="007E72D2"/>
    <w:rsid w:val="007E7D47"/>
    <w:rsid w:val="007F0D6D"/>
    <w:rsid w:val="007F0EAC"/>
    <w:rsid w:val="007F0FF6"/>
    <w:rsid w:val="007F22D6"/>
    <w:rsid w:val="007F2835"/>
    <w:rsid w:val="007F33A2"/>
    <w:rsid w:val="007F3D48"/>
    <w:rsid w:val="007F4380"/>
    <w:rsid w:val="007F44D2"/>
    <w:rsid w:val="007F5B4D"/>
    <w:rsid w:val="007F5D6B"/>
    <w:rsid w:val="007F603B"/>
    <w:rsid w:val="007F6648"/>
    <w:rsid w:val="007F670B"/>
    <w:rsid w:val="007F6BD3"/>
    <w:rsid w:val="007F7F56"/>
    <w:rsid w:val="007F7FE1"/>
    <w:rsid w:val="00800F7A"/>
    <w:rsid w:val="00801524"/>
    <w:rsid w:val="008023A9"/>
    <w:rsid w:val="00803D21"/>
    <w:rsid w:val="00803E11"/>
    <w:rsid w:val="0080453E"/>
    <w:rsid w:val="00804656"/>
    <w:rsid w:val="008047A9"/>
    <w:rsid w:val="00805826"/>
    <w:rsid w:val="008066C0"/>
    <w:rsid w:val="00806A16"/>
    <w:rsid w:val="00806AF2"/>
    <w:rsid w:val="008079D8"/>
    <w:rsid w:val="00807F85"/>
    <w:rsid w:val="008105EA"/>
    <w:rsid w:val="0081077F"/>
    <w:rsid w:val="00810D44"/>
    <w:rsid w:val="0081152A"/>
    <w:rsid w:val="00812151"/>
    <w:rsid w:val="0081224F"/>
    <w:rsid w:val="00812692"/>
    <w:rsid w:val="008129A6"/>
    <w:rsid w:val="00814064"/>
    <w:rsid w:val="00814533"/>
    <w:rsid w:val="00814D38"/>
    <w:rsid w:val="00814E8F"/>
    <w:rsid w:val="0081503A"/>
    <w:rsid w:val="00815784"/>
    <w:rsid w:val="008167E0"/>
    <w:rsid w:val="00816956"/>
    <w:rsid w:val="0081697F"/>
    <w:rsid w:val="00817161"/>
    <w:rsid w:val="0081788F"/>
    <w:rsid w:val="0082083A"/>
    <w:rsid w:val="00820CAA"/>
    <w:rsid w:val="00821B52"/>
    <w:rsid w:val="00822CE5"/>
    <w:rsid w:val="00822FAB"/>
    <w:rsid w:val="008242AF"/>
    <w:rsid w:val="008269B4"/>
    <w:rsid w:val="008303B7"/>
    <w:rsid w:val="00830A24"/>
    <w:rsid w:val="00831FEE"/>
    <w:rsid w:val="00832CD7"/>
    <w:rsid w:val="00834280"/>
    <w:rsid w:val="00834BF6"/>
    <w:rsid w:val="00834CE0"/>
    <w:rsid w:val="0083597E"/>
    <w:rsid w:val="008362A1"/>
    <w:rsid w:val="008371B3"/>
    <w:rsid w:val="00837571"/>
    <w:rsid w:val="00837C2E"/>
    <w:rsid w:val="008404EF"/>
    <w:rsid w:val="008407B8"/>
    <w:rsid w:val="00840BAD"/>
    <w:rsid w:val="00841A99"/>
    <w:rsid w:val="00842029"/>
    <w:rsid w:val="00843601"/>
    <w:rsid w:val="008449E0"/>
    <w:rsid w:val="00844A07"/>
    <w:rsid w:val="008464BB"/>
    <w:rsid w:val="00846914"/>
    <w:rsid w:val="00847515"/>
    <w:rsid w:val="00850499"/>
    <w:rsid w:val="00850C9A"/>
    <w:rsid w:val="00851A9C"/>
    <w:rsid w:val="008524E1"/>
    <w:rsid w:val="0085259F"/>
    <w:rsid w:val="00854E60"/>
    <w:rsid w:val="0085625E"/>
    <w:rsid w:val="00856778"/>
    <w:rsid w:val="0085679F"/>
    <w:rsid w:val="008568D6"/>
    <w:rsid w:val="00856E3F"/>
    <w:rsid w:val="00857AA6"/>
    <w:rsid w:val="00860641"/>
    <w:rsid w:val="008622D2"/>
    <w:rsid w:val="008623B4"/>
    <w:rsid w:val="008639C6"/>
    <w:rsid w:val="0086472B"/>
    <w:rsid w:val="00864B87"/>
    <w:rsid w:val="0086514B"/>
    <w:rsid w:val="00866F86"/>
    <w:rsid w:val="008674E3"/>
    <w:rsid w:val="00867D67"/>
    <w:rsid w:val="00870551"/>
    <w:rsid w:val="00871BB7"/>
    <w:rsid w:val="0087352A"/>
    <w:rsid w:val="00873712"/>
    <w:rsid w:val="00873ABF"/>
    <w:rsid w:val="00874012"/>
    <w:rsid w:val="008742DA"/>
    <w:rsid w:val="008745DC"/>
    <w:rsid w:val="00874903"/>
    <w:rsid w:val="00874DED"/>
    <w:rsid w:val="00875E2B"/>
    <w:rsid w:val="008761A7"/>
    <w:rsid w:val="00876EEF"/>
    <w:rsid w:val="00876F18"/>
    <w:rsid w:val="008812F5"/>
    <w:rsid w:val="00882108"/>
    <w:rsid w:val="00882928"/>
    <w:rsid w:val="008829B1"/>
    <w:rsid w:val="008830B3"/>
    <w:rsid w:val="008833EE"/>
    <w:rsid w:val="00883920"/>
    <w:rsid w:val="00884BF8"/>
    <w:rsid w:val="0088516B"/>
    <w:rsid w:val="00885DDF"/>
    <w:rsid w:val="0088676F"/>
    <w:rsid w:val="00886DE8"/>
    <w:rsid w:val="008872C9"/>
    <w:rsid w:val="00890EE4"/>
    <w:rsid w:val="008912C7"/>
    <w:rsid w:val="00893D35"/>
    <w:rsid w:val="00893E90"/>
    <w:rsid w:val="00893ECB"/>
    <w:rsid w:val="00894645"/>
    <w:rsid w:val="00895A76"/>
    <w:rsid w:val="008962A9"/>
    <w:rsid w:val="008968D1"/>
    <w:rsid w:val="0089733B"/>
    <w:rsid w:val="008A0472"/>
    <w:rsid w:val="008A04E3"/>
    <w:rsid w:val="008A0919"/>
    <w:rsid w:val="008A0ED6"/>
    <w:rsid w:val="008A2002"/>
    <w:rsid w:val="008A20C0"/>
    <w:rsid w:val="008A2635"/>
    <w:rsid w:val="008A3E48"/>
    <w:rsid w:val="008A45C9"/>
    <w:rsid w:val="008A595A"/>
    <w:rsid w:val="008A5BDE"/>
    <w:rsid w:val="008A5D1B"/>
    <w:rsid w:val="008A64A9"/>
    <w:rsid w:val="008A6577"/>
    <w:rsid w:val="008B0A04"/>
    <w:rsid w:val="008B0A4A"/>
    <w:rsid w:val="008B0A8A"/>
    <w:rsid w:val="008B0ED5"/>
    <w:rsid w:val="008B16C0"/>
    <w:rsid w:val="008B245C"/>
    <w:rsid w:val="008B28ED"/>
    <w:rsid w:val="008B2D51"/>
    <w:rsid w:val="008B301D"/>
    <w:rsid w:val="008B3F64"/>
    <w:rsid w:val="008B443C"/>
    <w:rsid w:val="008B467C"/>
    <w:rsid w:val="008B4CCD"/>
    <w:rsid w:val="008B55E2"/>
    <w:rsid w:val="008B5C15"/>
    <w:rsid w:val="008B6842"/>
    <w:rsid w:val="008B6A23"/>
    <w:rsid w:val="008B6B8B"/>
    <w:rsid w:val="008B6EC7"/>
    <w:rsid w:val="008B6F90"/>
    <w:rsid w:val="008C0001"/>
    <w:rsid w:val="008C181E"/>
    <w:rsid w:val="008C3285"/>
    <w:rsid w:val="008C3358"/>
    <w:rsid w:val="008C37CE"/>
    <w:rsid w:val="008C39E9"/>
    <w:rsid w:val="008C40D3"/>
    <w:rsid w:val="008C41CF"/>
    <w:rsid w:val="008C53C1"/>
    <w:rsid w:val="008C6733"/>
    <w:rsid w:val="008C77D3"/>
    <w:rsid w:val="008C7977"/>
    <w:rsid w:val="008D0E8C"/>
    <w:rsid w:val="008D1CE3"/>
    <w:rsid w:val="008D27EB"/>
    <w:rsid w:val="008D28FA"/>
    <w:rsid w:val="008D2CCA"/>
    <w:rsid w:val="008D472B"/>
    <w:rsid w:val="008D5AD2"/>
    <w:rsid w:val="008D62B4"/>
    <w:rsid w:val="008D7704"/>
    <w:rsid w:val="008D79EC"/>
    <w:rsid w:val="008E0D62"/>
    <w:rsid w:val="008E1C90"/>
    <w:rsid w:val="008E283E"/>
    <w:rsid w:val="008E4248"/>
    <w:rsid w:val="008E4725"/>
    <w:rsid w:val="008E515E"/>
    <w:rsid w:val="008E65D3"/>
    <w:rsid w:val="008E6617"/>
    <w:rsid w:val="008E669B"/>
    <w:rsid w:val="008E781E"/>
    <w:rsid w:val="008E7C76"/>
    <w:rsid w:val="008E7EFF"/>
    <w:rsid w:val="008F01AE"/>
    <w:rsid w:val="008F06A8"/>
    <w:rsid w:val="008F0E9B"/>
    <w:rsid w:val="008F102A"/>
    <w:rsid w:val="008F209C"/>
    <w:rsid w:val="008F23E5"/>
    <w:rsid w:val="008F29B5"/>
    <w:rsid w:val="008F2EE0"/>
    <w:rsid w:val="008F34C6"/>
    <w:rsid w:val="008F39B8"/>
    <w:rsid w:val="008F3BB1"/>
    <w:rsid w:val="008F3FE8"/>
    <w:rsid w:val="008F48E8"/>
    <w:rsid w:val="008F50BD"/>
    <w:rsid w:val="008F6EC1"/>
    <w:rsid w:val="0090002E"/>
    <w:rsid w:val="00900335"/>
    <w:rsid w:val="00900B64"/>
    <w:rsid w:val="00902338"/>
    <w:rsid w:val="0090381F"/>
    <w:rsid w:val="00903B10"/>
    <w:rsid w:val="009049F0"/>
    <w:rsid w:val="009054FF"/>
    <w:rsid w:val="009078C8"/>
    <w:rsid w:val="0090796E"/>
    <w:rsid w:val="0090798D"/>
    <w:rsid w:val="00907D13"/>
    <w:rsid w:val="0091113B"/>
    <w:rsid w:val="009115E4"/>
    <w:rsid w:val="009117AF"/>
    <w:rsid w:val="00911C64"/>
    <w:rsid w:val="009140A3"/>
    <w:rsid w:val="00914595"/>
    <w:rsid w:val="00914F31"/>
    <w:rsid w:val="009163C9"/>
    <w:rsid w:val="00916693"/>
    <w:rsid w:val="009173CC"/>
    <w:rsid w:val="00920002"/>
    <w:rsid w:val="009207A8"/>
    <w:rsid w:val="00920AEA"/>
    <w:rsid w:val="00920C00"/>
    <w:rsid w:val="00920F0F"/>
    <w:rsid w:val="00921812"/>
    <w:rsid w:val="009218A1"/>
    <w:rsid w:val="0092190F"/>
    <w:rsid w:val="00922D32"/>
    <w:rsid w:val="009239E6"/>
    <w:rsid w:val="009243ED"/>
    <w:rsid w:val="00924562"/>
    <w:rsid w:val="009248AE"/>
    <w:rsid w:val="00925212"/>
    <w:rsid w:val="009254F3"/>
    <w:rsid w:val="0092698D"/>
    <w:rsid w:val="00926B9A"/>
    <w:rsid w:val="00927AEA"/>
    <w:rsid w:val="00930050"/>
    <w:rsid w:val="0093034F"/>
    <w:rsid w:val="00930D38"/>
    <w:rsid w:val="00931CBA"/>
    <w:rsid w:val="00931D63"/>
    <w:rsid w:val="00931E66"/>
    <w:rsid w:val="00932A07"/>
    <w:rsid w:val="0093364E"/>
    <w:rsid w:val="009338C5"/>
    <w:rsid w:val="00935F88"/>
    <w:rsid w:val="00940114"/>
    <w:rsid w:val="009404D2"/>
    <w:rsid w:val="0094239C"/>
    <w:rsid w:val="009429D1"/>
    <w:rsid w:val="00942B1D"/>
    <w:rsid w:val="00943126"/>
    <w:rsid w:val="00943C43"/>
    <w:rsid w:val="00944D9B"/>
    <w:rsid w:val="00945C2F"/>
    <w:rsid w:val="00946E9C"/>
    <w:rsid w:val="00947375"/>
    <w:rsid w:val="009479A6"/>
    <w:rsid w:val="009511DD"/>
    <w:rsid w:val="0095125F"/>
    <w:rsid w:val="0095214B"/>
    <w:rsid w:val="0095261E"/>
    <w:rsid w:val="009541F2"/>
    <w:rsid w:val="00954C4C"/>
    <w:rsid w:val="00955157"/>
    <w:rsid w:val="00960955"/>
    <w:rsid w:val="00961962"/>
    <w:rsid w:val="00961C84"/>
    <w:rsid w:val="009623B8"/>
    <w:rsid w:val="009639FF"/>
    <w:rsid w:val="00964919"/>
    <w:rsid w:val="00970A2C"/>
    <w:rsid w:val="00970ED1"/>
    <w:rsid w:val="00971CBA"/>
    <w:rsid w:val="009723CF"/>
    <w:rsid w:val="00972784"/>
    <w:rsid w:val="00972A10"/>
    <w:rsid w:val="00972F34"/>
    <w:rsid w:val="00974173"/>
    <w:rsid w:val="00975855"/>
    <w:rsid w:val="00976885"/>
    <w:rsid w:val="00977768"/>
    <w:rsid w:val="009804E5"/>
    <w:rsid w:val="009806CB"/>
    <w:rsid w:val="009819A8"/>
    <w:rsid w:val="00981B74"/>
    <w:rsid w:val="00982BBC"/>
    <w:rsid w:val="00982C93"/>
    <w:rsid w:val="00984BF4"/>
    <w:rsid w:val="009859C0"/>
    <w:rsid w:val="00985A50"/>
    <w:rsid w:val="00985E7D"/>
    <w:rsid w:val="00987152"/>
    <w:rsid w:val="009875F1"/>
    <w:rsid w:val="0099004C"/>
    <w:rsid w:val="00991887"/>
    <w:rsid w:val="00992115"/>
    <w:rsid w:val="00992AA5"/>
    <w:rsid w:val="00994028"/>
    <w:rsid w:val="00995977"/>
    <w:rsid w:val="00995EEF"/>
    <w:rsid w:val="00997925"/>
    <w:rsid w:val="00997C72"/>
    <w:rsid w:val="009A01B1"/>
    <w:rsid w:val="009A0434"/>
    <w:rsid w:val="009A1AFE"/>
    <w:rsid w:val="009A262E"/>
    <w:rsid w:val="009A2C94"/>
    <w:rsid w:val="009A33C0"/>
    <w:rsid w:val="009A3AE1"/>
    <w:rsid w:val="009A7BC0"/>
    <w:rsid w:val="009A7D55"/>
    <w:rsid w:val="009B10FE"/>
    <w:rsid w:val="009B1B83"/>
    <w:rsid w:val="009B3FAB"/>
    <w:rsid w:val="009B46F7"/>
    <w:rsid w:val="009B494F"/>
    <w:rsid w:val="009B50A6"/>
    <w:rsid w:val="009B51BB"/>
    <w:rsid w:val="009B5AAC"/>
    <w:rsid w:val="009B6FD2"/>
    <w:rsid w:val="009B77F8"/>
    <w:rsid w:val="009B7ACB"/>
    <w:rsid w:val="009B7DCB"/>
    <w:rsid w:val="009B7E12"/>
    <w:rsid w:val="009C0306"/>
    <w:rsid w:val="009C0888"/>
    <w:rsid w:val="009C1E32"/>
    <w:rsid w:val="009C1E42"/>
    <w:rsid w:val="009C277E"/>
    <w:rsid w:val="009C2BDC"/>
    <w:rsid w:val="009C3C5F"/>
    <w:rsid w:val="009C58B4"/>
    <w:rsid w:val="009C59E1"/>
    <w:rsid w:val="009C5F04"/>
    <w:rsid w:val="009C6326"/>
    <w:rsid w:val="009C634C"/>
    <w:rsid w:val="009C78EF"/>
    <w:rsid w:val="009D082A"/>
    <w:rsid w:val="009D102A"/>
    <w:rsid w:val="009D1369"/>
    <w:rsid w:val="009D2686"/>
    <w:rsid w:val="009D3087"/>
    <w:rsid w:val="009D44DF"/>
    <w:rsid w:val="009D4792"/>
    <w:rsid w:val="009D5A7E"/>
    <w:rsid w:val="009D6411"/>
    <w:rsid w:val="009D7221"/>
    <w:rsid w:val="009E11E8"/>
    <w:rsid w:val="009E12FF"/>
    <w:rsid w:val="009E15E6"/>
    <w:rsid w:val="009E2948"/>
    <w:rsid w:val="009E2A28"/>
    <w:rsid w:val="009E2AED"/>
    <w:rsid w:val="009E2AFE"/>
    <w:rsid w:val="009E2DD4"/>
    <w:rsid w:val="009E4124"/>
    <w:rsid w:val="009E4149"/>
    <w:rsid w:val="009E42E3"/>
    <w:rsid w:val="009E513B"/>
    <w:rsid w:val="009E5300"/>
    <w:rsid w:val="009E5465"/>
    <w:rsid w:val="009F16A8"/>
    <w:rsid w:val="009F1C30"/>
    <w:rsid w:val="009F1E16"/>
    <w:rsid w:val="009F232F"/>
    <w:rsid w:val="009F2568"/>
    <w:rsid w:val="009F2DE3"/>
    <w:rsid w:val="009F4D2F"/>
    <w:rsid w:val="009F53EE"/>
    <w:rsid w:val="009F5853"/>
    <w:rsid w:val="009F5F9F"/>
    <w:rsid w:val="009F630F"/>
    <w:rsid w:val="009F6AFA"/>
    <w:rsid w:val="009F6E99"/>
    <w:rsid w:val="009F7248"/>
    <w:rsid w:val="00A00BD8"/>
    <w:rsid w:val="00A01054"/>
    <w:rsid w:val="00A011F4"/>
    <w:rsid w:val="00A018BD"/>
    <w:rsid w:val="00A033C3"/>
    <w:rsid w:val="00A035C1"/>
    <w:rsid w:val="00A03622"/>
    <w:rsid w:val="00A05395"/>
    <w:rsid w:val="00A0546D"/>
    <w:rsid w:val="00A059F9"/>
    <w:rsid w:val="00A0625A"/>
    <w:rsid w:val="00A063C3"/>
    <w:rsid w:val="00A06A28"/>
    <w:rsid w:val="00A07F85"/>
    <w:rsid w:val="00A10B5A"/>
    <w:rsid w:val="00A11417"/>
    <w:rsid w:val="00A11696"/>
    <w:rsid w:val="00A11DC9"/>
    <w:rsid w:val="00A12546"/>
    <w:rsid w:val="00A143B4"/>
    <w:rsid w:val="00A15210"/>
    <w:rsid w:val="00A167B3"/>
    <w:rsid w:val="00A178AD"/>
    <w:rsid w:val="00A17E6D"/>
    <w:rsid w:val="00A21212"/>
    <w:rsid w:val="00A21CC0"/>
    <w:rsid w:val="00A22600"/>
    <w:rsid w:val="00A22FEF"/>
    <w:rsid w:val="00A233AE"/>
    <w:rsid w:val="00A24652"/>
    <w:rsid w:val="00A2573B"/>
    <w:rsid w:val="00A25821"/>
    <w:rsid w:val="00A25BE6"/>
    <w:rsid w:val="00A25E06"/>
    <w:rsid w:val="00A262D3"/>
    <w:rsid w:val="00A26FBF"/>
    <w:rsid w:val="00A279DD"/>
    <w:rsid w:val="00A30227"/>
    <w:rsid w:val="00A30B57"/>
    <w:rsid w:val="00A3153C"/>
    <w:rsid w:val="00A3423C"/>
    <w:rsid w:val="00A34341"/>
    <w:rsid w:val="00A34B1C"/>
    <w:rsid w:val="00A36A6B"/>
    <w:rsid w:val="00A3703D"/>
    <w:rsid w:val="00A404DB"/>
    <w:rsid w:val="00A4068C"/>
    <w:rsid w:val="00A4095E"/>
    <w:rsid w:val="00A40CD8"/>
    <w:rsid w:val="00A41783"/>
    <w:rsid w:val="00A42819"/>
    <w:rsid w:val="00A432B3"/>
    <w:rsid w:val="00A435C2"/>
    <w:rsid w:val="00A43EFB"/>
    <w:rsid w:val="00A44D71"/>
    <w:rsid w:val="00A451C9"/>
    <w:rsid w:val="00A4678E"/>
    <w:rsid w:val="00A47055"/>
    <w:rsid w:val="00A476F6"/>
    <w:rsid w:val="00A50A6D"/>
    <w:rsid w:val="00A51C7D"/>
    <w:rsid w:val="00A51CA4"/>
    <w:rsid w:val="00A53F6B"/>
    <w:rsid w:val="00A54AF8"/>
    <w:rsid w:val="00A55E9D"/>
    <w:rsid w:val="00A57318"/>
    <w:rsid w:val="00A575A9"/>
    <w:rsid w:val="00A57748"/>
    <w:rsid w:val="00A60E00"/>
    <w:rsid w:val="00A619F1"/>
    <w:rsid w:val="00A62764"/>
    <w:rsid w:val="00A62991"/>
    <w:rsid w:val="00A649B4"/>
    <w:rsid w:val="00A64D2A"/>
    <w:rsid w:val="00A664AE"/>
    <w:rsid w:val="00A66CFF"/>
    <w:rsid w:val="00A70666"/>
    <w:rsid w:val="00A7113A"/>
    <w:rsid w:val="00A71E9B"/>
    <w:rsid w:val="00A71FB8"/>
    <w:rsid w:val="00A72BA6"/>
    <w:rsid w:val="00A73169"/>
    <w:rsid w:val="00A73655"/>
    <w:rsid w:val="00A750F0"/>
    <w:rsid w:val="00A75607"/>
    <w:rsid w:val="00A75851"/>
    <w:rsid w:val="00A764A1"/>
    <w:rsid w:val="00A771C8"/>
    <w:rsid w:val="00A776A8"/>
    <w:rsid w:val="00A77801"/>
    <w:rsid w:val="00A806F9"/>
    <w:rsid w:val="00A8224C"/>
    <w:rsid w:val="00A83C9E"/>
    <w:rsid w:val="00A83E37"/>
    <w:rsid w:val="00A8436E"/>
    <w:rsid w:val="00A84B0F"/>
    <w:rsid w:val="00A861D6"/>
    <w:rsid w:val="00A86588"/>
    <w:rsid w:val="00A8714D"/>
    <w:rsid w:val="00A87196"/>
    <w:rsid w:val="00A87427"/>
    <w:rsid w:val="00A908BF"/>
    <w:rsid w:val="00A90940"/>
    <w:rsid w:val="00A91210"/>
    <w:rsid w:val="00A9165D"/>
    <w:rsid w:val="00A9181F"/>
    <w:rsid w:val="00A918DF"/>
    <w:rsid w:val="00A9365C"/>
    <w:rsid w:val="00A944C5"/>
    <w:rsid w:val="00A97962"/>
    <w:rsid w:val="00AA01AC"/>
    <w:rsid w:val="00AA2828"/>
    <w:rsid w:val="00AA291A"/>
    <w:rsid w:val="00AA2F32"/>
    <w:rsid w:val="00AA33DE"/>
    <w:rsid w:val="00AA393B"/>
    <w:rsid w:val="00AA607C"/>
    <w:rsid w:val="00AA6829"/>
    <w:rsid w:val="00AA6C45"/>
    <w:rsid w:val="00AA7D24"/>
    <w:rsid w:val="00AA7D6E"/>
    <w:rsid w:val="00AB1759"/>
    <w:rsid w:val="00AB19DE"/>
    <w:rsid w:val="00AB2BB6"/>
    <w:rsid w:val="00AB49B4"/>
    <w:rsid w:val="00AC06C1"/>
    <w:rsid w:val="00AC0ACD"/>
    <w:rsid w:val="00AC0AE7"/>
    <w:rsid w:val="00AC213B"/>
    <w:rsid w:val="00AC3404"/>
    <w:rsid w:val="00AC6497"/>
    <w:rsid w:val="00AC669D"/>
    <w:rsid w:val="00AC6FD5"/>
    <w:rsid w:val="00AC723B"/>
    <w:rsid w:val="00AC7FCB"/>
    <w:rsid w:val="00AD05FD"/>
    <w:rsid w:val="00AD066B"/>
    <w:rsid w:val="00AD0BA0"/>
    <w:rsid w:val="00AD0E51"/>
    <w:rsid w:val="00AD1386"/>
    <w:rsid w:val="00AD16A3"/>
    <w:rsid w:val="00AD24E9"/>
    <w:rsid w:val="00AD2DE7"/>
    <w:rsid w:val="00AD2FBD"/>
    <w:rsid w:val="00AD32DA"/>
    <w:rsid w:val="00AD65E4"/>
    <w:rsid w:val="00AD7188"/>
    <w:rsid w:val="00AD7852"/>
    <w:rsid w:val="00AD793F"/>
    <w:rsid w:val="00AE09F9"/>
    <w:rsid w:val="00AE13C6"/>
    <w:rsid w:val="00AE2CC7"/>
    <w:rsid w:val="00AE4884"/>
    <w:rsid w:val="00AE500D"/>
    <w:rsid w:val="00AE5F69"/>
    <w:rsid w:val="00AE65FB"/>
    <w:rsid w:val="00AE6749"/>
    <w:rsid w:val="00AE6B8E"/>
    <w:rsid w:val="00AE6F15"/>
    <w:rsid w:val="00AE72E3"/>
    <w:rsid w:val="00AE748F"/>
    <w:rsid w:val="00AE7D06"/>
    <w:rsid w:val="00AF05AC"/>
    <w:rsid w:val="00AF16D1"/>
    <w:rsid w:val="00AF1CF7"/>
    <w:rsid w:val="00AF24D7"/>
    <w:rsid w:val="00AF252E"/>
    <w:rsid w:val="00AF311E"/>
    <w:rsid w:val="00AF3514"/>
    <w:rsid w:val="00AF4777"/>
    <w:rsid w:val="00AF4EDF"/>
    <w:rsid w:val="00AF5130"/>
    <w:rsid w:val="00AF5257"/>
    <w:rsid w:val="00AF57EB"/>
    <w:rsid w:val="00AF588D"/>
    <w:rsid w:val="00AF5E7F"/>
    <w:rsid w:val="00AF62FF"/>
    <w:rsid w:val="00B017A9"/>
    <w:rsid w:val="00B021D3"/>
    <w:rsid w:val="00B023CE"/>
    <w:rsid w:val="00B03C89"/>
    <w:rsid w:val="00B03D2F"/>
    <w:rsid w:val="00B05772"/>
    <w:rsid w:val="00B05A65"/>
    <w:rsid w:val="00B05ADB"/>
    <w:rsid w:val="00B060C8"/>
    <w:rsid w:val="00B068D7"/>
    <w:rsid w:val="00B10179"/>
    <w:rsid w:val="00B10969"/>
    <w:rsid w:val="00B10AD4"/>
    <w:rsid w:val="00B12614"/>
    <w:rsid w:val="00B13AC7"/>
    <w:rsid w:val="00B165FB"/>
    <w:rsid w:val="00B174FD"/>
    <w:rsid w:val="00B17A4E"/>
    <w:rsid w:val="00B211D7"/>
    <w:rsid w:val="00B21EAC"/>
    <w:rsid w:val="00B22B7C"/>
    <w:rsid w:val="00B235F8"/>
    <w:rsid w:val="00B23B5E"/>
    <w:rsid w:val="00B23E2C"/>
    <w:rsid w:val="00B242C5"/>
    <w:rsid w:val="00B260D6"/>
    <w:rsid w:val="00B27200"/>
    <w:rsid w:val="00B2754B"/>
    <w:rsid w:val="00B31702"/>
    <w:rsid w:val="00B31A73"/>
    <w:rsid w:val="00B31D54"/>
    <w:rsid w:val="00B31EE5"/>
    <w:rsid w:val="00B33527"/>
    <w:rsid w:val="00B34A35"/>
    <w:rsid w:val="00B34DF8"/>
    <w:rsid w:val="00B366F2"/>
    <w:rsid w:val="00B36AF2"/>
    <w:rsid w:val="00B37A96"/>
    <w:rsid w:val="00B37EC1"/>
    <w:rsid w:val="00B40219"/>
    <w:rsid w:val="00B407F9"/>
    <w:rsid w:val="00B40B81"/>
    <w:rsid w:val="00B40D78"/>
    <w:rsid w:val="00B42688"/>
    <w:rsid w:val="00B43623"/>
    <w:rsid w:val="00B4383C"/>
    <w:rsid w:val="00B449E5"/>
    <w:rsid w:val="00B4556D"/>
    <w:rsid w:val="00B45F53"/>
    <w:rsid w:val="00B46540"/>
    <w:rsid w:val="00B4696C"/>
    <w:rsid w:val="00B5196D"/>
    <w:rsid w:val="00B52475"/>
    <w:rsid w:val="00B52788"/>
    <w:rsid w:val="00B53D88"/>
    <w:rsid w:val="00B53D9C"/>
    <w:rsid w:val="00B54081"/>
    <w:rsid w:val="00B54720"/>
    <w:rsid w:val="00B54F8A"/>
    <w:rsid w:val="00B56B92"/>
    <w:rsid w:val="00B56CA1"/>
    <w:rsid w:val="00B56E40"/>
    <w:rsid w:val="00B57587"/>
    <w:rsid w:val="00B60DC8"/>
    <w:rsid w:val="00B61177"/>
    <w:rsid w:val="00B61957"/>
    <w:rsid w:val="00B62136"/>
    <w:rsid w:val="00B63B1D"/>
    <w:rsid w:val="00B63CC2"/>
    <w:rsid w:val="00B650B5"/>
    <w:rsid w:val="00B652B3"/>
    <w:rsid w:val="00B66846"/>
    <w:rsid w:val="00B66C69"/>
    <w:rsid w:val="00B67B72"/>
    <w:rsid w:val="00B67E09"/>
    <w:rsid w:val="00B67E39"/>
    <w:rsid w:val="00B703FF"/>
    <w:rsid w:val="00B70456"/>
    <w:rsid w:val="00B71A95"/>
    <w:rsid w:val="00B71FB7"/>
    <w:rsid w:val="00B724B0"/>
    <w:rsid w:val="00B73132"/>
    <w:rsid w:val="00B73D29"/>
    <w:rsid w:val="00B73DEA"/>
    <w:rsid w:val="00B74B68"/>
    <w:rsid w:val="00B75597"/>
    <w:rsid w:val="00B7587A"/>
    <w:rsid w:val="00B7629B"/>
    <w:rsid w:val="00B77203"/>
    <w:rsid w:val="00B81136"/>
    <w:rsid w:val="00B811B4"/>
    <w:rsid w:val="00B814AD"/>
    <w:rsid w:val="00B822BD"/>
    <w:rsid w:val="00B82863"/>
    <w:rsid w:val="00B82C34"/>
    <w:rsid w:val="00B8323B"/>
    <w:rsid w:val="00B832AD"/>
    <w:rsid w:val="00B839D0"/>
    <w:rsid w:val="00B85687"/>
    <w:rsid w:val="00B86973"/>
    <w:rsid w:val="00B870E9"/>
    <w:rsid w:val="00B87144"/>
    <w:rsid w:val="00B90DA6"/>
    <w:rsid w:val="00B90F66"/>
    <w:rsid w:val="00B9280C"/>
    <w:rsid w:val="00B93221"/>
    <w:rsid w:val="00B93DEA"/>
    <w:rsid w:val="00B96548"/>
    <w:rsid w:val="00B96628"/>
    <w:rsid w:val="00B97984"/>
    <w:rsid w:val="00BA0809"/>
    <w:rsid w:val="00BA0D92"/>
    <w:rsid w:val="00BA12F2"/>
    <w:rsid w:val="00BA22AD"/>
    <w:rsid w:val="00BA250E"/>
    <w:rsid w:val="00BA2B64"/>
    <w:rsid w:val="00BA419D"/>
    <w:rsid w:val="00BA59DE"/>
    <w:rsid w:val="00BA6F36"/>
    <w:rsid w:val="00BA7134"/>
    <w:rsid w:val="00BA7908"/>
    <w:rsid w:val="00BB06F5"/>
    <w:rsid w:val="00BB0D6E"/>
    <w:rsid w:val="00BB1295"/>
    <w:rsid w:val="00BB3EB6"/>
    <w:rsid w:val="00BB41A2"/>
    <w:rsid w:val="00BB54E7"/>
    <w:rsid w:val="00BB5815"/>
    <w:rsid w:val="00BB65C9"/>
    <w:rsid w:val="00BB6A03"/>
    <w:rsid w:val="00BB6F90"/>
    <w:rsid w:val="00BB7C50"/>
    <w:rsid w:val="00BC02E3"/>
    <w:rsid w:val="00BC041E"/>
    <w:rsid w:val="00BC0547"/>
    <w:rsid w:val="00BC0E1B"/>
    <w:rsid w:val="00BC0FE5"/>
    <w:rsid w:val="00BC11EC"/>
    <w:rsid w:val="00BC17E3"/>
    <w:rsid w:val="00BC1CF9"/>
    <w:rsid w:val="00BC1EFD"/>
    <w:rsid w:val="00BC2572"/>
    <w:rsid w:val="00BC26E4"/>
    <w:rsid w:val="00BC2B11"/>
    <w:rsid w:val="00BC2B89"/>
    <w:rsid w:val="00BC439D"/>
    <w:rsid w:val="00BC4F00"/>
    <w:rsid w:val="00BC582A"/>
    <w:rsid w:val="00BC5B87"/>
    <w:rsid w:val="00BC5C9B"/>
    <w:rsid w:val="00BC5D31"/>
    <w:rsid w:val="00BC611F"/>
    <w:rsid w:val="00BC6DDA"/>
    <w:rsid w:val="00BC6EA6"/>
    <w:rsid w:val="00BC764C"/>
    <w:rsid w:val="00BD08D7"/>
    <w:rsid w:val="00BD0A7F"/>
    <w:rsid w:val="00BD145A"/>
    <w:rsid w:val="00BD1A8C"/>
    <w:rsid w:val="00BD1CD9"/>
    <w:rsid w:val="00BD20EE"/>
    <w:rsid w:val="00BD22B9"/>
    <w:rsid w:val="00BD26F2"/>
    <w:rsid w:val="00BD2A08"/>
    <w:rsid w:val="00BD2AE9"/>
    <w:rsid w:val="00BD34AB"/>
    <w:rsid w:val="00BD4254"/>
    <w:rsid w:val="00BD4903"/>
    <w:rsid w:val="00BD49C4"/>
    <w:rsid w:val="00BD4E98"/>
    <w:rsid w:val="00BD73E1"/>
    <w:rsid w:val="00BD7BBE"/>
    <w:rsid w:val="00BD7C86"/>
    <w:rsid w:val="00BE0316"/>
    <w:rsid w:val="00BE07F9"/>
    <w:rsid w:val="00BE0857"/>
    <w:rsid w:val="00BE096D"/>
    <w:rsid w:val="00BE0DE9"/>
    <w:rsid w:val="00BE1692"/>
    <w:rsid w:val="00BE3208"/>
    <w:rsid w:val="00BE3534"/>
    <w:rsid w:val="00BE353B"/>
    <w:rsid w:val="00BE365B"/>
    <w:rsid w:val="00BE47A1"/>
    <w:rsid w:val="00BE50F5"/>
    <w:rsid w:val="00BE65A5"/>
    <w:rsid w:val="00BE7016"/>
    <w:rsid w:val="00BE7A0C"/>
    <w:rsid w:val="00BF049F"/>
    <w:rsid w:val="00BF0D1E"/>
    <w:rsid w:val="00BF1E09"/>
    <w:rsid w:val="00BF2244"/>
    <w:rsid w:val="00BF2A71"/>
    <w:rsid w:val="00BF40DE"/>
    <w:rsid w:val="00BF5648"/>
    <w:rsid w:val="00BF57A8"/>
    <w:rsid w:val="00BF69D1"/>
    <w:rsid w:val="00BF749B"/>
    <w:rsid w:val="00BF7F4E"/>
    <w:rsid w:val="00BF7FAC"/>
    <w:rsid w:val="00C001A5"/>
    <w:rsid w:val="00C0097C"/>
    <w:rsid w:val="00C02B2D"/>
    <w:rsid w:val="00C036FB"/>
    <w:rsid w:val="00C04E54"/>
    <w:rsid w:val="00C04F5C"/>
    <w:rsid w:val="00C0520D"/>
    <w:rsid w:val="00C05B34"/>
    <w:rsid w:val="00C064DC"/>
    <w:rsid w:val="00C11E4A"/>
    <w:rsid w:val="00C135E9"/>
    <w:rsid w:val="00C160F5"/>
    <w:rsid w:val="00C166D8"/>
    <w:rsid w:val="00C16B02"/>
    <w:rsid w:val="00C17ECC"/>
    <w:rsid w:val="00C204FD"/>
    <w:rsid w:val="00C20FDC"/>
    <w:rsid w:val="00C214DB"/>
    <w:rsid w:val="00C21D7C"/>
    <w:rsid w:val="00C21E9D"/>
    <w:rsid w:val="00C22715"/>
    <w:rsid w:val="00C2481A"/>
    <w:rsid w:val="00C24FD2"/>
    <w:rsid w:val="00C25374"/>
    <w:rsid w:val="00C255CF"/>
    <w:rsid w:val="00C25EB7"/>
    <w:rsid w:val="00C27015"/>
    <w:rsid w:val="00C2776E"/>
    <w:rsid w:val="00C27B05"/>
    <w:rsid w:val="00C27E92"/>
    <w:rsid w:val="00C30461"/>
    <w:rsid w:val="00C3067E"/>
    <w:rsid w:val="00C31290"/>
    <w:rsid w:val="00C3177E"/>
    <w:rsid w:val="00C31CA5"/>
    <w:rsid w:val="00C321BB"/>
    <w:rsid w:val="00C32418"/>
    <w:rsid w:val="00C3351A"/>
    <w:rsid w:val="00C33E09"/>
    <w:rsid w:val="00C35A52"/>
    <w:rsid w:val="00C36CCA"/>
    <w:rsid w:val="00C375A9"/>
    <w:rsid w:val="00C40843"/>
    <w:rsid w:val="00C40CF4"/>
    <w:rsid w:val="00C41083"/>
    <w:rsid w:val="00C41CDC"/>
    <w:rsid w:val="00C42732"/>
    <w:rsid w:val="00C42AFE"/>
    <w:rsid w:val="00C43829"/>
    <w:rsid w:val="00C441C6"/>
    <w:rsid w:val="00C4434C"/>
    <w:rsid w:val="00C4608D"/>
    <w:rsid w:val="00C46496"/>
    <w:rsid w:val="00C46919"/>
    <w:rsid w:val="00C47569"/>
    <w:rsid w:val="00C47CAB"/>
    <w:rsid w:val="00C50CAC"/>
    <w:rsid w:val="00C5499D"/>
    <w:rsid w:val="00C556F1"/>
    <w:rsid w:val="00C57D9F"/>
    <w:rsid w:val="00C60306"/>
    <w:rsid w:val="00C60E26"/>
    <w:rsid w:val="00C60F52"/>
    <w:rsid w:val="00C61447"/>
    <w:rsid w:val="00C62034"/>
    <w:rsid w:val="00C6239D"/>
    <w:rsid w:val="00C63166"/>
    <w:rsid w:val="00C6369F"/>
    <w:rsid w:val="00C655E9"/>
    <w:rsid w:val="00C658B0"/>
    <w:rsid w:val="00C65AF4"/>
    <w:rsid w:val="00C65FBA"/>
    <w:rsid w:val="00C66655"/>
    <w:rsid w:val="00C67D26"/>
    <w:rsid w:val="00C705C0"/>
    <w:rsid w:val="00C70B11"/>
    <w:rsid w:val="00C7183E"/>
    <w:rsid w:val="00C71D7C"/>
    <w:rsid w:val="00C72682"/>
    <w:rsid w:val="00C72F5F"/>
    <w:rsid w:val="00C7310C"/>
    <w:rsid w:val="00C7408C"/>
    <w:rsid w:val="00C75FEB"/>
    <w:rsid w:val="00C76057"/>
    <w:rsid w:val="00C76EF1"/>
    <w:rsid w:val="00C772EB"/>
    <w:rsid w:val="00C8166F"/>
    <w:rsid w:val="00C818D1"/>
    <w:rsid w:val="00C82B8B"/>
    <w:rsid w:val="00C82BC1"/>
    <w:rsid w:val="00C82C39"/>
    <w:rsid w:val="00C82ED6"/>
    <w:rsid w:val="00C82FE2"/>
    <w:rsid w:val="00C8571E"/>
    <w:rsid w:val="00C8622D"/>
    <w:rsid w:val="00C865F6"/>
    <w:rsid w:val="00C872FE"/>
    <w:rsid w:val="00C87A32"/>
    <w:rsid w:val="00C90F93"/>
    <w:rsid w:val="00C90F99"/>
    <w:rsid w:val="00C91431"/>
    <w:rsid w:val="00C91553"/>
    <w:rsid w:val="00C922A4"/>
    <w:rsid w:val="00C92B4C"/>
    <w:rsid w:val="00C9390D"/>
    <w:rsid w:val="00C93D40"/>
    <w:rsid w:val="00C94224"/>
    <w:rsid w:val="00C94E39"/>
    <w:rsid w:val="00C956C0"/>
    <w:rsid w:val="00C96099"/>
    <w:rsid w:val="00C966B4"/>
    <w:rsid w:val="00C96C5E"/>
    <w:rsid w:val="00C97312"/>
    <w:rsid w:val="00C97944"/>
    <w:rsid w:val="00CA0BB4"/>
    <w:rsid w:val="00CA0C51"/>
    <w:rsid w:val="00CA18A8"/>
    <w:rsid w:val="00CA1AE7"/>
    <w:rsid w:val="00CA2818"/>
    <w:rsid w:val="00CA31F6"/>
    <w:rsid w:val="00CA4D5E"/>
    <w:rsid w:val="00CA5BA3"/>
    <w:rsid w:val="00CA61DE"/>
    <w:rsid w:val="00CA75C8"/>
    <w:rsid w:val="00CA7CC2"/>
    <w:rsid w:val="00CB0577"/>
    <w:rsid w:val="00CB1F44"/>
    <w:rsid w:val="00CB279D"/>
    <w:rsid w:val="00CB5DD1"/>
    <w:rsid w:val="00CB69FC"/>
    <w:rsid w:val="00CB7028"/>
    <w:rsid w:val="00CB74F0"/>
    <w:rsid w:val="00CB7636"/>
    <w:rsid w:val="00CB7DE8"/>
    <w:rsid w:val="00CC08D6"/>
    <w:rsid w:val="00CC16D5"/>
    <w:rsid w:val="00CC1E2B"/>
    <w:rsid w:val="00CC1FD6"/>
    <w:rsid w:val="00CC286C"/>
    <w:rsid w:val="00CC2C5C"/>
    <w:rsid w:val="00CC3304"/>
    <w:rsid w:val="00CC34F5"/>
    <w:rsid w:val="00CC3B20"/>
    <w:rsid w:val="00CC41AA"/>
    <w:rsid w:val="00CC4363"/>
    <w:rsid w:val="00CC4987"/>
    <w:rsid w:val="00CC51DB"/>
    <w:rsid w:val="00CC5216"/>
    <w:rsid w:val="00CC64C9"/>
    <w:rsid w:val="00CC6AA9"/>
    <w:rsid w:val="00CC74EF"/>
    <w:rsid w:val="00CC7654"/>
    <w:rsid w:val="00CD20DC"/>
    <w:rsid w:val="00CD30EA"/>
    <w:rsid w:val="00CD3C6C"/>
    <w:rsid w:val="00CD3EB4"/>
    <w:rsid w:val="00CD408F"/>
    <w:rsid w:val="00CD465E"/>
    <w:rsid w:val="00CD6E2A"/>
    <w:rsid w:val="00CD7893"/>
    <w:rsid w:val="00CD7BBB"/>
    <w:rsid w:val="00CE0227"/>
    <w:rsid w:val="00CE0C2C"/>
    <w:rsid w:val="00CE2C81"/>
    <w:rsid w:val="00CE339D"/>
    <w:rsid w:val="00CE40F0"/>
    <w:rsid w:val="00CE5165"/>
    <w:rsid w:val="00CE529F"/>
    <w:rsid w:val="00CE5A6C"/>
    <w:rsid w:val="00CE7A73"/>
    <w:rsid w:val="00CF0A5C"/>
    <w:rsid w:val="00CF0A64"/>
    <w:rsid w:val="00CF1A59"/>
    <w:rsid w:val="00CF2743"/>
    <w:rsid w:val="00CF5D65"/>
    <w:rsid w:val="00CF7F44"/>
    <w:rsid w:val="00D004AF"/>
    <w:rsid w:val="00D00771"/>
    <w:rsid w:val="00D00EC4"/>
    <w:rsid w:val="00D0282C"/>
    <w:rsid w:val="00D03621"/>
    <w:rsid w:val="00D03E59"/>
    <w:rsid w:val="00D05DBB"/>
    <w:rsid w:val="00D06BCB"/>
    <w:rsid w:val="00D0766C"/>
    <w:rsid w:val="00D079C4"/>
    <w:rsid w:val="00D100E4"/>
    <w:rsid w:val="00D109C4"/>
    <w:rsid w:val="00D10E80"/>
    <w:rsid w:val="00D11A0C"/>
    <w:rsid w:val="00D1229D"/>
    <w:rsid w:val="00D129F8"/>
    <w:rsid w:val="00D132F5"/>
    <w:rsid w:val="00D13803"/>
    <w:rsid w:val="00D13A32"/>
    <w:rsid w:val="00D13ED8"/>
    <w:rsid w:val="00D14C4C"/>
    <w:rsid w:val="00D15C1B"/>
    <w:rsid w:val="00D15E1C"/>
    <w:rsid w:val="00D16620"/>
    <w:rsid w:val="00D1679D"/>
    <w:rsid w:val="00D17279"/>
    <w:rsid w:val="00D2009C"/>
    <w:rsid w:val="00D20D3B"/>
    <w:rsid w:val="00D21E3C"/>
    <w:rsid w:val="00D21E5A"/>
    <w:rsid w:val="00D22057"/>
    <w:rsid w:val="00D225BA"/>
    <w:rsid w:val="00D23258"/>
    <w:rsid w:val="00D23804"/>
    <w:rsid w:val="00D23FA2"/>
    <w:rsid w:val="00D23FC3"/>
    <w:rsid w:val="00D270D3"/>
    <w:rsid w:val="00D27B2F"/>
    <w:rsid w:val="00D27F0B"/>
    <w:rsid w:val="00D310A0"/>
    <w:rsid w:val="00D31128"/>
    <w:rsid w:val="00D314B5"/>
    <w:rsid w:val="00D317D7"/>
    <w:rsid w:val="00D31A91"/>
    <w:rsid w:val="00D31D81"/>
    <w:rsid w:val="00D32317"/>
    <w:rsid w:val="00D32F71"/>
    <w:rsid w:val="00D33704"/>
    <w:rsid w:val="00D33754"/>
    <w:rsid w:val="00D3398F"/>
    <w:rsid w:val="00D34C99"/>
    <w:rsid w:val="00D355AD"/>
    <w:rsid w:val="00D35934"/>
    <w:rsid w:val="00D363BF"/>
    <w:rsid w:val="00D3705F"/>
    <w:rsid w:val="00D37917"/>
    <w:rsid w:val="00D40F99"/>
    <w:rsid w:val="00D41049"/>
    <w:rsid w:val="00D414CD"/>
    <w:rsid w:val="00D41F95"/>
    <w:rsid w:val="00D42D6F"/>
    <w:rsid w:val="00D43B26"/>
    <w:rsid w:val="00D44D20"/>
    <w:rsid w:val="00D44E4B"/>
    <w:rsid w:val="00D4580B"/>
    <w:rsid w:val="00D46606"/>
    <w:rsid w:val="00D477A5"/>
    <w:rsid w:val="00D47903"/>
    <w:rsid w:val="00D47EEE"/>
    <w:rsid w:val="00D5010B"/>
    <w:rsid w:val="00D50AAD"/>
    <w:rsid w:val="00D51144"/>
    <w:rsid w:val="00D52C33"/>
    <w:rsid w:val="00D52E17"/>
    <w:rsid w:val="00D53842"/>
    <w:rsid w:val="00D53E71"/>
    <w:rsid w:val="00D55A07"/>
    <w:rsid w:val="00D55CA7"/>
    <w:rsid w:val="00D601E1"/>
    <w:rsid w:val="00D613B8"/>
    <w:rsid w:val="00D613EA"/>
    <w:rsid w:val="00D621A3"/>
    <w:rsid w:val="00D62374"/>
    <w:rsid w:val="00D623F4"/>
    <w:rsid w:val="00D62C9E"/>
    <w:rsid w:val="00D63085"/>
    <w:rsid w:val="00D6326B"/>
    <w:rsid w:val="00D65DFF"/>
    <w:rsid w:val="00D65EBF"/>
    <w:rsid w:val="00D67BE3"/>
    <w:rsid w:val="00D67DDE"/>
    <w:rsid w:val="00D70117"/>
    <w:rsid w:val="00D70ACD"/>
    <w:rsid w:val="00D712D4"/>
    <w:rsid w:val="00D71A29"/>
    <w:rsid w:val="00D732E2"/>
    <w:rsid w:val="00D74DF5"/>
    <w:rsid w:val="00D74F0B"/>
    <w:rsid w:val="00D7760A"/>
    <w:rsid w:val="00D77A79"/>
    <w:rsid w:val="00D77EDB"/>
    <w:rsid w:val="00D8019E"/>
    <w:rsid w:val="00D80366"/>
    <w:rsid w:val="00D810C3"/>
    <w:rsid w:val="00D81782"/>
    <w:rsid w:val="00D82813"/>
    <w:rsid w:val="00D82BF0"/>
    <w:rsid w:val="00D82CFF"/>
    <w:rsid w:val="00D82FBA"/>
    <w:rsid w:val="00D84019"/>
    <w:rsid w:val="00D85293"/>
    <w:rsid w:val="00D852C2"/>
    <w:rsid w:val="00D856CD"/>
    <w:rsid w:val="00D860E1"/>
    <w:rsid w:val="00D871E5"/>
    <w:rsid w:val="00D91460"/>
    <w:rsid w:val="00D9305B"/>
    <w:rsid w:val="00D936F4"/>
    <w:rsid w:val="00D94615"/>
    <w:rsid w:val="00D95405"/>
    <w:rsid w:val="00D95523"/>
    <w:rsid w:val="00D959F3"/>
    <w:rsid w:val="00DA209E"/>
    <w:rsid w:val="00DA2D97"/>
    <w:rsid w:val="00DA3234"/>
    <w:rsid w:val="00DA381C"/>
    <w:rsid w:val="00DA402C"/>
    <w:rsid w:val="00DA4476"/>
    <w:rsid w:val="00DA551E"/>
    <w:rsid w:val="00DA5587"/>
    <w:rsid w:val="00DA5EE3"/>
    <w:rsid w:val="00DA7037"/>
    <w:rsid w:val="00DA71B2"/>
    <w:rsid w:val="00DA79A4"/>
    <w:rsid w:val="00DA7DE1"/>
    <w:rsid w:val="00DB0977"/>
    <w:rsid w:val="00DB1102"/>
    <w:rsid w:val="00DB112C"/>
    <w:rsid w:val="00DB644C"/>
    <w:rsid w:val="00DC02AA"/>
    <w:rsid w:val="00DC07D6"/>
    <w:rsid w:val="00DC2831"/>
    <w:rsid w:val="00DC3147"/>
    <w:rsid w:val="00DC3685"/>
    <w:rsid w:val="00DC4FB5"/>
    <w:rsid w:val="00DC5D7B"/>
    <w:rsid w:val="00DC66A5"/>
    <w:rsid w:val="00DC7D04"/>
    <w:rsid w:val="00DC7E3D"/>
    <w:rsid w:val="00DD0458"/>
    <w:rsid w:val="00DD0BF7"/>
    <w:rsid w:val="00DD1011"/>
    <w:rsid w:val="00DD181A"/>
    <w:rsid w:val="00DD1F69"/>
    <w:rsid w:val="00DD2682"/>
    <w:rsid w:val="00DD29B6"/>
    <w:rsid w:val="00DD3776"/>
    <w:rsid w:val="00DD403B"/>
    <w:rsid w:val="00DD4254"/>
    <w:rsid w:val="00DD4AB6"/>
    <w:rsid w:val="00DD4C75"/>
    <w:rsid w:val="00DD4E2B"/>
    <w:rsid w:val="00DD7418"/>
    <w:rsid w:val="00DE05B5"/>
    <w:rsid w:val="00DE3C55"/>
    <w:rsid w:val="00DE583F"/>
    <w:rsid w:val="00DE5C88"/>
    <w:rsid w:val="00DF029E"/>
    <w:rsid w:val="00DF0AAC"/>
    <w:rsid w:val="00DF146A"/>
    <w:rsid w:val="00DF2AEE"/>
    <w:rsid w:val="00DF33A6"/>
    <w:rsid w:val="00DF3899"/>
    <w:rsid w:val="00DF58E4"/>
    <w:rsid w:val="00DF5BD8"/>
    <w:rsid w:val="00DF5CB8"/>
    <w:rsid w:val="00DF77A0"/>
    <w:rsid w:val="00DF7BC4"/>
    <w:rsid w:val="00E00367"/>
    <w:rsid w:val="00E005F1"/>
    <w:rsid w:val="00E00BEC"/>
    <w:rsid w:val="00E0107A"/>
    <w:rsid w:val="00E01D9B"/>
    <w:rsid w:val="00E02DCA"/>
    <w:rsid w:val="00E03171"/>
    <w:rsid w:val="00E03634"/>
    <w:rsid w:val="00E03A6A"/>
    <w:rsid w:val="00E03EFB"/>
    <w:rsid w:val="00E040A6"/>
    <w:rsid w:val="00E052E2"/>
    <w:rsid w:val="00E05451"/>
    <w:rsid w:val="00E0562C"/>
    <w:rsid w:val="00E05A7F"/>
    <w:rsid w:val="00E062D2"/>
    <w:rsid w:val="00E067AF"/>
    <w:rsid w:val="00E06865"/>
    <w:rsid w:val="00E06C87"/>
    <w:rsid w:val="00E06D69"/>
    <w:rsid w:val="00E074F8"/>
    <w:rsid w:val="00E075FC"/>
    <w:rsid w:val="00E10AC7"/>
    <w:rsid w:val="00E11107"/>
    <w:rsid w:val="00E1238B"/>
    <w:rsid w:val="00E1292B"/>
    <w:rsid w:val="00E1296F"/>
    <w:rsid w:val="00E132D1"/>
    <w:rsid w:val="00E13375"/>
    <w:rsid w:val="00E138E3"/>
    <w:rsid w:val="00E154B6"/>
    <w:rsid w:val="00E156CF"/>
    <w:rsid w:val="00E2039D"/>
    <w:rsid w:val="00E203F6"/>
    <w:rsid w:val="00E21B18"/>
    <w:rsid w:val="00E223C7"/>
    <w:rsid w:val="00E22DE9"/>
    <w:rsid w:val="00E23CB1"/>
    <w:rsid w:val="00E25AC4"/>
    <w:rsid w:val="00E264EA"/>
    <w:rsid w:val="00E26753"/>
    <w:rsid w:val="00E26CB9"/>
    <w:rsid w:val="00E27006"/>
    <w:rsid w:val="00E270BF"/>
    <w:rsid w:val="00E27C2B"/>
    <w:rsid w:val="00E30772"/>
    <w:rsid w:val="00E30AB7"/>
    <w:rsid w:val="00E30CAB"/>
    <w:rsid w:val="00E31DD0"/>
    <w:rsid w:val="00E32305"/>
    <w:rsid w:val="00E32EB7"/>
    <w:rsid w:val="00E3379B"/>
    <w:rsid w:val="00E33C92"/>
    <w:rsid w:val="00E34119"/>
    <w:rsid w:val="00E3444D"/>
    <w:rsid w:val="00E35FB0"/>
    <w:rsid w:val="00E372F4"/>
    <w:rsid w:val="00E37E1A"/>
    <w:rsid w:val="00E40B28"/>
    <w:rsid w:val="00E40C4F"/>
    <w:rsid w:val="00E41144"/>
    <w:rsid w:val="00E42983"/>
    <w:rsid w:val="00E42BCD"/>
    <w:rsid w:val="00E432A6"/>
    <w:rsid w:val="00E43869"/>
    <w:rsid w:val="00E44C01"/>
    <w:rsid w:val="00E4685F"/>
    <w:rsid w:val="00E46E64"/>
    <w:rsid w:val="00E47093"/>
    <w:rsid w:val="00E475CC"/>
    <w:rsid w:val="00E50339"/>
    <w:rsid w:val="00E50B04"/>
    <w:rsid w:val="00E53A7E"/>
    <w:rsid w:val="00E53D8A"/>
    <w:rsid w:val="00E540AA"/>
    <w:rsid w:val="00E548CA"/>
    <w:rsid w:val="00E554EF"/>
    <w:rsid w:val="00E565AE"/>
    <w:rsid w:val="00E574D5"/>
    <w:rsid w:val="00E579A7"/>
    <w:rsid w:val="00E600E9"/>
    <w:rsid w:val="00E60329"/>
    <w:rsid w:val="00E6185F"/>
    <w:rsid w:val="00E62783"/>
    <w:rsid w:val="00E627BB"/>
    <w:rsid w:val="00E629DF"/>
    <w:rsid w:val="00E62BA7"/>
    <w:rsid w:val="00E65994"/>
    <w:rsid w:val="00E659FD"/>
    <w:rsid w:val="00E66138"/>
    <w:rsid w:val="00E661C9"/>
    <w:rsid w:val="00E6675A"/>
    <w:rsid w:val="00E67793"/>
    <w:rsid w:val="00E71469"/>
    <w:rsid w:val="00E725D8"/>
    <w:rsid w:val="00E73F60"/>
    <w:rsid w:val="00E74B84"/>
    <w:rsid w:val="00E7505D"/>
    <w:rsid w:val="00E7731F"/>
    <w:rsid w:val="00E804B0"/>
    <w:rsid w:val="00E80914"/>
    <w:rsid w:val="00E814E5"/>
    <w:rsid w:val="00E8283F"/>
    <w:rsid w:val="00E839E1"/>
    <w:rsid w:val="00E83C07"/>
    <w:rsid w:val="00E84CD0"/>
    <w:rsid w:val="00E84E87"/>
    <w:rsid w:val="00E867AF"/>
    <w:rsid w:val="00E86DB6"/>
    <w:rsid w:val="00E90FC3"/>
    <w:rsid w:val="00E91D06"/>
    <w:rsid w:val="00E9246B"/>
    <w:rsid w:val="00E93774"/>
    <w:rsid w:val="00E942F3"/>
    <w:rsid w:val="00E94DC4"/>
    <w:rsid w:val="00E967C6"/>
    <w:rsid w:val="00E96B03"/>
    <w:rsid w:val="00E96C6F"/>
    <w:rsid w:val="00EA11FF"/>
    <w:rsid w:val="00EA198E"/>
    <w:rsid w:val="00EA2FE8"/>
    <w:rsid w:val="00EA30CA"/>
    <w:rsid w:val="00EA48DC"/>
    <w:rsid w:val="00EA5507"/>
    <w:rsid w:val="00EA5714"/>
    <w:rsid w:val="00EA62C3"/>
    <w:rsid w:val="00EA6B29"/>
    <w:rsid w:val="00EA7699"/>
    <w:rsid w:val="00EA7F93"/>
    <w:rsid w:val="00EB04FC"/>
    <w:rsid w:val="00EB0B28"/>
    <w:rsid w:val="00EB0FAC"/>
    <w:rsid w:val="00EB17B3"/>
    <w:rsid w:val="00EB39E5"/>
    <w:rsid w:val="00EB585B"/>
    <w:rsid w:val="00EB6D74"/>
    <w:rsid w:val="00EB700F"/>
    <w:rsid w:val="00EB73DE"/>
    <w:rsid w:val="00EB7519"/>
    <w:rsid w:val="00EB795B"/>
    <w:rsid w:val="00EB7DCE"/>
    <w:rsid w:val="00EC1304"/>
    <w:rsid w:val="00EC1877"/>
    <w:rsid w:val="00EC2891"/>
    <w:rsid w:val="00EC31E1"/>
    <w:rsid w:val="00EC34E1"/>
    <w:rsid w:val="00EC3C8F"/>
    <w:rsid w:val="00EC4779"/>
    <w:rsid w:val="00EC50F7"/>
    <w:rsid w:val="00EC517A"/>
    <w:rsid w:val="00EC56DE"/>
    <w:rsid w:val="00EC63A9"/>
    <w:rsid w:val="00EC64C7"/>
    <w:rsid w:val="00EC667E"/>
    <w:rsid w:val="00EC6E7E"/>
    <w:rsid w:val="00EC6EA4"/>
    <w:rsid w:val="00EC7A76"/>
    <w:rsid w:val="00ED01D0"/>
    <w:rsid w:val="00ED04DA"/>
    <w:rsid w:val="00ED10A9"/>
    <w:rsid w:val="00ED22F8"/>
    <w:rsid w:val="00ED2521"/>
    <w:rsid w:val="00ED2BCC"/>
    <w:rsid w:val="00ED2BDB"/>
    <w:rsid w:val="00ED3E32"/>
    <w:rsid w:val="00ED3FD5"/>
    <w:rsid w:val="00ED48AD"/>
    <w:rsid w:val="00ED6A8E"/>
    <w:rsid w:val="00ED77D9"/>
    <w:rsid w:val="00ED7E94"/>
    <w:rsid w:val="00EE009E"/>
    <w:rsid w:val="00EE1120"/>
    <w:rsid w:val="00EE1EAA"/>
    <w:rsid w:val="00EE22DD"/>
    <w:rsid w:val="00EE2F01"/>
    <w:rsid w:val="00EE32B8"/>
    <w:rsid w:val="00EE4580"/>
    <w:rsid w:val="00EE53A0"/>
    <w:rsid w:val="00EE5FE3"/>
    <w:rsid w:val="00EE60CE"/>
    <w:rsid w:val="00EE7537"/>
    <w:rsid w:val="00EE7FE2"/>
    <w:rsid w:val="00EF0234"/>
    <w:rsid w:val="00EF1787"/>
    <w:rsid w:val="00EF20D5"/>
    <w:rsid w:val="00EF3320"/>
    <w:rsid w:val="00EF3627"/>
    <w:rsid w:val="00EF3916"/>
    <w:rsid w:val="00EF4754"/>
    <w:rsid w:val="00EF4FA4"/>
    <w:rsid w:val="00EF5827"/>
    <w:rsid w:val="00EF5FBA"/>
    <w:rsid w:val="00EF6FF4"/>
    <w:rsid w:val="00F01547"/>
    <w:rsid w:val="00F01590"/>
    <w:rsid w:val="00F015FB"/>
    <w:rsid w:val="00F026B3"/>
    <w:rsid w:val="00F02D13"/>
    <w:rsid w:val="00F042F8"/>
    <w:rsid w:val="00F04D8A"/>
    <w:rsid w:val="00F04DD0"/>
    <w:rsid w:val="00F050B7"/>
    <w:rsid w:val="00F051C9"/>
    <w:rsid w:val="00F067F6"/>
    <w:rsid w:val="00F06DA4"/>
    <w:rsid w:val="00F07586"/>
    <w:rsid w:val="00F106E3"/>
    <w:rsid w:val="00F1081A"/>
    <w:rsid w:val="00F11787"/>
    <w:rsid w:val="00F1180B"/>
    <w:rsid w:val="00F11F0C"/>
    <w:rsid w:val="00F120A7"/>
    <w:rsid w:val="00F139E1"/>
    <w:rsid w:val="00F15DC7"/>
    <w:rsid w:val="00F15F2E"/>
    <w:rsid w:val="00F1675E"/>
    <w:rsid w:val="00F16A51"/>
    <w:rsid w:val="00F16B42"/>
    <w:rsid w:val="00F16F99"/>
    <w:rsid w:val="00F1766D"/>
    <w:rsid w:val="00F17E80"/>
    <w:rsid w:val="00F2059D"/>
    <w:rsid w:val="00F20CB8"/>
    <w:rsid w:val="00F20F35"/>
    <w:rsid w:val="00F23FA1"/>
    <w:rsid w:val="00F25E61"/>
    <w:rsid w:val="00F2628D"/>
    <w:rsid w:val="00F2640F"/>
    <w:rsid w:val="00F26D4F"/>
    <w:rsid w:val="00F271EB"/>
    <w:rsid w:val="00F2738E"/>
    <w:rsid w:val="00F27BF5"/>
    <w:rsid w:val="00F30396"/>
    <w:rsid w:val="00F3209B"/>
    <w:rsid w:val="00F32D30"/>
    <w:rsid w:val="00F33E39"/>
    <w:rsid w:val="00F35F1F"/>
    <w:rsid w:val="00F36082"/>
    <w:rsid w:val="00F36A56"/>
    <w:rsid w:val="00F36B1D"/>
    <w:rsid w:val="00F37BA7"/>
    <w:rsid w:val="00F40235"/>
    <w:rsid w:val="00F40408"/>
    <w:rsid w:val="00F40808"/>
    <w:rsid w:val="00F40A01"/>
    <w:rsid w:val="00F40A44"/>
    <w:rsid w:val="00F4181C"/>
    <w:rsid w:val="00F425E5"/>
    <w:rsid w:val="00F4340D"/>
    <w:rsid w:val="00F4417F"/>
    <w:rsid w:val="00F441C6"/>
    <w:rsid w:val="00F44B87"/>
    <w:rsid w:val="00F4514C"/>
    <w:rsid w:val="00F4757B"/>
    <w:rsid w:val="00F47BB2"/>
    <w:rsid w:val="00F50816"/>
    <w:rsid w:val="00F50C9F"/>
    <w:rsid w:val="00F51C04"/>
    <w:rsid w:val="00F52037"/>
    <w:rsid w:val="00F521BC"/>
    <w:rsid w:val="00F52674"/>
    <w:rsid w:val="00F52B75"/>
    <w:rsid w:val="00F558BF"/>
    <w:rsid w:val="00F5597A"/>
    <w:rsid w:val="00F56134"/>
    <w:rsid w:val="00F562C1"/>
    <w:rsid w:val="00F56D9B"/>
    <w:rsid w:val="00F6099C"/>
    <w:rsid w:val="00F60C4F"/>
    <w:rsid w:val="00F61B97"/>
    <w:rsid w:val="00F61F4C"/>
    <w:rsid w:val="00F62DE8"/>
    <w:rsid w:val="00F63C45"/>
    <w:rsid w:val="00F63D2D"/>
    <w:rsid w:val="00F64AE0"/>
    <w:rsid w:val="00F67BC9"/>
    <w:rsid w:val="00F67EDD"/>
    <w:rsid w:val="00F71D18"/>
    <w:rsid w:val="00F73A5C"/>
    <w:rsid w:val="00F73DF3"/>
    <w:rsid w:val="00F7443A"/>
    <w:rsid w:val="00F759D9"/>
    <w:rsid w:val="00F75E3F"/>
    <w:rsid w:val="00F7675C"/>
    <w:rsid w:val="00F7743B"/>
    <w:rsid w:val="00F8006D"/>
    <w:rsid w:val="00F8062B"/>
    <w:rsid w:val="00F8087B"/>
    <w:rsid w:val="00F8258A"/>
    <w:rsid w:val="00F82CB8"/>
    <w:rsid w:val="00F8310F"/>
    <w:rsid w:val="00F83805"/>
    <w:rsid w:val="00F840F3"/>
    <w:rsid w:val="00F844FE"/>
    <w:rsid w:val="00F84D7F"/>
    <w:rsid w:val="00F85940"/>
    <w:rsid w:val="00F85BF9"/>
    <w:rsid w:val="00F87154"/>
    <w:rsid w:val="00F87830"/>
    <w:rsid w:val="00F87BD6"/>
    <w:rsid w:val="00F87F22"/>
    <w:rsid w:val="00F90446"/>
    <w:rsid w:val="00F907C8"/>
    <w:rsid w:val="00F9109B"/>
    <w:rsid w:val="00F91900"/>
    <w:rsid w:val="00F92720"/>
    <w:rsid w:val="00F92B4B"/>
    <w:rsid w:val="00F92E8D"/>
    <w:rsid w:val="00F93AEE"/>
    <w:rsid w:val="00F93C5F"/>
    <w:rsid w:val="00F93E49"/>
    <w:rsid w:val="00F94115"/>
    <w:rsid w:val="00F94530"/>
    <w:rsid w:val="00F94E64"/>
    <w:rsid w:val="00F96F01"/>
    <w:rsid w:val="00F972F0"/>
    <w:rsid w:val="00F977D2"/>
    <w:rsid w:val="00FA1373"/>
    <w:rsid w:val="00FA1E19"/>
    <w:rsid w:val="00FA2DA8"/>
    <w:rsid w:val="00FA47CD"/>
    <w:rsid w:val="00FA4991"/>
    <w:rsid w:val="00FA61A7"/>
    <w:rsid w:val="00FA70BB"/>
    <w:rsid w:val="00FA729E"/>
    <w:rsid w:val="00FA7D90"/>
    <w:rsid w:val="00FB0233"/>
    <w:rsid w:val="00FB1825"/>
    <w:rsid w:val="00FB1D0C"/>
    <w:rsid w:val="00FB1E8C"/>
    <w:rsid w:val="00FB1F25"/>
    <w:rsid w:val="00FB240A"/>
    <w:rsid w:val="00FB27EB"/>
    <w:rsid w:val="00FB28B1"/>
    <w:rsid w:val="00FB33EA"/>
    <w:rsid w:val="00FB362D"/>
    <w:rsid w:val="00FB4C81"/>
    <w:rsid w:val="00FB6E83"/>
    <w:rsid w:val="00FB7875"/>
    <w:rsid w:val="00FB7D41"/>
    <w:rsid w:val="00FC0BC4"/>
    <w:rsid w:val="00FC0C43"/>
    <w:rsid w:val="00FC1512"/>
    <w:rsid w:val="00FC1CDC"/>
    <w:rsid w:val="00FC26C3"/>
    <w:rsid w:val="00FC2FC6"/>
    <w:rsid w:val="00FC39F0"/>
    <w:rsid w:val="00FC423E"/>
    <w:rsid w:val="00FC50EF"/>
    <w:rsid w:val="00FC577B"/>
    <w:rsid w:val="00FC7AD5"/>
    <w:rsid w:val="00FD06D9"/>
    <w:rsid w:val="00FD1546"/>
    <w:rsid w:val="00FD2804"/>
    <w:rsid w:val="00FD2814"/>
    <w:rsid w:val="00FD2C29"/>
    <w:rsid w:val="00FD537A"/>
    <w:rsid w:val="00FD6B25"/>
    <w:rsid w:val="00FD7A36"/>
    <w:rsid w:val="00FE004C"/>
    <w:rsid w:val="00FE12CB"/>
    <w:rsid w:val="00FE166F"/>
    <w:rsid w:val="00FE23B8"/>
    <w:rsid w:val="00FE347A"/>
    <w:rsid w:val="00FE5998"/>
    <w:rsid w:val="00FE63D6"/>
    <w:rsid w:val="00FE6A12"/>
    <w:rsid w:val="00FE7844"/>
    <w:rsid w:val="00FE7853"/>
    <w:rsid w:val="00FF074E"/>
    <w:rsid w:val="00FF0C32"/>
    <w:rsid w:val="00FF11A9"/>
    <w:rsid w:val="00FF12E1"/>
    <w:rsid w:val="00FF2901"/>
    <w:rsid w:val="00FF35FF"/>
    <w:rsid w:val="00FF432F"/>
    <w:rsid w:val="00FF718B"/>
    <w:rsid w:val="00FF727A"/>
    <w:rsid w:val="00FF7824"/>
    <w:rsid w:val="01213882"/>
    <w:rsid w:val="015B4CA3"/>
    <w:rsid w:val="016B6B19"/>
    <w:rsid w:val="01877B89"/>
    <w:rsid w:val="019E4ED3"/>
    <w:rsid w:val="019F1377"/>
    <w:rsid w:val="01AA53FC"/>
    <w:rsid w:val="01F675F1"/>
    <w:rsid w:val="02025613"/>
    <w:rsid w:val="021A06B0"/>
    <w:rsid w:val="023B43AB"/>
    <w:rsid w:val="0248145E"/>
    <w:rsid w:val="0282156D"/>
    <w:rsid w:val="02B4251F"/>
    <w:rsid w:val="033E696D"/>
    <w:rsid w:val="039763FB"/>
    <w:rsid w:val="039858F2"/>
    <w:rsid w:val="03A03184"/>
    <w:rsid w:val="03CA1FAF"/>
    <w:rsid w:val="03D609D8"/>
    <w:rsid w:val="040231B9"/>
    <w:rsid w:val="044367B0"/>
    <w:rsid w:val="048B4423"/>
    <w:rsid w:val="048F6BA5"/>
    <w:rsid w:val="04BD3D81"/>
    <w:rsid w:val="050E1580"/>
    <w:rsid w:val="05537FF7"/>
    <w:rsid w:val="05CF4C44"/>
    <w:rsid w:val="05E5600D"/>
    <w:rsid w:val="06661F8B"/>
    <w:rsid w:val="06710E08"/>
    <w:rsid w:val="067A082D"/>
    <w:rsid w:val="068612E7"/>
    <w:rsid w:val="06CC10CD"/>
    <w:rsid w:val="06DC70B6"/>
    <w:rsid w:val="07047ECE"/>
    <w:rsid w:val="071023CF"/>
    <w:rsid w:val="07AF256F"/>
    <w:rsid w:val="07B319DE"/>
    <w:rsid w:val="07BB2E43"/>
    <w:rsid w:val="07CF5DE6"/>
    <w:rsid w:val="07E41986"/>
    <w:rsid w:val="08003DC4"/>
    <w:rsid w:val="08241A2B"/>
    <w:rsid w:val="08507FBC"/>
    <w:rsid w:val="085E7E7E"/>
    <w:rsid w:val="09060634"/>
    <w:rsid w:val="09146E98"/>
    <w:rsid w:val="09210183"/>
    <w:rsid w:val="092B49E6"/>
    <w:rsid w:val="09C9501C"/>
    <w:rsid w:val="09F9205B"/>
    <w:rsid w:val="0A407F4A"/>
    <w:rsid w:val="0A4648CF"/>
    <w:rsid w:val="0A7E3BC1"/>
    <w:rsid w:val="0AD16353"/>
    <w:rsid w:val="0AF20E23"/>
    <w:rsid w:val="0B0F0128"/>
    <w:rsid w:val="0B1E3309"/>
    <w:rsid w:val="0B57681E"/>
    <w:rsid w:val="0B5D6924"/>
    <w:rsid w:val="0B955598"/>
    <w:rsid w:val="0BB83A54"/>
    <w:rsid w:val="0BE001DA"/>
    <w:rsid w:val="0C53176E"/>
    <w:rsid w:val="0C5E697A"/>
    <w:rsid w:val="0C853969"/>
    <w:rsid w:val="0CD9646D"/>
    <w:rsid w:val="0D422474"/>
    <w:rsid w:val="0D65572E"/>
    <w:rsid w:val="0E047CEB"/>
    <w:rsid w:val="0E0D1193"/>
    <w:rsid w:val="0E130DFA"/>
    <w:rsid w:val="0E843802"/>
    <w:rsid w:val="0E8D65A6"/>
    <w:rsid w:val="0EC6513C"/>
    <w:rsid w:val="0EE7323B"/>
    <w:rsid w:val="0EEB74B8"/>
    <w:rsid w:val="0F467E20"/>
    <w:rsid w:val="0F8E2086"/>
    <w:rsid w:val="0F8F2A8A"/>
    <w:rsid w:val="0FA02DE0"/>
    <w:rsid w:val="0FB86BA3"/>
    <w:rsid w:val="0FD27814"/>
    <w:rsid w:val="0FE0115B"/>
    <w:rsid w:val="10294BFC"/>
    <w:rsid w:val="104B7BFF"/>
    <w:rsid w:val="105A3D15"/>
    <w:rsid w:val="108160EB"/>
    <w:rsid w:val="108C39E7"/>
    <w:rsid w:val="10B06788"/>
    <w:rsid w:val="10BD494B"/>
    <w:rsid w:val="10F93ED3"/>
    <w:rsid w:val="116B5255"/>
    <w:rsid w:val="11787836"/>
    <w:rsid w:val="118F6932"/>
    <w:rsid w:val="11973CAE"/>
    <w:rsid w:val="11C542F3"/>
    <w:rsid w:val="122E5DFF"/>
    <w:rsid w:val="129841CB"/>
    <w:rsid w:val="12B858FF"/>
    <w:rsid w:val="12BF13BC"/>
    <w:rsid w:val="12DB3D42"/>
    <w:rsid w:val="13110BFF"/>
    <w:rsid w:val="13301502"/>
    <w:rsid w:val="136A7EDD"/>
    <w:rsid w:val="13A92C40"/>
    <w:rsid w:val="13BB587F"/>
    <w:rsid w:val="13D11213"/>
    <w:rsid w:val="13E66595"/>
    <w:rsid w:val="13ED3E63"/>
    <w:rsid w:val="140B289C"/>
    <w:rsid w:val="143A0944"/>
    <w:rsid w:val="14752F62"/>
    <w:rsid w:val="14AA2DBC"/>
    <w:rsid w:val="14F33948"/>
    <w:rsid w:val="15451DDD"/>
    <w:rsid w:val="155308F6"/>
    <w:rsid w:val="15945CB1"/>
    <w:rsid w:val="15C9656A"/>
    <w:rsid w:val="16172C53"/>
    <w:rsid w:val="16175A3A"/>
    <w:rsid w:val="16195FDE"/>
    <w:rsid w:val="16201F02"/>
    <w:rsid w:val="16583AD2"/>
    <w:rsid w:val="16854426"/>
    <w:rsid w:val="1686478D"/>
    <w:rsid w:val="16CB7C6F"/>
    <w:rsid w:val="1767428D"/>
    <w:rsid w:val="176946F7"/>
    <w:rsid w:val="17D17FE1"/>
    <w:rsid w:val="17D24870"/>
    <w:rsid w:val="17E864DD"/>
    <w:rsid w:val="185D7D38"/>
    <w:rsid w:val="18AA2556"/>
    <w:rsid w:val="19251057"/>
    <w:rsid w:val="196565AA"/>
    <w:rsid w:val="198D4848"/>
    <w:rsid w:val="19A608D2"/>
    <w:rsid w:val="19CB6AA7"/>
    <w:rsid w:val="19E82F2D"/>
    <w:rsid w:val="1A237C7B"/>
    <w:rsid w:val="1A3A174F"/>
    <w:rsid w:val="1A741A14"/>
    <w:rsid w:val="1AB35309"/>
    <w:rsid w:val="1ACC53B0"/>
    <w:rsid w:val="1B9A401A"/>
    <w:rsid w:val="1BA605CB"/>
    <w:rsid w:val="1BDB6FF7"/>
    <w:rsid w:val="1BF26197"/>
    <w:rsid w:val="1BF93AFC"/>
    <w:rsid w:val="1C3F1E54"/>
    <w:rsid w:val="1D4E2AE9"/>
    <w:rsid w:val="1DB16262"/>
    <w:rsid w:val="1DBE7147"/>
    <w:rsid w:val="1DEF6368"/>
    <w:rsid w:val="1E152CB3"/>
    <w:rsid w:val="1E1B0ADF"/>
    <w:rsid w:val="1E234FEF"/>
    <w:rsid w:val="1E2B61F9"/>
    <w:rsid w:val="1E2D487E"/>
    <w:rsid w:val="1E433D64"/>
    <w:rsid w:val="1EE06E00"/>
    <w:rsid w:val="1EEF0DDB"/>
    <w:rsid w:val="1F095F98"/>
    <w:rsid w:val="1F280323"/>
    <w:rsid w:val="1F3423B7"/>
    <w:rsid w:val="1F3F45FA"/>
    <w:rsid w:val="1FC42B64"/>
    <w:rsid w:val="1FCC62D3"/>
    <w:rsid w:val="1FD44489"/>
    <w:rsid w:val="20214B10"/>
    <w:rsid w:val="208F4DF7"/>
    <w:rsid w:val="20BA58DD"/>
    <w:rsid w:val="20E65548"/>
    <w:rsid w:val="21046C59"/>
    <w:rsid w:val="21060FD7"/>
    <w:rsid w:val="211B0D22"/>
    <w:rsid w:val="2129104B"/>
    <w:rsid w:val="21A010F0"/>
    <w:rsid w:val="21DB22DE"/>
    <w:rsid w:val="22125E5D"/>
    <w:rsid w:val="22F94F21"/>
    <w:rsid w:val="22FB4006"/>
    <w:rsid w:val="23052BAC"/>
    <w:rsid w:val="234E65B1"/>
    <w:rsid w:val="23883918"/>
    <w:rsid w:val="23921AD3"/>
    <w:rsid w:val="2439627A"/>
    <w:rsid w:val="24575689"/>
    <w:rsid w:val="249F21F1"/>
    <w:rsid w:val="24C50845"/>
    <w:rsid w:val="252B1339"/>
    <w:rsid w:val="253D662D"/>
    <w:rsid w:val="25A20465"/>
    <w:rsid w:val="25AD1012"/>
    <w:rsid w:val="25DA6D7E"/>
    <w:rsid w:val="25E649EA"/>
    <w:rsid w:val="26081D01"/>
    <w:rsid w:val="263952BC"/>
    <w:rsid w:val="2657371E"/>
    <w:rsid w:val="267E05BA"/>
    <w:rsid w:val="26CB2917"/>
    <w:rsid w:val="26CF2D85"/>
    <w:rsid w:val="27004FC1"/>
    <w:rsid w:val="270205A3"/>
    <w:rsid w:val="270E67C8"/>
    <w:rsid w:val="270F5FE3"/>
    <w:rsid w:val="27823EA2"/>
    <w:rsid w:val="27A209C9"/>
    <w:rsid w:val="27C45A95"/>
    <w:rsid w:val="28354E06"/>
    <w:rsid w:val="28584A86"/>
    <w:rsid w:val="28C055AB"/>
    <w:rsid w:val="28CB5D2C"/>
    <w:rsid w:val="28DB5C1A"/>
    <w:rsid w:val="29044EE7"/>
    <w:rsid w:val="29102574"/>
    <w:rsid w:val="292D2255"/>
    <w:rsid w:val="29401E9D"/>
    <w:rsid w:val="296C2A4F"/>
    <w:rsid w:val="29C1466A"/>
    <w:rsid w:val="2A040055"/>
    <w:rsid w:val="2A546FD0"/>
    <w:rsid w:val="2A7A61A0"/>
    <w:rsid w:val="2A8451C8"/>
    <w:rsid w:val="2A8D770F"/>
    <w:rsid w:val="2ABA708D"/>
    <w:rsid w:val="2B043E08"/>
    <w:rsid w:val="2B4B5A9E"/>
    <w:rsid w:val="2B7E67D4"/>
    <w:rsid w:val="2B822FB7"/>
    <w:rsid w:val="2B9D7E25"/>
    <w:rsid w:val="2BB47753"/>
    <w:rsid w:val="2BCF61F7"/>
    <w:rsid w:val="2BF734FF"/>
    <w:rsid w:val="2C3A1B18"/>
    <w:rsid w:val="2C654A6A"/>
    <w:rsid w:val="2C6D6216"/>
    <w:rsid w:val="2CA070EF"/>
    <w:rsid w:val="2CAD5165"/>
    <w:rsid w:val="2CB72DF0"/>
    <w:rsid w:val="2CE8457C"/>
    <w:rsid w:val="2D0013C1"/>
    <w:rsid w:val="2D056147"/>
    <w:rsid w:val="2D422172"/>
    <w:rsid w:val="2D917E1D"/>
    <w:rsid w:val="2D9A2770"/>
    <w:rsid w:val="2D9D6FEC"/>
    <w:rsid w:val="2DBE543C"/>
    <w:rsid w:val="2E063E89"/>
    <w:rsid w:val="2E11721B"/>
    <w:rsid w:val="2EBB5B53"/>
    <w:rsid w:val="2ED07294"/>
    <w:rsid w:val="2ED232DC"/>
    <w:rsid w:val="2EF777E0"/>
    <w:rsid w:val="2F694C3B"/>
    <w:rsid w:val="2F6A6E98"/>
    <w:rsid w:val="2FB16CA4"/>
    <w:rsid w:val="2FFC5532"/>
    <w:rsid w:val="30144EC2"/>
    <w:rsid w:val="303073CE"/>
    <w:rsid w:val="304D2ECC"/>
    <w:rsid w:val="30944DAC"/>
    <w:rsid w:val="309D6095"/>
    <w:rsid w:val="30CE6CD3"/>
    <w:rsid w:val="30E119FE"/>
    <w:rsid w:val="30F24EA9"/>
    <w:rsid w:val="30F721F2"/>
    <w:rsid w:val="3156044E"/>
    <w:rsid w:val="31676BDA"/>
    <w:rsid w:val="31A8218F"/>
    <w:rsid w:val="31C14142"/>
    <w:rsid w:val="31E866CA"/>
    <w:rsid w:val="32291653"/>
    <w:rsid w:val="32F568B2"/>
    <w:rsid w:val="32FD564D"/>
    <w:rsid w:val="3334050A"/>
    <w:rsid w:val="33475512"/>
    <w:rsid w:val="33C80504"/>
    <w:rsid w:val="33DA6CFB"/>
    <w:rsid w:val="33E15219"/>
    <w:rsid w:val="33E60EE4"/>
    <w:rsid w:val="33F10E1F"/>
    <w:rsid w:val="33F15628"/>
    <w:rsid w:val="343C77A8"/>
    <w:rsid w:val="348B0379"/>
    <w:rsid w:val="34BD75BD"/>
    <w:rsid w:val="34E72BCD"/>
    <w:rsid w:val="351B1DBB"/>
    <w:rsid w:val="353A18E4"/>
    <w:rsid w:val="354C6C03"/>
    <w:rsid w:val="35952AEC"/>
    <w:rsid w:val="35AA389E"/>
    <w:rsid w:val="35B704D6"/>
    <w:rsid w:val="35D07049"/>
    <w:rsid w:val="35DB7CBD"/>
    <w:rsid w:val="363D46DF"/>
    <w:rsid w:val="365C0720"/>
    <w:rsid w:val="36E431AB"/>
    <w:rsid w:val="37D709C5"/>
    <w:rsid w:val="37E36149"/>
    <w:rsid w:val="3801771C"/>
    <w:rsid w:val="380753BC"/>
    <w:rsid w:val="380D567A"/>
    <w:rsid w:val="380D767A"/>
    <w:rsid w:val="38993E8F"/>
    <w:rsid w:val="38B0065D"/>
    <w:rsid w:val="38B60ECF"/>
    <w:rsid w:val="38C04622"/>
    <w:rsid w:val="38DB3179"/>
    <w:rsid w:val="38E5211B"/>
    <w:rsid w:val="3951760D"/>
    <w:rsid w:val="395922E0"/>
    <w:rsid w:val="396101CC"/>
    <w:rsid w:val="396B3311"/>
    <w:rsid w:val="39A2608B"/>
    <w:rsid w:val="39AB02EF"/>
    <w:rsid w:val="3A181899"/>
    <w:rsid w:val="3A760F82"/>
    <w:rsid w:val="3AD815D7"/>
    <w:rsid w:val="3AFF7002"/>
    <w:rsid w:val="3B163750"/>
    <w:rsid w:val="3B3F4A55"/>
    <w:rsid w:val="3BA27EA5"/>
    <w:rsid w:val="3C0E1570"/>
    <w:rsid w:val="3C186B72"/>
    <w:rsid w:val="3C314001"/>
    <w:rsid w:val="3C3B59DA"/>
    <w:rsid w:val="3C53017F"/>
    <w:rsid w:val="3C8753CF"/>
    <w:rsid w:val="3CB43221"/>
    <w:rsid w:val="3CFA3D2F"/>
    <w:rsid w:val="3D4906AC"/>
    <w:rsid w:val="3D5D1DB2"/>
    <w:rsid w:val="3D6F7148"/>
    <w:rsid w:val="3DCD3561"/>
    <w:rsid w:val="3E1175C1"/>
    <w:rsid w:val="3E242A60"/>
    <w:rsid w:val="3E26436F"/>
    <w:rsid w:val="3E3B2B85"/>
    <w:rsid w:val="3E47749A"/>
    <w:rsid w:val="3E605436"/>
    <w:rsid w:val="3EB5522B"/>
    <w:rsid w:val="3EE82A03"/>
    <w:rsid w:val="3F8B1730"/>
    <w:rsid w:val="3F8E61EF"/>
    <w:rsid w:val="3FC823B0"/>
    <w:rsid w:val="4004136D"/>
    <w:rsid w:val="4005144C"/>
    <w:rsid w:val="40351070"/>
    <w:rsid w:val="40CB4674"/>
    <w:rsid w:val="40EF3A24"/>
    <w:rsid w:val="41050FFA"/>
    <w:rsid w:val="41325446"/>
    <w:rsid w:val="41F82507"/>
    <w:rsid w:val="420C3D6E"/>
    <w:rsid w:val="423F4798"/>
    <w:rsid w:val="424109D0"/>
    <w:rsid w:val="425C3BBE"/>
    <w:rsid w:val="426551F3"/>
    <w:rsid w:val="42990C13"/>
    <w:rsid w:val="42A91C31"/>
    <w:rsid w:val="42FC147E"/>
    <w:rsid w:val="434B2807"/>
    <w:rsid w:val="43612F87"/>
    <w:rsid w:val="436A002C"/>
    <w:rsid w:val="4407612D"/>
    <w:rsid w:val="448970B3"/>
    <w:rsid w:val="449350A9"/>
    <w:rsid w:val="44CA405D"/>
    <w:rsid w:val="44D5474C"/>
    <w:rsid w:val="44DA09F4"/>
    <w:rsid w:val="450D5D22"/>
    <w:rsid w:val="45745A51"/>
    <w:rsid w:val="45C04F57"/>
    <w:rsid w:val="4690622E"/>
    <w:rsid w:val="46BC17F8"/>
    <w:rsid w:val="46D54246"/>
    <w:rsid w:val="46F42577"/>
    <w:rsid w:val="47017063"/>
    <w:rsid w:val="470864C7"/>
    <w:rsid w:val="47471B82"/>
    <w:rsid w:val="475876F0"/>
    <w:rsid w:val="47835CFB"/>
    <w:rsid w:val="478C49CA"/>
    <w:rsid w:val="47947446"/>
    <w:rsid w:val="47A00C06"/>
    <w:rsid w:val="47A143A2"/>
    <w:rsid w:val="48006679"/>
    <w:rsid w:val="481B56EC"/>
    <w:rsid w:val="48253225"/>
    <w:rsid w:val="482F4D73"/>
    <w:rsid w:val="48494406"/>
    <w:rsid w:val="48556D05"/>
    <w:rsid w:val="48605DBF"/>
    <w:rsid w:val="48632718"/>
    <w:rsid w:val="489C2AAD"/>
    <w:rsid w:val="4907000F"/>
    <w:rsid w:val="491714BC"/>
    <w:rsid w:val="495F26F7"/>
    <w:rsid w:val="49725D2E"/>
    <w:rsid w:val="499244A8"/>
    <w:rsid w:val="49E24538"/>
    <w:rsid w:val="49E56247"/>
    <w:rsid w:val="4A3B3251"/>
    <w:rsid w:val="4A8E7B4C"/>
    <w:rsid w:val="4A98308A"/>
    <w:rsid w:val="4AEA3692"/>
    <w:rsid w:val="4B176810"/>
    <w:rsid w:val="4B383D3A"/>
    <w:rsid w:val="4B711D52"/>
    <w:rsid w:val="4BA803F5"/>
    <w:rsid w:val="4BB84AAD"/>
    <w:rsid w:val="4BEB08DE"/>
    <w:rsid w:val="4BEE4292"/>
    <w:rsid w:val="4C5E55F6"/>
    <w:rsid w:val="4C7107E7"/>
    <w:rsid w:val="4C995F8F"/>
    <w:rsid w:val="4CC87487"/>
    <w:rsid w:val="4CD33427"/>
    <w:rsid w:val="4CE120C9"/>
    <w:rsid w:val="4CF62EEA"/>
    <w:rsid w:val="4CFF33B4"/>
    <w:rsid w:val="4D461C73"/>
    <w:rsid w:val="4D966A3D"/>
    <w:rsid w:val="4E1A6DB5"/>
    <w:rsid w:val="4E21623C"/>
    <w:rsid w:val="4E4667F5"/>
    <w:rsid w:val="4E8C5DAC"/>
    <w:rsid w:val="4EB86BA1"/>
    <w:rsid w:val="4EF66C19"/>
    <w:rsid w:val="4F3D0E54"/>
    <w:rsid w:val="4FCB1C0C"/>
    <w:rsid w:val="4FF21C3E"/>
    <w:rsid w:val="502A587C"/>
    <w:rsid w:val="502F5371"/>
    <w:rsid w:val="507A27E5"/>
    <w:rsid w:val="50844865"/>
    <w:rsid w:val="50871D27"/>
    <w:rsid w:val="509F5B03"/>
    <w:rsid w:val="50B2154A"/>
    <w:rsid w:val="514A7858"/>
    <w:rsid w:val="51BC4C86"/>
    <w:rsid w:val="51CB5293"/>
    <w:rsid w:val="51E1640E"/>
    <w:rsid w:val="51FB09CD"/>
    <w:rsid w:val="51FC0E44"/>
    <w:rsid w:val="520D74BE"/>
    <w:rsid w:val="522377D2"/>
    <w:rsid w:val="522E14A8"/>
    <w:rsid w:val="52421C4A"/>
    <w:rsid w:val="52927AA2"/>
    <w:rsid w:val="52B92EE7"/>
    <w:rsid w:val="52CE11C4"/>
    <w:rsid w:val="530E3233"/>
    <w:rsid w:val="531D61F2"/>
    <w:rsid w:val="53532B6D"/>
    <w:rsid w:val="538B1E69"/>
    <w:rsid w:val="53A33D6A"/>
    <w:rsid w:val="53B3113A"/>
    <w:rsid w:val="541615DB"/>
    <w:rsid w:val="542C4F35"/>
    <w:rsid w:val="54313F1A"/>
    <w:rsid w:val="547A6F07"/>
    <w:rsid w:val="548E15B5"/>
    <w:rsid w:val="54EE0901"/>
    <w:rsid w:val="55180399"/>
    <w:rsid w:val="553F29A4"/>
    <w:rsid w:val="55992AE1"/>
    <w:rsid w:val="55AA6CC4"/>
    <w:rsid w:val="55B2224E"/>
    <w:rsid w:val="55BF7B5D"/>
    <w:rsid w:val="55E069DD"/>
    <w:rsid w:val="56266A73"/>
    <w:rsid w:val="567809C3"/>
    <w:rsid w:val="56CB31E9"/>
    <w:rsid w:val="56DE4DCD"/>
    <w:rsid w:val="56F2180E"/>
    <w:rsid w:val="570624D8"/>
    <w:rsid w:val="570B7614"/>
    <w:rsid w:val="57452F9B"/>
    <w:rsid w:val="57482A8C"/>
    <w:rsid w:val="5751384D"/>
    <w:rsid w:val="57B07009"/>
    <w:rsid w:val="57C869E8"/>
    <w:rsid w:val="57E6738D"/>
    <w:rsid w:val="581D1E3C"/>
    <w:rsid w:val="582E0416"/>
    <w:rsid w:val="584D2DA8"/>
    <w:rsid w:val="588A5924"/>
    <w:rsid w:val="58B7301E"/>
    <w:rsid w:val="58CD607B"/>
    <w:rsid w:val="58FB79A6"/>
    <w:rsid w:val="58FE6895"/>
    <w:rsid w:val="590456AD"/>
    <w:rsid w:val="590F16C3"/>
    <w:rsid w:val="5918653E"/>
    <w:rsid w:val="59223A64"/>
    <w:rsid w:val="593C66F4"/>
    <w:rsid w:val="59AD3E0E"/>
    <w:rsid w:val="59C6630F"/>
    <w:rsid w:val="59F35F3A"/>
    <w:rsid w:val="5A293160"/>
    <w:rsid w:val="5A4C5F01"/>
    <w:rsid w:val="5A710EBE"/>
    <w:rsid w:val="5A7A2220"/>
    <w:rsid w:val="5A7C7274"/>
    <w:rsid w:val="5AB665E6"/>
    <w:rsid w:val="5ACD39D4"/>
    <w:rsid w:val="5AD40A22"/>
    <w:rsid w:val="5B1F10EA"/>
    <w:rsid w:val="5B6523ED"/>
    <w:rsid w:val="5B7A63DB"/>
    <w:rsid w:val="5B9B6396"/>
    <w:rsid w:val="5BE014E5"/>
    <w:rsid w:val="5BE676FB"/>
    <w:rsid w:val="5BE91EBB"/>
    <w:rsid w:val="5BF8682E"/>
    <w:rsid w:val="5BFE5E0F"/>
    <w:rsid w:val="5C0977AC"/>
    <w:rsid w:val="5C38462F"/>
    <w:rsid w:val="5CCC1E46"/>
    <w:rsid w:val="5D041203"/>
    <w:rsid w:val="5D74263F"/>
    <w:rsid w:val="5DF42546"/>
    <w:rsid w:val="5E3653EC"/>
    <w:rsid w:val="5E643592"/>
    <w:rsid w:val="5E6A54F7"/>
    <w:rsid w:val="5E9706DB"/>
    <w:rsid w:val="5EAA18EC"/>
    <w:rsid w:val="5EF04098"/>
    <w:rsid w:val="5F692217"/>
    <w:rsid w:val="5F7A7D2B"/>
    <w:rsid w:val="5F954394"/>
    <w:rsid w:val="5FCD3B2E"/>
    <w:rsid w:val="5FD37252"/>
    <w:rsid w:val="5FD95F17"/>
    <w:rsid w:val="5FE64BF0"/>
    <w:rsid w:val="600A7C53"/>
    <w:rsid w:val="604364E6"/>
    <w:rsid w:val="6048114B"/>
    <w:rsid w:val="605A1055"/>
    <w:rsid w:val="60C213F0"/>
    <w:rsid w:val="60EB7DAD"/>
    <w:rsid w:val="611B477F"/>
    <w:rsid w:val="611D39E1"/>
    <w:rsid w:val="617A2B6B"/>
    <w:rsid w:val="619066B6"/>
    <w:rsid w:val="6194234D"/>
    <w:rsid w:val="619C02D4"/>
    <w:rsid w:val="61B96A60"/>
    <w:rsid w:val="61BD035E"/>
    <w:rsid w:val="61D513C0"/>
    <w:rsid w:val="61F361F9"/>
    <w:rsid w:val="61F54E8E"/>
    <w:rsid w:val="620745A3"/>
    <w:rsid w:val="620D389C"/>
    <w:rsid w:val="627E42C3"/>
    <w:rsid w:val="62841E4A"/>
    <w:rsid w:val="628644E2"/>
    <w:rsid w:val="62E967AF"/>
    <w:rsid w:val="636A4CFB"/>
    <w:rsid w:val="636F0714"/>
    <w:rsid w:val="63A93421"/>
    <w:rsid w:val="63CD6237"/>
    <w:rsid w:val="63E04B73"/>
    <w:rsid w:val="63EC7A2E"/>
    <w:rsid w:val="64034E6D"/>
    <w:rsid w:val="649C037C"/>
    <w:rsid w:val="64D85DCB"/>
    <w:rsid w:val="64E450B9"/>
    <w:rsid w:val="64E96674"/>
    <w:rsid w:val="65095542"/>
    <w:rsid w:val="65172D0D"/>
    <w:rsid w:val="65367980"/>
    <w:rsid w:val="6544741A"/>
    <w:rsid w:val="656869CD"/>
    <w:rsid w:val="65AD7695"/>
    <w:rsid w:val="65B7493A"/>
    <w:rsid w:val="65BD1259"/>
    <w:rsid w:val="65C46207"/>
    <w:rsid w:val="65CC69C8"/>
    <w:rsid w:val="65D1103F"/>
    <w:rsid w:val="661526EC"/>
    <w:rsid w:val="66936A04"/>
    <w:rsid w:val="66A479F2"/>
    <w:rsid w:val="66B4253F"/>
    <w:rsid w:val="66E52D71"/>
    <w:rsid w:val="66F37636"/>
    <w:rsid w:val="670A28D3"/>
    <w:rsid w:val="67367361"/>
    <w:rsid w:val="673A332E"/>
    <w:rsid w:val="673D4E61"/>
    <w:rsid w:val="67854AA5"/>
    <w:rsid w:val="680F4B23"/>
    <w:rsid w:val="681177DB"/>
    <w:rsid w:val="688F2159"/>
    <w:rsid w:val="68A24844"/>
    <w:rsid w:val="68C0684E"/>
    <w:rsid w:val="68F52313"/>
    <w:rsid w:val="690B2BC3"/>
    <w:rsid w:val="692A0243"/>
    <w:rsid w:val="693634DB"/>
    <w:rsid w:val="69590A12"/>
    <w:rsid w:val="69605D0A"/>
    <w:rsid w:val="69C24462"/>
    <w:rsid w:val="69C26788"/>
    <w:rsid w:val="69DB25A5"/>
    <w:rsid w:val="6A2A2BAD"/>
    <w:rsid w:val="6A38306D"/>
    <w:rsid w:val="6A483EC8"/>
    <w:rsid w:val="6ACA3056"/>
    <w:rsid w:val="6ACB55EB"/>
    <w:rsid w:val="6AE05BA5"/>
    <w:rsid w:val="6B4C0418"/>
    <w:rsid w:val="6BBC39EA"/>
    <w:rsid w:val="6BE61923"/>
    <w:rsid w:val="6C091931"/>
    <w:rsid w:val="6C2E5844"/>
    <w:rsid w:val="6C5A7A8C"/>
    <w:rsid w:val="6C853898"/>
    <w:rsid w:val="6CB917F8"/>
    <w:rsid w:val="6CCD0BBD"/>
    <w:rsid w:val="6D125276"/>
    <w:rsid w:val="6D922AA9"/>
    <w:rsid w:val="6DA877B4"/>
    <w:rsid w:val="6DF62CED"/>
    <w:rsid w:val="6E0523B4"/>
    <w:rsid w:val="6E2214E9"/>
    <w:rsid w:val="6E597819"/>
    <w:rsid w:val="6E8E2821"/>
    <w:rsid w:val="6E9A5523"/>
    <w:rsid w:val="6EB365E5"/>
    <w:rsid w:val="6EE851AF"/>
    <w:rsid w:val="6F852130"/>
    <w:rsid w:val="6F8F7052"/>
    <w:rsid w:val="6F992CB0"/>
    <w:rsid w:val="6FF02FF0"/>
    <w:rsid w:val="6FFF3DBF"/>
    <w:rsid w:val="705C5AA3"/>
    <w:rsid w:val="70696998"/>
    <w:rsid w:val="707E1D6A"/>
    <w:rsid w:val="70904E1F"/>
    <w:rsid w:val="7093496E"/>
    <w:rsid w:val="70980188"/>
    <w:rsid w:val="70A441BE"/>
    <w:rsid w:val="70B23205"/>
    <w:rsid w:val="70DB1624"/>
    <w:rsid w:val="70EB650A"/>
    <w:rsid w:val="71311313"/>
    <w:rsid w:val="714479C8"/>
    <w:rsid w:val="716E6CDE"/>
    <w:rsid w:val="717C7162"/>
    <w:rsid w:val="71860207"/>
    <w:rsid w:val="71C249C8"/>
    <w:rsid w:val="722E0C82"/>
    <w:rsid w:val="72BA1462"/>
    <w:rsid w:val="72D45938"/>
    <w:rsid w:val="72DA160D"/>
    <w:rsid w:val="72E85665"/>
    <w:rsid w:val="72F53670"/>
    <w:rsid w:val="73131704"/>
    <w:rsid w:val="73226B5C"/>
    <w:rsid w:val="734C56DF"/>
    <w:rsid w:val="73615290"/>
    <w:rsid w:val="73C3657C"/>
    <w:rsid w:val="740272F3"/>
    <w:rsid w:val="740D6106"/>
    <w:rsid w:val="745C7889"/>
    <w:rsid w:val="75230A69"/>
    <w:rsid w:val="755401D4"/>
    <w:rsid w:val="75703D2F"/>
    <w:rsid w:val="757D7AEA"/>
    <w:rsid w:val="75C46BF0"/>
    <w:rsid w:val="76230C32"/>
    <w:rsid w:val="7684650D"/>
    <w:rsid w:val="768E38C7"/>
    <w:rsid w:val="76BD4B40"/>
    <w:rsid w:val="76F617D3"/>
    <w:rsid w:val="76FB566E"/>
    <w:rsid w:val="77AB7A17"/>
    <w:rsid w:val="77E4610E"/>
    <w:rsid w:val="788A6982"/>
    <w:rsid w:val="79313D4D"/>
    <w:rsid w:val="794C6E87"/>
    <w:rsid w:val="796432FD"/>
    <w:rsid w:val="797D1C3E"/>
    <w:rsid w:val="799C7DE8"/>
    <w:rsid w:val="79DB0D33"/>
    <w:rsid w:val="79E62976"/>
    <w:rsid w:val="79F139F1"/>
    <w:rsid w:val="7A5A101B"/>
    <w:rsid w:val="7A7C589B"/>
    <w:rsid w:val="7A837612"/>
    <w:rsid w:val="7A915E47"/>
    <w:rsid w:val="7A950CD9"/>
    <w:rsid w:val="7AD54E2D"/>
    <w:rsid w:val="7AE555B6"/>
    <w:rsid w:val="7AF201EB"/>
    <w:rsid w:val="7B0E3521"/>
    <w:rsid w:val="7B612B29"/>
    <w:rsid w:val="7B9B0B33"/>
    <w:rsid w:val="7BC71E36"/>
    <w:rsid w:val="7BCF7DD2"/>
    <w:rsid w:val="7C106B94"/>
    <w:rsid w:val="7C4C031C"/>
    <w:rsid w:val="7C5333B1"/>
    <w:rsid w:val="7CAD1877"/>
    <w:rsid w:val="7CB013C2"/>
    <w:rsid w:val="7CD614CC"/>
    <w:rsid w:val="7D0C3A90"/>
    <w:rsid w:val="7D6320BF"/>
    <w:rsid w:val="7D882BC9"/>
    <w:rsid w:val="7D8D0561"/>
    <w:rsid w:val="7D9E6C0D"/>
    <w:rsid w:val="7E085FEC"/>
    <w:rsid w:val="7E1D02EF"/>
    <w:rsid w:val="7E4B7D96"/>
    <w:rsid w:val="7E5C0A47"/>
    <w:rsid w:val="7EC363D0"/>
    <w:rsid w:val="7ED40F43"/>
    <w:rsid w:val="7EF02F93"/>
    <w:rsid w:val="7EFA2E85"/>
    <w:rsid w:val="7F1C7498"/>
    <w:rsid w:val="7F981085"/>
    <w:rsid w:val="7FBC59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9" w:semiHidden="0" w:name="heading 2"/>
    <w:lsdException w:qFormat="1" w:uiPriority="99" w:semiHidden="0" w:name="heading 3"/>
    <w:lsdException w:qFormat="1" w:uiPriority="9" w:semiHidden="0" w:name="heading 4"/>
    <w:lsdException w:qFormat="1" w:uiPriority="9" w:semiHidden="0" w:name="heading 5"/>
    <w:lsdException w:qFormat="1" w:uiPriority="9" w:semiHidden="0" w:name="heading 6"/>
    <w:lsdException w:qFormat="1" w:uiPriority="0" w:semiHidden="0" w:name="heading 7"/>
    <w:lsdException w:qFormat="1" w:uiPriority="0" w:semiHidden="0" w:name="heading 8"/>
    <w:lsdException w:qFormat="1"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iPriority="0" w:semiHidden="0" w:name="Body Text First Indent"/>
    <w:lsdException w:qFormat="1" w:uiPriority="0" w:semiHidden="0" w:name="Body Text First Indent 2"/>
    <w:lsdException w:uiPriority="99" w:name="Note Heading"/>
    <w:lsdException w:qFormat="1" w:uiPriority="0" w:semiHidden="0" w:name="Body Text 2"/>
    <w:lsdException w:qFormat="1" w:unhideWhenUsed="0" w:uiPriority="0" w:semiHidden="0" w:name="Body Text 3"/>
    <w:lsdException w:qFormat="1" w:unhideWhenUsed="0" w:uiPriority="99" w:semiHidden="0" w:name="Body Text Indent 2"/>
    <w:lsdException w:qFormat="1" w:unhideWhenUsed="0" w:uiPriority="0" w:semiHidden="0" w:name="Body Text Indent 3"/>
    <w:lsdException w:uiPriority="99" w:name="Block Text"/>
    <w:lsdException w:qFormat="1" w:uiPriority="99"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qFormat="1" w:uiPriority="99"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59" w:semiHidden="0" w:name="Table Grid"/>
    <w:lsdException w:uiPriority="99" w:name="Table Theme"/>
    <w:lsdException w:qFormat="1" w:unhideWhenUsed="0" w:uiPriority="99"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Times New Roman" w:hAnsi="Times New Roman" w:eastAsia="宋体" w:cs="Times New Roman"/>
      <w:kern w:val="2"/>
      <w:sz w:val="24"/>
      <w:szCs w:val="21"/>
      <w:lang w:val="en-US" w:eastAsia="zh-CN" w:bidi="ar-SA"/>
    </w:rPr>
  </w:style>
  <w:style w:type="paragraph" w:styleId="3">
    <w:name w:val="heading 1"/>
    <w:basedOn w:val="1"/>
    <w:next w:val="1"/>
    <w:link w:val="56"/>
    <w:qFormat/>
    <w:uiPriority w:val="9"/>
    <w:pPr>
      <w:pageBreakBefore/>
      <w:numPr>
        <w:ilvl w:val="0"/>
        <w:numId w:val="1"/>
      </w:numPr>
      <w:tabs>
        <w:tab w:val="left" w:pos="0"/>
      </w:tabs>
      <w:spacing w:before="120" w:after="120"/>
      <w:ind w:hanging="432" w:firstLineChars="0"/>
      <w:jc w:val="center"/>
      <w:outlineLvl w:val="0"/>
    </w:pPr>
    <w:rPr>
      <w:rFonts w:ascii="宋体" w:hAnsi="宋体" w:cs="宋体"/>
      <w:b/>
      <w:color w:val="000000" w:themeColor="text1"/>
      <w:kern w:val="44"/>
      <w:sz w:val="44"/>
      <w:szCs w:val="22"/>
      <w14:textFill>
        <w14:solidFill>
          <w14:schemeClr w14:val="tx1"/>
        </w14:solidFill>
      </w14:textFill>
    </w:rPr>
  </w:style>
  <w:style w:type="paragraph" w:styleId="4">
    <w:name w:val="heading 2"/>
    <w:basedOn w:val="1"/>
    <w:next w:val="1"/>
    <w:link w:val="57"/>
    <w:autoRedefine/>
    <w:unhideWhenUsed/>
    <w:qFormat/>
    <w:uiPriority w:val="99"/>
    <w:pPr>
      <w:keepNext/>
      <w:keepLines/>
      <w:numPr>
        <w:ilvl w:val="1"/>
        <w:numId w:val="1"/>
      </w:numPr>
      <w:tabs>
        <w:tab w:val="left" w:pos="0"/>
      </w:tabs>
      <w:ind w:left="0" w:firstLine="0" w:firstLineChars="0"/>
      <w:jc w:val="left"/>
      <w:outlineLvl w:val="1"/>
    </w:pPr>
    <w:rPr>
      <w:rFonts w:cstheme="majorBidi"/>
      <w:b/>
      <w:bCs/>
      <w:sz w:val="28"/>
      <w:szCs w:val="32"/>
    </w:rPr>
  </w:style>
  <w:style w:type="paragraph" w:styleId="5">
    <w:name w:val="heading 3"/>
    <w:basedOn w:val="6"/>
    <w:next w:val="1"/>
    <w:link w:val="58"/>
    <w:unhideWhenUsed/>
    <w:qFormat/>
    <w:uiPriority w:val="99"/>
    <w:pPr>
      <w:keepLines/>
      <w:numPr>
        <w:numId w:val="1"/>
      </w:numPr>
      <w:tabs>
        <w:tab w:val="left" w:pos="0"/>
      </w:tabs>
      <w:ind w:left="0" w:firstLine="0"/>
    </w:pPr>
    <w:rPr>
      <w:rFonts w:ascii="Times New Roman" w:hAnsi="Times New Roman" w:eastAsia="宋体"/>
      <w:color w:val="000000" w:themeColor="text1"/>
      <w14:textFill>
        <w14:solidFill>
          <w14:schemeClr w14:val="tx1"/>
        </w14:solidFill>
      </w14:textFill>
    </w:rPr>
  </w:style>
  <w:style w:type="paragraph" w:styleId="7">
    <w:name w:val="heading 4"/>
    <w:basedOn w:val="8"/>
    <w:next w:val="1"/>
    <w:link w:val="59"/>
    <w:unhideWhenUsed/>
    <w:qFormat/>
    <w:uiPriority w:val="9"/>
    <w:pPr>
      <w:numPr>
        <w:ilvl w:val="3"/>
        <w:numId w:val="1"/>
      </w:numPr>
      <w:tabs>
        <w:tab w:val="left" w:pos="0"/>
      </w:tabs>
    </w:pPr>
  </w:style>
  <w:style w:type="paragraph" w:styleId="10">
    <w:name w:val="heading 5"/>
    <w:basedOn w:val="1"/>
    <w:next w:val="1"/>
    <w:link w:val="55"/>
    <w:unhideWhenUsed/>
    <w:qFormat/>
    <w:uiPriority w:val="9"/>
    <w:pPr>
      <w:keepNext/>
      <w:keepLines/>
      <w:numPr>
        <w:ilvl w:val="4"/>
        <w:numId w:val="1"/>
      </w:numPr>
      <w:ind w:hanging="1008" w:firstLineChars="0"/>
      <w:jc w:val="left"/>
      <w:outlineLvl w:val="4"/>
    </w:pPr>
    <w:rPr>
      <w:bCs/>
      <w:szCs w:val="28"/>
    </w:rPr>
  </w:style>
  <w:style w:type="paragraph" w:styleId="11">
    <w:name w:val="heading 6"/>
    <w:basedOn w:val="1"/>
    <w:next w:val="1"/>
    <w:link w:val="124"/>
    <w:unhideWhenUsed/>
    <w:qFormat/>
    <w:uiPriority w:val="9"/>
    <w:pPr>
      <w:numPr>
        <w:ilvl w:val="5"/>
        <w:numId w:val="1"/>
      </w:numPr>
      <w:ind w:hanging="1151" w:firstLineChars="0"/>
      <w:outlineLvl w:val="5"/>
    </w:pPr>
    <w:rPr>
      <w:b/>
    </w:rPr>
  </w:style>
  <w:style w:type="paragraph" w:styleId="12">
    <w:name w:val="heading 7"/>
    <w:basedOn w:val="1"/>
    <w:next w:val="1"/>
    <w:link w:val="60"/>
    <w:unhideWhenUsed/>
    <w:qFormat/>
    <w:uiPriority w:val="0"/>
    <w:pPr>
      <w:keepNext/>
      <w:keepLines/>
      <w:numPr>
        <w:ilvl w:val="6"/>
        <w:numId w:val="1"/>
      </w:numPr>
      <w:ind w:hanging="1296" w:firstLineChars="0"/>
      <w:outlineLvl w:val="6"/>
    </w:pPr>
    <w:rPr>
      <w:b/>
      <w:bCs/>
      <w:szCs w:val="24"/>
    </w:rPr>
  </w:style>
  <w:style w:type="paragraph" w:styleId="13">
    <w:name w:val="heading 8"/>
    <w:basedOn w:val="1"/>
    <w:next w:val="1"/>
    <w:link w:val="61"/>
    <w:autoRedefine/>
    <w:unhideWhenUsed/>
    <w:qFormat/>
    <w:uiPriority w:val="0"/>
    <w:pPr>
      <w:keepNext/>
      <w:keepLines/>
      <w:numPr>
        <w:ilvl w:val="7"/>
        <w:numId w:val="1"/>
      </w:numPr>
      <w:spacing w:before="240" w:after="64" w:line="320" w:lineRule="auto"/>
      <w:ind w:hanging="1440" w:firstLineChars="0"/>
      <w:outlineLvl w:val="7"/>
    </w:pPr>
    <w:rPr>
      <w:rFonts w:asciiTheme="majorHAnsi" w:hAnsiTheme="majorHAnsi" w:eastAsiaTheme="majorEastAsia" w:cstheme="majorBidi"/>
      <w:szCs w:val="24"/>
    </w:rPr>
  </w:style>
  <w:style w:type="paragraph" w:styleId="14">
    <w:name w:val="heading 9"/>
    <w:basedOn w:val="1"/>
    <w:next w:val="1"/>
    <w:link w:val="114"/>
    <w:unhideWhenUsed/>
    <w:qFormat/>
    <w:uiPriority w:val="0"/>
    <w:pPr>
      <w:keepNext/>
      <w:keepLines/>
      <w:numPr>
        <w:ilvl w:val="8"/>
        <w:numId w:val="1"/>
      </w:numPr>
      <w:spacing w:before="240" w:after="64" w:line="320" w:lineRule="auto"/>
      <w:ind w:hanging="1583" w:firstLineChars="0"/>
      <w:outlineLvl w:val="8"/>
    </w:pPr>
    <w:rPr>
      <w:rFonts w:asciiTheme="majorHAnsi" w:hAnsiTheme="majorHAnsi" w:eastAsiaTheme="majorEastAsia" w:cstheme="majorBidi"/>
      <w:sz w:val="21"/>
    </w:rPr>
  </w:style>
  <w:style w:type="character" w:default="1" w:styleId="46">
    <w:name w:val="Default Paragraph Font"/>
    <w:semiHidden/>
    <w:unhideWhenUsed/>
    <w:qFormat/>
    <w:uiPriority w:val="1"/>
  </w:style>
  <w:style w:type="table" w:default="1" w:styleId="44">
    <w:name w:val="Normal Table"/>
    <w:semiHidden/>
    <w:unhideWhenUsed/>
    <w:qFormat/>
    <w:uiPriority w:val="99"/>
    <w:tblPr>
      <w:tblCellMar>
        <w:top w:w="0" w:type="dxa"/>
        <w:left w:w="108" w:type="dxa"/>
        <w:bottom w:w="0" w:type="dxa"/>
        <w:right w:w="108" w:type="dxa"/>
      </w:tblCellMar>
    </w:tblPr>
  </w:style>
  <w:style w:type="paragraph" w:styleId="2">
    <w:name w:val="Body Text"/>
    <w:basedOn w:val="1"/>
    <w:link w:val="62"/>
    <w:autoRedefine/>
    <w:unhideWhenUsed/>
    <w:qFormat/>
    <w:uiPriority w:val="0"/>
    <w:pPr>
      <w:ind w:firstLine="560"/>
    </w:pPr>
    <w:rPr>
      <w:szCs w:val="24"/>
    </w:rPr>
  </w:style>
  <w:style w:type="paragraph" w:customStyle="1" w:styleId="6">
    <w:name w:val="1.1.1 标题"/>
    <w:qFormat/>
    <w:uiPriority w:val="2"/>
    <w:pPr>
      <w:numPr>
        <w:ilvl w:val="2"/>
        <w:numId w:val="2"/>
      </w:numPr>
      <w:snapToGrid w:val="0"/>
      <w:spacing w:line="360" w:lineRule="auto"/>
      <w:outlineLvl w:val="2"/>
    </w:pPr>
    <w:rPr>
      <w:rFonts w:ascii="Times New Roman" w:hAnsi="Times New Roman" w:eastAsia="宋体" w:cs="Times New Roman"/>
      <w:b/>
      <w:color w:val="215868"/>
      <w:kern w:val="2"/>
      <w:sz w:val="24"/>
      <w:szCs w:val="24"/>
      <w:lang w:val="en-US" w:eastAsia="zh-CN" w:bidi="ar-SA"/>
    </w:rPr>
  </w:style>
  <w:style w:type="paragraph" w:customStyle="1" w:styleId="8">
    <w:name w:val="4.厦三四级标题"/>
    <w:next w:val="9"/>
    <w:semiHidden/>
    <w:qFormat/>
    <w:uiPriority w:val="3"/>
    <w:pPr>
      <w:spacing w:line="360" w:lineRule="auto"/>
      <w:jc w:val="both"/>
      <w:outlineLvl w:val="3"/>
    </w:pPr>
    <w:rPr>
      <w:rFonts w:ascii="Times New Roman" w:hAnsi="Times New Roman" w:eastAsia="宋体" w:cs="Times New Roman"/>
      <w:b/>
      <w:sz w:val="24"/>
      <w:lang w:val="en-US" w:eastAsia="zh-CN" w:bidi="ar-SA"/>
    </w:rPr>
  </w:style>
  <w:style w:type="paragraph" w:customStyle="1" w:styleId="9">
    <w:name w:val="6.厦三正文文本"/>
    <w:qFormat/>
    <w:uiPriority w:val="0"/>
    <w:pPr>
      <w:widowControl w:val="0"/>
      <w:spacing w:line="360" w:lineRule="auto"/>
      <w:ind w:firstLine="200" w:firstLineChars="200"/>
      <w:jc w:val="both"/>
    </w:pPr>
    <w:rPr>
      <w:rFonts w:ascii="Times New Roman" w:hAnsi="Times New Roman" w:eastAsia="宋体" w:cs="Times New Roman"/>
      <w:sz w:val="24"/>
      <w:lang w:val="en-US" w:eastAsia="zh-CN" w:bidi="ar-SA"/>
    </w:rPr>
  </w:style>
  <w:style w:type="paragraph" w:styleId="15">
    <w:name w:val="toc 7"/>
    <w:basedOn w:val="1"/>
    <w:next w:val="1"/>
    <w:autoRedefine/>
    <w:unhideWhenUsed/>
    <w:qFormat/>
    <w:uiPriority w:val="39"/>
    <w:pPr>
      <w:ind w:left="1440"/>
      <w:jc w:val="left"/>
    </w:pPr>
    <w:rPr>
      <w:rFonts w:asciiTheme="minorHAnsi" w:hAnsiTheme="minorHAnsi" w:cstheme="minorHAnsi"/>
      <w:sz w:val="18"/>
      <w:szCs w:val="18"/>
    </w:rPr>
  </w:style>
  <w:style w:type="paragraph" w:styleId="16">
    <w:name w:val="Normal Indent"/>
    <w:basedOn w:val="1"/>
    <w:next w:val="17"/>
    <w:link w:val="320"/>
    <w:qFormat/>
    <w:uiPriority w:val="0"/>
    <w:pPr>
      <w:ind w:firstLine="420"/>
    </w:pPr>
    <w:rPr>
      <w:rFonts w:ascii="Calibri" w:hAnsi="Calibri"/>
      <w:szCs w:val="22"/>
    </w:rPr>
  </w:style>
  <w:style w:type="paragraph" w:styleId="17">
    <w:name w:val="Body Text First Indent"/>
    <w:basedOn w:val="2"/>
    <w:next w:val="1"/>
    <w:link w:val="63"/>
    <w:unhideWhenUsed/>
    <w:qFormat/>
    <w:uiPriority w:val="0"/>
    <w:pPr>
      <w:spacing w:before="154"/>
      <w:ind w:left="121" w:firstLine="420" w:firstLineChars="100"/>
    </w:pPr>
    <w:rPr>
      <w:rFonts w:hint="eastAsia" w:ascii="仿宋" w:hAnsi="仿宋" w:eastAsia="仿宋"/>
      <w:szCs w:val="21"/>
    </w:rPr>
  </w:style>
  <w:style w:type="paragraph" w:styleId="18">
    <w:name w:val="caption"/>
    <w:basedOn w:val="1"/>
    <w:next w:val="1"/>
    <w:link w:val="64"/>
    <w:autoRedefine/>
    <w:unhideWhenUsed/>
    <w:qFormat/>
    <w:uiPriority w:val="35"/>
    <w:pPr>
      <w:spacing w:line="240" w:lineRule="auto"/>
      <w:ind w:firstLine="0" w:firstLineChars="0"/>
      <w:jc w:val="center"/>
    </w:pPr>
    <w:rPr>
      <w:rFonts w:cstheme="majorBidi"/>
      <w:b/>
      <w:sz w:val="21"/>
      <w:szCs w:val="20"/>
    </w:rPr>
  </w:style>
  <w:style w:type="paragraph" w:styleId="19">
    <w:name w:val="Document Map"/>
    <w:basedOn w:val="1"/>
    <w:link w:val="157"/>
    <w:unhideWhenUsed/>
    <w:qFormat/>
    <w:uiPriority w:val="99"/>
    <w:rPr>
      <w:rFonts w:ascii="Microsoft YaHei UI" w:eastAsia="Microsoft YaHei UI"/>
      <w:sz w:val="18"/>
      <w:szCs w:val="18"/>
    </w:rPr>
  </w:style>
  <w:style w:type="paragraph" w:styleId="20">
    <w:name w:val="annotation text"/>
    <w:basedOn w:val="1"/>
    <w:link w:val="65"/>
    <w:autoRedefine/>
    <w:unhideWhenUsed/>
    <w:qFormat/>
    <w:uiPriority w:val="0"/>
    <w:pPr>
      <w:jc w:val="left"/>
    </w:pPr>
  </w:style>
  <w:style w:type="paragraph" w:styleId="21">
    <w:name w:val="Body Text 3"/>
    <w:basedOn w:val="1"/>
    <w:link w:val="208"/>
    <w:autoRedefine/>
    <w:qFormat/>
    <w:uiPriority w:val="0"/>
    <w:pPr>
      <w:adjustRightInd w:val="0"/>
      <w:snapToGrid w:val="0"/>
      <w:ind w:firstLine="663" w:firstLineChars="150"/>
      <w:jc w:val="left"/>
    </w:pPr>
    <w:rPr>
      <w:szCs w:val="24"/>
    </w:rPr>
  </w:style>
  <w:style w:type="paragraph" w:styleId="22">
    <w:name w:val="Body Text Indent"/>
    <w:basedOn w:val="1"/>
    <w:link w:val="333"/>
    <w:autoRedefine/>
    <w:unhideWhenUsed/>
    <w:qFormat/>
    <w:uiPriority w:val="0"/>
    <w:pPr>
      <w:adjustRightInd w:val="0"/>
      <w:snapToGrid w:val="0"/>
      <w:ind w:firstLine="560"/>
    </w:pPr>
    <w:rPr>
      <w:color w:val="000000"/>
      <w:sz w:val="28"/>
      <w:szCs w:val="24"/>
    </w:rPr>
  </w:style>
  <w:style w:type="paragraph" w:styleId="23">
    <w:name w:val="toc 5"/>
    <w:basedOn w:val="1"/>
    <w:next w:val="1"/>
    <w:autoRedefine/>
    <w:unhideWhenUsed/>
    <w:qFormat/>
    <w:uiPriority w:val="39"/>
    <w:pPr>
      <w:ind w:left="960"/>
      <w:jc w:val="left"/>
    </w:pPr>
    <w:rPr>
      <w:rFonts w:asciiTheme="minorHAnsi" w:hAnsiTheme="minorHAnsi" w:cstheme="minorHAnsi"/>
      <w:sz w:val="18"/>
      <w:szCs w:val="18"/>
    </w:rPr>
  </w:style>
  <w:style w:type="paragraph" w:styleId="24">
    <w:name w:val="toc 3"/>
    <w:basedOn w:val="1"/>
    <w:next w:val="1"/>
    <w:autoRedefine/>
    <w:unhideWhenUsed/>
    <w:qFormat/>
    <w:uiPriority w:val="39"/>
    <w:pPr>
      <w:ind w:left="480"/>
      <w:jc w:val="left"/>
    </w:pPr>
    <w:rPr>
      <w:rFonts w:asciiTheme="minorHAnsi" w:hAnsiTheme="minorHAnsi" w:cstheme="minorHAnsi"/>
      <w:i/>
      <w:iCs/>
      <w:sz w:val="20"/>
      <w:szCs w:val="20"/>
    </w:rPr>
  </w:style>
  <w:style w:type="paragraph" w:styleId="25">
    <w:name w:val="Plain Text"/>
    <w:basedOn w:val="1"/>
    <w:link w:val="209"/>
    <w:autoRedefine/>
    <w:qFormat/>
    <w:uiPriority w:val="0"/>
    <w:pPr>
      <w:spacing w:after="50" w:afterLines="50" w:line="240" w:lineRule="auto"/>
      <w:ind w:firstLine="0" w:firstLineChars="0"/>
      <w:jc w:val="left"/>
    </w:pPr>
    <w:rPr>
      <w:rFonts w:ascii="宋体" w:hAnsi="宋体" w:eastAsia="仿宋" w:cstheme="minorBidi"/>
      <w:szCs w:val="24"/>
    </w:rPr>
  </w:style>
  <w:style w:type="paragraph" w:styleId="26">
    <w:name w:val="toc 8"/>
    <w:basedOn w:val="1"/>
    <w:next w:val="1"/>
    <w:unhideWhenUsed/>
    <w:qFormat/>
    <w:uiPriority w:val="39"/>
    <w:pPr>
      <w:ind w:left="1680"/>
      <w:jc w:val="left"/>
    </w:pPr>
    <w:rPr>
      <w:rFonts w:asciiTheme="minorHAnsi" w:hAnsiTheme="minorHAnsi" w:cstheme="minorHAnsi"/>
      <w:sz w:val="18"/>
      <w:szCs w:val="18"/>
    </w:rPr>
  </w:style>
  <w:style w:type="paragraph" w:styleId="27">
    <w:name w:val="Date"/>
    <w:basedOn w:val="1"/>
    <w:next w:val="1"/>
    <w:link w:val="158"/>
    <w:qFormat/>
    <w:uiPriority w:val="0"/>
    <w:pPr>
      <w:spacing w:line="240" w:lineRule="auto"/>
      <w:ind w:left="100" w:leftChars="2500" w:firstLine="0" w:firstLineChars="0"/>
    </w:pPr>
    <w:rPr>
      <w:rFonts w:asciiTheme="minorHAnsi" w:hAnsiTheme="minorHAnsi" w:eastAsiaTheme="minorEastAsia" w:cstheme="minorBidi"/>
      <w:sz w:val="21"/>
    </w:rPr>
  </w:style>
  <w:style w:type="paragraph" w:styleId="28">
    <w:name w:val="Body Text Indent 2"/>
    <w:basedOn w:val="1"/>
    <w:link w:val="210"/>
    <w:qFormat/>
    <w:uiPriority w:val="99"/>
    <w:pPr>
      <w:spacing w:after="50" w:afterLines="50" w:line="300" w:lineRule="auto"/>
      <w:ind w:firstLine="927" w:firstLineChars="331"/>
      <w:jc w:val="left"/>
    </w:pPr>
    <w:rPr>
      <w:rFonts w:ascii="仿宋_GB2312" w:hAnsi="宋体" w:eastAsia="仿宋_GB2312" w:cstheme="minorBidi"/>
      <w:sz w:val="28"/>
      <w:szCs w:val="24"/>
    </w:rPr>
  </w:style>
  <w:style w:type="paragraph" w:styleId="29">
    <w:name w:val="Balloon Text"/>
    <w:basedOn w:val="1"/>
    <w:link w:val="107"/>
    <w:unhideWhenUsed/>
    <w:qFormat/>
    <w:uiPriority w:val="0"/>
    <w:pPr>
      <w:spacing w:line="240" w:lineRule="auto"/>
    </w:pPr>
    <w:rPr>
      <w:sz w:val="18"/>
      <w:szCs w:val="18"/>
    </w:rPr>
  </w:style>
  <w:style w:type="paragraph" w:styleId="30">
    <w:name w:val="footer"/>
    <w:basedOn w:val="1"/>
    <w:link w:val="66"/>
    <w:autoRedefine/>
    <w:unhideWhenUsed/>
    <w:qFormat/>
    <w:uiPriority w:val="99"/>
    <w:pPr>
      <w:tabs>
        <w:tab w:val="center" w:pos="4153"/>
        <w:tab w:val="right" w:pos="8306"/>
      </w:tabs>
      <w:snapToGrid w:val="0"/>
      <w:jc w:val="left"/>
    </w:pPr>
    <w:rPr>
      <w:sz w:val="21"/>
      <w:szCs w:val="18"/>
    </w:rPr>
  </w:style>
  <w:style w:type="paragraph" w:styleId="31">
    <w:name w:val="header"/>
    <w:basedOn w:val="1"/>
    <w:link w:val="67"/>
    <w:autoRedefine/>
    <w:unhideWhenUsed/>
    <w:qFormat/>
    <w:uiPriority w:val="99"/>
    <w:pPr>
      <w:pBdr>
        <w:bottom w:val="single" w:color="auto" w:sz="6" w:space="1"/>
      </w:pBdr>
      <w:tabs>
        <w:tab w:val="center" w:pos="4153"/>
        <w:tab w:val="right" w:pos="8306"/>
      </w:tabs>
      <w:snapToGrid w:val="0"/>
      <w:spacing w:line="240" w:lineRule="auto"/>
      <w:ind w:firstLine="0" w:firstLineChars="0"/>
      <w:jc w:val="center"/>
    </w:pPr>
    <w:rPr>
      <w:sz w:val="21"/>
      <w:szCs w:val="18"/>
    </w:rPr>
  </w:style>
  <w:style w:type="paragraph" w:styleId="32">
    <w:name w:val="toc 1"/>
    <w:basedOn w:val="1"/>
    <w:next w:val="1"/>
    <w:link w:val="238"/>
    <w:autoRedefine/>
    <w:unhideWhenUsed/>
    <w:qFormat/>
    <w:uiPriority w:val="39"/>
    <w:pPr>
      <w:ind w:firstLine="0" w:firstLineChars="0"/>
      <w:jc w:val="center"/>
    </w:pPr>
    <w:rPr>
      <w:rFonts w:cstheme="minorHAnsi"/>
      <w:bCs/>
      <w:caps/>
      <w:szCs w:val="20"/>
    </w:rPr>
  </w:style>
  <w:style w:type="paragraph" w:styleId="33">
    <w:name w:val="toc 4"/>
    <w:basedOn w:val="1"/>
    <w:next w:val="1"/>
    <w:autoRedefine/>
    <w:unhideWhenUsed/>
    <w:qFormat/>
    <w:uiPriority w:val="39"/>
    <w:pPr>
      <w:ind w:left="720"/>
      <w:jc w:val="left"/>
    </w:pPr>
    <w:rPr>
      <w:rFonts w:asciiTheme="minorHAnsi" w:hAnsiTheme="minorHAnsi" w:cstheme="minorHAnsi"/>
      <w:sz w:val="18"/>
      <w:szCs w:val="18"/>
    </w:rPr>
  </w:style>
  <w:style w:type="paragraph" w:styleId="34">
    <w:name w:val="Subtitle"/>
    <w:basedOn w:val="1"/>
    <w:next w:val="1"/>
    <w:link w:val="121"/>
    <w:autoRedefine/>
    <w:qFormat/>
    <w:uiPriority w:val="11"/>
    <w:pPr>
      <w:widowControl/>
      <w:spacing w:before="240" w:after="60" w:line="312" w:lineRule="auto"/>
      <w:jc w:val="center"/>
      <w:outlineLvl w:val="1"/>
    </w:pPr>
    <w:rPr>
      <w:rFonts w:asciiTheme="majorHAnsi" w:hAnsiTheme="majorHAnsi" w:cstheme="majorBidi"/>
      <w:b/>
      <w:bCs/>
      <w:kern w:val="28"/>
      <w:sz w:val="32"/>
      <w:szCs w:val="32"/>
    </w:rPr>
  </w:style>
  <w:style w:type="paragraph" w:styleId="35">
    <w:name w:val="toc 6"/>
    <w:basedOn w:val="1"/>
    <w:next w:val="1"/>
    <w:autoRedefine/>
    <w:unhideWhenUsed/>
    <w:qFormat/>
    <w:uiPriority w:val="39"/>
    <w:pPr>
      <w:ind w:left="1200"/>
      <w:jc w:val="left"/>
    </w:pPr>
    <w:rPr>
      <w:rFonts w:asciiTheme="minorHAnsi" w:hAnsiTheme="minorHAnsi" w:cstheme="minorHAnsi"/>
      <w:sz w:val="18"/>
      <w:szCs w:val="18"/>
    </w:rPr>
  </w:style>
  <w:style w:type="paragraph" w:styleId="36">
    <w:name w:val="Body Text Indent 3"/>
    <w:basedOn w:val="1"/>
    <w:link w:val="211"/>
    <w:autoRedefine/>
    <w:qFormat/>
    <w:uiPriority w:val="0"/>
    <w:pPr>
      <w:adjustRightInd w:val="0"/>
      <w:snapToGrid w:val="0"/>
      <w:spacing w:after="120"/>
      <w:ind w:left="420" w:leftChars="200" w:firstLine="883"/>
    </w:pPr>
    <w:rPr>
      <w:sz w:val="16"/>
      <w:szCs w:val="16"/>
    </w:rPr>
  </w:style>
  <w:style w:type="paragraph" w:styleId="37">
    <w:name w:val="toc 2"/>
    <w:basedOn w:val="1"/>
    <w:next w:val="1"/>
    <w:unhideWhenUsed/>
    <w:qFormat/>
    <w:uiPriority w:val="39"/>
    <w:rPr>
      <w:rFonts w:cstheme="minorHAnsi"/>
      <w:smallCaps/>
      <w:szCs w:val="20"/>
    </w:rPr>
  </w:style>
  <w:style w:type="paragraph" w:styleId="38">
    <w:name w:val="toc 9"/>
    <w:basedOn w:val="1"/>
    <w:next w:val="1"/>
    <w:unhideWhenUsed/>
    <w:qFormat/>
    <w:uiPriority w:val="39"/>
    <w:pPr>
      <w:ind w:left="1920"/>
      <w:jc w:val="left"/>
    </w:pPr>
    <w:rPr>
      <w:rFonts w:asciiTheme="minorHAnsi" w:hAnsiTheme="minorHAnsi" w:cstheme="minorHAnsi"/>
      <w:sz w:val="18"/>
      <w:szCs w:val="18"/>
    </w:rPr>
  </w:style>
  <w:style w:type="paragraph" w:styleId="39">
    <w:name w:val="Body Text 2"/>
    <w:basedOn w:val="1"/>
    <w:link w:val="68"/>
    <w:unhideWhenUsed/>
    <w:qFormat/>
    <w:uiPriority w:val="0"/>
    <w:pPr>
      <w:jc w:val="center"/>
    </w:pPr>
  </w:style>
  <w:style w:type="paragraph" w:styleId="40">
    <w:name w:val="Normal (Web)"/>
    <w:basedOn w:val="1"/>
    <w:link w:val="138"/>
    <w:qFormat/>
    <w:uiPriority w:val="99"/>
    <w:pPr>
      <w:widowControl/>
      <w:spacing w:before="100" w:beforeAutospacing="1" w:after="100" w:afterAutospacing="1" w:line="320" w:lineRule="atLeast"/>
      <w:jc w:val="left"/>
    </w:pPr>
    <w:rPr>
      <w:color w:val="000000"/>
      <w:kern w:val="0"/>
      <w:sz w:val="14"/>
      <w:szCs w:val="20"/>
    </w:rPr>
  </w:style>
  <w:style w:type="paragraph" w:styleId="41">
    <w:name w:val="Title"/>
    <w:basedOn w:val="1"/>
    <w:next w:val="1"/>
    <w:link w:val="212"/>
    <w:qFormat/>
    <w:uiPriority w:val="10"/>
    <w:pPr>
      <w:spacing w:before="240" w:after="60"/>
      <w:ind w:firstLine="480"/>
      <w:jc w:val="center"/>
      <w:outlineLvl w:val="0"/>
    </w:pPr>
    <w:rPr>
      <w:rFonts w:asciiTheme="majorHAnsi" w:hAnsiTheme="majorHAnsi" w:eastAsiaTheme="majorEastAsia" w:cstheme="majorBidi"/>
      <w:b/>
      <w:bCs/>
      <w:color w:val="000000" w:themeColor="text1"/>
      <w:sz w:val="32"/>
      <w:szCs w:val="32"/>
      <w14:textFill>
        <w14:solidFill>
          <w14:schemeClr w14:val="tx1"/>
        </w14:solidFill>
      </w14:textFill>
    </w:rPr>
  </w:style>
  <w:style w:type="paragraph" w:styleId="42">
    <w:name w:val="annotation subject"/>
    <w:basedOn w:val="20"/>
    <w:next w:val="20"/>
    <w:link w:val="69"/>
    <w:unhideWhenUsed/>
    <w:qFormat/>
    <w:uiPriority w:val="0"/>
    <w:rPr>
      <w:b/>
      <w:bCs/>
    </w:rPr>
  </w:style>
  <w:style w:type="paragraph" w:styleId="43">
    <w:name w:val="Body Text First Indent 2"/>
    <w:basedOn w:val="22"/>
    <w:link w:val="334"/>
    <w:unhideWhenUsed/>
    <w:qFormat/>
    <w:uiPriority w:val="0"/>
    <w:pPr>
      <w:ind w:firstLine="420"/>
    </w:pPr>
    <w:rPr>
      <w:sz w:val="24"/>
    </w:rPr>
  </w:style>
  <w:style w:type="table" w:styleId="45">
    <w:name w:val="Table Grid"/>
    <w:basedOn w:val="4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7">
    <w:name w:val="Strong"/>
    <w:basedOn w:val="46"/>
    <w:qFormat/>
    <w:uiPriority w:val="0"/>
    <w:rPr>
      <w:b/>
    </w:rPr>
  </w:style>
  <w:style w:type="character" w:styleId="48">
    <w:name w:val="page number"/>
    <w:basedOn w:val="46"/>
    <w:qFormat/>
    <w:uiPriority w:val="0"/>
  </w:style>
  <w:style w:type="character" w:styleId="49">
    <w:name w:val="FollowedHyperlink"/>
    <w:qFormat/>
    <w:uiPriority w:val="99"/>
    <w:rPr>
      <w:color w:val="800080"/>
      <w:u w:val="single"/>
    </w:rPr>
  </w:style>
  <w:style w:type="character" w:styleId="50">
    <w:name w:val="Hyperlink"/>
    <w:basedOn w:val="46"/>
    <w:unhideWhenUsed/>
    <w:qFormat/>
    <w:uiPriority w:val="99"/>
    <w:rPr>
      <w:color w:val="0000FF" w:themeColor="hyperlink"/>
      <w:u w:val="single"/>
      <w14:textFill>
        <w14:solidFill>
          <w14:schemeClr w14:val="hlink"/>
        </w14:solidFill>
      </w14:textFill>
    </w:rPr>
  </w:style>
  <w:style w:type="character" w:styleId="51">
    <w:name w:val="annotation reference"/>
    <w:basedOn w:val="46"/>
    <w:unhideWhenUsed/>
    <w:qFormat/>
    <w:uiPriority w:val="0"/>
    <w:rPr>
      <w:sz w:val="21"/>
      <w:szCs w:val="21"/>
    </w:rPr>
  </w:style>
  <w:style w:type="paragraph" w:customStyle="1" w:styleId="52">
    <w:name w:val="基准-无缩进"/>
    <w:basedOn w:val="5"/>
    <w:qFormat/>
    <w:uiPriority w:val="0"/>
    <w:pPr>
      <w:numPr>
        <w:ilvl w:val="0"/>
        <w:numId w:val="0"/>
      </w:numPr>
    </w:pPr>
  </w:style>
  <w:style w:type="paragraph" w:customStyle="1" w:styleId="53">
    <w:name w:val="表内文字"/>
    <w:basedOn w:val="54"/>
    <w:next w:val="1"/>
    <w:autoRedefine/>
    <w:qFormat/>
    <w:uiPriority w:val="0"/>
    <w:pPr>
      <w:spacing w:line="240" w:lineRule="auto"/>
    </w:pPr>
  </w:style>
  <w:style w:type="paragraph" w:customStyle="1" w:styleId="54">
    <w:name w:val="图表名称"/>
    <w:basedOn w:val="1"/>
    <w:link w:val="186"/>
    <w:autoRedefine/>
    <w:qFormat/>
    <w:uiPriority w:val="0"/>
    <w:pPr>
      <w:ind w:firstLine="0" w:firstLineChars="0"/>
      <w:jc w:val="center"/>
    </w:pPr>
    <w:rPr>
      <w:b/>
      <w:bCs/>
      <w:color w:val="000000" w:themeColor="text1"/>
      <w:sz w:val="21"/>
      <w14:textFill>
        <w14:solidFill>
          <w14:schemeClr w14:val="tx1"/>
        </w14:solidFill>
      </w14:textFill>
    </w:rPr>
  </w:style>
  <w:style w:type="character" w:customStyle="1" w:styleId="55">
    <w:name w:val="标题 5 Char"/>
    <w:basedOn w:val="46"/>
    <w:link w:val="10"/>
    <w:qFormat/>
    <w:uiPriority w:val="0"/>
    <w:rPr>
      <w:rFonts w:ascii="Times New Roman" w:hAnsi="Times New Roman" w:eastAsia="宋体"/>
      <w:bCs/>
      <w:kern w:val="2"/>
      <w:sz w:val="24"/>
      <w:szCs w:val="28"/>
    </w:rPr>
  </w:style>
  <w:style w:type="character" w:customStyle="1" w:styleId="56">
    <w:name w:val="标题 1 Char"/>
    <w:basedOn w:val="46"/>
    <w:link w:val="3"/>
    <w:qFormat/>
    <w:uiPriority w:val="9"/>
    <w:rPr>
      <w:rFonts w:ascii="宋体" w:hAnsi="宋体" w:cs="宋体"/>
      <w:b/>
      <w:color w:val="000000" w:themeColor="text1"/>
      <w:kern w:val="44"/>
      <w:sz w:val="44"/>
      <w:szCs w:val="22"/>
      <w14:textFill>
        <w14:solidFill>
          <w14:schemeClr w14:val="tx1"/>
        </w14:solidFill>
      </w14:textFill>
    </w:rPr>
  </w:style>
  <w:style w:type="character" w:customStyle="1" w:styleId="57">
    <w:name w:val="标题 2 Char1"/>
    <w:link w:val="4"/>
    <w:qFormat/>
    <w:uiPriority w:val="9"/>
    <w:rPr>
      <w:rFonts w:ascii="Times New Roman" w:hAnsi="Times New Roman" w:eastAsia="宋体" w:cstheme="majorBidi"/>
      <w:b/>
      <w:bCs/>
      <w:kern w:val="2"/>
      <w:sz w:val="28"/>
      <w:szCs w:val="32"/>
      <w:lang w:val="en-US" w:eastAsia="zh-CN" w:bidi="ar-SA"/>
    </w:rPr>
  </w:style>
  <w:style w:type="character" w:customStyle="1" w:styleId="58">
    <w:name w:val="标题 3 Char"/>
    <w:basedOn w:val="46"/>
    <w:link w:val="5"/>
    <w:qFormat/>
    <w:uiPriority w:val="9"/>
    <w:rPr>
      <w:rFonts w:ascii="Times New Roman" w:hAnsi="Times New Roman" w:eastAsia="宋体"/>
      <w:b/>
      <w:bCs/>
      <w:color w:val="000000" w:themeColor="text1"/>
      <w:kern w:val="2"/>
      <w:sz w:val="24"/>
      <w:szCs w:val="24"/>
      <w14:textFill>
        <w14:solidFill>
          <w14:schemeClr w14:val="tx1"/>
        </w14:solidFill>
      </w14:textFill>
    </w:rPr>
  </w:style>
  <w:style w:type="character" w:customStyle="1" w:styleId="59">
    <w:name w:val="标题 4 Char1"/>
    <w:basedOn w:val="46"/>
    <w:link w:val="7"/>
    <w:qFormat/>
    <w:uiPriority w:val="9"/>
    <w:rPr>
      <w:b/>
      <w:bCs/>
      <w:kern w:val="2"/>
      <w:sz w:val="24"/>
      <w:szCs w:val="24"/>
    </w:rPr>
  </w:style>
  <w:style w:type="character" w:customStyle="1" w:styleId="60">
    <w:name w:val="标题 7 Char"/>
    <w:basedOn w:val="46"/>
    <w:link w:val="12"/>
    <w:qFormat/>
    <w:uiPriority w:val="0"/>
    <w:rPr>
      <w:b/>
      <w:bCs/>
      <w:kern w:val="2"/>
      <w:sz w:val="24"/>
      <w:szCs w:val="24"/>
    </w:rPr>
  </w:style>
  <w:style w:type="character" w:customStyle="1" w:styleId="61">
    <w:name w:val="标题 8 Char"/>
    <w:basedOn w:val="46"/>
    <w:link w:val="13"/>
    <w:qFormat/>
    <w:uiPriority w:val="0"/>
    <w:rPr>
      <w:rFonts w:asciiTheme="majorHAnsi" w:hAnsiTheme="majorHAnsi" w:eastAsiaTheme="majorEastAsia" w:cstheme="majorBidi"/>
      <w:kern w:val="2"/>
      <w:sz w:val="24"/>
      <w:szCs w:val="24"/>
    </w:rPr>
  </w:style>
  <w:style w:type="character" w:customStyle="1" w:styleId="62">
    <w:name w:val="正文文本 Char"/>
    <w:basedOn w:val="46"/>
    <w:link w:val="2"/>
    <w:qFormat/>
    <w:uiPriority w:val="0"/>
    <w:rPr>
      <w:kern w:val="2"/>
      <w:sz w:val="24"/>
      <w:szCs w:val="24"/>
    </w:rPr>
  </w:style>
  <w:style w:type="character" w:customStyle="1" w:styleId="63">
    <w:name w:val="正文首行缩进 Char"/>
    <w:basedOn w:val="62"/>
    <w:link w:val="17"/>
    <w:autoRedefine/>
    <w:qFormat/>
    <w:uiPriority w:val="0"/>
    <w:rPr>
      <w:rFonts w:ascii="仿宋" w:hAnsi="仿宋" w:eastAsia="仿宋"/>
      <w:kern w:val="2"/>
      <w:sz w:val="24"/>
      <w:szCs w:val="21"/>
    </w:rPr>
  </w:style>
  <w:style w:type="character" w:customStyle="1" w:styleId="64">
    <w:name w:val="题注 Char"/>
    <w:basedOn w:val="46"/>
    <w:link w:val="18"/>
    <w:autoRedefine/>
    <w:qFormat/>
    <w:uiPriority w:val="35"/>
    <w:rPr>
      <w:rFonts w:ascii="Times New Roman" w:hAnsi="Times New Roman" w:eastAsia="宋体" w:cstheme="majorBidi"/>
      <w:b/>
      <w:kern w:val="2"/>
      <w:sz w:val="21"/>
    </w:rPr>
  </w:style>
  <w:style w:type="character" w:customStyle="1" w:styleId="65">
    <w:name w:val="批注文字 Char"/>
    <w:basedOn w:val="46"/>
    <w:link w:val="20"/>
    <w:autoRedefine/>
    <w:qFormat/>
    <w:uiPriority w:val="0"/>
    <w:rPr>
      <w:rFonts w:ascii="Times New Roman" w:hAnsi="Times New Roman" w:eastAsia="宋体" w:cs="Times New Roman"/>
      <w:kern w:val="2"/>
      <w:sz w:val="24"/>
      <w:szCs w:val="21"/>
    </w:rPr>
  </w:style>
  <w:style w:type="character" w:customStyle="1" w:styleId="66">
    <w:name w:val="页脚 Char"/>
    <w:basedOn w:val="46"/>
    <w:link w:val="30"/>
    <w:autoRedefine/>
    <w:qFormat/>
    <w:uiPriority w:val="99"/>
    <w:rPr>
      <w:kern w:val="2"/>
      <w:sz w:val="21"/>
      <w:szCs w:val="18"/>
    </w:rPr>
  </w:style>
  <w:style w:type="character" w:customStyle="1" w:styleId="67">
    <w:name w:val="页眉 Char"/>
    <w:basedOn w:val="46"/>
    <w:link w:val="31"/>
    <w:qFormat/>
    <w:uiPriority w:val="99"/>
    <w:rPr>
      <w:kern w:val="2"/>
      <w:sz w:val="21"/>
      <w:szCs w:val="18"/>
    </w:rPr>
  </w:style>
  <w:style w:type="character" w:customStyle="1" w:styleId="68">
    <w:name w:val="正文文本 2 Char"/>
    <w:basedOn w:val="46"/>
    <w:link w:val="39"/>
    <w:autoRedefine/>
    <w:qFormat/>
    <w:uiPriority w:val="0"/>
    <w:rPr>
      <w:kern w:val="2"/>
      <w:sz w:val="24"/>
      <w:szCs w:val="21"/>
    </w:rPr>
  </w:style>
  <w:style w:type="character" w:customStyle="1" w:styleId="69">
    <w:name w:val="批注主题 Char"/>
    <w:basedOn w:val="65"/>
    <w:link w:val="42"/>
    <w:autoRedefine/>
    <w:qFormat/>
    <w:uiPriority w:val="0"/>
    <w:rPr>
      <w:rFonts w:ascii="Times New Roman" w:hAnsi="Times New Roman" w:eastAsia="宋体" w:cs="Times New Roman"/>
      <w:b/>
      <w:bCs/>
      <w:kern w:val="2"/>
      <w:sz w:val="24"/>
      <w:szCs w:val="21"/>
    </w:rPr>
  </w:style>
  <w:style w:type="paragraph" w:customStyle="1" w:styleId="70">
    <w:name w:val="封面标题"/>
    <w:basedOn w:val="1"/>
    <w:next w:val="1"/>
    <w:link w:val="233"/>
    <w:autoRedefine/>
    <w:qFormat/>
    <w:uiPriority w:val="0"/>
    <w:pPr>
      <w:ind w:firstLine="0" w:firstLineChars="0"/>
      <w:jc w:val="center"/>
    </w:pPr>
    <w:rPr>
      <w:rFonts w:eastAsia="黑体"/>
      <w:b/>
      <w:sz w:val="52"/>
    </w:rPr>
  </w:style>
  <w:style w:type="paragraph" w:styleId="71">
    <w:name w:val="No Spacing"/>
    <w:basedOn w:val="1"/>
    <w:link w:val="98"/>
    <w:autoRedefine/>
    <w:qFormat/>
    <w:uiPriority w:val="0"/>
    <w:pPr>
      <w:spacing w:line="240" w:lineRule="auto"/>
      <w:ind w:firstLine="0" w:firstLineChars="0"/>
      <w:jc w:val="center"/>
      <w:textAlignment w:val="center"/>
    </w:pPr>
    <w:rPr>
      <w:rFonts w:ascii="Arial" w:hAnsi="Arial" w:cs="Arial"/>
      <w:sz w:val="18"/>
      <w:szCs w:val="18"/>
      <w:shd w:val="clear" w:color="auto" w:fill="FFFFFF"/>
    </w:rPr>
  </w:style>
  <w:style w:type="paragraph" w:styleId="72">
    <w:name w:val="List Paragraph"/>
    <w:basedOn w:val="1"/>
    <w:link w:val="73"/>
    <w:autoRedefine/>
    <w:qFormat/>
    <w:uiPriority w:val="34"/>
    <w:pPr>
      <w:numPr>
        <w:ilvl w:val="0"/>
        <w:numId w:val="3"/>
      </w:numPr>
      <w:ind w:left="0" w:firstLine="0" w:firstLineChars="0"/>
      <w:jc w:val="left"/>
    </w:pPr>
  </w:style>
  <w:style w:type="character" w:customStyle="1" w:styleId="73">
    <w:name w:val="列出段落 Char"/>
    <w:basedOn w:val="46"/>
    <w:link w:val="72"/>
    <w:autoRedefine/>
    <w:qFormat/>
    <w:uiPriority w:val="34"/>
    <w:rPr>
      <w:kern w:val="2"/>
      <w:sz w:val="24"/>
      <w:szCs w:val="21"/>
    </w:rPr>
  </w:style>
  <w:style w:type="table" w:customStyle="1" w:styleId="74">
    <w:name w:val="XX表格"/>
    <w:basedOn w:val="44"/>
    <w:autoRedefine/>
    <w:qFormat/>
    <w:uiPriority w:val="99"/>
    <w:rPr>
      <w:sz w:val="21"/>
    </w:rPr>
    <w:tblP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ascii="Times New Roman" w:hAnsi="Times New Roman" w:eastAsia="宋体"/>
        <w:b/>
        <w:i w:val="0"/>
        <w:sz w:val="21"/>
      </w:rPr>
      <w:tcPr>
        <w:shd w:val="clear" w:color="auto" w:fill="C6D9F0" w:themeFill="text2" w:themeFillTint="33"/>
      </w:tcPr>
    </w:tblStylePr>
    <w:tblStylePr w:type="firstCol">
      <w:rPr>
        <w:rFonts w:ascii="Times New Roman" w:hAnsi="Times New Roman" w:eastAsia="宋体"/>
        <w:b w:val="0"/>
        <w:i w:val="0"/>
        <w:sz w:val="21"/>
      </w:rPr>
    </w:tblStylePr>
  </w:style>
  <w:style w:type="paragraph" w:customStyle="1" w:styleId="75">
    <w:name w:val="表中字"/>
    <w:basedOn w:val="1"/>
    <w:link w:val="76"/>
    <w:autoRedefine/>
    <w:qFormat/>
    <w:uiPriority w:val="0"/>
    <w:pPr>
      <w:spacing w:line="240" w:lineRule="auto"/>
      <w:ind w:firstLine="0" w:firstLineChars="0"/>
      <w:jc w:val="center"/>
    </w:pPr>
    <w:rPr>
      <w:rFonts w:cs="宋体"/>
      <w:sz w:val="21"/>
      <w:szCs w:val="24"/>
    </w:rPr>
  </w:style>
  <w:style w:type="character" w:customStyle="1" w:styleId="76">
    <w:name w:val="表中字 字符"/>
    <w:link w:val="75"/>
    <w:autoRedefine/>
    <w:qFormat/>
    <w:uiPriority w:val="0"/>
    <w:rPr>
      <w:rFonts w:ascii="Times New Roman" w:hAnsi="Times New Roman" w:eastAsia="宋体" w:cs="宋体"/>
      <w:kern w:val="2"/>
      <w:sz w:val="21"/>
      <w:szCs w:val="24"/>
    </w:rPr>
  </w:style>
  <w:style w:type="table" w:customStyle="1" w:styleId="77">
    <w:name w:val="XX表格11"/>
    <w:basedOn w:val="44"/>
    <w:autoRedefine/>
    <w:qFormat/>
    <w:uiPriority w:val="99"/>
    <w:rPr>
      <w:sz w:val="21"/>
    </w:rPr>
    <w:tblPr>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
    <w:trPr>
      <w:jc w:val="center"/>
    </w:trPr>
    <w:tcPr>
      <w:vAlign w:val="center"/>
    </w:tcPr>
    <w:tblStylePr w:type="firstRow">
      <w:rPr>
        <w:rFonts w:ascii="Times New Roman" w:hAnsi="Times New Roman" w:eastAsia="宋体"/>
        <w:b/>
        <w:i w:val="0"/>
        <w:sz w:val="21"/>
      </w:rPr>
      <w:tblPr/>
      <w:trPr>
        <w:tblHeader/>
      </w:trPr>
      <w:tcPr>
        <w:shd w:val="clear" w:color="auto" w:fill="C6D9F1"/>
      </w:tcPr>
    </w:tblStylePr>
    <w:tblStylePr w:type="firstCol">
      <w:rPr>
        <w:rFonts w:ascii="Times New Roman" w:hAnsi="Times New Roman" w:eastAsia="宋体"/>
        <w:b w:val="0"/>
        <w:i w:val="0"/>
        <w:sz w:val="21"/>
      </w:rPr>
    </w:tblStylePr>
  </w:style>
  <w:style w:type="character" w:styleId="78">
    <w:name w:val="Placeholder Text"/>
    <w:basedOn w:val="46"/>
    <w:autoRedefine/>
    <w:semiHidden/>
    <w:qFormat/>
    <w:uiPriority w:val="99"/>
    <w:rPr>
      <w:color w:val="808080"/>
    </w:rPr>
  </w:style>
  <w:style w:type="table" w:customStyle="1" w:styleId="79">
    <w:name w:val="两色网格表1"/>
    <w:basedOn w:val="44"/>
    <w:autoRedefine/>
    <w:qFormat/>
    <w:uiPriority w:val="0"/>
    <w:pPr>
      <w:jc w:val="center"/>
    </w:pPr>
    <w:rPr>
      <w:kern w:val="2"/>
      <w:sz w:val="21"/>
      <w:szCs w:val="21"/>
    </w:rPr>
    <w:tblP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b/>
      </w:rPr>
      <w:tblPr/>
      <w:trPr>
        <w:tblHeader/>
      </w:trPr>
      <w:tcPr>
        <w:shd w:val="clear" w:color="auto" w:fill="DBE5F1"/>
      </w:tcPr>
    </w:tblStylePr>
  </w:style>
  <w:style w:type="table" w:customStyle="1" w:styleId="80">
    <w:name w:val="标准样式"/>
    <w:basedOn w:val="44"/>
    <w:autoRedefine/>
    <w:qFormat/>
    <w:uiPriority w:val="99"/>
    <w:pPr>
      <w:jc w:val="center"/>
    </w:pPr>
    <w:tblPr>
      <w:jc w:val="center"/>
      <w:tblBorders>
        <w:top w:val="double" w:color="0000C8" w:sz="6" w:space="0"/>
        <w:left w:val="double" w:color="0000C8" w:sz="6" w:space="0"/>
        <w:bottom w:val="double" w:color="0000C8" w:sz="6" w:space="0"/>
        <w:right w:val="double" w:color="0000C8" w:sz="6" w:space="0"/>
        <w:insideH w:val="single" w:color="0000C8" w:sz="4" w:space="0"/>
        <w:insideV w:val="single" w:color="0000C8" w:sz="4" w:space="0"/>
      </w:tblBorders>
      <w:tblCellMar>
        <w:top w:w="0" w:type="dxa"/>
        <w:left w:w="108" w:type="dxa"/>
        <w:bottom w:w="0" w:type="dxa"/>
        <w:right w:w="108" w:type="dxa"/>
      </w:tblCellMar>
    </w:tblPr>
    <w:trPr>
      <w:jc w:val="center"/>
    </w:trPr>
    <w:tcPr>
      <w:shd w:val="clear" w:color="auto" w:fill="D9D9D9"/>
      <w:vAlign w:val="center"/>
    </w:tcPr>
    <w:tblStylePr w:type="firstRow">
      <w:rPr>
        <w:rFonts w:eastAsia="宋体"/>
        <w:b/>
        <w:bCs/>
        <w:sz w:val="21"/>
      </w:rPr>
      <w:tcPr>
        <w:shd w:val="clear" w:color="auto" w:fill="B4C6E7"/>
      </w:tcPr>
    </w:tblStylePr>
    <w:tblStylePr w:type="firstCol">
      <w:rPr>
        <w:rFonts w:eastAsia="宋体"/>
        <w:b/>
        <w:bCs/>
        <w:sz w:val="21"/>
      </w:rPr>
      <w:tcPr>
        <w:shd w:val="clear" w:color="auto" w:fill="FBD4B4"/>
      </w:tcPr>
    </w:tblStylePr>
  </w:style>
  <w:style w:type="paragraph" w:customStyle="1" w:styleId="81">
    <w:name w:val="表左字1"/>
    <w:basedOn w:val="75"/>
    <w:autoRedefine/>
    <w:qFormat/>
    <w:uiPriority w:val="0"/>
    <w:pPr>
      <w:numPr>
        <w:ilvl w:val="0"/>
        <w:numId w:val="4"/>
      </w:numPr>
      <w:jc w:val="both"/>
    </w:pPr>
  </w:style>
  <w:style w:type="table" w:customStyle="1" w:styleId="82">
    <w:name w:val="Table Normal"/>
    <w:unhideWhenUsed/>
    <w:qFormat/>
    <w:uiPriority w:val="0"/>
    <w:tblPr>
      <w:tblCellMar>
        <w:top w:w="0" w:type="dxa"/>
        <w:left w:w="0" w:type="dxa"/>
        <w:bottom w:w="0" w:type="dxa"/>
        <w:right w:w="0" w:type="dxa"/>
      </w:tblCellMar>
    </w:tblPr>
  </w:style>
  <w:style w:type="character" w:customStyle="1" w:styleId="83">
    <w:name w:val="未处理的提及1"/>
    <w:basedOn w:val="46"/>
    <w:autoRedefine/>
    <w:semiHidden/>
    <w:unhideWhenUsed/>
    <w:qFormat/>
    <w:uiPriority w:val="99"/>
    <w:rPr>
      <w:color w:val="605E5C"/>
      <w:shd w:val="clear" w:color="auto" w:fill="E1DFDD"/>
    </w:rPr>
  </w:style>
  <w:style w:type="paragraph" w:customStyle="1" w:styleId="84">
    <w:name w:val="表左字"/>
    <w:basedOn w:val="75"/>
    <w:link w:val="85"/>
    <w:autoRedefine/>
    <w:qFormat/>
    <w:uiPriority w:val="0"/>
    <w:pPr>
      <w:adjustRightInd w:val="0"/>
      <w:snapToGrid w:val="0"/>
      <w:jc w:val="left"/>
    </w:pPr>
    <w:rPr>
      <w:rFonts w:cstheme="minorBidi"/>
      <w:szCs w:val="21"/>
    </w:rPr>
  </w:style>
  <w:style w:type="character" w:customStyle="1" w:styleId="85">
    <w:name w:val="表左字 Char"/>
    <w:basedOn w:val="46"/>
    <w:link w:val="84"/>
    <w:qFormat/>
    <w:uiPriority w:val="0"/>
    <w:rPr>
      <w:rFonts w:cstheme="minorBidi"/>
      <w:kern w:val="2"/>
      <w:sz w:val="21"/>
      <w:szCs w:val="21"/>
    </w:rPr>
  </w:style>
  <w:style w:type="table" w:customStyle="1" w:styleId="86">
    <w:name w:val="标准样式2"/>
    <w:basedOn w:val="44"/>
    <w:autoRedefine/>
    <w:qFormat/>
    <w:uiPriority w:val="99"/>
    <w:pPr>
      <w:jc w:val="both"/>
    </w:pPr>
    <w:rPr>
      <w:rFonts w:cstheme="minorBidi"/>
      <w:kern w:val="2"/>
    </w:rPr>
    <w:tblPr>
      <w:jc w:val="center"/>
      <w:tblBorders>
        <w:top w:val="double" w:color="0000C8" w:sz="6" w:space="0"/>
        <w:left w:val="double" w:color="0000C8" w:sz="6" w:space="0"/>
        <w:bottom w:val="double" w:color="0000C8" w:sz="6" w:space="0"/>
        <w:right w:val="double" w:color="0000C8" w:sz="6" w:space="0"/>
        <w:insideH w:val="single" w:color="0000C8" w:sz="4" w:space="0"/>
        <w:insideV w:val="single" w:color="0000C8" w:sz="4" w:space="0"/>
      </w:tblBorders>
      <w:tblCellMar>
        <w:top w:w="0" w:type="dxa"/>
        <w:left w:w="108" w:type="dxa"/>
        <w:bottom w:w="0" w:type="dxa"/>
        <w:right w:w="108" w:type="dxa"/>
      </w:tblCellMar>
    </w:tblPr>
    <w:trPr>
      <w:jc w:val="center"/>
    </w:trPr>
    <w:tcPr>
      <w:shd w:val="clear" w:color="auto" w:fill="E5DFEC" w:themeFill="accent4" w:themeFillTint="33"/>
      <w:vAlign w:val="center"/>
    </w:tcPr>
    <w:tblStylePr w:type="firstRow">
      <w:rPr>
        <w:b/>
      </w:rPr>
      <w:tcPr>
        <w:shd w:val="clear" w:color="auto" w:fill="B6DDE8" w:themeFill="accent5" w:themeFillTint="66"/>
      </w:tcPr>
    </w:tblStylePr>
    <w:tblStylePr w:type="firstCol">
      <w:tcPr>
        <w:shd w:val="clear" w:color="auto" w:fill="FBD4B4" w:themeFill="accent6" w:themeFillTint="66"/>
      </w:tcPr>
    </w:tblStylePr>
  </w:style>
  <w:style w:type="table" w:customStyle="1" w:styleId="87">
    <w:name w:val="57"/>
    <w:autoRedefine/>
    <w:qFormat/>
    <w:uiPriority w:val="0"/>
    <w:pPr>
      <w:widowControl w:val="0"/>
      <w:autoSpaceDE w:val="0"/>
      <w:autoSpaceDN w:val="0"/>
      <w:adjustRightInd w:val="0"/>
    </w:pPr>
    <w:rPr>
      <w:sz w:val="24"/>
      <w:szCs w:val="24"/>
    </w:rPr>
    <w:tblPr>
      <w:jc w:val="center"/>
      <w:tblBorders>
        <w:top w:val="double" w:color="0000FF" w:sz="6" w:space="0"/>
        <w:left w:val="double" w:color="0000FF" w:sz="6" w:space="0"/>
        <w:bottom w:val="double" w:color="0000FF" w:sz="6" w:space="0"/>
        <w:right w:val="double" w:color="0000FF" w:sz="6" w:space="0"/>
        <w:insideH w:val="single" w:color="0000FF" w:sz="6" w:space="0"/>
        <w:insideV w:val="single" w:color="0000FF" w:sz="6" w:space="0"/>
      </w:tblBorders>
      <w:tblCellMar>
        <w:top w:w="0" w:type="dxa"/>
        <w:left w:w="57" w:type="dxa"/>
        <w:bottom w:w="0" w:type="dxa"/>
        <w:right w:w="57" w:type="dxa"/>
      </w:tblCellMar>
    </w:tblPr>
    <w:trPr>
      <w:jc w:val="center"/>
    </w:trPr>
  </w:style>
  <w:style w:type="table" w:customStyle="1" w:styleId="88">
    <w:name w:val="标准样式311"/>
    <w:basedOn w:val="44"/>
    <w:qFormat/>
    <w:uiPriority w:val="99"/>
    <w:pPr>
      <w:jc w:val="center"/>
    </w:pPr>
    <w:tblPr>
      <w:jc w:val="center"/>
      <w:tblBorders>
        <w:top w:val="double" w:color="0000C8" w:sz="6" w:space="0"/>
        <w:left w:val="double" w:color="0000C8" w:sz="6" w:space="0"/>
        <w:bottom w:val="double" w:color="0000C8" w:sz="6" w:space="0"/>
        <w:right w:val="double" w:color="0000C8" w:sz="6" w:space="0"/>
        <w:insideH w:val="single" w:color="0000C8" w:sz="4" w:space="0"/>
        <w:insideV w:val="single" w:color="0000C8" w:sz="4" w:space="0"/>
      </w:tblBorders>
      <w:tblCellMar>
        <w:top w:w="0" w:type="dxa"/>
        <w:left w:w="108" w:type="dxa"/>
        <w:bottom w:w="0" w:type="dxa"/>
        <w:right w:w="108" w:type="dxa"/>
      </w:tblCellMar>
    </w:tblPr>
    <w:trPr>
      <w:jc w:val="center"/>
    </w:trPr>
    <w:tcPr>
      <w:shd w:val="clear" w:color="auto" w:fill="D9D9D9"/>
      <w:vAlign w:val="center"/>
    </w:tcPr>
    <w:tblStylePr w:type="firstRow">
      <w:rPr>
        <w:rFonts w:eastAsia="宋体"/>
        <w:b/>
        <w:sz w:val="21"/>
      </w:rPr>
      <w:tcPr>
        <w:shd w:val="clear" w:color="auto" w:fill="B4C6E7"/>
      </w:tcPr>
    </w:tblStylePr>
    <w:tblStylePr w:type="firstCol">
      <w:rPr>
        <w:rFonts w:eastAsia="宋体"/>
        <w:b/>
        <w:sz w:val="21"/>
      </w:rPr>
      <w:tcPr>
        <w:shd w:val="clear" w:color="auto" w:fill="FBD4B4"/>
      </w:tcPr>
    </w:tblStylePr>
  </w:style>
  <w:style w:type="table" w:customStyle="1" w:styleId="89">
    <w:name w:val="000"/>
    <w:basedOn w:val="44"/>
    <w:autoRedefine/>
    <w:qFormat/>
    <w:uiPriority w:val="99"/>
    <w:pPr>
      <w:jc w:val="center"/>
    </w:pPr>
    <w:rPr>
      <w:rFonts w:cstheme="minorBidi"/>
      <w:kern w:val="2"/>
      <w:sz w:val="21"/>
      <w:szCs w:val="21"/>
    </w:rPr>
    <w:tblPr>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
    <w:trPr>
      <w:jc w:val="center"/>
    </w:trPr>
    <w:tcPr>
      <w:shd w:val="clear" w:color="auto" w:fill="FFFFFF" w:themeFill="background1"/>
      <w:vAlign w:val="center"/>
    </w:tcPr>
    <w:tblStylePr w:type="firstRow">
      <w:rPr>
        <w:rFonts w:eastAsia="宋体"/>
        <w:b/>
        <w:sz w:val="21"/>
      </w:rPr>
      <w:tcPr>
        <w:shd w:val="clear" w:color="auto" w:fill="C6D9F0" w:themeFill="text2" w:themeFillTint="33"/>
      </w:tcPr>
    </w:tblStylePr>
  </w:style>
  <w:style w:type="paragraph" w:customStyle="1" w:styleId="90">
    <w:name w:val="表左字△"/>
    <w:basedOn w:val="1"/>
    <w:autoRedefine/>
    <w:qFormat/>
    <w:uiPriority w:val="0"/>
    <w:pPr>
      <w:numPr>
        <w:ilvl w:val="0"/>
        <w:numId w:val="5"/>
      </w:numPr>
      <w:adjustRightInd w:val="0"/>
      <w:snapToGrid w:val="0"/>
      <w:spacing w:line="300" w:lineRule="auto"/>
      <w:ind w:firstLineChars="0"/>
      <w:jc w:val="left"/>
    </w:pPr>
    <w:rPr>
      <w:rFonts w:cstheme="minorBidi"/>
      <w:kern w:val="0"/>
      <w:sz w:val="21"/>
      <w:szCs w:val="20"/>
    </w:rPr>
  </w:style>
  <w:style w:type="table" w:customStyle="1" w:styleId="91">
    <w:name w:val="方案编制"/>
    <w:basedOn w:val="44"/>
    <w:autoRedefine/>
    <w:qFormat/>
    <w:uiPriority w:val="0"/>
    <w:pPr>
      <w:jc w:val="center"/>
    </w:pPr>
    <w:rPr>
      <w:rFonts w:ascii="Calibri" w:hAnsi="Calibri" w:cstheme="minorBidi"/>
      <w:kern w:val="2"/>
      <w:sz w:val="21"/>
      <w:szCs w:val="21"/>
    </w:rPr>
    <w:tblPr>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
    <w:trPr>
      <w:jc w:val="center"/>
    </w:trPr>
    <w:tcPr>
      <w:vAlign w:val="center"/>
    </w:tcPr>
    <w:tblStylePr w:type="firstRow">
      <w:rPr>
        <w:rFonts w:eastAsia="宋体"/>
        <w:b/>
        <w:sz w:val="21"/>
      </w:rPr>
      <w:tcPr>
        <w:shd w:val="clear" w:color="auto" w:fill="FFFFFF" w:themeFill="background1"/>
      </w:tcPr>
    </w:tblStylePr>
  </w:style>
  <w:style w:type="paragraph" w:customStyle="1" w:styleId="92">
    <w:name w:val="表中字使用"/>
    <w:basedOn w:val="1"/>
    <w:autoRedefine/>
    <w:qFormat/>
    <w:uiPriority w:val="0"/>
    <w:pPr>
      <w:spacing w:line="240" w:lineRule="auto"/>
      <w:ind w:firstLine="0" w:firstLineChars="0"/>
      <w:jc w:val="center"/>
    </w:pPr>
    <w:rPr>
      <w:rFonts w:cs="宋体"/>
      <w:sz w:val="21"/>
      <w:szCs w:val="24"/>
    </w:rPr>
  </w:style>
  <w:style w:type="paragraph" w:customStyle="1" w:styleId="93">
    <w:name w:val="ZG-ZW"/>
    <w:basedOn w:val="1"/>
    <w:link w:val="94"/>
    <w:autoRedefine/>
    <w:qFormat/>
    <w:uiPriority w:val="0"/>
    <w:pPr>
      <w:ind w:firstLine="420"/>
    </w:pPr>
  </w:style>
  <w:style w:type="character" w:customStyle="1" w:styleId="94">
    <w:name w:val="ZG-ZW Char"/>
    <w:link w:val="93"/>
    <w:qFormat/>
    <w:uiPriority w:val="0"/>
    <w:rPr>
      <w:kern w:val="2"/>
      <w:sz w:val="24"/>
      <w:szCs w:val="21"/>
    </w:rPr>
  </w:style>
  <w:style w:type="paragraph" w:customStyle="1" w:styleId="95">
    <w:name w:val="图表名"/>
    <w:basedOn w:val="1"/>
    <w:next w:val="1"/>
    <w:link w:val="96"/>
    <w:autoRedefine/>
    <w:qFormat/>
    <w:uiPriority w:val="0"/>
    <w:pPr>
      <w:spacing w:line="240" w:lineRule="auto"/>
      <w:ind w:firstLine="0" w:firstLineChars="0"/>
      <w:jc w:val="center"/>
    </w:pPr>
    <w:rPr>
      <w:rFonts w:cstheme="minorBidi"/>
      <w:b/>
      <w:szCs w:val="24"/>
    </w:rPr>
  </w:style>
  <w:style w:type="character" w:customStyle="1" w:styleId="96">
    <w:name w:val="图表名 Char"/>
    <w:link w:val="95"/>
    <w:autoRedefine/>
    <w:qFormat/>
    <w:uiPriority w:val="0"/>
    <w:rPr>
      <w:rFonts w:cstheme="minorBidi"/>
      <w:b/>
      <w:kern w:val="2"/>
      <w:sz w:val="24"/>
      <w:szCs w:val="24"/>
    </w:rPr>
  </w:style>
  <w:style w:type="paragraph" w:customStyle="1" w:styleId="97">
    <w:name w:val="图表字-居中"/>
    <w:basedOn w:val="1"/>
    <w:autoRedefine/>
    <w:qFormat/>
    <w:uiPriority w:val="0"/>
    <w:pPr>
      <w:spacing w:line="240" w:lineRule="auto"/>
      <w:ind w:firstLine="0" w:firstLineChars="0"/>
      <w:jc w:val="center"/>
    </w:pPr>
    <w:rPr>
      <w:rFonts w:cs="宋体"/>
      <w:sz w:val="21"/>
      <w:szCs w:val="24"/>
    </w:rPr>
  </w:style>
  <w:style w:type="character" w:customStyle="1" w:styleId="98">
    <w:name w:val="无间隔 Char"/>
    <w:link w:val="71"/>
    <w:autoRedefine/>
    <w:qFormat/>
    <w:uiPriority w:val="0"/>
    <w:rPr>
      <w:rFonts w:ascii="Arial" w:hAnsi="Arial" w:cs="Arial"/>
      <w:kern w:val="2"/>
      <w:sz w:val="18"/>
      <w:szCs w:val="18"/>
    </w:rPr>
  </w:style>
  <w:style w:type="paragraph" w:customStyle="1" w:styleId="99">
    <w:name w:val="图表题注"/>
    <w:basedOn w:val="1"/>
    <w:next w:val="1"/>
    <w:link w:val="100"/>
    <w:autoRedefine/>
    <w:qFormat/>
    <w:uiPriority w:val="0"/>
    <w:pPr>
      <w:spacing w:line="240" w:lineRule="auto"/>
      <w:ind w:firstLine="0" w:firstLineChars="0"/>
      <w:jc w:val="center"/>
    </w:pPr>
    <w:rPr>
      <w:rFonts w:cstheme="minorBidi"/>
      <w:b/>
      <w:szCs w:val="24"/>
    </w:rPr>
  </w:style>
  <w:style w:type="character" w:customStyle="1" w:styleId="100">
    <w:name w:val="图表题注 Char"/>
    <w:link w:val="99"/>
    <w:autoRedefine/>
    <w:qFormat/>
    <w:uiPriority w:val="0"/>
    <w:rPr>
      <w:rFonts w:cstheme="minorBidi"/>
      <w:b/>
      <w:kern w:val="2"/>
      <w:sz w:val="24"/>
      <w:szCs w:val="24"/>
    </w:rPr>
  </w:style>
  <w:style w:type="paragraph" w:customStyle="1" w:styleId="101">
    <w:name w:val="k4级"/>
    <w:basedOn w:val="1"/>
    <w:next w:val="1"/>
    <w:autoRedefine/>
    <w:qFormat/>
    <w:uiPriority w:val="0"/>
    <w:pPr>
      <w:outlineLvl w:val="3"/>
    </w:pPr>
  </w:style>
  <w:style w:type="paragraph" w:customStyle="1" w:styleId="102">
    <w:name w:val="表格文字"/>
    <w:basedOn w:val="1"/>
    <w:qFormat/>
    <w:uiPriority w:val="0"/>
    <w:pPr>
      <w:spacing w:line="240" w:lineRule="auto"/>
      <w:ind w:firstLine="0" w:firstLineChars="0"/>
      <w:jc w:val="center"/>
    </w:pPr>
    <w:rPr>
      <w:rFonts w:hint="eastAsia"/>
      <w:sz w:val="21"/>
      <w:szCs w:val="18"/>
    </w:rPr>
  </w:style>
  <w:style w:type="paragraph" w:customStyle="1" w:styleId="103">
    <w:name w:val="图表标题1"/>
    <w:basedOn w:val="1"/>
    <w:autoRedefine/>
    <w:qFormat/>
    <w:uiPriority w:val="0"/>
    <w:pPr>
      <w:ind w:firstLine="0" w:firstLineChars="0"/>
      <w:jc w:val="center"/>
    </w:pPr>
    <w:rPr>
      <w:b/>
      <w:bCs/>
      <w:sz w:val="21"/>
    </w:rPr>
  </w:style>
  <w:style w:type="table" w:customStyle="1" w:styleId="104">
    <w:name w:val="样式3"/>
    <w:basedOn w:val="44"/>
    <w:autoRedefine/>
    <w:qFormat/>
    <w:uiPriority w:val="99"/>
    <w:rPr>
      <w:rFonts w:ascii="Calibri" w:hAnsi="Calibri" w:cs="Calibri"/>
      <w:sz w:val="21"/>
    </w:rPr>
    <w:tblP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tcPr>
        <w:shd w:val="clear" w:color="auto" w:fill="D8D8D8" w:themeFill="background1" w:themeFillShade="D9"/>
      </w:tcPr>
    </w:tblStylePr>
  </w:style>
  <w:style w:type="character" w:customStyle="1" w:styleId="105">
    <w:name w:val="表内文字 Char"/>
    <w:autoRedefine/>
    <w:qFormat/>
    <w:uiPriority w:val="0"/>
    <w:rPr>
      <w:rFonts w:ascii="Times New Roman" w:hAnsi="Times New Roman" w:eastAsia="宋体" w:cs="Times New Roman"/>
      <w:color w:val="000000" w:themeColor="text1"/>
      <w:kern w:val="2"/>
      <w:sz w:val="21"/>
      <w:szCs w:val="21"/>
      <w14:textFill>
        <w14:solidFill>
          <w14:schemeClr w14:val="tx1"/>
        </w14:solidFill>
      </w14:textFill>
    </w:rPr>
  </w:style>
  <w:style w:type="character" w:customStyle="1" w:styleId="106">
    <w:name w:val="表中字 Char"/>
    <w:basedOn w:val="46"/>
    <w:autoRedefine/>
    <w:qFormat/>
    <w:uiPriority w:val="0"/>
    <w:rPr>
      <w:rFonts w:ascii="Times New Roman" w:hAnsi="Times New Roman" w:eastAsia="宋体"/>
    </w:rPr>
  </w:style>
  <w:style w:type="character" w:customStyle="1" w:styleId="107">
    <w:name w:val="批注框文本 Char"/>
    <w:basedOn w:val="46"/>
    <w:link w:val="29"/>
    <w:autoRedefine/>
    <w:qFormat/>
    <w:uiPriority w:val="0"/>
    <w:rPr>
      <w:kern w:val="2"/>
      <w:sz w:val="18"/>
      <w:szCs w:val="18"/>
    </w:rPr>
  </w:style>
  <w:style w:type="paragraph" w:customStyle="1" w:styleId="108">
    <w:name w:val="k 表中字"/>
    <w:basedOn w:val="1"/>
    <w:link w:val="109"/>
    <w:autoRedefine/>
    <w:qFormat/>
    <w:uiPriority w:val="0"/>
    <w:pPr>
      <w:widowControl/>
      <w:adjustRightInd w:val="0"/>
      <w:ind w:hanging="420" w:hangingChars="189"/>
      <w:jc w:val="center"/>
      <w:textAlignment w:val="baseline"/>
    </w:pPr>
    <w:rPr>
      <w:sz w:val="21"/>
      <w:szCs w:val="22"/>
    </w:rPr>
  </w:style>
  <w:style w:type="character" w:customStyle="1" w:styleId="109">
    <w:name w:val="k 表中字 Char Char"/>
    <w:basedOn w:val="46"/>
    <w:link w:val="108"/>
    <w:autoRedefine/>
    <w:qFormat/>
    <w:uiPriority w:val="0"/>
    <w:rPr>
      <w:kern w:val="2"/>
      <w:sz w:val="21"/>
      <w:szCs w:val="22"/>
    </w:rPr>
  </w:style>
  <w:style w:type="paragraph" w:customStyle="1" w:styleId="110">
    <w:name w:val="表格"/>
    <w:next w:val="1"/>
    <w:link w:val="111"/>
    <w:autoRedefine/>
    <w:qFormat/>
    <w:uiPriority w:val="0"/>
    <w:pPr>
      <w:jc w:val="center"/>
    </w:pPr>
    <w:rPr>
      <w:rFonts w:ascii="Times New Roman" w:hAnsi="Times New Roman" w:eastAsia="宋体" w:cs="Times New Roman"/>
      <w:kern w:val="2"/>
      <w:sz w:val="21"/>
      <w:szCs w:val="22"/>
      <w:lang w:val="en-US" w:eastAsia="zh-CN" w:bidi="ar-SA"/>
    </w:rPr>
  </w:style>
  <w:style w:type="character" w:customStyle="1" w:styleId="111">
    <w:name w:val="表格 Char"/>
    <w:link w:val="110"/>
    <w:autoRedefine/>
    <w:qFormat/>
    <w:uiPriority w:val="0"/>
    <w:rPr>
      <w:kern w:val="2"/>
      <w:sz w:val="21"/>
      <w:szCs w:val="22"/>
    </w:rPr>
  </w:style>
  <w:style w:type="paragraph" w:customStyle="1" w:styleId="112">
    <w:name w:val="官新图名"/>
    <w:basedOn w:val="1"/>
    <w:next w:val="1"/>
    <w:autoRedefine/>
    <w:qFormat/>
    <w:uiPriority w:val="0"/>
    <w:pPr>
      <w:spacing w:line="240" w:lineRule="auto"/>
      <w:ind w:firstLine="0" w:firstLineChars="0"/>
      <w:jc w:val="center"/>
    </w:pPr>
    <w:rPr>
      <w:rFonts w:hint="eastAsia"/>
      <w:b/>
      <w:bCs/>
      <w:sz w:val="21"/>
    </w:rPr>
  </w:style>
  <w:style w:type="paragraph" w:customStyle="1" w:styleId="113">
    <w:name w:val="官新表格"/>
    <w:next w:val="1"/>
    <w:autoRedefine/>
    <w:qFormat/>
    <w:uiPriority w:val="0"/>
    <w:pPr>
      <w:jc w:val="center"/>
    </w:pPr>
    <w:rPr>
      <w:rFonts w:ascii="Times New Roman" w:hAnsi="Times New Roman" w:eastAsia="宋体" w:cs="Times New Roman"/>
      <w:kern w:val="2"/>
      <w:sz w:val="21"/>
      <w:szCs w:val="22"/>
      <w:lang w:val="en-US" w:eastAsia="zh-CN" w:bidi="ar-SA"/>
    </w:rPr>
  </w:style>
  <w:style w:type="character" w:customStyle="1" w:styleId="114">
    <w:name w:val="标题 9 Char"/>
    <w:basedOn w:val="46"/>
    <w:link w:val="14"/>
    <w:autoRedefine/>
    <w:qFormat/>
    <w:uiPriority w:val="0"/>
    <w:rPr>
      <w:rFonts w:asciiTheme="majorHAnsi" w:hAnsiTheme="majorHAnsi" w:eastAsiaTheme="majorEastAsia" w:cstheme="majorBidi"/>
      <w:kern w:val="2"/>
      <w:sz w:val="21"/>
      <w:szCs w:val="21"/>
    </w:rPr>
  </w:style>
  <w:style w:type="paragraph" w:customStyle="1" w:styleId="115">
    <w:name w:val="列表段落1）"/>
    <w:basedOn w:val="72"/>
    <w:autoRedefine/>
    <w:qFormat/>
    <w:uiPriority w:val="0"/>
    <w:pPr>
      <w:widowControl/>
      <w:numPr>
        <w:ilvl w:val="0"/>
        <w:numId w:val="6"/>
      </w:numPr>
      <w:adjustRightInd w:val="0"/>
      <w:snapToGrid w:val="0"/>
      <w:ind w:left="0" w:firstLine="300" w:firstLineChars="300"/>
    </w:pPr>
    <w:rPr>
      <w:rFonts w:cs="宋体"/>
      <w:kern w:val="0"/>
      <w:szCs w:val="24"/>
    </w:rPr>
  </w:style>
  <w:style w:type="table" w:customStyle="1" w:styleId="116">
    <w:name w:val="网格表 7 彩色 - 着色 61"/>
    <w:basedOn w:val="44"/>
    <w:autoRedefine/>
    <w:qFormat/>
    <w:uiPriority w:val="52"/>
    <w:rPr>
      <w:rFonts w:asciiTheme="minorHAnsi" w:hAnsiTheme="minorHAnsi" w:eastAsiaTheme="minorEastAsia" w:cstheme="minorBidi"/>
      <w:color w:val="E46C0A" w:themeColor="accent6" w:themeShade="BF"/>
    </w:rPr>
    <w:tblPr>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CellMar>
        <w:top w:w="0" w:type="dxa"/>
        <w:left w:w="108" w:type="dxa"/>
        <w:bottom w:w="0" w:type="dxa"/>
        <w:right w:w="108" w:type="dxa"/>
      </w:tblCellMar>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FDE9D9" w:themeFill="accent6" w:themeFillTint="33"/>
      </w:tcPr>
    </w:tblStylePr>
    <w:tblStylePr w:type="band1Horz">
      <w:tcPr>
        <w:shd w:val="clear" w:color="auto" w:fill="FDE9D9" w:themeFill="accent6" w:themeFillTint="33"/>
      </w:tcPr>
    </w:tblStylePr>
    <w:tblStylePr w:type="neCell">
      <w:tcPr>
        <w:tcBorders>
          <w:bottom w:val="single" w:color="FABF8F" w:themeColor="accent6" w:themeTint="99" w:sz="4" w:space="0"/>
        </w:tcBorders>
      </w:tcPr>
    </w:tblStylePr>
    <w:tblStylePr w:type="nwCell">
      <w:tcPr>
        <w:tcBorders>
          <w:bottom w:val="single" w:color="FABF8F" w:themeColor="accent6" w:themeTint="99" w:sz="4" w:space="0"/>
        </w:tcBorders>
      </w:tcPr>
    </w:tblStylePr>
    <w:tblStylePr w:type="seCell">
      <w:tcPr>
        <w:tcBorders>
          <w:top w:val="single" w:color="FABF8F" w:themeColor="accent6" w:themeTint="99" w:sz="4" w:space="0"/>
        </w:tcBorders>
      </w:tcPr>
    </w:tblStylePr>
    <w:tblStylePr w:type="swCell">
      <w:tcPr>
        <w:tcBorders>
          <w:top w:val="single" w:color="FABF8F" w:themeColor="accent6" w:themeTint="99" w:sz="4" w:space="0"/>
        </w:tcBorders>
      </w:tcPr>
    </w:tblStylePr>
  </w:style>
  <w:style w:type="paragraph" w:customStyle="1" w:styleId="117">
    <w:name w:val="表左字段落标识"/>
    <w:basedOn w:val="1"/>
    <w:link w:val="118"/>
    <w:autoRedefine/>
    <w:qFormat/>
    <w:uiPriority w:val="0"/>
    <w:pPr>
      <w:numPr>
        <w:ilvl w:val="0"/>
        <w:numId w:val="7"/>
      </w:numPr>
      <w:spacing w:line="240" w:lineRule="auto"/>
      <w:ind w:left="0" w:firstLine="200"/>
      <w:jc w:val="left"/>
    </w:pPr>
    <w:rPr>
      <w:rFonts w:cstheme="minorBidi"/>
      <w:sz w:val="21"/>
    </w:rPr>
  </w:style>
  <w:style w:type="character" w:customStyle="1" w:styleId="118">
    <w:name w:val="表左字段落标识 字符"/>
    <w:basedOn w:val="73"/>
    <w:link w:val="117"/>
    <w:autoRedefine/>
    <w:qFormat/>
    <w:uiPriority w:val="0"/>
    <w:rPr>
      <w:rFonts w:cstheme="minorBidi"/>
      <w:kern w:val="2"/>
      <w:sz w:val="21"/>
      <w:szCs w:val="21"/>
    </w:rPr>
  </w:style>
  <w:style w:type="paragraph" w:customStyle="1" w:styleId="119">
    <w:name w:val="表左字缩进"/>
    <w:basedOn w:val="1"/>
    <w:link w:val="120"/>
    <w:autoRedefine/>
    <w:qFormat/>
    <w:uiPriority w:val="0"/>
    <w:pPr>
      <w:widowControl/>
      <w:adjustRightInd w:val="0"/>
      <w:snapToGrid w:val="0"/>
      <w:spacing w:line="240" w:lineRule="auto"/>
      <w:ind w:firstLine="0" w:firstLineChars="0"/>
    </w:pPr>
    <w:rPr>
      <w:rFonts w:cs="宋体"/>
      <w:kern w:val="0"/>
      <w:sz w:val="21"/>
      <w:szCs w:val="24"/>
    </w:rPr>
  </w:style>
  <w:style w:type="character" w:customStyle="1" w:styleId="120">
    <w:name w:val="表左字缩进 字符"/>
    <w:basedOn w:val="46"/>
    <w:link w:val="119"/>
    <w:autoRedefine/>
    <w:qFormat/>
    <w:uiPriority w:val="0"/>
    <w:rPr>
      <w:rFonts w:cs="宋体"/>
      <w:sz w:val="21"/>
      <w:szCs w:val="24"/>
    </w:rPr>
  </w:style>
  <w:style w:type="character" w:customStyle="1" w:styleId="121">
    <w:name w:val="副标题 Char"/>
    <w:basedOn w:val="46"/>
    <w:link w:val="34"/>
    <w:autoRedefine/>
    <w:qFormat/>
    <w:uiPriority w:val="11"/>
    <w:rPr>
      <w:rFonts w:asciiTheme="majorHAnsi" w:hAnsiTheme="majorHAnsi" w:cstheme="majorBidi"/>
      <w:b/>
      <w:bCs/>
      <w:kern w:val="28"/>
      <w:sz w:val="32"/>
      <w:szCs w:val="32"/>
    </w:rPr>
  </w:style>
  <w:style w:type="paragraph" w:customStyle="1" w:styleId="122">
    <w:name w:val="XX正文"/>
    <w:basedOn w:val="1"/>
    <w:link w:val="123"/>
    <w:autoRedefine/>
    <w:qFormat/>
    <w:uiPriority w:val="0"/>
    <w:pPr>
      <w:widowControl/>
    </w:pPr>
    <w:rPr>
      <w:rFonts w:cs="宋体"/>
      <w:kern w:val="0"/>
      <w:szCs w:val="24"/>
    </w:rPr>
  </w:style>
  <w:style w:type="character" w:customStyle="1" w:styleId="123">
    <w:name w:val="XX正文 字符"/>
    <w:link w:val="122"/>
    <w:autoRedefine/>
    <w:qFormat/>
    <w:uiPriority w:val="0"/>
    <w:rPr>
      <w:rFonts w:cs="宋体"/>
      <w:sz w:val="24"/>
      <w:szCs w:val="24"/>
    </w:rPr>
  </w:style>
  <w:style w:type="character" w:customStyle="1" w:styleId="124">
    <w:name w:val="标题 6 Char"/>
    <w:basedOn w:val="46"/>
    <w:link w:val="11"/>
    <w:autoRedefine/>
    <w:qFormat/>
    <w:uiPriority w:val="0"/>
    <w:rPr>
      <w:b/>
      <w:kern w:val="2"/>
      <w:sz w:val="24"/>
      <w:szCs w:val="21"/>
    </w:rPr>
  </w:style>
  <w:style w:type="table" w:customStyle="1" w:styleId="125">
    <w:name w:val="W"/>
    <w:basedOn w:val="44"/>
    <w:autoRedefine/>
    <w:qFormat/>
    <w:uiPriority w:val="99"/>
    <w:pPr>
      <w:adjustRightInd w:val="0"/>
      <w:snapToGrid w:val="0"/>
      <w:jc w:val="center"/>
    </w:pPr>
    <w:rPr>
      <w:rFonts w:cstheme="minorBidi"/>
      <w:sz w:val="21"/>
    </w:rPr>
    <w:tblPr>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
    <w:trPr>
      <w:jc w:val="center"/>
    </w:trPr>
    <w:tcPr>
      <w:vAlign w:val="center"/>
    </w:tcPr>
    <w:tblStylePr w:type="firstRow">
      <w:rPr>
        <w:rFonts w:ascii="Times New Roman" w:hAnsi="Times New Roman" w:eastAsia="宋体"/>
        <w:b/>
        <w:i w:val="0"/>
        <w:sz w:val="21"/>
      </w:rPr>
      <w:tcPr>
        <w:shd w:val="clear" w:color="auto" w:fill="C6D9F0" w:themeFill="text2" w:themeFillTint="33"/>
      </w:tcPr>
    </w:tblStylePr>
  </w:style>
  <w:style w:type="paragraph" w:customStyle="1" w:styleId="126">
    <w:name w:val="修订1"/>
    <w:autoRedefine/>
    <w:hidden/>
    <w:qFormat/>
    <w:uiPriority w:val="99"/>
    <w:rPr>
      <w:rFonts w:ascii="Times New Roman" w:hAnsi="Times New Roman" w:eastAsia="宋体" w:cs="宋体"/>
      <w:sz w:val="24"/>
      <w:szCs w:val="24"/>
      <w:lang w:val="en-US" w:eastAsia="zh-CN" w:bidi="ar-SA"/>
    </w:rPr>
  </w:style>
  <w:style w:type="table" w:customStyle="1" w:styleId="127">
    <w:name w:val="网格表 1 浅色1"/>
    <w:basedOn w:val="44"/>
    <w:autoRedefine/>
    <w:qFormat/>
    <w:uiPriority w:val="46"/>
    <w:rPr>
      <w:rFonts w:asciiTheme="minorHAnsi" w:hAnsiTheme="minorHAnsi" w:eastAsiaTheme="minorEastAsia" w:cstheme="minorBidi"/>
    </w:rPr>
    <w:tblP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CellMar>
        <w:top w:w="0" w:type="dxa"/>
        <w:left w:w="108" w:type="dxa"/>
        <w:bottom w:w="0" w:type="dxa"/>
        <w:right w:w="108" w:type="dxa"/>
      </w:tblCellMar>
    </w:tblPr>
    <w:tblStylePr w:type="firstRow">
      <w:rPr>
        <w:b/>
        <w:bCs/>
      </w:rPr>
      <w:tcPr>
        <w:tcBorders>
          <w:bottom w:val="single" w:color="666666" w:themeColor="text1" w:themeTint="99" w:sz="12" w:space="0"/>
        </w:tcBorders>
      </w:tcPr>
    </w:tblStylePr>
    <w:tblStylePr w:type="lastRow">
      <w:rPr>
        <w:b/>
        <w:bCs/>
      </w:rPr>
      <w:tcPr>
        <w:tcBorders>
          <w:top w:val="double" w:color="666666" w:themeColor="text1" w:themeTint="99" w:sz="2" w:space="0"/>
        </w:tcBorders>
      </w:tcPr>
    </w:tblStylePr>
    <w:tblStylePr w:type="firstCol">
      <w:rPr>
        <w:b/>
        <w:bCs/>
      </w:rPr>
    </w:tblStylePr>
    <w:tblStylePr w:type="lastCol">
      <w:rPr>
        <w:b/>
        <w:bCs/>
      </w:rPr>
    </w:tblStylePr>
  </w:style>
  <w:style w:type="table" w:customStyle="1" w:styleId="128">
    <w:name w:val="两色网格表"/>
    <w:basedOn w:val="44"/>
    <w:autoRedefine/>
    <w:qFormat/>
    <w:uiPriority w:val="0"/>
    <w:pPr>
      <w:jc w:val="center"/>
    </w:pPr>
    <w:rPr>
      <w:rFonts w:cstheme="minorBidi"/>
      <w:kern w:val="2"/>
      <w:sz w:val="21"/>
      <w:szCs w:val="21"/>
    </w:rPr>
    <w:tblP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b/>
      </w:rPr>
      <w:tcPr>
        <w:shd w:val="clear" w:color="auto" w:fill="C6D9F0" w:themeFill="text2" w:themeFillTint="33"/>
      </w:tcPr>
    </w:tblStylePr>
  </w:style>
  <w:style w:type="table" w:customStyle="1" w:styleId="129">
    <w:name w:val="方案编制标准"/>
    <w:basedOn w:val="44"/>
    <w:autoRedefine/>
    <w:qFormat/>
    <w:uiPriority w:val="99"/>
    <w:rPr>
      <w:rFonts w:cstheme="minorBidi"/>
    </w:rPr>
    <w:tblPr>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
    <w:trPr>
      <w:jc w:val="center"/>
    </w:trPr>
    <w:tcPr>
      <w:shd w:val="clear" w:color="auto" w:fill="auto"/>
      <w:vAlign w:val="center"/>
    </w:tcPr>
    <w:tblStylePr w:type="firstRow">
      <w:pPr>
        <w:jc w:val="center"/>
      </w:pPr>
      <w:rPr>
        <w:rFonts w:ascii="Times New Roman" w:hAnsi="Times New Roman" w:eastAsia="宋体"/>
        <w:b/>
        <w:i w:val="0"/>
        <w:sz w:val="18"/>
      </w:rPr>
      <w:tcPr>
        <w:shd w:val="clear" w:color="auto" w:fill="FFFFFF" w:themeFill="background1"/>
      </w:tcPr>
    </w:tblStylePr>
  </w:style>
  <w:style w:type="table" w:customStyle="1" w:styleId="130">
    <w:name w:val="样式1"/>
    <w:basedOn w:val="44"/>
    <w:autoRedefine/>
    <w:qFormat/>
    <w:uiPriority w:val="99"/>
    <w:rPr>
      <w:rFonts w:asciiTheme="minorHAnsi" w:hAnsiTheme="minorHAnsi" w:cstheme="minorBidi"/>
      <w:sz w:val="21"/>
    </w:rPr>
    <w:tblP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
    <w:tcPr>
      <w:shd w:val="clear" w:color="auto" w:fill="auto"/>
    </w:tcPr>
  </w:style>
  <w:style w:type="paragraph" w:customStyle="1" w:styleId="131">
    <w:name w:val="图名称"/>
    <w:basedOn w:val="1"/>
    <w:link w:val="132"/>
    <w:autoRedefine/>
    <w:qFormat/>
    <w:uiPriority w:val="0"/>
    <w:pPr>
      <w:spacing w:line="240" w:lineRule="auto"/>
      <w:ind w:firstLine="0" w:firstLineChars="0"/>
      <w:jc w:val="center"/>
    </w:pPr>
    <w:rPr>
      <w:b/>
      <w:sz w:val="21"/>
    </w:rPr>
  </w:style>
  <w:style w:type="character" w:customStyle="1" w:styleId="132">
    <w:name w:val="图名称 字符"/>
    <w:basedOn w:val="46"/>
    <w:link w:val="131"/>
    <w:autoRedefine/>
    <w:qFormat/>
    <w:uiPriority w:val="0"/>
    <w:rPr>
      <w:b/>
      <w:kern w:val="2"/>
      <w:sz w:val="21"/>
      <w:szCs w:val="21"/>
    </w:rPr>
  </w:style>
  <w:style w:type="paragraph" w:customStyle="1" w:styleId="133">
    <w:name w:val="缩进2"/>
    <w:basedOn w:val="1"/>
    <w:link w:val="134"/>
    <w:autoRedefine/>
    <w:qFormat/>
    <w:uiPriority w:val="0"/>
    <w:rPr>
      <w:rFonts w:cstheme="minorBidi"/>
      <w:szCs w:val="22"/>
    </w:rPr>
  </w:style>
  <w:style w:type="character" w:customStyle="1" w:styleId="134">
    <w:name w:val="缩进2 字符"/>
    <w:basedOn w:val="46"/>
    <w:link w:val="133"/>
    <w:autoRedefine/>
    <w:qFormat/>
    <w:uiPriority w:val="0"/>
    <w:rPr>
      <w:rFonts w:cstheme="minorBidi"/>
      <w:kern w:val="2"/>
      <w:sz w:val="24"/>
      <w:szCs w:val="22"/>
    </w:rPr>
  </w:style>
  <w:style w:type="paragraph" w:customStyle="1" w:styleId="135">
    <w:name w:val="缩进1.5"/>
    <w:basedOn w:val="1"/>
    <w:next w:val="1"/>
    <w:link w:val="136"/>
    <w:autoRedefine/>
    <w:qFormat/>
    <w:uiPriority w:val="0"/>
    <w:pPr>
      <w:ind w:firstLine="150" w:firstLineChars="150"/>
    </w:pPr>
    <w:rPr>
      <w:rFonts w:cstheme="minorBidi"/>
      <w:szCs w:val="22"/>
    </w:rPr>
  </w:style>
  <w:style w:type="character" w:customStyle="1" w:styleId="136">
    <w:name w:val="缩进1.5 字符"/>
    <w:basedOn w:val="46"/>
    <w:link w:val="135"/>
    <w:autoRedefine/>
    <w:qFormat/>
    <w:uiPriority w:val="0"/>
    <w:rPr>
      <w:rFonts w:cstheme="minorBidi"/>
      <w:kern w:val="2"/>
      <w:sz w:val="24"/>
      <w:szCs w:val="22"/>
    </w:rPr>
  </w:style>
  <w:style w:type="paragraph" w:customStyle="1" w:styleId="137">
    <w:name w:val="XX图表字-居中"/>
    <w:basedOn w:val="1"/>
    <w:autoRedefine/>
    <w:qFormat/>
    <w:uiPriority w:val="0"/>
    <w:pPr>
      <w:spacing w:line="240" w:lineRule="auto"/>
      <w:ind w:firstLine="0" w:firstLineChars="0"/>
      <w:jc w:val="center"/>
    </w:pPr>
    <w:rPr>
      <w:rFonts w:cs="宋体"/>
      <w:sz w:val="21"/>
      <w:szCs w:val="24"/>
    </w:rPr>
  </w:style>
  <w:style w:type="character" w:customStyle="1" w:styleId="138">
    <w:name w:val="普通(网站) Char"/>
    <w:link w:val="40"/>
    <w:autoRedefine/>
    <w:qFormat/>
    <w:locked/>
    <w:uiPriority w:val="99"/>
    <w:rPr>
      <w:color w:val="000000"/>
      <w:sz w:val="14"/>
    </w:rPr>
  </w:style>
  <w:style w:type="paragraph" w:customStyle="1" w:styleId="139">
    <w:name w:val="表头"/>
    <w:basedOn w:val="140"/>
    <w:link w:val="141"/>
    <w:autoRedefine/>
    <w:qFormat/>
    <w:uiPriority w:val="1"/>
    <w:pPr>
      <w:keepNext/>
      <w:spacing w:line="360" w:lineRule="auto"/>
      <w:jc w:val="center"/>
    </w:pPr>
    <w:rPr>
      <w:rFonts w:cstheme="minorBidi"/>
      <w:b/>
      <w:kern w:val="2"/>
      <w:szCs w:val="22"/>
    </w:rPr>
  </w:style>
  <w:style w:type="paragraph" w:customStyle="1" w:styleId="140">
    <w:name w:val="表格方字"/>
    <w:basedOn w:val="1"/>
    <w:autoRedefine/>
    <w:qFormat/>
    <w:uiPriority w:val="0"/>
    <w:pPr>
      <w:adjustRightInd w:val="0"/>
      <w:spacing w:before="60" w:after="60" w:line="420" w:lineRule="atLeast"/>
      <w:jc w:val="left"/>
      <w:textAlignment w:val="baseline"/>
    </w:pPr>
    <w:rPr>
      <w:kern w:val="0"/>
      <w:sz w:val="21"/>
      <w:szCs w:val="20"/>
    </w:rPr>
  </w:style>
  <w:style w:type="character" w:customStyle="1" w:styleId="141">
    <w:name w:val="表头 Char"/>
    <w:basedOn w:val="46"/>
    <w:link w:val="139"/>
    <w:autoRedefine/>
    <w:qFormat/>
    <w:uiPriority w:val="1"/>
    <w:rPr>
      <w:rFonts w:cstheme="minorBidi"/>
      <w:b/>
      <w:kern w:val="2"/>
      <w:sz w:val="21"/>
      <w:szCs w:val="22"/>
    </w:rPr>
  </w:style>
  <w:style w:type="table" w:customStyle="1" w:styleId="142">
    <w:name w:val="两色网格表2"/>
    <w:basedOn w:val="44"/>
    <w:autoRedefine/>
    <w:qFormat/>
    <w:uiPriority w:val="99"/>
    <w:pPr>
      <w:jc w:val="center"/>
    </w:pPr>
    <w:rPr>
      <w:kern w:val="2"/>
      <w:sz w:val="21"/>
      <w:szCs w:val="21"/>
    </w:rPr>
    <w:tblPr>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
    <w:trPr>
      <w:jc w:val="center"/>
    </w:trPr>
    <w:tcPr>
      <w:vAlign w:val="center"/>
    </w:tcPr>
    <w:tblStylePr w:type="firstRow">
      <w:rPr>
        <w:b/>
      </w:rPr>
      <w:tcPr>
        <w:shd w:val="clear" w:color="auto" w:fill="FFFFFF"/>
      </w:tcPr>
    </w:tblStylePr>
  </w:style>
  <w:style w:type="paragraph" w:customStyle="1" w:styleId="143">
    <w:name w:val="列表段落）"/>
    <w:basedOn w:val="1"/>
    <w:autoRedefine/>
    <w:qFormat/>
    <w:uiPriority w:val="0"/>
    <w:pPr>
      <w:numPr>
        <w:ilvl w:val="0"/>
        <w:numId w:val="8"/>
      </w:numPr>
      <w:ind w:left="0" w:firstLine="200"/>
    </w:pPr>
  </w:style>
  <w:style w:type="paragraph" w:customStyle="1" w:styleId="144">
    <w:name w:val="说明"/>
    <w:basedOn w:val="1"/>
    <w:autoRedefine/>
    <w:semiHidden/>
    <w:qFormat/>
    <w:uiPriority w:val="1"/>
    <w:pPr>
      <w:jc w:val="left"/>
      <w:textAlignment w:val="center"/>
    </w:pPr>
    <w:rPr>
      <w:rFonts w:ascii="楷体_GB2312" w:hAnsi="Calibri" w:eastAsia="楷体_GB2312" w:cstheme="minorBidi"/>
      <w:kern w:val="0"/>
      <w:szCs w:val="24"/>
    </w:rPr>
  </w:style>
  <w:style w:type="paragraph" w:customStyle="1" w:styleId="145">
    <w:name w:val="K正文"/>
    <w:basedOn w:val="1"/>
    <w:link w:val="146"/>
    <w:autoRedefine/>
    <w:qFormat/>
    <w:uiPriority w:val="0"/>
    <w:pPr>
      <w:ind w:firstLine="480"/>
    </w:pPr>
    <w:rPr>
      <w:rFonts w:cs="宋体"/>
      <w:szCs w:val="24"/>
    </w:rPr>
  </w:style>
  <w:style w:type="character" w:customStyle="1" w:styleId="146">
    <w:name w:val="K正文 Char"/>
    <w:link w:val="145"/>
    <w:autoRedefine/>
    <w:qFormat/>
    <w:uiPriority w:val="0"/>
    <w:rPr>
      <w:rFonts w:cs="宋体"/>
      <w:kern w:val="2"/>
      <w:sz w:val="24"/>
      <w:szCs w:val="24"/>
    </w:rPr>
  </w:style>
  <w:style w:type="paragraph" w:customStyle="1" w:styleId="147">
    <w:name w:val="表不缩进"/>
    <w:basedOn w:val="1"/>
    <w:autoRedefine/>
    <w:qFormat/>
    <w:uiPriority w:val="0"/>
    <w:pPr>
      <w:widowControl/>
      <w:spacing w:line="240" w:lineRule="auto"/>
      <w:ind w:firstLine="0" w:firstLineChars="0"/>
      <w:jc w:val="left"/>
    </w:pPr>
    <w:rPr>
      <w:rFonts w:cs="宋体"/>
      <w:sz w:val="21"/>
      <w:szCs w:val="24"/>
    </w:rPr>
  </w:style>
  <w:style w:type="paragraph" w:customStyle="1" w:styleId="148">
    <w:name w:val="表格居中"/>
    <w:basedOn w:val="54"/>
    <w:link w:val="149"/>
    <w:autoRedefine/>
    <w:qFormat/>
    <w:uiPriority w:val="0"/>
    <w:pPr>
      <w:spacing w:line="240" w:lineRule="auto"/>
    </w:pPr>
    <w:rPr>
      <w:b w:val="0"/>
      <w:bCs w:val="0"/>
    </w:rPr>
  </w:style>
  <w:style w:type="character" w:customStyle="1" w:styleId="149">
    <w:name w:val="表格居中 Char"/>
    <w:link w:val="148"/>
    <w:autoRedefine/>
    <w:qFormat/>
    <w:uiPriority w:val="0"/>
    <w:rPr>
      <w:color w:val="000000" w:themeColor="text1"/>
      <w:kern w:val="2"/>
      <w:sz w:val="21"/>
      <w:szCs w:val="21"/>
      <w14:textFill>
        <w14:solidFill>
          <w14:schemeClr w14:val="tx1"/>
        </w14:solidFill>
      </w14:textFill>
    </w:rPr>
  </w:style>
  <w:style w:type="paragraph" w:customStyle="1" w:styleId="150">
    <w:name w:val="缩进-左表字"/>
    <w:basedOn w:val="119"/>
    <w:autoRedefine/>
    <w:qFormat/>
    <w:uiPriority w:val="0"/>
    <w:pPr>
      <w:ind w:firstLine="200" w:firstLineChars="200"/>
      <w:jc w:val="left"/>
    </w:pPr>
  </w:style>
  <w:style w:type="character" w:customStyle="1" w:styleId="151">
    <w:name w:val="表格正文 Char"/>
    <w:link w:val="152"/>
    <w:autoRedefine/>
    <w:qFormat/>
    <w:uiPriority w:val="0"/>
    <w:rPr>
      <w:rFonts w:ascii="宋体" w:hAnsi="宋体" w:eastAsia="仿宋_GB2312"/>
      <w:color w:val="0000FF"/>
      <w:sz w:val="24"/>
      <w:szCs w:val="24"/>
    </w:rPr>
  </w:style>
  <w:style w:type="paragraph" w:customStyle="1" w:styleId="152">
    <w:name w:val="表格正文"/>
    <w:basedOn w:val="1"/>
    <w:link w:val="151"/>
    <w:autoRedefine/>
    <w:qFormat/>
    <w:uiPriority w:val="0"/>
    <w:pPr>
      <w:ind w:firstLine="0" w:firstLineChars="0"/>
      <w:jc w:val="center"/>
    </w:pPr>
    <w:rPr>
      <w:rFonts w:ascii="宋体" w:hAnsi="宋体" w:eastAsia="仿宋_GB2312"/>
      <w:color w:val="0000FF"/>
      <w:kern w:val="0"/>
      <w:szCs w:val="24"/>
    </w:rPr>
  </w:style>
  <w:style w:type="character" w:customStyle="1" w:styleId="153">
    <w:name w:val="Char Char5"/>
    <w:autoRedefine/>
    <w:semiHidden/>
    <w:qFormat/>
    <w:uiPriority w:val="0"/>
    <w:rPr>
      <w:rFonts w:eastAsia="Verdana"/>
      <w:kern w:val="2"/>
      <w:sz w:val="18"/>
      <w:szCs w:val="18"/>
      <w:lang w:val="en-US" w:eastAsia="zh-CN" w:bidi="ar-SA"/>
    </w:rPr>
  </w:style>
  <w:style w:type="paragraph" w:customStyle="1" w:styleId="154">
    <w:name w:val="K图表字-居中"/>
    <w:basedOn w:val="145"/>
    <w:link w:val="155"/>
    <w:autoRedefine/>
    <w:qFormat/>
    <w:uiPriority w:val="0"/>
    <w:pPr>
      <w:spacing w:line="240" w:lineRule="auto"/>
      <w:ind w:firstLine="0" w:firstLineChars="0"/>
      <w:jc w:val="center"/>
    </w:pPr>
    <w:rPr>
      <w:rFonts w:ascii="宋体" w:hAnsi="宋体"/>
      <w:sz w:val="21"/>
    </w:rPr>
  </w:style>
  <w:style w:type="character" w:customStyle="1" w:styleId="155">
    <w:name w:val="K图表字-居中 Char"/>
    <w:link w:val="154"/>
    <w:autoRedefine/>
    <w:qFormat/>
    <w:uiPriority w:val="0"/>
    <w:rPr>
      <w:rFonts w:ascii="宋体" w:hAnsi="宋体" w:cs="宋体"/>
      <w:kern w:val="2"/>
      <w:sz w:val="21"/>
      <w:szCs w:val="24"/>
    </w:rPr>
  </w:style>
  <w:style w:type="paragraph" w:customStyle="1" w:styleId="156">
    <w:name w:val="表左缩进"/>
    <w:basedOn w:val="90"/>
    <w:autoRedefine/>
    <w:qFormat/>
    <w:uiPriority w:val="0"/>
    <w:pPr>
      <w:numPr>
        <w:ilvl w:val="0"/>
        <w:numId w:val="9"/>
      </w:numPr>
      <w:ind w:left="0" w:firstLine="0"/>
    </w:pPr>
  </w:style>
  <w:style w:type="character" w:customStyle="1" w:styleId="157">
    <w:name w:val="文档结构图 Char"/>
    <w:basedOn w:val="46"/>
    <w:link w:val="19"/>
    <w:autoRedefine/>
    <w:qFormat/>
    <w:uiPriority w:val="99"/>
    <w:rPr>
      <w:rFonts w:ascii="Microsoft YaHei UI" w:eastAsia="Microsoft YaHei UI"/>
      <w:kern w:val="2"/>
      <w:sz w:val="18"/>
      <w:szCs w:val="18"/>
    </w:rPr>
  </w:style>
  <w:style w:type="character" w:customStyle="1" w:styleId="158">
    <w:name w:val="日期 Char"/>
    <w:basedOn w:val="46"/>
    <w:link w:val="27"/>
    <w:autoRedefine/>
    <w:qFormat/>
    <w:uiPriority w:val="0"/>
    <w:rPr>
      <w:rFonts w:asciiTheme="minorHAnsi" w:hAnsiTheme="minorHAnsi" w:eastAsiaTheme="minorEastAsia" w:cstheme="minorBidi"/>
      <w:kern w:val="2"/>
      <w:sz w:val="21"/>
      <w:szCs w:val="21"/>
    </w:rPr>
  </w:style>
  <w:style w:type="table" w:customStyle="1" w:styleId="159">
    <w:name w:val="XX表格1"/>
    <w:basedOn w:val="44"/>
    <w:autoRedefine/>
    <w:qFormat/>
    <w:uiPriority w:val="99"/>
    <w:rPr>
      <w:rFonts w:cstheme="minorBidi"/>
      <w:sz w:val="21"/>
    </w:rPr>
    <w:tblP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ascii="Times New Roman" w:hAnsi="Times New Roman" w:eastAsia="宋体"/>
        <w:b/>
        <w:i w:val="0"/>
        <w:sz w:val="21"/>
      </w:rPr>
      <w:tcPr>
        <w:shd w:val="clear" w:color="auto" w:fill="C6D9F0" w:themeFill="text2" w:themeFillTint="33"/>
      </w:tcPr>
    </w:tblStylePr>
    <w:tblStylePr w:type="firstCol">
      <w:rPr>
        <w:rFonts w:ascii="Times New Roman" w:hAnsi="Times New Roman" w:eastAsia="宋体"/>
        <w:b w:val="0"/>
        <w:i w:val="0"/>
        <w:sz w:val="21"/>
      </w:rPr>
    </w:tblStylePr>
  </w:style>
  <w:style w:type="table" w:customStyle="1" w:styleId="160">
    <w:name w:val="11111"/>
    <w:basedOn w:val="44"/>
    <w:autoRedefine/>
    <w:qFormat/>
    <w:uiPriority w:val="99"/>
    <w:pPr>
      <w:jc w:val="center"/>
    </w:pPr>
    <w:rPr>
      <w:sz w:val="24"/>
      <w:szCs w:val="24"/>
    </w:rPr>
    <w:tblPr>
      <w:jc w:val="center"/>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
    <w:trPr>
      <w:jc w:val="center"/>
    </w:trPr>
    <w:tcPr>
      <w:shd w:val="clear" w:color="auto" w:fill="auto"/>
      <w:vAlign w:val="center"/>
    </w:tcPr>
    <w:tblStylePr w:type="firstRow">
      <w:rPr>
        <w:rFonts w:eastAsia="宋体"/>
        <w:b/>
        <w:sz w:val="21"/>
      </w:rPr>
      <w:tcPr>
        <w:tcBorders>
          <w:top w:val="double" w:color="auto" w:sz="4" w:space="0"/>
          <w:left w:val="double" w:color="auto" w:sz="4" w:space="0"/>
          <w:bottom w:val="single" w:color="auto" w:sz="4" w:space="0"/>
          <w:right w:val="double" w:color="auto" w:sz="4" w:space="0"/>
          <w:insideH w:val="nil"/>
          <w:insideV w:val="single" w:sz="4" w:space="0"/>
          <w:tl2br w:val="nil"/>
          <w:tr2bl w:val="nil"/>
        </w:tcBorders>
      </w:tcPr>
    </w:tblStylePr>
    <w:tblStylePr w:type="firstCol">
      <w:rPr>
        <w:rFonts w:eastAsia="宋体"/>
        <w:b/>
        <w:sz w:val="21"/>
      </w:rPr>
      <w:tcPr>
        <w:tcBorders>
          <w:top w:val="double" w:color="auto" w:sz="4" w:space="0"/>
          <w:left w:val="double" w:color="auto" w:sz="4" w:space="0"/>
          <w:bottom w:val="double" w:color="auto" w:sz="4" w:space="0"/>
          <w:right w:val="single" w:color="auto" w:sz="4" w:space="0"/>
          <w:insideH w:val="nil"/>
          <w:insideV w:val="nil"/>
          <w:tl2br w:val="nil"/>
          <w:tr2bl w:val="nil"/>
        </w:tcBorders>
      </w:tcPr>
    </w:tblStylePr>
  </w:style>
  <w:style w:type="table" w:customStyle="1" w:styleId="161">
    <w:name w:val="无格式表格 11"/>
    <w:basedOn w:val="44"/>
    <w:autoRedefine/>
    <w:qFormat/>
    <w:uiPriority w:val="41"/>
    <w:rPr>
      <w:rFonts w:cstheme="minorBidi"/>
      <w:sz w:val="24"/>
      <w:szCs w:val="24"/>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paragraph" w:customStyle="1" w:styleId="162">
    <w:name w:val="图片"/>
    <w:basedOn w:val="18"/>
    <w:next w:val="1"/>
    <w:autoRedefine/>
    <w:qFormat/>
    <w:uiPriority w:val="0"/>
    <w:pPr>
      <w:keepNext/>
      <w:framePr w:wrap="around" w:vAnchor="margin" w:hAnchor="text" w:xAlign="center" w:yAlign="center"/>
    </w:pPr>
    <w:rPr>
      <w:rFonts w:cstheme="minorBidi"/>
      <w:kern w:val="0"/>
      <w:szCs w:val="24"/>
    </w:rPr>
  </w:style>
  <w:style w:type="paragraph" w:customStyle="1" w:styleId="163">
    <w:name w:val="题注—图片"/>
    <w:basedOn w:val="18"/>
    <w:next w:val="1"/>
    <w:autoRedefine/>
    <w:qFormat/>
    <w:uiPriority w:val="0"/>
  </w:style>
  <w:style w:type="table" w:customStyle="1" w:styleId="164">
    <w:name w:val="网格型浅色1"/>
    <w:basedOn w:val="44"/>
    <w:autoRedefine/>
    <w:qFormat/>
    <w:uiPriority w:val="40"/>
    <w:rPr>
      <w:rFonts w:cstheme="minorBidi"/>
      <w:sz w:val="24"/>
      <w:szCs w:val="24"/>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
  </w:style>
  <w:style w:type="table" w:customStyle="1" w:styleId="165">
    <w:name w:val="表2"/>
    <w:basedOn w:val="44"/>
    <w:autoRedefine/>
    <w:qFormat/>
    <w:uiPriority w:val="99"/>
    <w:rPr>
      <w:rFonts w:cstheme="minorBidi"/>
      <w:sz w:val="24"/>
      <w:szCs w:val="24"/>
    </w:rPr>
    <w:tblPr>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
    <w:trPr>
      <w:jc w:val="center"/>
    </w:trPr>
    <w:tcPr>
      <w:vAlign w:val="center"/>
    </w:tcPr>
    <w:tblStylePr w:type="firstRow">
      <w:rPr>
        <w:b/>
      </w:rPr>
      <w:tblPr>
        <w:jc w:val="center"/>
      </w:tblPr>
      <w:trPr>
        <w:jc w:val="center"/>
      </w:trPr>
      <w:tcPr>
        <w:vAlign w:val="center"/>
      </w:tcPr>
    </w:tblStylePr>
  </w:style>
  <w:style w:type="table" w:customStyle="1" w:styleId="166">
    <w:name w:val="k 表格1"/>
    <w:basedOn w:val="44"/>
    <w:autoRedefine/>
    <w:qFormat/>
    <w:uiPriority w:val="99"/>
    <w:rPr>
      <w:rFonts w:ascii="宋体" w:hAnsi="宋体" w:cs="Calibri"/>
      <w:sz w:val="21"/>
      <w:szCs w:val="24"/>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57" w:type="dxa"/>
        <w:bottom w:w="0" w:type="dxa"/>
        <w:right w:w="57" w:type="dxa"/>
      </w:tblCellMar>
    </w:tblPr>
    <w:tcPr>
      <w:vAlign w:val="center"/>
    </w:tcPr>
    <w:tblStylePr w:type="firstRow">
      <w:rPr>
        <w:rFonts w:hint="default" w:ascii="Times New Roman" w:hAnsi="Times New Roman" w:eastAsia="宋体" w:cs="Times New Roman"/>
        <w:b/>
        <w:sz w:val="21"/>
        <w:szCs w:val="21"/>
      </w:rPr>
    </w:tblStylePr>
  </w:style>
  <w:style w:type="table" w:customStyle="1" w:styleId="167">
    <w:name w:val="K表格"/>
    <w:basedOn w:val="44"/>
    <w:autoRedefine/>
    <w:qFormat/>
    <w:uiPriority w:val="99"/>
    <w:pPr>
      <w:jc w:val="center"/>
    </w:pPr>
    <w:rPr>
      <w:sz w:val="21"/>
      <w:szCs w:val="24"/>
    </w:rPr>
    <w:tblPr>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28" w:type="dxa"/>
        <w:left w:w="57" w:type="dxa"/>
        <w:bottom w:w="28" w:type="dxa"/>
        <w:right w:w="57" w:type="dxa"/>
      </w:tblCellMar>
    </w:tblPr>
    <w:trPr>
      <w:tblHeader/>
      <w:jc w:val="center"/>
    </w:trPr>
    <w:tcPr>
      <w:tcMar>
        <w:top w:w="28" w:type="dxa"/>
        <w:left w:w="28" w:type="dxa"/>
        <w:bottom w:w="28" w:type="dxa"/>
        <w:right w:w="28" w:type="dxa"/>
      </w:tcMar>
      <w:vAlign w:val="center"/>
    </w:tcPr>
    <w:tblStylePr w:type="firstRow">
      <w:rPr>
        <w:rFonts w:ascii="Times New Roman" w:hAnsi="Times New Roman" w:eastAsia="宋体"/>
        <w:b w:val="0"/>
        <w:i w:val="0"/>
        <w:sz w:val="21"/>
      </w:rPr>
    </w:tblStylePr>
  </w:style>
  <w:style w:type="character" w:customStyle="1" w:styleId="168">
    <w:name w:val="日期 字符1"/>
    <w:basedOn w:val="46"/>
    <w:autoRedefine/>
    <w:semiHidden/>
    <w:qFormat/>
    <w:uiPriority w:val="99"/>
    <w:rPr>
      <w:rFonts w:ascii="Times New Roman" w:hAnsi="Times New Roman" w:eastAsia="宋体" w:cs="Times New Roman"/>
      <w:kern w:val="2"/>
      <w:sz w:val="24"/>
      <w:szCs w:val="21"/>
    </w:rPr>
  </w:style>
  <w:style w:type="paragraph" w:customStyle="1" w:styleId="169">
    <w:name w:val="段落正文"/>
    <w:autoRedefine/>
    <w:qFormat/>
    <w:uiPriority w:val="0"/>
    <w:pPr>
      <w:spacing w:before="50" w:beforeLines="50" w:after="50" w:afterLines="50" w:line="320" w:lineRule="exact"/>
      <w:jc w:val="both"/>
    </w:pPr>
    <w:rPr>
      <w:rFonts w:ascii="Arial" w:hAnsi="Arial" w:eastAsia="Arial" w:cs="Times New Roman"/>
      <w:bCs/>
      <w:kern w:val="2"/>
      <w:sz w:val="24"/>
      <w:szCs w:val="24"/>
      <w:lang w:val="en-US" w:eastAsia="zh-CN" w:bidi="ar-SA"/>
    </w:rPr>
  </w:style>
  <w:style w:type="character" w:customStyle="1" w:styleId="170">
    <w:name w:val="批注文字 字符1"/>
    <w:basedOn w:val="46"/>
    <w:autoRedefine/>
    <w:semiHidden/>
    <w:qFormat/>
    <w:uiPriority w:val="99"/>
    <w:rPr>
      <w:rFonts w:ascii="Times New Roman" w:hAnsi="Times New Roman" w:eastAsia="宋体"/>
      <w:sz w:val="24"/>
      <w:szCs w:val="24"/>
    </w:rPr>
  </w:style>
  <w:style w:type="character" w:customStyle="1" w:styleId="171">
    <w:name w:val="批注主题 字符1"/>
    <w:basedOn w:val="170"/>
    <w:autoRedefine/>
    <w:semiHidden/>
    <w:qFormat/>
    <w:uiPriority w:val="99"/>
    <w:rPr>
      <w:rFonts w:ascii="Times New Roman" w:hAnsi="Times New Roman" w:eastAsia="宋体"/>
      <w:b/>
      <w:bCs/>
      <w:sz w:val="24"/>
      <w:szCs w:val="24"/>
    </w:rPr>
  </w:style>
  <w:style w:type="paragraph" w:customStyle="1" w:styleId="172">
    <w:name w:val="文字"/>
    <w:basedOn w:val="1"/>
    <w:autoRedefine/>
    <w:qFormat/>
    <w:uiPriority w:val="0"/>
    <w:pPr>
      <w:spacing w:after="50" w:afterLines="50" w:line="300" w:lineRule="auto"/>
    </w:pPr>
    <w:rPr>
      <w:rFonts w:ascii="仿宋_GB2312" w:eastAsia="仿宋_GB2312" w:cstheme="minorBidi"/>
      <w:kern w:val="0"/>
      <w:szCs w:val="24"/>
    </w:rPr>
  </w:style>
  <w:style w:type="paragraph" w:customStyle="1" w:styleId="173">
    <w:name w:val="图表"/>
    <w:basedOn w:val="1"/>
    <w:autoRedefine/>
    <w:qFormat/>
    <w:uiPriority w:val="1"/>
    <w:pPr>
      <w:spacing w:line="240" w:lineRule="auto"/>
      <w:ind w:firstLine="0" w:firstLineChars="0"/>
      <w:jc w:val="center"/>
      <w:textAlignment w:val="center"/>
    </w:pPr>
    <w:rPr>
      <w:rFonts w:ascii="仿宋_GB2312" w:hAnsi="Calibri" w:eastAsia="仿宋_GB2312" w:cstheme="minorBidi"/>
      <w:kern w:val="0"/>
      <w:sz w:val="21"/>
      <w:szCs w:val="24"/>
    </w:rPr>
  </w:style>
  <w:style w:type="table" w:customStyle="1" w:styleId="174">
    <w:name w:val="网格型3"/>
    <w:basedOn w:val="44"/>
    <w:autoRedefine/>
    <w:qFormat/>
    <w:uiPriority w:val="39"/>
    <w:rPr>
      <w:sz w:val="24"/>
      <w:szCs w:val="24"/>
    </w:rPr>
    <w:tblPr>
      <w:tblBorders>
        <w:top w:val="single" w:color="000000" w:sz="4" w:space="0"/>
        <w:bottom w:val="single" w:color="000000" w:sz="4" w:space="0"/>
        <w:insideH w:val="single" w:color="000000" w:sz="4" w:space="0"/>
        <w:insideV w:val="single" w:color="000000" w:sz="4" w:space="0"/>
      </w:tblBorders>
      <w:tblCellMar>
        <w:top w:w="0" w:type="dxa"/>
        <w:left w:w="108" w:type="dxa"/>
        <w:bottom w:w="0" w:type="dxa"/>
        <w:right w:w="108" w:type="dxa"/>
      </w:tblCellMar>
    </w:tblPr>
    <w:tcPr>
      <w:vAlign w:val="center"/>
    </w:tcPr>
  </w:style>
  <w:style w:type="table" w:customStyle="1" w:styleId="175">
    <w:name w:val="LBY样式"/>
    <w:basedOn w:val="44"/>
    <w:autoRedefine/>
    <w:qFormat/>
    <w:uiPriority w:val="99"/>
    <w:pPr>
      <w:jc w:val="center"/>
    </w:pPr>
    <w:rPr>
      <w:sz w:val="24"/>
      <w:szCs w:val="24"/>
    </w:rPr>
    <w:tblPr>
      <w:jc w:val="center"/>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
    <w:trPr>
      <w:jc w:val="center"/>
    </w:trPr>
    <w:tcPr>
      <w:shd w:val="clear" w:color="auto" w:fill="FFFFFF"/>
      <w:vAlign w:val="center"/>
    </w:tcPr>
    <w:tblStylePr w:type="firstRow">
      <w:rPr>
        <w:rFonts w:ascii="Times New Roman" w:hAnsi="Times New Roman" w:eastAsia="Courier New"/>
        <w:b/>
        <w:i w:val="0"/>
        <w:sz w:val="21"/>
      </w:rPr>
      <w:tcPr>
        <w:shd w:val="clear" w:color="auto" w:fill="8DB3E2"/>
      </w:tcPr>
    </w:tblStylePr>
    <w:tblStylePr w:type="firstCol">
      <w:tcPr>
        <w:shd w:val="clear" w:color="auto" w:fill="FFFFFF"/>
      </w:tcPr>
    </w:tblStylePr>
  </w:style>
  <w:style w:type="table" w:customStyle="1" w:styleId="176">
    <w:name w:val="标准样式1"/>
    <w:basedOn w:val="44"/>
    <w:autoRedefine/>
    <w:qFormat/>
    <w:uiPriority w:val="99"/>
    <w:rPr>
      <w:rFonts w:ascii="Calibri" w:hAnsi="Calibri"/>
      <w:sz w:val="24"/>
      <w:szCs w:val="24"/>
    </w:rPr>
    <w:tblPr>
      <w:jc w:val="center"/>
      <w:tblBorders>
        <w:top w:val="double" w:color="0000C8" w:sz="6" w:space="0"/>
        <w:left w:val="double" w:color="0000C8" w:sz="6" w:space="0"/>
        <w:bottom w:val="double" w:color="0000C8" w:sz="6" w:space="0"/>
        <w:right w:val="double" w:color="0000C8" w:sz="6" w:space="0"/>
        <w:insideH w:val="single" w:color="0000C8" w:sz="4" w:space="0"/>
        <w:insideV w:val="single" w:color="0000C8" w:sz="4" w:space="0"/>
      </w:tblBorders>
      <w:tblCellMar>
        <w:top w:w="0" w:type="dxa"/>
        <w:left w:w="108" w:type="dxa"/>
        <w:bottom w:w="0" w:type="dxa"/>
        <w:right w:w="108" w:type="dxa"/>
      </w:tblCellMar>
    </w:tblPr>
    <w:trPr>
      <w:jc w:val="center"/>
    </w:trPr>
    <w:tcPr>
      <w:shd w:val="clear" w:color="auto" w:fill="DBE5F1"/>
      <w:vAlign w:val="center"/>
    </w:tcPr>
    <w:tblStylePr w:type="firstRow">
      <w:rPr>
        <w:b/>
        <w:color w:val="auto"/>
      </w:rPr>
      <w:tcPr>
        <w:shd w:val="clear" w:color="auto" w:fill="B6DDE8"/>
      </w:tcPr>
    </w:tblStylePr>
    <w:tblStylePr w:type="firstCol">
      <w:tcPr>
        <w:shd w:val="clear" w:color="auto" w:fill="FDE9D9"/>
      </w:tcPr>
    </w:tblStylePr>
  </w:style>
  <w:style w:type="table" w:customStyle="1" w:styleId="177">
    <w:name w:val="1111"/>
    <w:basedOn w:val="44"/>
    <w:autoRedefine/>
    <w:qFormat/>
    <w:uiPriority w:val="99"/>
    <w:pPr>
      <w:jc w:val="center"/>
    </w:pPr>
    <w:rPr>
      <w:rFonts w:cstheme="minorBidi"/>
      <w:sz w:val="21"/>
      <w:szCs w:val="24"/>
    </w:rPr>
    <w:tblPr>
      <w:tblCellMar>
        <w:top w:w="0" w:type="dxa"/>
        <w:left w:w="108" w:type="dxa"/>
        <w:bottom w:w="0" w:type="dxa"/>
        <w:right w:w="108" w:type="dxa"/>
      </w:tblCellMar>
    </w:tblPr>
    <w:tcPr>
      <w:shd w:val="clear" w:color="auto" w:fill="auto"/>
    </w:tcPr>
  </w:style>
  <w:style w:type="table" w:customStyle="1" w:styleId="178">
    <w:name w:val="LB样式"/>
    <w:basedOn w:val="44"/>
    <w:autoRedefine/>
    <w:qFormat/>
    <w:uiPriority w:val="99"/>
    <w:rPr>
      <w:rFonts w:cstheme="minorBidi"/>
      <w:sz w:val="21"/>
      <w:szCs w:val="24"/>
    </w:rPr>
    <w:tblPr>
      <w:tblCellMar>
        <w:top w:w="0" w:type="dxa"/>
        <w:left w:w="108" w:type="dxa"/>
        <w:bottom w:w="0" w:type="dxa"/>
        <w:right w:w="108" w:type="dxa"/>
      </w:tblCellMar>
    </w:tblPr>
  </w:style>
  <w:style w:type="character" w:customStyle="1" w:styleId="179">
    <w:name w:val="font11"/>
    <w:basedOn w:val="46"/>
    <w:autoRedefine/>
    <w:qFormat/>
    <w:uiPriority w:val="0"/>
    <w:rPr>
      <w:rFonts w:hint="eastAsia" w:ascii="宋体" w:hAnsi="宋体" w:eastAsia="宋体"/>
      <w:color w:val="000000"/>
      <w:sz w:val="18"/>
      <w:szCs w:val="18"/>
      <w:u w:val="none"/>
    </w:rPr>
  </w:style>
  <w:style w:type="character" w:customStyle="1" w:styleId="180">
    <w:name w:val="font51"/>
    <w:basedOn w:val="46"/>
    <w:autoRedefine/>
    <w:qFormat/>
    <w:uiPriority w:val="0"/>
    <w:rPr>
      <w:rFonts w:hint="eastAsia" w:ascii="宋体" w:hAnsi="宋体" w:eastAsia="宋体"/>
      <w:color w:val="000000"/>
      <w:sz w:val="9"/>
      <w:szCs w:val="9"/>
      <w:u w:val="none"/>
      <w:vertAlign w:val="subscript"/>
    </w:rPr>
  </w:style>
  <w:style w:type="character" w:customStyle="1" w:styleId="181">
    <w:name w:val="font41"/>
    <w:basedOn w:val="46"/>
    <w:autoRedefine/>
    <w:qFormat/>
    <w:uiPriority w:val="0"/>
    <w:rPr>
      <w:rFonts w:hint="eastAsia" w:ascii="宋体" w:hAnsi="宋体" w:eastAsia="宋体"/>
      <w:color w:val="000000"/>
      <w:sz w:val="9"/>
      <w:szCs w:val="9"/>
      <w:u w:val="none"/>
    </w:rPr>
  </w:style>
  <w:style w:type="character" w:customStyle="1" w:styleId="182">
    <w:name w:val="font31"/>
    <w:basedOn w:val="46"/>
    <w:autoRedefine/>
    <w:qFormat/>
    <w:uiPriority w:val="0"/>
    <w:rPr>
      <w:rFonts w:hint="eastAsia" w:ascii="宋体" w:hAnsi="宋体" w:eastAsia="宋体"/>
      <w:color w:val="000000"/>
      <w:sz w:val="18"/>
      <w:szCs w:val="18"/>
      <w:u w:val="none"/>
      <w:vertAlign w:val="subscript"/>
    </w:rPr>
  </w:style>
  <w:style w:type="paragraph" w:customStyle="1" w:styleId="183">
    <w:name w:val="Char Char Char Char Char Char Char"/>
    <w:basedOn w:val="19"/>
    <w:autoRedefine/>
    <w:qFormat/>
    <w:uiPriority w:val="0"/>
    <w:pPr>
      <w:shd w:val="clear" w:color="auto" w:fill="000080"/>
      <w:adjustRightInd w:val="0"/>
      <w:spacing w:line="436" w:lineRule="exact"/>
      <w:ind w:left="357" w:firstLine="0" w:firstLineChars="0"/>
      <w:jc w:val="left"/>
      <w:outlineLvl w:val="3"/>
    </w:pPr>
    <w:rPr>
      <w:rFonts w:ascii="Tahoma" w:hAnsi="Tahoma" w:eastAsia="宋体"/>
      <w:b/>
      <w:sz w:val="24"/>
      <w:szCs w:val="24"/>
    </w:rPr>
  </w:style>
  <w:style w:type="character" w:customStyle="1" w:styleId="184">
    <w:name w:val="k 正文 Char"/>
    <w:link w:val="185"/>
    <w:autoRedefine/>
    <w:qFormat/>
    <w:uiPriority w:val="0"/>
    <w:rPr>
      <w:kern w:val="2"/>
      <w:sz w:val="24"/>
      <w:szCs w:val="24"/>
    </w:rPr>
  </w:style>
  <w:style w:type="paragraph" w:customStyle="1" w:styleId="185">
    <w:name w:val="k 正文"/>
    <w:basedOn w:val="1"/>
    <w:link w:val="184"/>
    <w:autoRedefine/>
    <w:qFormat/>
    <w:uiPriority w:val="0"/>
    <w:rPr>
      <w:szCs w:val="24"/>
    </w:rPr>
  </w:style>
  <w:style w:type="character" w:customStyle="1" w:styleId="186">
    <w:name w:val="图表名称 Char"/>
    <w:link w:val="54"/>
    <w:autoRedefine/>
    <w:qFormat/>
    <w:uiPriority w:val="0"/>
    <w:rPr>
      <w:b/>
      <w:bCs/>
      <w:color w:val="000000" w:themeColor="text1"/>
      <w:kern w:val="2"/>
      <w:sz w:val="21"/>
      <w:szCs w:val="21"/>
      <w14:textFill>
        <w14:solidFill>
          <w14:schemeClr w14:val="tx1"/>
        </w14:solidFill>
      </w14:textFill>
    </w:rPr>
  </w:style>
  <w:style w:type="paragraph" w:customStyle="1" w:styleId="187">
    <w:name w:val="图居中、图表标题"/>
    <w:basedOn w:val="1"/>
    <w:next w:val="1"/>
    <w:link w:val="188"/>
    <w:autoRedefine/>
    <w:qFormat/>
    <w:uiPriority w:val="0"/>
    <w:pPr>
      <w:adjustRightInd w:val="0"/>
      <w:snapToGrid w:val="0"/>
      <w:ind w:firstLine="0" w:firstLineChars="0"/>
      <w:jc w:val="center"/>
    </w:pPr>
    <w:rPr>
      <w:rFonts w:cs="宋体" w:asciiTheme="minorHAnsi" w:hAnsiTheme="minorHAnsi"/>
      <w:b/>
      <w:color w:val="0000C8"/>
      <w:kern w:val="0"/>
      <w:sz w:val="20"/>
      <w:szCs w:val="20"/>
    </w:rPr>
  </w:style>
  <w:style w:type="character" w:customStyle="1" w:styleId="188">
    <w:name w:val="图居中、图表标题 Char"/>
    <w:basedOn w:val="46"/>
    <w:link w:val="187"/>
    <w:autoRedefine/>
    <w:qFormat/>
    <w:uiPriority w:val="0"/>
    <w:rPr>
      <w:rFonts w:cs="宋体" w:asciiTheme="minorHAnsi" w:hAnsiTheme="minorHAnsi"/>
      <w:b/>
      <w:color w:val="0000C8"/>
    </w:rPr>
  </w:style>
  <w:style w:type="paragraph" w:customStyle="1" w:styleId="189">
    <w:name w:val="WFS正文"/>
    <w:basedOn w:val="1"/>
    <w:link w:val="190"/>
    <w:autoRedefine/>
    <w:qFormat/>
    <w:uiPriority w:val="0"/>
    <w:pPr>
      <w:adjustRightInd w:val="0"/>
      <w:ind w:firstLine="480"/>
    </w:pPr>
    <w:rPr>
      <w:rFonts w:cs="宋体"/>
      <w:szCs w:val="24"/>
    </w:rPr>
  </w:style>
  <w:style w:type="character" w:customStyle="1" w:styleId="190">
    <w:name w:val="WFS正文 Char"/>
    <w:link w:val="189"/>
    <w:autoRedefine/>
    <w:qFormat/>
    <w:uiPriority w:val="0"/>
    <w:rPr>
      <w:rFonts w:cs="宋体"/>
      <w:kern w:val="2"/>
      <w:sz w:val="24"/>
      <w:szCs w:val="24"/>
    </w:rPr>
  </w:style>
  <w:style w:type="character" w:customStyle="1" w:styleId="191">
    <w:name w:val="k 正文 Char Char"/>
    <w:autoRedefine/>
    <w:qFormat/>
    <w:uiPriority w:val="0"/>
    <w:rPr>
      <w:kern w:val="2"/>
      <w:sz w:val="24"/>
      <w:szCs w:val="22"/>
    </w:rPr>
  </w:style>
  <w:style w:type="paragraph" w:customStyle="1" w:styleId="192">
    <w:name w:val="k 图表标题"/>
    <w:basedOn w:val="1"/>
    <w:next w:val="1"/>
    <w:link w:val="193"/>
    <w:autoRedefine/>
    <w:qFormat/>
    <w:uiPriority w:val="0"/>
    <w:pPr>
      <w:adjustRightInd w:val="0"/>
      <w:snapToGrid w:val="0"/>
      <w:spacing w:before="120" w:beforeLines="50" w:after="120" w:afterLines="50" w:line="240" w:lineRule="auto"/>
      <w:ind w:firstLine="0" w:firstLineChars="0"/>
      <w:jc w:val="center"/>
    </w:pPr>
    <w:rPr>
      <w:b/>
      <w:color w:val="0000FF"/>
      <w:sz w:val="28"/>
      <w:szCs w:val="22"/>
      <w:lang w:val="zh-CN"/>
    </w:rPr>
  </w:style>
  <w:style w:type="character" w:customStyle="1" w:styleId="193">
    <w:name w:val="k 图表标题 Char"/>
    <w:link w:val="192"/>
    <w:autoRedefine/>
    <w:qFormat/>
    <w:uiPriority w:val="0"/>
    <w:rPr>
      <w:b/>
      <w:color w:val="0000FF"/>
      <w:kern w:val="2"/>
      <w:sz w:val="28"/>
      <w:szCs w:val="22"/>
      <w:lang w:val="zh-CN" w:eastAsia="zh-CN"/>
    </w:rPr>
  </w:style>
  <w:style w:type="paragraph" w:customStyle="1" w:styleId="194">
    <w:name w:val="WFS图表字-居中"/>
    <w:basedOn w:val="1"/>
    <w:link w:val="195"/>
    <w:autoRedefine/>
    <w:qFormat/>
    <w:uiPriority w:val="0"/>
    <w:pPr>
      <w:adjustRightInd w:val="0"/>
      <w:spacing w:line="240" w:lineRule="auto"/>
      <w:ind w:firstLine="0" w:firstLineChars="0"/>
      <w:jc w:val="center"/>
    </w:pPr>
    <w:rPr>
      <w:sz w:val="21"/>
      <w:szCs w:val="24"/>
    </w:rPr>
  </w:style>
  <w:style w:type="character" w:customStyle="1" w:styleId="195">
    <w:name w:val="WFS图表字-居中 Char"/>
    <w:link w:val="194"/>
    <w:autoRedefine/>
    <w:qFormat/>
    <w:uiPriority w:val="0"/>
    <w:rPr>
      <w:kern w:val="2"/>
      <w:sz w:val="21"/>
      <w:szCs w:val="24"/>
    </w:rPr>
  </w:style>
  <w:style w:type="table" w:customStyle="1" w:styleId="196">
    <w:name w:val="网格型2"/>
    <w:basedOn w:val="44"/>
    <w:autoRedefine/>
    <w:qFormat/>
    <w:uiPriority w:val="59"/>
    <w:pPr>
      <w:widowControl w:val="0"/>
      <w:jc w:val="both"/>
    </w:pPr>
    <w:rPr>
      <w:rFonts w:asciiTheme="minorHAnsi" w:hAnsiTheme="minorHAnsi" w:eastAsiaTheme="minorEastAsia" w:cstheme="minorBid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97">
    <w:name w:val="图表标题"/>
    <w:link w:val="198"/>
    <w:autoRedefine/>
    <w:qFormat/>
    <w:uiPriority w:val="0"/>
    <w:pPr>
      <w:widowControl w:val="0"/>
      <w:snapToGrid w:val="0"/>
      <w:spacing w:line="360" w:lineRule="auto"/>
      <w:ind w:firstLine="723" w:firstLineChars="200"/>
      <w:jc w:val="center"/>
    </w:pPr>
    <w:rPr>
      <w:rFonts w:ascii="仿宋" w:hAnsi="仿宋" w:eastAsia="仿宋" w:cs="仿宋"/>
      <w:b/>
      <w:kern w:val="3"/>
      <w:sz w:val="24"/>
      <w:szCs w:val="24"/>
      <w:lang w:val="en-US" w:eastAsia="zh-CN" w:bidi="ar-SA"/>
    </w:rPr>
  </w:style>
  <w:style w:type="character" w:customStyle="1" w:styleId="198">
    <w:name w:val="图表标题 Char"/>
    <w:link w:val="197"/>
    <w:autoRedefine/>
    <w:qFormat/>
    <w:uiPriority w:val="0"/>
    <w:rPr>
      <w:rFonts w:ascii="仿宋" w:hAnsi="仿宋" w:eastAsia="仿宋" w:cs="仿宋"/>
      <w:b/>
      <w:kern w:val="3"/>
      <w:sz w:val="24"/>
      <w:szCs w:val="24"/>
    </w:rPr>
  </w:style>
  <w:style w:type="paragraph" w:customStyle="1" w:styleId="199">
    <w:name w:val="40正文(1)"/>
    <w:basedOn w:val="1"/>
    <w:link w:val="205"/>
    <w:autoRedefine/>
    <w:qFormat/>
    <w:uiPriority w:val="0"/>
    <w:pPr>
      <w:tabs>
        <w:tab w:val="left" w:pos="0"/>
        <w:tab w:val="left" w:pos="420"/>
        <w:tab w:val="left" w:pos="478"/>
        <w:tab w:val="left" w:pos="510"/>
      </w:tabs>
      <w:adjustRightInd w:val="0"/>
      <w:ind w:left="58" w:firstLine="0" w:firstLineChars="0"/>
      <w:jc w:val="left"/>
    </w:pPr>
    <w:rPr>
      <w:rFonts w:ascii="宋体" w:hAnsi="宋体" w:cs="宋体"/>
      <w:snapToGrid w:val="0"/>
      <w:kern w:val="0"/>
      <w:szCs w:val="24"/>
    </w:rPr>
  </w:style>
  <w:style w:type="paragraph" w:customStyle="1" w:styleId="200">
    <w:name w:val="正文 1）"/>
    <w:basedOn w:val="1"/>
    <w:next w:val="1"/>
    <w:autoRedefine/>
    <w:qFormat/>
    <w:uiPriority w:val="0"/>
    <w:pPr>
      <w:tabs>
        <w:tab w:val="left" w:pos="-204"/>
        <w:tab w:val="left" w:pos="0"/>
      </w:tabs>
      <w:adjustRightInd w:val="0"/>
      <w:ind w:left="-624" w:firstLine="0" w:firstLineChars="0"/>
      <w:jc w:val="left"/>
    </w:pPr>
    <w:rPr>
      <w:rFonts w:ascii="宋体" w:hAnsi="宋体" w:cs="宋体"/>
      <w:snapToGrid w:val="0"/>
      <w:kern w:val="0"/>
      <w:szCs w:val="24"/>
    </w:rPr>
  </w:style>
  <w:style w:type="paragraph" w:customStyle="1" w:styleId="201">
    <w:name w:val="正文 a"/>
    <w:basedOn w:val="1"/>
    <w:next w:val="1"/>
    <w:autoRedefine/>
    <w:qFormat/>
    <w:uiPriority w:val="0"/>
    <w:pPr>
      <w:tabs>
        <w:tab w:val="left" w:pos="420"/>
        <w:tab w:val="left" w:pos="568"/>
      </w:tabs>
      <w:adjustRightInd w:val="0"/>
      <w:ind w:left="-56" w:firstLine="0" w:firstLineChars="0"/>
      <w:jc w:val="left"/>
    </w:pPr>
    <w:rPr>
      <w:rFonts w:ascii="宋体" w:hAnsi="宋体" w:cs="宋体"/>
      <w:snapToGrid w:val="0"/>
      <w:kern w:val="0"/>
      <w:szCs w:val="24"/>
    </w:rPr>
  </w:style>
  <w:style w:type="paragraph" w:customStyle="1" w:styleId="202">
    <w:name w:val="70标题表格"/>
    <w:basedOn w:val="1"/>
    <w:next w:val="1"/>
    <w:link w:val="207"/>
    <w:autoRedefine/>
    <w:qFormat/>
    <w:uiPriority w:val="0"/>
    <w:pPr>
      <w:tabs>
        <w:tab w:val="left" w:pos="420"/>
      </w:tabs>
      <w:adjustRightInd w:val="0"/>
      <w:ind w:firstLine="0" w:firstLineChars="0"/>
      <w:jc w:val="center"/>
    </w:pPr>
    <w:rPr>
      <w:rFonts w:ascii="宋体" w:hAnsi="宋体" w:cs="宋体"/>
      <w:b/>
      <w:bCs/>
      <w:snapToGrid w:val="0"/>
      <w:color w:val="0766D4"/>
      <w:kern w:val="0"/>
      <w:sz w:val="21"/>
    </w:rPr>
  </w:style>
  <w:style w:type="paragraph" w:customStyle="1" w:styleId="203">
    <w:name w:val="80标题图片"/>
    <w:basedOn w:val="1"/>
    <w:next w:val="1"/>
    <w:autoRedefine/>
    <w:qFormat/>
    <w:uiPriority w:val="0"/>
    <w:pPr>
      <w:tabs>
        <w:tab w:val="left" w:pos="0"/>
        <w:tab w:val="left" w:pos="2973"/>
        <w:tab w:val="left" w:pos="3540"/>
        <w:tab w:val="left" w:pos="3681"/>
        <w:tab w:val="left" w:pos="4107"/>
      </w:tabs>
      <w:adjustRightInd w:val="0"/>
      <w:ind w:firstLine="0" w:firstLineChars="0"/>
      <w:jc w:val="center"/>
    </w:pPr>
    <w:rPr>
      <w:rFonts w:ascii="宋体" w:hAnsi="宋体" w:cs="宋体"/>
      <w:b/>
      <w:snapToGrid w:val="0"/>
      <w:color w:val="0766D4"/>
      <w:kern w:val="0"/>
      <w:sz w:val="21"/>
    </w:rPr>
  </w:style>
  <w:style w:type="paragraph" w:customStyle="1" w:styleId="204">
    <w:name w:val="90表格序号"/>
    <w:basedOn w:val="1"/>
    <w:next w:val="1"/>
    <w:autoRedefine/>
    <w:qFormat/>
    <w:uiPriority w:val="0"/>
    <w:pPr>
      <w:tabs>
        <w:tab w:val="left" w:pos="0"/>
      </w:tabs>
      <w:adjustRightInd w:val="0"/>
      <w:spacing w:line="240" w:lineRule="auto"/>
      <w:ind w:firstLine="0" w:firstLineChars="0"/>
      <w:jc w:val="center"/>
    </w:pPr>
    <w:rPr>
      <w:rFonts w:ascii="宋体" w:hAnsi="宋体" w:cs="宋体"/>
      <w:snapToGrid w:val="0"/>
      <w:kern w:val="0"/>
      <w:sz w:val="21"/>
    </w:rPr>
  </w:style>
  <w:style w:type="character" w:customStyle="1" w:styleId="205">
    <w:name w:val="正文（1） Char"/>
    <w:link w:val="199"/>
    <w:autoRedefine/>
    <w:qFormat/>
    <w:uiPriority w:val="0"/>
    <w:rPr>
      <w:rFonts w:ascii="宋体" w:hAnsi="宋体" w:cs="宋体"/>
      <w:snapToGrid w:val="0"/>
      <w:sz w:val="24"/>
      <w:szCs w:val="24"/>
    </w:rPr>
  </w:style>
  <w:style w:type="paragraph" w:customStyle="1" w:styleId="206">
    <w:name w:val="72表格小五"/>
    <w:basedOn w:val="1"/>
    <w:autoRedefine/>
    <w:qFormat/>
    <w:uiPriority w:val="0"/>
    <w:pPr>
      <w:adjustRightInd w:val="0"/>
      <w:spacing w:line="240" w:lineRule="auto"/>
      <w:ind w:firstLine="0" w:firstLineChars="0"/>
      <w:jc w:val="center"/>
    </w:pPr>
    <w:rPr>
      <w:rFonts w:ascii="宋体" w:hAnsi="宋体" w:cs="宋体"/>
      <w:snapToGrid w:val="0"/>
      <w:kern w:val="0"/>
      <w:sz w:val="18"/>
      <w:szCs w:val="18"/>
    </w:rPr>
  </w:style>
  <w:style w:type="character" w:customStyle="1" w:styleId="207">
    <w:name w:val="70标题表格 Char"/>
    <w:link w:val="202"/>
    <w:autoRedefine/>
    <w:qFormat/>
    <w:uiPriority w:val="0"/>
    <w:rPr>
      <w:rFonts w:ascii="宋体" w:hAnsi="宋体" w:cs="宋体"/>
      <w:b/>
      <w:bCs/>
      <w:snapToGrid w:val="0"/>
      <w:color w:val="0766D4"/>
      <w:sz w:val="21"/>
      <w:szCs w:val="21"/>
    </w:rPr>
  </w:style>
  <w:style w:type="character" w:customStyle="1" w:styleId="208">
    <w:name w:val="正文文本 3 Char"/>
    <w:basedOn w:val="46"/>
    <w:link w:val="21"/>
    <w:autoRedefine/>
    <w:qFormat/>
    <w:uiPriority w:val="0"/>
    <w:rPr>
      <w:kern w:val="2"/>
      <w:sz w:val="24"/>
      <w:szCs w:val="24"/>
    </w:rPr>
  </w:style>
  <w:style w:type="character" w:customStyle="1" w:styleId="209">
    <w:name w:val="纯文本 Char"/>
    <w:basedOn w:val="46"/>
    <w:link w:val="25"/>
    <w:autoRedefine/>
    <w:qFormat/>
    <w:uiPriority w:val="0"/>
    <w:rPr>
      <w:rFonts w:ascii="宋体" w:hAnsi="宋体" w:eastAsia="仿宋" w:cstheme="minorBidi"/>
      <w:kern w:val="2"/>
      <w:sz w:val="24"/>
      <w:szCs w:val="24"/>
    </w:rPr>
  </w:style>
  <w:style w:type="character" w:customStyle="1" w:styleId="210">
    <w:name w:val="正文文本缩进 2 Char"/>
    <w:basedOn w:val="46"/>
    <w:link w:val="28"/>
    <w:autoRedefine/>
    <w:qFormat/>
    <w:uiPriority w:val="99"/>
    <w:rPr>
      <w:rFonts w:ascii="仿宋_GB2312" w:hAnsi="宋体" w:eastAsia="仿宋_GB2312" w:cstheme="minorBidi"/>
      <w:kern w:val="2"/>
      <w:sz w:val="28"/>
      <w:szCs w:val="24"/>
    </w:rPr>
  </w:style>
  <w:style w:type="character" w:customStyle="1" w:styleId="211">
    <w:name w:val="正文文本缩进 3 Char"/>
    <w:basedOn w:val="46"/>
    <w:link w:val="36"/>
    <w:autoRedefine/>
    <w:qFormat/>
    <w:uiPriority w:val="0"/>
    <w:rPr>
      <w:kern w:val="2"/>
      <w:sz w:val="16"/>
      <w:szCs w:val="16"/>
    </w:rPr>
  </w:style>
  <w:style w:type="character" w:customStyle="1" w:styleId="212">
    <w:name w:val="标题 Char"/>
    <w:basedOn w:val="46"/>
    <w:link w:val="41"/>
    <w:autoRedefine/>
    <w:qFormat/>
    <w:uiPriority w:val="10"/>
    <w:rPr>
      <w:rFonts w:asciiTheme="majorHAnsi" w:hAnsiTheme="majorHAnsi" w:eastAsiaTheme="majorEastAsia" w:cstheme="majorBidi"/>
      <w:b/>
      <w:bCs/>
      <w:color w:val="000000" w:themeColor="text1"/>
      <w:kern w:val="2"/>
      <w:sz w:val="32"/>
      <w:szCs w:val="32"/>
      <w14:textFill>
        <w14:solidFill>
          <w14:schemeClr w14:val="tx1"/>
        </w14:solidFill>
      </w14:textFill>
    </w:rPr>
  </w:style>
  <w:style w:type="paragraph" w:customStyle="1" w:styleId="213">
    <w:name w:val="表格内容"/>
    <w:link w:val="381"/>
    <w:autoRedefine/>
    <w:qFormat/>
    <w:uiPriority w:val="0"/>
    <w:pPr>
      <w:jc w:val="center"/>
    </w:pPr>
    <w:rPr>
      <w:rFonts w:ascii="楷体_GB2312" w:hAnsi="Times New Roman" w:eastAsia="楷体_GB2312" w:cs="Times New Roman"/>
      <w:sz w:val="24"/>
      <w:lang w:val="en-US" w:eastAsia="zh-CN" w:bidi="ar-SA"/>
    </w:rPr>
  </w:style>
  <w:style w:type="character" w:customStyle="1" w:styleId="214">
    <w:name w:val="font01"/>
    <w:basedOn w:val="46"/>
    <w:autoRedefine/>
    <w:qFormat/>
    <w:uiPriority w:val="0"/>
    <w:rPr>
      <w:rFonts w:hint="eastAsia" w:ascii="宋体" w:hAnsi="宋体" w:eastAsia="宋体" w:cs="宋体"/>
      <w:b/>
      <w:color w:val="000000"/>
      <w:sz w:val="20"/>
      <w:szCs w:val="20"/>
      <w:u w:val="none"/>
    </w:rPr>
  </w:style>
  <w:style w:type="paragraph" w:customStyle="1" w:styleId="215">
    <w:name w:val="方案正文"/>
    <w:basedOn w:val="1"/>
    <w:autoRedefine/>
    <w:qFormat/>
    <w:uiPriority w:val="0"/>
    <w:pPr>
      <w:spacing w:after="50" w:afterLines="50" w:line="300" w:lineRule="auto"/>
      <w:ind w:firstLine="420"/>
      <w:jc w:val="left"/>
    </w:pPr>
    <w:rPr>
      <w:rFonts w:ascii="宋体" w:hAnsi="宋体" w:eastAsia="仿宋"/>
      <w:sz w:val="28"/>
      <w:szCs w:val="20"/>
    </w:rPr>
  </w:style>
  <w:style w:type="table" w:customStyle="1" w:styleId="216">
    <w:name w:val="网格型1"/>
    <w:basedOn w:val="44"/>
    <w:autoRedefine/>
    <w:qFormat/>
    <w:uiPriority w:val="0"/>
    <w:pPr>
      <w:widowControl w:val="0"/>
      <w:jc w:val="both"/>
    </w:pPr>
    <w:rPr>
      <w:rFonts w:asciiTheme="minorHAnsi" w:hAnsiTheme="minorHAnsi" w:eastAsiaTheme="minorEastAsia" w:cstheme="minorBid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217">
    <w:name w:val="fontstyle01"/>
    <w:autoRedefine/>
    <w:qFormat/>
    <w:uiPriority w:val="0"/>
    <w:rPr>
      <w:rFonts w:hint="eastAsia" w:ascii="仿宋_GB2312" w:eastAsia="仿宋_GB2312"/>
      <w:color w:val="000000"/>
      <w:sz w:val="24"/>
      <w:szCs w:val="24"/>
    </w:rPr>
  </w:style>
  <w:style w:type="paragraph" w:customStyle="1" w:styleId="218">
    <w:name w:val="余杭图表"/>
    <w:next w:val="1"/>
    <w:autoRedefine/>
    <w:qFormat/>
    <w:uiPriority w:val="6"/>
    <w:pPr>
      <w:snapToGrid w:val="0"/>
      <w:spacing w:before="113" w:line="300" w:lineRule="auto"/>
      <w:jc w:val="center"/>
    </w:pPr>
    <w:rPr>
      <w:rFonts w:ascii="Times New Roman" w:hAnsi="Times New Roman" w:eastAsia="宋体" w:cs="Times New Roman"/>
      <w:b/>
      <w:color w:val="215868"/>
      <w:kern w:val="2"/>
      <w:sz w:val="21"/>
      <w:szCs w:val="24"/>
      <w:lang w:val="en-US" w:eastAsia="zh-CN" w:bidi="ar-SA"/>
    </w:rPr>
  </w:style>
  <w:style w:type="paragraph" w:customStyle="1" w:styleId="219">
    <w:name w:val="Default"/>
    <w:autoRedefine/>
    <w:qFormat/>
    <w:uiPriority w:val="0"/>
    <w:pPr>
      <w:widowControl w:val="0"/>
      <w:autoSpaceDE w:val="0"/>
      <w:autoSpaceDN w:val="0"/>
      <w:adjustRightInd w:val="0"/>
    </w:pPr>
    <w:rPr>
      <w:rFonts w:ascii="ST Kaiti" w:hAnsi="Times New Roman" w:eastAsia="ST Kaiti" w:cs="Times New Roman"/>
      <w:color w:val="000000"/>
      <w:sz w:val="24"/>
      <w:szCs w:val="24"/>
      <w:lang w:val="en-US" w:eastAsia="zh-CN" w:bidi="ar-SA"/>
    </w:rPr>
  </w:style>
  <w:style w:type="character" w:customStyle="1" w:styleId="220">
    <w:name w:val="表格内文字"/>
    <w:autoRedefine/>
    <w:qFormat/>
    <w:uiPriority w:val="0"/>
    <w:rPr>
      <w:rFonts w:ascii="Times New Roman" w:hAnsi="Times New Roman" w:eastAsia="宋体"/>
      <w:color w:val="auto"/>
      <w:sz w:val="21"/>
    </w:rPr>
  </w:style>
  <w:style w:type="paragraph" w:customStyle="1" w:styleId="221">
    <w:name w:val="列出段落1"/>
    <w:autoRedefine/>
    <w:qFormat/>
    <w:uiPriority w:val="0"/>
    <w:pPr>
      <w:widowControl w:val="0"/>
      <w:spacing w:line="360" w:lineRule="auto"/>
      <w:ind w:firstLine="420" w:firstLineChars="200"/>
      <w:jc w:val="both"/>
    </w:pPr>
    <w:rPr>
      <w:rFonts w:ascii="Calibri" w:hAnsi="Calibri" w:eastAsia="宋体" w:cs="Times New Roman"/>
      <w:kern w:val="2"/>
      <w:sz w:val="24"/>
      <w:lang w:val="zh-CN" w:eastAsia="zh-CN" w:bidi="ar-SA"/>
    </w:rPr>
  </w:style>
  <w:style w:type="paragraph" w:customStyle="1" w:styleId="222">
    <w:name w:val="标准正文"/>
    <w:autoRedefine/>
    <w:qFormat/>
    <w:uiPriority w:val="0"/>
    <w:pPr>
      <w:widowControl w:val="0"/>
      <w:spacing w:line="360" w:lineRule="auto"/>
      <w:ind w:firstLine="200" w:firstLineChars="200"/>
      <w:jc w:val="both"/>
    </w:pPr>
    <w:rPr>
      <w:rFonts w:ascii="宋体" w:hAnsi="宋体" w:eastAsia="宋体" w:cs="Times New Roman"/>
      <w:kern w:val="2"/>
      <w:sz w:val="24"/>
      <w:lang w:val="en-US" w:eastAsia="zh-CN" w:bidi="ar-SA"/>
    </w:rPr>
  </w:style>
  <w:style w:type="table" w:customStyle="1" w:styleId="223">
    <w:name w:val="自建11"/>
    <w:autoRedefine/>
    <w:qFormat/>
    <w:uiPriority w:val="99"/>
    <w:pPr>
      <w:adjustRightInd w:val="0"/>
      <w:snapToGrid w:val="0"/>
      <w:jc w:val="center"/>
    </w:pPr>
    <w:tblPr>
      <w:tblBorders>
        <w:top w:val="double" w:color="0070C0" w:sz="6" w:space="0"/>
        <w:left w:val="double" w:color="0070C0" w:sz="6" w:space="0"/>
        <w:bottom w:val="double" w:color="0070C0" w:sz="6" w:space="0"/>
        <w:right w:val="double" w:color="0070C0" w:sz="6" w:space="0"/>
        <w:insideH w:val="single" w:color="0070C0" w:sz="4" w:space="0"/>
        <w:insideV w:val="single" w:color="0070C0" w:sz="4" w:space="0"/>
      </w:tblBorders>
      <w:tblCellMar>
        <w:top w:w="0" w:type="dxa"/>
        <w:left w:w="0" w:type="dxa"/>
        <w:bottom w:w="0" w:type="dxa"/>
        <w:right w:w="0" w:type="dxa"/>
      </w:tblCellMar>
    </w:tblPr>
    <w:tcPr>
      <w:shd w:val="clear" w:color="auto" w:fill="DAEEF3"/>
      <w:vAlign w:val="center"/>
    </w:tcPr>
    <w:tblStylePr w:type="firstRow">
      <w:tcPr>
        <w:shd w:val="clear" w:color="auto" w:fill="92CDDC"/>
      </w:tcPr>
    </w:tblStylePr>
  </w:style>
  <w:style w:type="paragraph" w:customStyle="1" w:styleId="224">
    <w:name w:val="图表文字"/>
    <w:link w:val="339"/>
    <w:autoRedefine/>
    <w:qFormat/>
    <w:uiPriority w:val="0"/>
    <w:pPr>
      <w:widowControl w:val="0"/>
      <w:adjustRightInd w:val="0"/>
      <w:snapToGrid w:val="0"/>
      <w:ind w:firstLine="200" w:firstLineChars="200"/>
      <w:jc w:val="center"/>
    </w:pPr>
    <w:rPr>
      <w:rFonts w:ascii="宋体" w:hAnsi="宋体" w:eastAsia="宋体" w:cs="Times New Roman"/>
      <w:kern w:val="2"/>
      <w:sz w:val="22"/>
      <w:szCs w:val="21"/>
      <w:lang w:val="zh-CN" w:eastAsia="zh-CN" w:bidi="ar-SA"/>
    </w:rPr>
  </w:style>
  <w:style w:type="table" w:customStyle="1" w:styleId="225">
    <w:name w:val="方案编制常用表格样式1"/>
    <w:autoRedefine/>
    <w:qFormat/>
    <w:uiPriority w:val="99"/>
    <w:pPr>
      <w:adjustRightInd w:val="0"/>
      <w:snapToGrid w:val="0"/>
      <w:jc w:val="center"/>
    </w:pPr>
    <w:rPr>
      <w:szCs w:val="21"/>
    </w:rPr>
    <w:tblPr>
      <w:jc w:val="center"/>
      <w:tblBorders>
        <w:top w:val="double" w:color="0070C0" w:sz="6" w:space="0"/>
        <w:left w:val="double" w:color="0070C0" w:sz="6" w:space="0"/>
        <w:bottom w:val="double" w:color="0070C0" w:sz="6" w:space="0"/>
        <w:right w:val="double" w:color="0070C0" w:sz="6" w:space="0"/>
        <w:insideH w:val="single" w:color="0070C0" w:sz="6" w:space="0"/>
        <w:insideV w:val="single" w:color="0070C0" w:sz="6" w:space="0"/>
      </w:tblBorders>
      <w:tblCellMar>
        <w:top w:w="0" w:type="dxa"/>
        <w:left w:w="0" w:type="dxa"/>
        <w:bottom w:w="0" w:type="dxa"/>
        <w:right w:w="0" w:type="dxa"/>
      </w:tblCellMar>
    </w:tblPr>
    <w:trPr>
      <w:jc w:val="center"/>
    </w:trPr>
    <w:tcPr>
      <w:shd w:val="clear" w:color="auto" w:fill="DAEEF3"/>
      <w:vAlign w:val="center"/>
    </w:tcPr>
    <w:tblStylePr w:type="firstRow">
      <w:tcPr>
        <w:shd w:val="clear" w:color="auto" w:fill="92CDDC"/>
      </w:tcPr>
    </w:tblStylePr>
  </w:style>
  <w:style w:type="paragraph" w:customStyle="1" w:styleId="226">
    <w:name w:val="普通文字"/>
    <w:autoRedefine/>
    <w:qFormat/>
    <w:uiPriority w:val="0"/>
    <w:pPr>
      <w:widowControl w:val="0"/>
      <w:spacing w:line="360" w:lineRule="auto"/>
      <w:ind w:firstLine="200" w:firstLineChars="200"/>
      <w:jc w:val="both"/>
    </w:pPr>
    <w:rPr>
      <w:rFonts w:ascii="宋体" w:hAnsi="宋体" w:eastAsia="宋体" w:cs="Times New Roman"/>
      <w:kern w:val="2"/>
      <w:sz w:val="24"/>
      <w:szCs w:val="24"/>
      <w:lang w:val="en-US" w:eastAsia="zh-CN" w:bidi="ar-SA"/>
    </w:rPr>
  </w:style>
  <w:style w:type="paragraph" w:customStyle="1" w:styleId="227">
    <w:name w:val="图名"/>
    <w:next w:val="1"/>
    <w:link w:val="298"/>
    <w:autoRedefine/>
    <w:qFormat/>
    <w:uiPriority w:val="0"/>
    <w:pPr>
      <w:widowControl w:val="0"/>
      <w:numPr>
        <w:ilvl w:val="5"/>
        <w:numId w:val="10"/>
      </w:numPr>
      <w:tabs>
        <w:tab w:val="left" w:pos="0"/>
      </w:tabs>
      <w:spacing w:line="360" w:lineRule="auto"/>
      <w:jc w:val="center"/>
    </w:pPr>
    <w:rPr>
      <w:rFonts w:ascii="宋体" w:hAnsi="宋体" w:eastAsia="宋体" w:cs="Times New Roman"/>
      <w:b/>
      <w:kern w:val="2"/>
      <w:sz w:val="21"/>
      <w:szCs w:val="24"/>
      <w:lang w:val="en-US" w:eastAsia="zh-CN" w:bidi="ar-SA"/>
    </w:rPr>
  </w:style>
  <w:style w:type="paragraph" w:customStyle="1" w:styleId="228">
    <w:name w:val="正文X"/>
    <w:autoRedefine/>
    <w:qFormat/>
    <w:uiPriority w:val="0"/>
    <w:pPr>
      <w:snapToGrid w:val="0"/>
      <w:spacing w:line="360" w:lineRule="auto"/>
      <w:ind w:firstLine="482"/>
      <w:jc w:val="both"/>
    </w:pPr>
    <w:rPr>
      <w:rFonts w:ascii="宋体" w:hAnsi="宋体" w:eastAsia="宋体" w:cs="Times New Roman"/>
      <w:color w:val="000000"/>
      <w:kern w:val="2"/>
      <w:sz w:val="24"/>
      <w:szCs w:val="21"/>
      <w:lang w:val="zh-CN" w:eastAsia="zh-CN" w:bidi="ar-SA"/>
    </w:rPr>
  </w:style>
  <w:style w:type="paragraph" w:customStyle="1" w:styleId="229">
    <w:name w:val="表格字体"/>
    <w:next w:val="222"/>
    <w:autoRedefine/>
    <w:qFormat/>
    <w:uiPriority w:val="0"/>
    <w:pPr>
      <w:jc w:val="center"/>
    </w:pPr>
    <w:rPr>
      <w:rFonts w:ascii="Times New Roman" w:hAnsi="Times New Roman" w:eastAsia="宋体" w:cs="Times New Roman"/>
      <w:sz w:val="21"/>
      <w:szCs w:val="21"/>
      <w:lang w:val="en-US" w:eastAsia="zh-CN" w:bidi="ar-SA"/>
    </w:rPr>
  </w:style>
  <w:style w:type="paragraph" w:customStyle="1" w:styleId="230">
    <w:name w:val="图表文字-合安"/>
    <w:next w:val="1"/>
    <w:autoRedefine/>
    <w:qFormat/>
    <w:uiPriority w:val="0"/>
    <w:pPr>
      <w:widowControl w:val="0"/>
      <w:jc w:val="center"/>
    </w:pPr>
    <w:rPr>
      <w:rFonts w:ascii="宋体" w:hAnsi="Times New Roman" w:eastAsia="Times New Roman" w:cs="Times New Roman"/>
      <w:lang w:val="zh-CN" w:eastAsia="zh-CN" w:bidi="ar-SA"/>
    </w:rPr>
  </w:style>
  <w:style w:type="paragraph" w:customStyle="1" w:styleId="231">
    <w:name w:val="Body text|1"/>
    <w:autoRedefine/>
    <w:qFormat/>
    <w:uiPriority w:val="0"/>
    <w:pPr>
      <w:widowControl w:val="0"/>
      <w:spacing w:after="160" w:afterLines="50" w:line="384" w:lineRule="auto"/>
      <w:ind w:firstLine="400" w:firstLineChars="200"/>
    </w:pPr>
    <w:rPr>
      <w:rFonts w:ascii="宋体" w:hAnsi="宋体" w:eastAsia="宋体" w:cs="宋体"/>
      <w:kern w:val="2"/>
      <w:sz w:val="28"/>
      <w:szCs w:val="28"/>
      <w:lang w:val="zh-TW" w:eastAsia="zh-TW" w:bidi="zh-TW"/>
    </w:rPr>
  </w:style>
  <w:style w:type="character" w:customStyle="1" w:styleId="232">
    <w:name w:val="font21"/>
    <w:basedOn w:val="46"/>
    <w:autoRedefine/>
    <w:qFormat/>
    <w:uiPriority w:val="0"/>
    <w:rPr>
      <w:rFonts w:hint="eastAsia" w:ascii="宋体" w:hAnsi="宋体" w:eastAsia="宋体" w:cs="宋体"/>
      <w:color w:val="000000"/>
      <w:sz w:val="20"/>
      <w:szCs w:val="20"/>
      <w:u w:val="none"/>
    </w:rPr>
  </w:style>
  <w:style w:type="character" w:customStyle="1" w:styleId="233">
    <w:name w:val="封面标题 Char"/>
    <w:basedOn w:val="46"/>
    <w:link w:val="70"/>
    <w:autoRedefine/>
    <w:qFormat/>
    <w:uiPriority w:val="0"/>
    <w:rPr>
      <w:rFonts w:eastAsia="黑体"/>
      <w:b/>
      <w:kern w:val="2"/>
      <w:sz w:val="52"/>
      <w:szCs w:val="21"/>
    </w:rPr>
  </w:style>
  <w:style w:type="paragraph" w:customStyle="1" w:styleId="234">
    <w:name w:val="单位及日期"/>
    <w:basedOn w:val="70"/>
    <w:link w:val="235"/>
    <w:autoRedefine/>
    <w:qFormat/>
    <w:uiPriority w:val="0"/>
    <w:rPr>
      <w:sz w:val="28"/>
    </w:rPr>
  </w:style>
  <w:style w:type="character" w:customStyle="1" w:styleId="235">
    <w:name w:val="单位及日期 Char"/>
    <w:basedOn w:val="233"/>
    <w:link w:val="234"/>
    <w:autoRedefine/>
    <w:qFormat/>
    <w:uiPriority w:val="0"/>
    <w:rPr>
      <w:rFonts w:eastAsia="黑体"/>
      <w:kern w:val="2"/>
      <w:sz w:val="28"/>
      <w:szCs w:val="21"/>
    </w:rPr>
  </w:style>
  <w:style w:type="paragraph" w:customStyle="1" w:styleId="236">
    <w:name w:val="校审"/>
    <w:basedOn w:val="1"/>
    <w:link w:val="237"/>
    <w:autoRedefine/>
    <w:qFormat/>
    <w:uiPriority w:val="0"/>
    <w:pPr>
      <w:ind w:firstLine="0" w:firstLineChars="0"/>
      <w:jc w:val="left"/>
    </w:pPr>
    <w:rPr>
      <w:bCs/>
      <w:color w:val="000000" w:themeColor="text1"/>
      <w:sz w:val="28"/>
      <w:szCs w:val="28"/>
      <w14:textFill>
        <w14:solidFill>
          <w14:schemeClr w14:val="tx1"/>
        </w14:solidFill>
      </w14:textFill>
    </w:rPr>
  </w:style>
  <w:style w:type="character" w:customStyle="1" w:styleId="237">
    <w:name w:val="校审 Char"/>
    <w:basedOn w:val="46"/>
    <w:link w:val="236"/>
    <w:autoRedefine/>
    <w:qFormat/>
    <w:uiPriority w:val="0"/>
    <w:rPr>
      <w:bCs/>
      <w:color w:val="000000" w:themeColor="text1"/>
      <w:kern w:val="2"/>
      <w:sz w:val="28"/>
      <w:szCs w:val="28"/>
      <w14:textFill>
        <w14:solidFill>
          <w14:schemeClr w14:val="tx1"/>
        </w14:solidFill>
      </w14:textFill>
    </w:rPr>
  </w:style>
  <w:style w:type="character" w:customStyle="1" w:styleId="238">
    <w:name w:val="目录 1 Char"/>
    <w:link w:val="32"/>
    <w:autoRedefine/>
    <w:qFormat/>
    <w:uiPriority w:val="39"/>
    <w:rPr>
      <w:rFonts w:cstheme="minorHAnsi"/>
      <w:bCs/>
      <w:caps/>
      <w:kern w:val="2"/>
      <w:sz w:val="24"/>
    </w:rPr>
  </w:style>
  <w:style w:type="paragraph" w:customStyle="1" w:styleId="239">
    <w:name w:val="燕矶图片样式"/>
    <w:basedOn w:val="1"/>
    <w:link w:val="240"/>
    <w:autoRedefine/>
    <w:qFormat/>
    <w:uiPriority w:val="0"/>
    <w:pPr>
      <w:adjustRightInd w:val="0"/>
      <w:snapToGrid w:val="0"/>
      <w:spacing w:line="240" w:lineRule="auto"/>
      <w:ind w:firstLine="0" w:firstLineChars="0"/>
      <w:jc w:val="center"/>
    </w:pPr>
    <w:rPr>
      <w:sz w:val="21"/>
    </w:rPr>
  </w:style>
  <w:style w:type="character" w:customStyle="1" w:styleId="240">
    <w:name w:val="燕矶图片样式 字符"/>
    <w:basedOn w:val="46"/>
    <w:link w:val="239"/>
    <w:autoRedefine/>
    <w:qFormat/>
    <w:uiPriority w:val="0"/>
    <w:rPr>
      <w:kern w:val="2"/>
      <w:sz w:val="21"/>
      <w:szCs w:val="21"/>
    </w:rPr>
  </w:style>
  <w:style w:type="paragraph" w:customStyle="1" w:styleId="241">
    <w:name w:val="燕矶图名"/>
    <w:basedOn w:val="1"/>
    <w:next w:val="1"/>
    <w:qFormat/>
    <w:uiPriority w:val="0"/>
    <w:pPr>
      <w:spacing w:line="240" w:lineRule="auto"/>
      <w:ind w:firstLine="0" w:firstLineChars="0"/>
      <w:jc w:val="center"/>
    </w:pPr>
    <w:rPr>
      <w:rFonts w:hint="eastAsia"/>
      <w:b/>
      <w:bCs/>
      <w:sz w:val="21"/>
    </w:rPr>
  </w:style>
  <w:style w:type="paragraph" w:customStyle="1" w:styleId="242">
    <w:name w:val="插图"/>
    <w:basedOn w:val="18"/>
    <w:next w:val="227"/>
    <w:autoRedefine/>
    <w:qFormat/>
    <w:uiPriority w:val="0"/>
    <w:pPr>
      <w:spacing w:line="360" w:lineRule="auto"/>
    </w:pPr>
  </w:style>
  <w:style w:type="paragraph" w:customStyle="1" w:styleId="243">
    <w:name w:val="表名"/>
    <w:basedOn w:val="1"/>
    <w:link w:val="295"/>
    <w:autoRedefine/>
    <w:qFormat/>
    <w:uiPriority w:val="0"/>
    <w:pPr>
      <w:tabs>
        <w:tab w:val="left" w:pos="0"/>
      </w:tabs>
      <w:spacing w:before="50" w:beforeLines="50" w:line="240" w:lineRule="auto"/>
      <w:ind w:firstLine="0" w:firstLineChars="0"/>
      <w:jc w:val="center"/>
    </w:pPr>
    <w:rPr>
      <w:b/>
      <w:sz w:val="21"/>
    </w:rPr>
  </w:style>
  <w:style w:type="character" w:customStyle="1" w:styleId="244">
    <w:name w:val="图表标题 字符"/>
    <w:autoRedefine/>
    <w:qFormat/>
    <w:uiPriority w:val="0"/>
    <w:rPr>
      <w:rFonts w:ascii="Times New Roman" w:hAnsi="Times New Roman" w:cstheme="minorBidi"/>
      <w:b/>
      <w:sz w:val="24"/>
      <w:szCs w:val="21"/>
    </w:rPr>
  </w:style>
  <w:style w:type="table" w:customStyle="1" w:styleId="245">
    <w:name w:val="网格表 4 - 着色 11"/>
    <w:basedOn w:val="44"/>
    <w:autoRedefine/>
    <w:qFormat/>
    <w:uiPriority w:val="49"/>
    <w:rPr>
      <w:rFonts w:ascii="Calibri" w:hAnsi="Calibri"/>
    </w:rPr>
    <w:tblPr>
      <w:tbl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insideH w:val="single" w:color="95B3D7" w:themeColor="accent1" w:themeTint="99" w:sz="4" w:space="0"/>
        <w:insideV w:val="single" w:color="95B3D7" w:themeColor="accent1" w:themeTint="99" w:sz="4" w:space="0"/>
      </w:tblBorders>
      <w:tblCellMar>
        <w:top w:w="0" w:type="dxa"/>
        <w:left w:w="108" w:type="dxa"/>
        <w:bottom w:w="0" w:type="dxa"/>
        <w:right w:w="108" w:type="dxa"/>
      </w:tblCellMar>
    </w:tblPr>
    <w:tblStylePr w:type="firstRow">
      <w:rPr>
        <w:b/>
        <w:bCs/>
        <w:color w:val="FFFFFF" w:themeColor="background1"/>
        <w14:textFill>
          <w14:solidFill>
            <w14:schemeClr w14:val="bg1"/>
          </w14:solidFill>
        </w14:textFill>
      </w:rPr>
      <w:tcPr>
        <w:tcBorders>
          <w:top w:val="single" w:color="4F81BD" w:themeColor="accent1" w:sz="4" w:space="0"/>
          <w:left w:val="single" w:color="4F81BD" w:themeColor="accent1" w:sz="4" w:space="0"/>
          <w:bottom w:val="single" w:color="4F81BD" w:themeColor="accent1" w:sz="4" w:space="0"/>
          <w:right w:val="single" w:color="4F81BD" w:themeColor="accent1" w:sz="4" w:space="0"/>
          <w:insideH w:val="nil"/>
          <w:insideV w:val="nil"/>
        </w:tcBorders>
        <w:shd w:val="clear" w:color="auto" w:fill="4F81BD" w:themeFill="accent1"/>
      </w:tcPr>
    </w:tblStylePr>
    <w:tblStylePr w:type="lastRow">
      <w:rPr>
        <w:b/>
        <w:bCs/>
      </w:rPr>
      <w:tcPr>
        <w:tcBorders>
          <w:top w:val="double" w:color="4F81BD" w:themeColor="accent1" w:sz="4" w:space="0"/>
        </w:tcBorders>
      </w:tcPr>
    </w:tblStylePr>
    <w:tblStylePr w:type="firstCol">
      <w:rPr>
        <w:b/>
        <w:bCs/>
      </w:rPr>
    </w:tblStylePr>
    <w:tblStylePr w:type="lastCol">
      <w:rPr>
        <w:b/>
        <w:bCs/>
      </w:rPr>
    </w:tblStylePr>
    <w:tblStylePr w:type="band1Vert">
      <w:tcPr>
        <w:shd w:val="clear" w:color="auto" w:fill="DBE5F1" w:themeFill="accent1" w:themeFillTint="33"/>
      </w:tcPr>
    </w:tblStylePr>
    <w:tblStylePr w:type="band1Horz">
      <w:tcPr>
        <w:shd w:val="clear" w:color="auto" w:fill="DBE5F1" w:themeFill="accent1" w:themeFillTint="33"/>
      </w:tcPr>
    </w:tblStylePr>
  </w:style>
  <w:style w:type="paragraph" w:customStyle="1" w:styleId="246">
    <w:name w:val="msonormal"/>
    <w:basedOn w:val="1"/>
    <w:autoRedefine/>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247">
    <w:name w:val="font5"/>
    <w:basedOn w:val="1"/>
    <w:autoRedefine/>
    <w:qFormat/>
    <w:uiPriority w:val="0"/>
    <w:pPr>
      <w:widowControl/>
      <w:spacing w:before="100" w:beforeAutospacing="1" w:after="100" w:afterAutospacing="1" w:line="240" w:lineRule="auto"/>
      <w:ind w:firstLine="0" w:firstLineChars="0"/>
      <w:jc w:val="left"/>
    </w:pPr>
    <w:rPr>
      <w:rFonts w:ascii="宋体" w:hAnsi="宋体" w:cs="宋体"/>
      <w:b/>
      <w:bCs/>
      <w:color w:val="000000"/>
      <w:kern w:val="0"/>
      <w:sz w:val="21"/>
    </w:rPr>
  </w:style>
  <w:style w:type="paragraph" w:customStyle="1" w:styleId="248">
    <w:name w:val="font6"/>
    <w:basedOn w:val="1"/>
    <w:autoRedefine/>
    <w:qFormat/>
    <w:uiPriority w:val="0"/>
    <w:pPr>
      <w:widowControl/>
      <w:spacing w:before="100" w:beforeAutospacing="1" w:after="100" w:afterAutospacing="1" w:line="240" w:lineRule="auto"/>
      <w:ind w:firstLine="0" w:firstLineChars="0"/>
      <w:jc w:val="left"/>
    </w:pPr>
    <w:rPr>
      <w:b/>
      <w:bCs/>
      <w:color w:val="000000"/>
      <w:kern w:val="0"/>
      <w:sz w:val="21"/>
    </w:rPr>
  </w:style>
  <w:style w:type="paragraph" w:customStyle="1" w:styleId="249">
    <w:name w:val="font7"/>
    <w:basedOn w:val="1"/>
    <w:qFormat/>
    <w:uiPriority w:val="0"/>
    <w:pPr>
      <w:widowControl/>
      <w:spacing w:before="100" w:beforeAutospacing="1" w:after="100" w:afterAutospacing="1" w:line="240" w:lineRule="auto"/>
      <w:ind w:firstLine="0" w:firstLineChars="0"/>
      <w:jc w:val="left"/>
    </w:pPr>
    <w:rPr>
      <w:color w:val="000000"/>
      <w:kern w:val="0"/>
      <w:sz w:val="21"/>
    </w:rPr>
  </w:style>
  <w:style w:type="paragraph" w:customStyle="1" w:styleId="250">
    <w:name w:val="font8"/>
    <w:basedOn w:val="1"/>
    <w:qFormat/>
    <w:uiPriority w:val="0"/>
    <w:pPr>
      <w:widowControl/>
      <w:spacing w:before="100" w:beforeAutospacing="1" w:after="100" w:afterAutospacing="1" w:line="240" w:lineRule="auto"/>
      <w:ind w:firstLine="0" w:firstLineChars="0"/>
      <w:jc w:val="left"/>
    </w:pPr>
    <w:rPr>
      <w:color w:val="000000"/>
      <w:kern w:val="0"/>
      <w:sz w:val="21"/>
    </w:rPr>
  </w:style>
  <w:style w:type="paragraph" w:customStyle="1" w:styleId="251">
    <w:name w:val="font9"/>
    <w:basedOn w:val="1"/>
    <w:qFormat/>
    <w:uiPriority w:val="0"/>
    <w:pPr>
      <w:widowControl/>
      <w:spacing w:before="100" w:beforeAutospacing="1" w:after="100" w:afterAutospacing="1" w:line="240" w:lineRule="auto"/>
      <w:ind w:firstLine="0" w:firstLineChars="0"/>
      <w:jc w:val="left"/>
    </w:pPr>
    <w:rPr>
      <w:rFonts w:ascii="宋体" w:hAnsi="宋体" w:cs="宋体"/>
      <w:color w:val="000000"/>
      <w:kern w:val="0"/>
      <w:sz w:val="21"/>
    </w:rPr>
  </w:style>
  <w:style w:type="paragraph" w:customStyle="1" w:styleId="252">
    <w:name w:val="font10"/>
    <w:basedOn w:val="1"/>
    <w:autoRedefine/>
    <w:qFormat/>
    <w:uiPriority w:val="0"/>
    <w:pPr>
      <w:widowControl/>
      <w:spacing w:before="100" w:beforeAutospacing="1" w:after="100" w:afterAutospacing="1" w:line="240" w:lineRule="auto"/>
      <w:ind w:firstLine="0" w:firstLineChars="0"/>
      <w:jc w:val="left"/>
    </w:pPr>
    <w:rPr>
      <w:rFonts w:ascii="宋体" w:hAnsi="宋体" w:cs="宋体"/>
      <w:color w:val="000000"/>
      <w:kern w:val="0"/>
      <w:sz w:val="21"/>
    </w:rPr>
  </w:style>
  <w:style w:type="paragraph" w:customStyle="1" w:styleId="253">
    <w:name w:val="font12"/>
    <w:basedOn w:val="1"/>
    <w:autoRedefine/>
    <w:qFormat/>
    <w:uiPriority w:val="0"/>
    <w:pPr>
      <w:widowControl/>
      <w:spacing w:before="100" w:beforeAutospacing="1" w:after="100" w:afterAutospacing="1" w:line="240" w:lineRule="auto"/>
      <w:ind w:firstLine="0" w:firstLineChars="0"/>
      <w:jc w:val="left"/>
    </w:pPr>
    <w:rPr>
      <w:rFonts w:ascii="宋体" w:hAnsi="宋体" w:cs="宋体"/>
      <w:b/>
      <w:bCs/>
      <w:color w:val="000000"/>
      <w:kern w:val="0"/>
      <w:sz w:val="21"/>
    </w:rPr>
  </w:style>
  <w:style w:type="paragraph" w:customStyle="1" w:styleId="254">
    <w:name w:val="font13"/>
    <w:basedOn w:val="1"/>
    <w:autoRedefine/>
    <w:qFormat/>
    <w:uiPriority w:val="0"/>
    <w:pPr>
      <w:widowControl/>
      <w:spacing w:before="100" w:beforeAutospacing="1" w:after="100" w:afterAutospacing="1" w:line="240" w:lineRule="auto"/>
      <w:ind w:firstLine="0" w:firstLineChars="0"/>
      <w:jc w:val="left"/>
    </w:pPr>
    <w:rPr>
      <w:b/>
      <w:bCs/>
      <w:color w:val="000000"/>
      <w:kern w:val="0"/>
      <w:sz w:val="21"/>
    </w:rPr>
  </w:style>
  <w:style w:type="paragraph" w:customStyle="1" w:styleId="255">
    <w:name w:val="xl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b/>
      <w:bCs/>
      <w:color w:val="000000"/>
      <w:kern w:val="0"/>
      <w:sz w:val="21"/>
    </w:rPr>
  </w:style>
  <w:style w:type="paragraph" w:customStyle="1" w:styleId="256">
    <w:name w:val="xl6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b/>
      <w:bCs/>
      <w:color w:val="000000"/>
      <w:kern w:val="0"/>
      <w:sz w:val="21"/>
    </w:rPr>
  </w:style>
  <w:style w:type="paragraph" w:customStyle="1" w:styleId="257">
    <w:name w:val="xl6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color w:val="000000"/>
      <w:kern w:val="0"/>
      <w:sz w:val="21"/>
    </w:rPr>
  </w:style>
  <w:style w:type="paragraph" w:customStyle="1" w:styleId="258">
    <w:name w:val="xl6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color w:val="000000"/>
      <w:kern w:val="0"/>
      <w:sz w:val="21"/>
    </w:rPr>
  </w:style>
  <w:style w:type="paragraph" w:customStyle="1" w:styleId="259">
    <w:name w:val="xl6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color w:val="000000"/>
      <w:kern w:val="0"/>
      <w:sz w:val="21"/>
    </w:rPr>
  </w:style>
  <w:style w:type="paragraph" w:customStyle="1" w:styleId="260">
    <w:name w:val="xl6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kern w:val="0"/>
      <w:szCs w:val="24"/>
    </w:rPr>
  </w:style>
  <w:style w:type="paragraph" w:customStyle="1" w:styleId="261">
    <w:name w:val="xl6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宋体" w:hAnsi="宋体" w:cs="宋体"/>
      <w:kern w:val="0"/>
      <w:szCs w:val="24"/>
    </w:rPr>
  </w:style>
  <w:style w:type="paragraph" w:customStyle="1" w:styleId="262">
    <w:name w:val="xl7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b/>
      <w:bCs/>
      <w:kern w:val="0"/>
      <w:szCs w:val="24"/>
    </w:rPr>
  </w:style>
  <w:style w:type="paragraph" w:customStyle="1" w:styleId="263">
    <w:name w:val="xl7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宋体" w:hAnsi="宋体" w:cs="宋体"/>
      <w:kern w:val="0"/>
      <w:szCs w:val="24"/>
    </w:rPr>
  </w:style>
  <w:style w:type="paragraph" w:customStyle="1" w:styleId="264">
    <w:name w:val="xl7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kern w:val="0"/>
      <w:sz w:val="21"/>
    </w:rPr>
  </w:style>
  <w:style w:type="paragraph" w:customStyle="1" w:styleId="265">
    <w:name w:val="xl7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kern w:val="0"/>
      <w:sz w:val="20"/>
      <w:szCs w:val="20"/>
    </w:rPr>
  </w:style>
  <w:style w:type="paragraph" w:customStyle="1" w:styleId="266">
    <w:name w:val="xl7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kern w:val="0"/>
      <w:sz w:val="21"/>
    </w:rPr>
  </w:style>
  <w:style w:type="paragraph" w:customStyle="1" w:styleId="267">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宋体" w:hAnsi="宋体" w:cs="宋体"/>
      <w:kern w:val="0"/>
      <w:szCs w:val="24"/>
    </w:rPr>
  </w:style>
  <w:style w:type="paragraph" w:customStyle="1" w:styleId="268">
    <w:name w:val="xl7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kern w:val="0"/>
      <w:sz w:val="18"/>
      <w:szCs w:val="18"/>
    </w:rPr>
  </w:style>
  <w:style w:type="paragraph" w:customStyle="1" w:styleId="269">
    <w:name w:val="xl77"/>
    <w:basedOn w:val="1"/>
    <w:autoRedefine/>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b/>
      <w:bCs/>
      <w:color w:val="000000"/>
      <w:kern w:val="0"/>
      <w:sz w:val="21"/>
    </w:rPr>
  </w:style>
  <w:style w:type="paragraph" w:customStyle="1" w:styleId="270">
    <w:name w:val="xl78"/>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b/>
      <w:bCs/>
      <w:color w:val="000000"/>
      <w:kern w:val="0"/>
      <w:sz w:val="21"/>
    </w:rPr>
  </w:style>
  <w:style w:type="paragraph" w:customStyle="1" w:styleId="271">
    <w:name w:val="xl79"/>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b/>
      <w:bCs/>
      <w:color w:val="000000"/>
      <w:kern w:val="0"/>
      <w:sz w:val="21"/>
    </w:rPr>
  </w:style>
  <w:style w:type="paragraph" w:customStyle="1" w:styleId="272">
    <w:name w:val="xl80"/>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240" w:lineRule="auto"/>
      <w:ind w:firstLine="0" w:firstLineChars="0"/>
      <w:jc w:val="left"/>
    </w:pPr>
    <w:rPr>
      <w:rFonts w:ascii="宋体" w:hAnsi="宋体" w:cs="宋体"/>
      <w:kern w:val="0"/>
      <w:szCs w:val="24"/>
    </w:rPr>
  </w:style>
  <w:style w:type="paragraph" w:customStyle="1" w:styleId="273">
    <w:name w:val="xl81"/>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line="240" w:lineRule="auto"/>
      <w:ind w:firstLine="0" w:firstLineChars="0"/>
      <w:jc w:val="center"/>
    </w:pPr>
    <w:rPr>
      <w:color w:val="000000"/>
      <w:kern w:val="0"/>
      <w:sz w:val="21"/>
    </w:rPr>
  </w:style>
  <w:style w:type="paragraph" w:customStyle="1" w:styleId="274">
    <w:name w:val="xl82"/>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240" w:lineRule="auto"/>
      <w:ind w:firstLine="0" w:firstLineChars="0"/>
      <w:jc w:val="left"/>
    </w:pPr>
    <w:rPr>
      <w:color w:val="000000"/>
      <w:kern w:val="0"/>
      <w:sz w:val="21"/>
    </w:rPr>
  </w:style>
  <w:style w:type="paragraph" w:customStyle="1" w:styleId="275">
    <w:name w:val="xl83"/>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240" w:lineRule="auto"/>
      <w:ind w:firstLine="0" w:firstLineChars="0"/>
      <w:jc w:val="left"/>
    </w:pPr>
    <w:rPr>
      <w:rFonts w:ascii="宋体" w:hAnsi="宋体" w:cs="宋体"/>
      <w:kern w:val="0"/>
      <w:szCs w:val="24"/>
    </w:rPr>
  </w:style>
  <w:style w:type="paragraph" w:customStyle="1" w:styleId="276">
    <w:name w:val="xl84"/>
    <w:basedOn w:val="1"/>
    <w:autoRedefine/>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line="240" w:lineRule="auto"/>
      <w:ind w:firstLine="0" w:firstLineChars="0"/>
      <w:jc w:val="left"/>
    </w:pPr>
    <w:rPr>
      <w:rFonts w:ascii="宋体" w:hAnsi="宋体" w:cs="宋体"/>
      <w:kern w:val="0"/>
      <w:szCs w:val="24"/>
    </w:rPr>
  </w:style>
  <w:style w:type="paragraph" w:customStyle="1" w:styleId="277">
    <w:name w:val="xl85"/>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line="240" w:lineRule="auto"/>
      <w:ind w:firstLine="0" w:firstLineChars="0"/>
      <w:jc w:val="center"/>
    </w:pPr>
    <w:rPr>
      <w:rFonts w:ascii="宋体" w:hAnsi="宋体" w:cs="宋体"/>
      <w:color w:val="000000"/>
      <w:kern w:val="0"/>
      <w:sz w:val="21"/>
    </w:rPr>
  </w:style>
  <w:style w:type="paragraph" w:customStyle="1" w:styleId="278">
    <w:name w:val="xl86"/>
    <w:basedOn w:val="1"/>
    <w:autoRedefine/>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line="240" w:lineRule="auto"/>
      <w:ind w:firstLine="0" w:firstLineChars="0"/>
      <w:jc w:val="center"/>
    </w:pPr>
    <w:rPr>
      <w:rFonts w:ascii="宋体" w:hAnsi="宋体" w:cs="宋体"/>
      <w:kern w:val="0"/>
      <w:sz w:val="21"/>
    </w:rPr>
  </w:style>
  <w:style w:type="paragraph" w:customStyle="1" w:styleId="279">
    <w:name w:val="xl87"/>
    <w:basedOn w:val="1"/>
    <w:autoRedefine/>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line="240" w:lineRule="auto"/>
      <w:ind w:firstLine="0" w:firstLineChars="0"/>
      <w:jc w:val="left"/>
    </w:pPr>
    <w:rPr>
      <w:kern w:val="0"/>
      <w:sz w:val="20"/>
      <w:szCs w:val="20"/>
    </w:rPr>
  </w:style>
  <w:style w:type="paragraph" w:customStyle="1" w:styleId="280">
    <w:name w:val="xl88"/>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line="240" w:lineRule="auto"/>
      <w:ind w:firstLine="0" w:firstLineChars="0"/>
      <w:jc w:val="center"/>
    </w:pPr>
    <w:rPr>
      <w:kern w:val="0"/>
      <w:sz w:val="18"/>
      <w:szCs w:val="18"/>
    </w:rPr>
  </w:style>
  <w:style w:type="paragraph" w:customStyle="1" w:styleId="281">
    <w:name w:val="xl89"/>
    <w:basedOn w:val="1"/>
    <w:autoRedefine/>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line="240" w:lineRule="auto"/>
      <w:ind w:firstLine="0" w:firstLineChars="0"/>
      <w:jc w:val="left"/>
    </w:pPr>
    <w:rPr>
      <w:rFonts w:ascii="宋体" w:hAnsi="宋体" w:cs="宋体"/>
      <w:kern w:val="0"/>
      <w:szCs w:val="24"/>
    </w:rPr>
  </w:style>
  <w:style w:type="paragraph" w:customStyle="1" w:styleId="282">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宋体" w:hAnsi="宋体" w:cs="宋体"/>
      <w:color w:val="000000"/>
      <w:kern w:val="0"/>
      <w:sz w:val="21"/>
    </w:rPr>
  </w:style>
  <w:style w:type="paragraph" w:customStyle="1" w:styleId="283">
    <w:name w:val="xl91"/>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line="240" w:lineRule="auto"/>
      <w:ind w:firstLine="0" w:firstLineChars="0"/>
      <w:jc w:val="center"/>
    </w:pPr>
    <w:rPr>
      <w:rFonts w:ascii="宋体" w:hAnsi="宋体" w:cs="宋体"/>
      <w:b/>
      <w:bCs/>
      <w:color w:val="000000"/>
      <w:kern w:val="0"/>
      <w:sz w:val="21"/>
    </w:rPr>
  </w:style>
  <w:style w:type="paragraph" w:customStyle="1" w:styleId="284">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仿宋" w:hAnsi="仿宋" w:eastAsia="仿宋" w:cs="宋体"/>
      <w:kern w:val="0"/>
      <w:sz w:val="21"/>
    </w:rPr>
  </w:style>
  <w:style w:type="paragraph" w:customStyle="1" w:styleId="285">
    <w:name w:val="xl93"/>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240" w:lineRule="auto"/>
      <w:ind w:firstLine="0" w:firstLineChars="0"/>
      <w:jc w:val="center"/>
    </w:pPr>
    <w:rPr>
      <w:rFonts w:ascii="宋体" w:hAnsi="宋体" w:cs="宋体"/>
      <w:b/>
      <w:bCs/>
      <w:color w:val="000000"/>
      <w:kern w:val="0"/>
      <w:sz w:val="21"/>
    </w:rPr>
  </w:style>
  <w:style w:type="paragraph" w:customStyle="1" w:styleId="286">
    <w:name w:val="xl94"/>
    <w:basedOn w:val="1"/>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line="240" w:lineRule="auto"/>
      <w:ind w:firstLine="0" w:firstLineChars="0"/>
      <w:jc w:val="center"/>
    </w:pPr>
    <w:rPr>
      <w:color w:val="000000"/>
      <w:kern w:val="0"/>
      <w:sz w:val="21"/>
    </w:rPr>
  </w:style>
  <w:style w:type="paragraph" w:customStyle="1" w:styleId="287">
    <w:name w:val="xl9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b/>
      <w:bCs/>
      <w:color w:val="000000"/>
      <w:kern w:val="0"/>
      <w:sz w:val="21"/>
    </w:rPr>
  </w:style>
  <w:style w:type="paragraph" w:customStyle="1" w:styleId="288">
    <w:name w:val="xl9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b/>
      <w:bCs/>
      <w:kern w:val="0"/>
      <w:sz w:val="21"/>
    </w:rPr>
  </w:style>
  <w:style w:type="paragraph" w:customStyle="1" w:styleId="289">
    <w:name w:val="xl9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仿宋" w:hAnsi="仿宋" w:eastAsia="仿宋" w:cs="宋体"/>
      <w:b/>
      <w:bCs/>
      <w:kern w:val="0"/>
      <w:sz w:val="21"/>
    </w:rPr>
  </w:style>
  <w:style w:type="paragraph" w:customStyle="1" w:styleId="290">
    <w:name w:val="xl9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b/>
      <w:bCs/>
      <w:kern w:val="0"/>
      <w:sz w:val="21"/>
    </w:rPr>
  </w:style>
  <w:style w:type="paragraph" w:customStyle="1" w:styleId="291">
    <w:name w:val="xl9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宋体" w:hAnsi="宋体" w:cs="宋体"/>
      <w:b/>
      <w:bCs/>
      <w:kern w:val="0"/>
      <w:szCs w:val="24"/>
    </w:rPr>
  </w:style>
  <w:style w:type="paragraph" w:customStyle="1" w:styleId="292">
    <w:name w:val="xl1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b/>
      <w:bCs/>
      <w:kern w:val="0"/>
      <w:sz w:val="21"/>
    </w:rPr>
  </w:style>
  <w:style w:type="paragraph" w:customStyle="1" w:styleId="293">
    <w:name w:val="xl10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ascii="宋体" w:hAnsi="宋体" w:cs="宋体"/>
      <w:b/>
      <w:bCs/>
      <w:kern w:val="0"/>
      <w:szCs w:val="24"/>
    </w:rPr>
  </w:style>
  <w:style w:type="table" w:customStyle="1" w:styleId="294">
    <w:name w:val="网格型4"/>
    <w:basedOn w:val="4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295">
    <w:name w:val="表名 Char"/>
    <w:link w:val="243"/>
    <w:autoRedefine/>
    <w:qFormat/>
    <w:uiPriority w:val="0"/>
    <w:rPr>
      <w:b/>
      <w:kern w:val="2"/>
      <w:sz w:val="21"/>
      <w:szCs w:val="21"/>
    </w:rPr>
  </w:style>
  <w:style w:type="paragraph" w:customStyle="1" w:styleId="296">
    <w:name w:val="正文文本1"/>
    <w:basedOn w:val="1"/>
    <w:autoRedefine/>
    <w:qFormat/>
    <w:uiPriority w:val="0"/>
    <w:rPr>
      <w:rFonts w:ascii="宋体" w:hAnsi="Calibri"/>
      <w:kern w:val="0"/>
      <w:szCs w:val="32"/>
    </w:rPr>
  </w:style>
  <w:style w:type="table" w:customStyle="1" w:styleId="297">
    <w:name w:val="样式31"/>
    <w:basedOn w:val="44"/>
    <w:autoRedefine/>
    <w:qFormat/>
    <w:uiPriority w:val="99"/>
    <w:rPr>
      <w:sz w:val="21"/>
    </w:rPr>
    <w:tblP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tcPr>
        <w:shd w:val="clear" w:color="auto" w:fill="D8D8D8" w:themeFill="background1" w:themeFillShade="D9"/>
      </w:tcPr>
    </w:tblStylePr>
  </w:style>
  <w:style w:type="character" w:customStyle="1" w:styleId="298">
    <w:name w:val="图名 Char"/>
    <w:link w:val="227"/>
    <w:qFormat/>
    <w:uiPriority w:val="0"/>
    <w:rPr>
      <w:rFonts w:ascii="宋体" w:hAnsi="宋体"/>
      <w:b/>
      <w:kern w:val="2"/>
      <w:sz w:val="21"/>
      <w:szCs w:val="24"/>
    </w:rPr>
  </w:style>
  <w:style w:type="paragraph" w:customStyle="1" w:styleId="299">
    <w:name w:val="表格后首段正文"/>
    <w:basedOn w:val="1"/>
    <w:link w:val="300"/>
    <w:qFormat/>
    <w:uiPriority w:val="0"/>
    <w:pPr>
      <w:adjustRightInd w:val="0"/>
      <w:snapToGrid w:val="0"/>
      <w:spacing w:before="70" w:beforeLines="70"/>
    </w:pPr>
    <w:rPr>
      <w:rFonts w:cstheme="minorBidi"/>
    </w:rPr>
  </w:style>
  <w:style w:type="character" w:customStyle="1" w:styleId="300">
    <w:name w:val="表格后首段正文 字符"/>
    <w:basedOn w:val="46"/>
    <w:link w:val="299"/>
    <w:autoRedefine/>
    <w:qFormat/>
    <w:uiPriority w:val="0"/>
    <w:rPr>
      <w:rFonts w:cstheme="minorBidi"/>
      <w:kern w:val="2"/>
      <w:sz w:val="24"/>
      <w:szCs w:val="21"/>
    </w:rPr>
  </w:style>
  <w:style w:type="table" w:customStyle="1" w:styleId="301">
    <w:name w:val="方案模板样式"/>
    <w:basedOn w:val="44"/>
    <w:qFormat/>
    <w:uiPriority w:val="99"/>
    <w:pPr>
      <w:jc w:val="center"/>
    </w:pPr>
    <w:rPr>
      <w:rFonts w:ascii="Calibri" w:hAnsi="Calibri"/>
      <w:sz w:val="21"/>
    </w:rPr>
    <w:tblPr>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
    <w:trPr>
      <w:jc w:val="center"/>
    </w:trPr>
    <w:tcPr>
      <w:vAlign w:val="center"/>
    </w:tcPr>
    <w:tblStylePr w:type="firstRow">
      <w:rPr>
        <w:rFonts w:ascii="Times New Roman" w:hAnsi="Times New Roman" w:eastAsia="宋体"/>
        <w:b/>
        <w:sz w:val="21"/>
      </w:rPr>
      <w:tcPr>
        <w:shd w:val="clear" w:color="auto" w:fill="D8D8D8" w:themeFill="background1" w:themeFillShade="D9"/>
      </w:tcPr>
    </w:tblStylePr>
  </w:style>
  <w:style w:type="paragraph" w:customStyle="1" w:styleId="302">
    <w:name w:val="仙新图表"/>
    <w:basedOn w:val="1"/>
    <w:next w:val="1"/>
    <w:autoRedefine/>
    <w:qFormat/>
    <w:uiPriority w:val="0"/>
    <w:pPr>
      <w:adjustRightInd w:val="0"/>
      <w:snapToGrid w:val="0"/>
      <w:ind w:firstLine="0" w:firstLineChars="0"/>
      <w:jc w:val="center"/>
    </w:pPr>
    <w:rPr>
      <w:rFonts w:cstheme="minorBidi"/>
      <w:b/>
    </w:rPr>
  </w:style>
  <w:style w:type="paragraph" w:customStyle="1" w:styleId="303">
    <w:name w:val="xl102"/>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kern w:val="0"/>
      <w:sz w:val="21"/>
    </w:rPr>
  </w:style>
  <w:style w:type="paragraph" w:customStyle="1" w:styleId="304">
    <w:name w:val="xl103"/>
    <w:basedOn w:val="1"/>
    <w:autoRedefine/>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kern w:val="0"/>
      <w:szCs w:val="24"/>
    </w:rPr>
  </w:style>
  <w:style w:type="paragraph" w:customStyle="1" w:styleId="305">
    <w:name w:val="xl104"/>
    <w:basedOn w:val="1"/>
    <w:autoRedefine/>
    <w:qFormat/>
    <w:uiPriority w:val="0"/>
    <w:pPr>
      <w:widowControl/>
      <w:pBdr>
        <w:left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kern w:val="0"/>
      <w:szCs w:val="24"/>
    </w:rPr>
  </w:style>
  <w:style w:type="paragraph" w:customStyle="1" w:styleId="306">
    <w:name w:val="xl105"/>
    <w:basedOn w:val="1"/>
    <w:autoRedefine/>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kern w:val="0"/>
      <w:szCs w:val="24"/>
    </w:rPr>
  </w:style>
  <w:style w:type="paragraph" w:customStyle="1" w:styleId="307">
    <w:name w:val="xl106"/>
    <w:basedOn w:val="1"/>
    <w:autoRedefine/>
    <w:qFormat/>
    <w:uiPriority w:val="0"/>
    <w:pPr>
      <w:widowControl/>
      <w:pBdr>
        <w:top w:val="single" w:color="auto" w:sz="8" w:space="0"/>
        <w:left w:val="single" w:color="auto" w:sz="8" w:space="0"/>
        <w:right w:val="single" w:color="auto" w:sz="12" w:space="0"/>
      </w:pBdr>
      <w:spacing w:before="100" w:beforeAutospacing="1" w:after="100" w:afterAutospacing="1" w:line="240" w:lineRule="auto"/>
      <w:ind w:firstLine="0" w:firstLineChars="0"/>
      <w:jc w:val="center"/>
    </w:pPr>
    <w:rPr>
      <w:kern w:val="0"/>
      <w:sz w:val="21"/>
    </w:rPr>
  </w:style>
  <w:style w:type="paragraph" w:customStyle="1" w:styleId="308">
    <w:name w:val="xl107"/>
    <w:basedOn w:val="1"/>
    <w:autoRedefine/>
    <w:qFormat/>
    <w:uiPriority w:val="0"/>
    <w:pPr>
      <w:widowControl/>
      <w:pBdr>
        <w:left w:val="single" w:color="auto" w:sz="8" w:space="0"/>
        <w:right w:val="single" w:color="auto" w:sz="12" w:space="0"/>
      </w:pBdr>
      <w:spacing w:before="100" w:beforeAutospacing="1" w:after="100" w:afterAutospacing="1" w:line="240" w:lineRule="auto"/>
      <w:ind w:firstLine="0" w:firstLineChars="0"/>
      <w:jc w:val="center"/>
    </w:pPr>
    <w:rPr>
      <w:kern w:val="0"/>
      <w:sz w:val="21"/>
    </w:rPr>
  </w:style>
  <w:style w:type="paragraph" w:customStyle="1" w:styleId="309">
    <w:name w:val="xl108"/>
    <w:basedOn w:val="1"/>
    <w:qFormat/>
    <w:uiPriority w:val="0"/>
    <w:pPr>
      <w:widowControl/>
      <w:pBdr>
        <w:left w:val="single" w:color="auto" w:sz="8" w:space="0"/>
        <w:bottom w:val="single" w:color="auto" w:sz="12" w:space="0"/>
        <w:right w:val="single" w:color="auto" w:sz="12" w:space="0"/>
      </w:pBdr>
      <w:spacing w:before="100" w:beforeAutospacing="1" w:after="100" w:afterAutospacing="1" w:line="240" w:lineRule="auto"/>
      <w:ind w:firstLine="0" w:firstLineChars="0"/>
      <w:jc w:val="center"/>
    </w:pPr>
    <w:rPr>
      <w:kern w:val="0"/>
      <w:sz w:val="21"/>
    </w:rPr>
  </w:style>
  <w:style w:type="paragraph" w:customStyle="1" w:styleId="310">
    <w:name w:val="xl109"/>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left"/>
    </w:pPr>
    <w:rPr>
      <w:rFonts w:ascii="宋体" w:hAnsi="宋体" w:cs="宋体"/>
      <w:kern w:val="0"/>
      <w:sz w:val="21"/>
    </w:rPr>
  </w:style>
  <w:style w:type="paragraph" w:customStyle="1" w:styleId="311">
    <w:name w:val="xl110"/>
    <w:basedOn w:val="1"/>
    <w:qFormat/>
    <w:uiPriority w:val="0"/>
    <w:pPr>
      <w:widowControl/>
      <w:pBdr>
        <w:top w:val="single" w:color="auto" w:sz="8" w:space="0"/>
        <w:left w:val="single" w:color="auto" w:sz="8" w:space="0"/>
        <w:right w:val="single" w:color="auto" w:sz="8" w:space="0"/>
      </w:pBdr>
      <w:spacing w:before="100" w:beforeAutospacing="1" w:after="100" w:afterAutospacing="1" w:line="240" w:lineRule="auto"/>
      <w:ind w:firstLine="0" w:firstLineChars="0"/>
      <w:jc w:val="left"/>
    </w:pPr>
    <w:rPr>
      <w:rFonts w:ascii="宋体" w:hAnsi="宋体" w:cs="宋体"/>
      <w:kern w:val="0"/>
      <w:sz w:val="21"/>
    </w:rPr>
  </w:style>
  <w:style w:type="paragraph" w:customStyle="1" w:styleId="312">
    <w:name w:val="xl111"/>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left"/>
    </w:pPr>
    <w:rPr>
      <w:rFonts w:ascii="宋体" w:hAnsi="宋体" w:cs="宋体"/>
      <w:kern w:val="0"/>
      <w:sz w:val="21"/>
    </w:rPr>
  </w:style>
  <w:style w:type="paragraph" w:customStyle="1" w:styleId="313">
    <w:name w:val="xl112"/>
    <w:basedOn w:val="1"/>
    <w:qFormat/>
    <w:uiPriority w:val="0"/>
    <w:pPr>
      <w:widowControl/>
      <w:pBdr>
        <w:top w:val="single" w:color="auto" w:sz="12" w:space="0"/>
        <w:left w:val="single" w:color="auto" w:sz="8" w:space="0"/>
        <w:right w:val="single" w:color="auto" w:sz="8" w:space="0"/>
      </w:pBdr>
      <w:spacing w:before="100" w:beforeAutospacing="1" w:after="100" w:afterAutospacing="1" w:line="240" w:lineRule="auto"/>
      <w:ind w:firstLine="0" w:firstLineChars="0"/>
      <w:jc w:val="left"/>
    </w:pPr>
    <w:rPr>
      <w:rFonts w:ascii="宋体" w:hAnsi="宋体" w:cs="宋体"/>
      <w:b/>
      <w:bCs/>
      <w:kern w:val="0"/>
      <w:sz w:val="21"/>
    </w:rPr>
  </w:style>
  <w:style w:type="paragraph" w:customStyle="1" w:styleId="314">
    <w:name w:val="xl113"/>
    <w:basedOn w:val="1"/>
    <w:qFormat/>
    <w:uiPriority w:val="0"/>
    <w:pPr>
      <w:widowControl/>
      <w:pBdr>
        <w:left w:val="single" w:color="auto" w:sz="8" w:space="0"/>
        <w:right w:val="single" w:color="auto" w:sz="8" w:space="0"/>
      </w:pBdr>
      <w:spacing w:before="100" w:beforeAutospacing="1" w:after="100" w:afterAutospacing="1" w:line="240" w:lineRule="auto"/>
      <w:ind w:firstLine="0" w:firstLineChars="0"/>
      <w:jc w:val="left"/>
    </w:pPr>
    <w:rPr>
      <w:rFonts w:ascii="宋体" w:hAnsi="宋体" w:cs="宋体"/>
      <w:b/>
      <w:bCs/>
      <w:kern w:val="0"/>
      <w:sz w:val="21"/>
    </w:rPr>
  </w:style>
  <w:style w:type="paragraph" w:customStyle="1" w:styleId="315">
    <w:name w:val="xl114"/>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left"/>
    </w:pPr>
    <w:rPr>
      <w:rFonts w:ascii="宋体" w:hAnsi="宋体" w:cs="宋体"/>
      <w:b/>
      <w:bCs/>
      <w:kern w:val="0"/>
      <w:sz w:val="21"/>
    </w:rPr>
  </w:style>
  <w:style w:type="paragraph" w:customStyle="1" w:styleId="316">
    <w:name w:val="列出段落11"/>
    <w:basedOn w:val="1"/>
    <w:qFormat/>
    <w:uiPriority w:val="0"/>
    <w:pPr>
      <w:widowControl/>
      <w:spacing w:after="200" w:line="276" w:lineRule="auto"/>
      <w:ind w:firstLine="420"/>
      <w:jc w:val="left"/>
    </w:pPr>
    <w:rPr>
      <w:rFonts w:ascii="Arial Unicode MS" w:hAnsi="Arial Unicode MS"/>
      <w:kern w:val="0"/>
      <w:sz w:val="22"/>
      <w:szCs w:val="22"/>
      <w:lang w:eastAsia="en-US" w:bidi="en-US"/>
    </w:rPr>
  </w:style>
  <w:style w:type="paragraph" w:customStyle="1" w:styleId="317">
    <w:name w:val="仙新表格"/>
    <w:basedOn w:val="1"/>
    <w:next w:val="1"/>
    <w:link w:val="318"/>
    <w:qFormat/>
    <w:uiPriority w:val="0"/>
    <w:pPr>
      <w:adjustRightInd w:val="0"/>
      <w:snapToGrid w:val="0"/>
      <w:spacing w:line="240" w:lineRule="auto"/>
      <w:ind w:firstLine="0" w:firstLineChars="0"/>
      <w:jc w:val="center"/>
    </w:pPr>
    <w:rPr>
      <w:rFonts w:cstheme="minorBidi"/>
      <w:color w:val="000000" w:themeColor="text1"/>
      <w:sz w:val="21"/>
      <w14:textFill>
        <w14:solidFill>
          <w14:schemeClr w14:val="tx1"/>
        </w14:solidFill>
      </w14:textFill>
    </w:rPr>
  </w:style>
  <w:style w:type="character" w:customStyle="1" w:styleId="318">
    <w:name w:val="仙新表格 字符"/>
    <w:basedOn w:val="46"/>
    <w:link w:val="317"/>
    <w:qFormat/>
    <w:uiPriority w:val="0"/>
    <w:rPr>
      <w:rFonts w:cstheme="minorBidi"/>
      <w:color w:val="000000" w:themeColor="text1"/>
      <w:kern w:val="2"/>
      <w:sz w:val="21"/>
      <w:szCs w:val="21"/>
      <w14:textFill>
        <w14:solidFill>
          <w14:schemeClr w14:val="tx1"/>
        </w14:solidFill>
      </w14:textFill>
    </w:rPr>
  </w:style>
  <w:style w:type="table" w:customStyle="1" w:styleId="319">
    <w:name w:val="网格表 1 浅色 - 着色 11"/>
    <w:basedOn w:val="44"/>
    <w:qFormat/>
    <w:uiPriority w:val="46"/>
    <w:rPr>
      <w:rFonts w:asciiTheme="minorHAnsi" w:hAnsiTheme="minorHAnsi" w:eastAsiaTheme="minorEastAsia" w:cstheme="minorBidi"/>
      <w:kern w:val="2"/>
      <w:sz w:val="21"/>
      <w:szCs w:val="22"/>
    </w:rPr>
    <w:tblPr>
      <w:tblBorders>
        <w:top w:val="single" w:color="B8CCE4" w:themeColor="accent1" w:themeTint="66" w:sz="4" w:space="0"/>
        <w:left w:val="single" w:color="B8CCE4" w:themeColor="accent1" w:themeTint="66" w:sz="4" w:space="0"/>
        <w:bottom w:val="single" w:color="B8CCE4" w:themeColor="accent1" w:themeTint="66" w:sz="4" w:space="0"/>
        <w:right w:val="single" w:color="B8CCE4" w:themeColor="accent1" w:themeTint="66" w:sz="4" w:space="0"/>
        <w:insideH w:val="single" w:color="B8CCE4" w:themeColor="accent1" w:themeTint="66" w:sz="4" w:space="0"/>
        <w:insideV w:val="single" w:color="B8CCE4" w:themeColor="accent1" w:themeTint="66" w:sz="4" w:space="0"/>
      </w:tblBorders>
      <w:tblCellMar>
        <w:top w:w="0" w:type="dxa"/>
        <w:left w:w="108" w:type="dxa"/>
        <w:bottom w:w="0" w:type="dxa"/>
        <w:right w:w="108" w:type="dxa"/>
      </w:tblCellMar>
    </w:tblPr>
    <w:tblStylePr w:type="firstRow">
      <w:rPr>
        <w:b/>
        <w:bCs/>
      </w:rPr>
      <w:tcPr>
        <w:tcBorders>
          <w:bottom w:val="single" w:color="95B3D7" w:themeColor="accent1" w:themeTint="99" w:sz="12" w:space="0"/>
        </w:tcBorders>
      </w:tcPr>
    </w:tblStylePr>
    <w:tblStylePr w:type="lastRow">
      <w:rPr>
        <w:b/>
        <w:bCs/>
      </w:rPr>
      <w:tcPr>
        <w:tcBorders>
          <w:top w:val="double" w:color="95B3D7" w:themeColor="accent1" w:themeTint="99" w:sz="2" w:space="0"/>
        </w:tcBorders>
      </w:tcPr>
    </w:tblStylePr>
    <w:tblStylePr w:type="firstCol">
      <w:rPr>
        <w:b/>
        <w:bCs/>
      </w:rPr>
    </w:tblStylePr>
    <w:tblStylePr w:type="lastCol">
      <w:rPr>
        <w:b/>
        <w:bCs/>
      </w:rPr>
    </w:tblStylePr>
  </w:style>
  <w:style w:type="character" w:customStyle="1" w:styleId="320">
    <w:name w:val="正文缩进 Char"/>
    <w:link w:val="16"/>
    <w:qFormat/>
    <w:uiPriority w:val="0"/>
    <w:rPr>
      <w:rFonts w:ascii="Calibri" w:hAnsi="Calibri"/>
      <w:kern w:val="2"/>
      <w:sz w:val="24"/>
      <w:szCs w:val="22"/>
    </w:rPr>
  </w:style>
  <w:style w:type="paragraph" w:customStyle="1" w:styleId="321">
    <w:name w:val="Char Char Char Char Char Char Char1"/>
    <w:basedOn w:val="19"/>
    <w:qFormat/>
    <w:uiPriority w:val="0"/>
    <w:pPr>
      <w:shd w:val="clear" w:color="auto" w:fill="000080"/>
      <w:adjustRightInd w:val="0"/>
      <w:spacing w:line="436" w:lineRule="exact"/>
      <w:ind w:left="357" w:firstLine="0" w:firstLineChars="0"/>
      <w:jc w:val="left"/>
      <w:outlineLvl w:val="3"/>
    </w:pPr>
    <w:rPr>
      <w:rFonts w:ascii="Tahoma" w:hAnsi="Tahoma" w:eastAsia="宋体"/>
      <w:b/>
      <w:sz w:val="24"/>
      <w:szCs w:val="24"/>
    </w:rPr>
  </w:style>
  <w:style w:type="table" w:customStyle="1" w:styleId="322">
    <w:name w:val="k网格型1"/>
    <w:basedOn w:val="44"/>
    <w:qFormat/>
    <w:uiPriority w:val="59"/>
    <w:pPr>
      <w:jc w:val="center"/>
    </w:pPr>
    <w:rPr>
      <w:kern w:val="2"/>
      <w:sz w:val="21"/>
      <w:szCs w:val="22"/>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b/>
      </w:rPr>
    </w:tblStylePr>
  </w:style>
  <w:style w:type="paragraph" w:customStyle="1" w:styleId="323">
    <w:name w:val="列出段落2"/>
    <w:basedOn w:val="1"/>
    <w:qFormat/>
    <w:uiPriority w:val="34"/>
    <w:pPr>
      <w:ind w:firstLine="420"/>
    </w:pPr>
    <w:rPr>
      <w:rFonts w:ascii="宋体" w:hAnsi="Calibri"/>
      <w:szCs w:val="22"/>
    </w:rPr>
  </w:style>
  <w:style w:type="paragraph" w:customStyle="1" w:styleId="324">
    <w:name w:val="Char Char Char Char Char Char Char2"/>
    <w:basedOn w:val="19"/>
    <w:qFormat/>
    <w:uiPriority w:val="0"/>
    <w:pPr>
      <w:shd w:val="clear" w:color="auto" w:fill="000080"/>
      <w:adjustRightInd w:val="0"/>
      <w:spacing w:line="436" w:lineRule="exact"/>
      <w:ind w:left="357" w:firstLine="0" w:firstLineChars="0"/>
      <w:jc w:val="left"/>
      <w:outlineLvl w:val="3"/>
    </w:pPr>
    <w:rPr>
      <w:rFonts w:ascii="Tahoma" w:hAnsi="Tahoma" w:eastAsia="宋体"/>
      <w:b/>
      <w:sz w:val="24"/>
      <w:szCs w:val="24"/>
    </w:rPr>
  </w:style>
  <w:style w:type="table" w:customStyle="1" w:styleId="325">
    <w:name w:val="网格表 4 - 着色 111"/>
    <w:basedOn w:val="44"/>
    <w:qFormat/>
    <w:uiPriority w:val="49"/>
    <w:rPr>
      <w:rFonts w:ascii="Calibri" w:hAnsi="Calibri"/>
    </w:rPr>
    <w:tblPr>
      <w:tbl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insideH w:val="single" w:color="95B3D7" w:themeColor="accent1" w:themeTint="99" w:sz="4" w:space="0"/>
        <w:insideV w:val="single" w:color="95B3D7" w:themeColor="accent1" w:themeTint="99" w:sz="4" w:space="0"/>
      </w:tblBorders>
      <w:tblCellMar>
        <w:top w:w="0" w:type="dxa"/>
        <w:left w:w="108" w:type="dxa"/>
        <w:bottom w:w="0" w:type="dxa"/>
        <w:right w:w="108" w:type="dxa"/>
      </w:tblCellMar>
    </w:tblPr>
    <w:tblStylePr w:type="firstRow">
      <w:rPr>
        <w:b/>
        <w:bCs/>
        <w:color w:val="FFFFFF" w:themeColor="background1"/>
        <w14:textFill>
          <w14:solidFill>
            <w14:schemeClr w14:val="bg1"/>
          </w14:solidFill>
        </w14:textFill>
      </w:rPr>
      <w:tcPr>
        <w:tcBorders>
          <w:top w:val="single" w:color="4F81BD" w:themeColor="accent1" w:sz="4" w:space="0"/>
          <w:left w:val="single" w:color="4F81BD" w:themeColor="accent1" w:sz="4" w:space="0"/>
          <w:bottom w:val="single" w:color="4F81BD" w:themeColor="accent1" w:sz="4" w:space="0"/>
          <w:right w:val="single" w:color="4F81BD" w:themeColor="accent1" w:sz="4" w:space="0"/>
          <w:insideH w:val="nil"/>
          <w:insideV w:val="nil"/>
        </w:tcBorders>
        <w:shd w:val="clear" w:color="auto" w:fill="4F81BD" w:themeFill="accent1"/>
      </w:tcPr>
    </w:tblStylePr>
    <w:tblStylePr w:type="lastRow">
      <w:rPr>
        <w:b/>
        <w:bCs/>
      </w:rPr>
      <w:tcPr>
        <w:tcBorders>
          <w:top w:val="double" w:color="4F81BD" w:themeColor="accent1" w:sz="4" w:space="0"/>
        </w:tcBorders>
      </w:tcPr>
    </w:tblStylePr>
    <w:tblStylePr w:type="firstCol">
      <w:rPr>
        <w:b/>
        <w:bCs/>
      </w:rPr>
    </w:tblStylePr>
    <w:tblStylePr w:type="lastCol">
      <w:rPr>
        <w:b/>
        <w:bCs/>
      </w:rPr>
    </w:tblStylePr>
    <w:tblStylePr w:type="band1Vert">
      <w:tcPr>
        <w:shd w:val="clear" w:color="auto" w:fill="DBE5F1" w:themeFill="accent1" w:themeFillTint="33"/>
      </w:tcPr>
    </w:tblStylePr>
    <w:tblStylePr w:type="band1Horz">
      <w:tcPr>
        <w:shd w:val="clear" w:color="auto" w:fill="DBE5F1" w:themeFill="accent1" w:themeFillTint="33"/>
      </w:tcPr>
    </w:tblStylePr>
  </w:style>
  <w:style w:type="table" w:customStyle="1" w:styleId="326">
    <w:name w:val="方案模板样式1"/>
    <w:basedOn w:val="44"/>
    <w:qFormat/>
    <w:uiPriority w:val="99"/>
    <w:pPr>
      <w:jc w:val="center"/>
    </w:pPr>
    <w:rPr>
      <w:rFonts w:ascii="Calibri" w:hAnsi="Calibri"/>
      <w:sz w:val="21"/>
    </w:rPr>
    <w:tblP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
    <w:tcPr>
      <w:vAlign w:val="center"/>
    </w:tcPr>
    <w:tblStylePr w:type="firstRow">
      <w:rPr>
        <w:rFonts w:hint="default" w:ascii="Times New Roman" w:hAnsi="Times New Roman" w:eastAsia="宋体" w:cs="Times New Roman"/>
        <w:b/>
        <w:sz w:val="21"/>
        <w:szCs w:val="21"/>
      </w:rPr>
      <w:tcPr>
        <w:shd w:val="clear" w:color="auto" w:fill="D8D8D8" w:themeFill="background1" w:themeFillShade="D9"/>
      </w:tcPr>
    </w:tblStylePr>
  </w:style>
  <w:style w:type="table" w:customStyle="1" w:styleId="327">
    <w:name w:val="571"/>
    <w:qFormat/>
    <w:uiPriority w:val="0"/>
    <w:pPr>
      <w:widowControl w:val="0"/>
      <w:autoSpaceDE w:val="0"/>
      <w:autoSpaceDN w:val="0"/>
      <w:adjustRightInd w:val="0"/>
    </w:pPr>
    <w:rPr>
      <w:sz w:val="24"/>
      <w:szCs w:val="24"/>
    </w:rPr>
    <w:tblPr>
      <w:tblBorders>
        <w:top w:val="double" w:color="0000FF" w:sz="6" w:space="0"/>
        <w:left w:val="double" w:color="0000FF" w:sz="6" w:space="0"/>
        <w:bottom w:val="double" w:color="0000FF" w:sz="6" w:space="0"/>
        <w:right w:val="double" w:color="0000FF" w:sz="6" w:space="0"/>
        <w:insideH w:val="single" w:color="0000FF" w:sz="6" w:space="0"/>
        <w:insideV w:val="single" w:color="0000FF" w:sz="6" w:space="0"/>
      </w:tblBorders>
      <w:tblCellMar>
        <w:top w:w="0" w:type="dxa"/>
        <w:left w:w="57" w:type="dxa"/>
        <w:bottom w:w="0" w:type="dxa"/>
        <w:right w:w="57" w:type="dxa"/>
      </w:tblCellMar>
    </w:tblPr>
    <w:tcPr>
      <w:vAlign w:val="center"/>
    </w:tcPr>
    <w:tblStylePr w:type="firstRow">
      <w:rPr>
        <w:b/>
      </w:rPr>
    </w:tblStylePr>
  </w:style>
  <w:style w:type="paragraph" w:customStyle="1" w:styleId="328">
    <w:name w:val="新生正文"/>
    <w:basedOn w:val="1"/>
    <w:link w:val="329"/>
    <w:qFormat/>
    <w:uiPriority w:val="0"/>
    <w:pPr>
      <w:adjustRightInd w:val="0"/>
      <w:jc w:val="left"/>
    </w:pPr>
    <w:rPr>
      <w:szCs w:val="28"/>
      <w:lang w:bidi="en-US"/>
    </w:rPr>
  </w:style>
  <w:style w:type="character" w:customStyle="1" w:styleId="329">
    <w:name w:val="新生正文 Char"/>
    <w:link w:val="328"/>
    <w:qFormat/>
    <w:locked/>
    <w:uiPriority w:val="0"/>
    <w:rPr>
      <w:kern w:val="2"/>
      <w:sz w:val="24"/>
      <w:szCs w:val="28"/>
      <w:lang w:bidi="en-US"/>
    </w:rPr>
  </w:style>
  <w:style w:type="paragraph" w:customStyle="1" w:styleId="330">
    <w:name w:val="Table Paragraph"/>
    <w:basedOn w:val="1"/>
    <w:qFormat/>
    <w:uiPriority w:val="1"/>
    <w:pPr>
      <w:jc w:val="center"/>
    </w:pPr>
    <w:rPr>
      <w:rFonts w:ascii="宋体" w:hAnsi="宋体" w:cs="宋体"/>
    </w:rPr>
  </w:style>
  <w:style w:type="paragraph" w:customStyle="1" w:styleId="331">
    <w:name w:val="燕矶表格文字"/>
    <w:basedOn w:val="1"/>
    <w:link w:val="332"/>
    <w:qFormat/>
    <w:uiPriority w:val="0"/>
    <w:pPr>
      <w:adjustRightInd w:val="0"/>
      <w:snapToGrid w:val="0"/>
      <w:spacing w:line="240" w:lineRule="auto"/>
      <w:ind w:firstLine="0" w:firstLineChars="0"/>
      <w:jc w:val="center"/>
    </w:pPr>
    <w:rPr>
      <w:rFonts w:cstheme="minorBidi"/>
      <w:color w:val="000000" w:themeColor="text1"/>
      <w:sz w:val="21"/>
      <w14:textFill>
        <w14:solidFill>
          <w14:schemeClr w14:val="tx1"/>
        </w14:solidFill>
      </w14:textFill>
    </w:rPr>
  </w:style>
  <w:style w:type="character" w:customStyle="1" w:styleId="332">
    <w:name w:val="燕矶表格文字 字符"/>
    <w:basedOn w:val="46"/>
    <w:link w:val="331"/>
    <w:qFormat/>
    <w:uiPriority w:val="0"/>
    <w:rPr>
      <w:rFonts w:cstheme="minorBidi"/>
      <w:color w:val="000000" w:themeColor="text1"/>
      <w:kern w:val="2"/>
      <w:sz w:val="21"/>
      <w:szCs w:val="21"/>
      <w14:textFill>
        <w14:solidFill>
          <w14:schemeClr w14:val="tx1"/>
        </w14:solidFill>
      </w14:textFill>
    </w:rPr>
  </w:style>
  <w:style w:type="character" w:customStyle="1" w:styleId="333">
    <w:name w:val="正文文本缩进 Char"/>
    <w:basedOn w:val="46"/>
    <w:link w:val="22"/>
    <w:qFormat/>
    <w:uiPriority w:val="0"/>
    <w:rPr>
      <w:color w:val="000000"/>
      <w:kern w:val="2"/>
      <w:sz w:val="28"/>
      <w:szCs w:val="24"/>
    </w:rPr>
  </w:style>
  <w:style w:type="character" w:customStyle="1" w:styleId="334">
    <w:name w:val="正文首行缩进 2 Char"/>
    <w:basedOn w:val="333"/>
    <w:link w:val="43"/>
    <w:qFormat/>
    <w:uiPriority w:val="0"/>
    <w:rPr>
      <w:color w:val="000000"/>
      <w:kern w:val="2"/>
      <w:sz w:val="24"/>
      <w:szCs w:val="24"/>
    </w:rPr>
  </w:style>
  <w:style w:type="paragraph" w:customStyle="1" w:styleId="335">
    <w:name w:val="燕矶图表名"/>
    <w:basedOn w:val="1"/>
    <w:next w:val="1"/>
    <w:qFormat/>
    <w:uiPriority w:val="0"/>
    <w:pPr>
      <w:spacing w:line="240" w:lineRule="auto"/>
      <w:ind w:firstLine="0" w:firstLineChars="0"/>
      <w:jc w:val="center"/>
    </w:pPr>
    <w:rPr>
      <w:rFonts w:hint="eastAsia"/>
      <w:b/>
      <w:bCs/>
      <w:color w:val="000000" w:themeColor="text1"/>
      <w:sz w:val="21"/>
      <w14:textFill>
        <w14:solidFill>
          <w14:schemeClr w14:val="tx1"/>
        </w14:solidFill>
      </w14:textFill>
    </w:rPr>
  </w:style>
  <w:style w:type="paragraph" w:customStyle="1" w:styleId="336">
    <w:name w:val="正文文本缩进3"/>
    <w:basedOn w:val="1"/>
    <w:qFormat/>
    <w:uiPriority w:val="99"/>
    <w:pPr>
      <w:adjustRightInd w:val="0"/>
      <w:snapToGrid w:val="0"/>
      <w:spacing w:after="120"/>
      <w:ind w:left="420" w:leftChars="200"/>
      <w:jc w:val="left"/>
    </w:pPr>
    <w:rPr>
      <w:rFonts w:ascii="Calibri" w:hAnsi="Calibri"/>
      <w:sz w:val="21"/>
      <w:szCs w:val="24"/>
    </w:rPr>
  </w:style>
  <w:style w:type="paragraph" w:customStyle="1" w:styleId="337">
    <w:name w:val="Char Char Char Char Char Char Char4"/>
    <w:basedOn w:val="19"/>
    <w:qFormat/>
    <w:uiPriority w:val="0"/>
    <w:pPr>
      <w:shd w:val="clear" w:color="auto" w:fill="000080"/>
      <w:adjustRightInd w:val="0"/>
      <w:snapToGrid w:val="0"/>
      <w:spacing w:line="436" w:lineRule="exact"/>
      <w:ind w:left="357" w:firstLine="883"/>
      <w:jc w:val="left"/>
      <w:outlineLvl w:val="3"/>
    </w:pPr>
    <w:rPr>
      <w:rFonts w:ascii="Tahoma" w:hAnsi="Tahoma" w:eastAsia="宋体"/>
      <w:b/>
      <w:sz w:val="24"/>
      <w:szCs w:val="24"/>
    </w:rPr>
  </w:style>
  <w:style w:type="paragraph" w:customStyle="1" w:styleId="338">
    <w:name w:val="Char Char Char Char Char Char Char3"/>
    <w:basedOn w:val="19"/>
    <w:qFormat/>
    <w:uiPriority w:val="0"/>
    <w:pPr>
      <w:shd w:val="clear" w:color="auto" w:fill="000080"/>
      <w:adjustRightInd w:val="0"/>
      <w:snapToGrid w:val="0"/>
      <w:spacing w:line="436" w:lineRule="exact"/>
      <w:ind w:left="357" w:firstLine="883"/>
      <w:jc w:val="left"/>
      <w:outlineLvl w:val="3"/>
    </w:pPr>
    <w:rPr>
      <w:rFonts w:ascii="Tahoma" w:hAnsi="Tahoma" w:eastAsia="宋体"/>
      <w:b/>
      <w:sz w:val="24"/>
      <w:szCs w:val="24"/>
    </w:rPr>
  </w:style>
  <w:style w:type="character" w:customStyle="1" w:styleId="339">
    <w:name w:val="图表文字 字符"/>
    <w:link w:val="224"/>
    <w:qFormat/>
    <w:uiPriority w:val="0"/>
    <w:rPr>
      <w:rFonts w:ascii="宋体" w:hAnsi="宋体"/>
      <w:kern w:val="2"/>
      <w:sz w:val="22"/>
      <w:szCs w:val="21"/>
      <w:lang w:val="zh-CN"/>
    </w:rPr>
  </w:style>
  <w:style w:type="paragraph" w:customStyle="1" w:styleId="340">
    <w:name w:val="标正文"/>
    <w:basedOn w:val="1"/>
    <w:link w:val="341"/>
    <w:qFormat/>
    <w:uiPriority w:val="0"/>
    <w:rPr>
      <w:rFonts w:cstheme="minorBidi"/>
      <w:szCs w:val="22"/>
    </w:rPr>
  </w:style>
  <w:style w:type="character" w:customStyle="1" w:styleId="341">
    <w:name w:val="标正文 Char"/>
    <w:basedOn w:val="46"/>
    <w:link w:val="340"/>
    <w:qFormat/>
    <w:uiPriority w:val="0"/>
    <w:rPr>
      <w:rFonts w:cstheme="minorBidi"/>
      <w:kern w:val="2"/>
      <w:sz w:val="24"/>
      <w:szCs w:val="22"/>
    </w:rPr>
  </w:style>
  <w:style w:type="paragraph" w:customStyle="1" w:styleId="342">
    <w:name w:val="正文文本C"/>
    <w:basedOn w:val="1"/>
    <w:qFormat/>
    <w:uiPriority w:val="0"/>
    <w:pPr>
      <w:widowControl/>
      <w:adjustRightInd w:val="0"/>
      <w:snapToGrid w:val="0"/>
      <w:jc w:val="left"/>
    </w:pPr>
    <w:rPr>
      <w:rFonts w:ascii="宋体" w:hAnsi="宋体" w:cs="宋体"/>
      <w:kern w:val="0"/>
      <w:szCs w:val="24"/>
    </w:rPr>
  </w:style>
  <w:style w:type="paragraph" w:customStyle="1" w:styleId="343">
    <w:name w:val="msolistparagraph"/>
    <w:basedOn w:val="1"/>
    <w:qFormat/>
    <w:uiPriority w:val="0"/>
    <w:pPr>
      <w:adjustRightInd w:val="0"/>
      <w:snapToGrid w:val="0"/>
      <w:ind w:firstLine="420"/>
    </w:pPr>
    <w:rPr>
      <w:rFonts w:hint="eastAsia" w:ascii="等线" w:hAnsi="等线" w:eastAsia="仿宋"/>
      <w:sz w:val="21"/>
      <w:szCs w:val="22"/>
    </w:rPr>
  </w:style>
  <w:style w:type="character" w:customStyle="1" w:styleId="344">
    <w:name w:val="标题 2 Char"/>
    <w:qFormat/>
    <w:uiPriority w:val="9"/>
    <w:rPr>
      <w:rFonts w:ascii="Times New Roman" w:hAnsi="Times New Roman" w:eastAsia="宋体"/>
      <w:b/>
      <w:bCs/>
      <w:sz w:val="30"/>
      <w:szCs w:val="32"/>
    </w:rPr>
  </w:style>
  <w:style w:type="character" w:customStyle="1" w:styleId="345">
    <w:name w:val="标题 4 Char"/>
    <w:qFormat/>
    <w:uiPriority w:val="99"/>
    <w:rPr>
      <w:rFonts w:ascii="Times New Roman" w:hAnsi="Times New Roman" w:eastAsia="宋体" w:cs="Times New Roman"/>
      <w:b/>
      <w:bCs/>
      <w:kern w:val="2"/>
      <w:sz w:val="24"/>
      <w:szCs w:val="28"/>
    </w:rPr>
  </w:style>
  <w:style w:type="character" w:customStyle="1" w:styleId="346">
    <w:name w:val="Char Char1"/>
    <w:qFormat/>
    <w:uiPriority w:val="0"/>
    <w:rPr>
      <w:rFonts w:eastAsia="宋体"/>
      <w:kern w:val="2"/>
      <w:sz w:val="18"/>
      <w:szCs w:val="18"/>
      <w:lang w:val="en-US" w:eastAsia="zh-CN" w:bidi="ar-SA"/>
    </w:rPr>
  </w:style>
  <w:style w:type="character" w:customStyle="1" w:styleId="347">
    <w:name w:val="fontstyle21"/>
    <w:basedOn w:val="46"/>
    <w:qFormat/>
    <w:uiPriority w:val="0"/>
    <w:rPr>
      <w:rFonts w:hint="eastAsia" w:ascii="宋体" w:hAnsi="宋体" w:eastAsia="宋体"/>
      <w:color w:val="000000"/>
      <w:sz w:val="24"/>
      <w:szCs w:val="24"/>
    </w:rPr>
  </w:style>
  <w:style w:type="character" w:customStyle="1" w:styleId="348">
    <w:name w:val="Char Char2"/>
    <w:qFormat/>
    <w:uiPriority w:val="0"/>
    <w:rPr>
      <w:rFonts w:ascii="仿宋_GB2312" w:eastAsia="仿宋_GB2312"/>
      <w:kern w:val="2"/>
      <w:sz w:val="21"/>
      <w:szCs w:val="21"/>
    </w:rPr>
  </w:style>
  <w:style w:type="paragraph" w:customStyle="1" w:styleId="349">
    <w:name w:val="表格、图名"/>
    <w:basedOn w:val="1"/>
    <w:link w:val="350"/>
    <w:qFormat/>
    <w:uiPriority w:val="0"/>
    <w:pPr>
      <w:adjustRightInd w:val="0"/>
      <w:snapToGrid w:val="0"/>
      <w:ind w:firstLine="883"/>
      <w:jc w:val="center"/>
    </w:pPr>
    <w:rPr>
      <w:rFonts w:ascii="宋体" w:hAnsi="宋体" w:eastAsia="仿宋_GB2312" w:cs="宋体"/>
      <w:b/>
      <w:color w:val="0000FF"/>
      <w:kern w:val="0"/>
      <w:szCs w:val="24"/>
    </w:rPr>
  </w:style>
  <w:style w:type="character" w:customStyle="1" w:styleId="350">
    <w:name w:val="表格、图名 Char"/>
    <w:link w:val="349"/>
    <w:qFormat/>
    <w:uiPriority w:val="0"/>
    <w:rPr>
      <w:rFonts w:ascii="宋体" w:hAnsi="宋体" w:eastAsia="仿宋_GB2312" w:cs="宋体"/>
      <w:b/>
      <w:color w:val="0000FF"/>
      <w:sz w:val="24"/>
      <w:szCs w:val="24"/>
    </w:rPr>
  </w:style>
  <w:style w:type="character" w:customStyle="1" w:styleId="351">
    <w:name w:val="正文 Char"/>
    <w:qFormat/>
    <w:uiPriority w:val="0"/>
    <w:rPr>
      <w:rFonts w:cs="Times New Roman"/>
      <w:sz w:val="24"/>
      <w:lang w:val="en-US" w:eastAsia="zh-CN" w:bidi="ar-SA"/>
    </w:rPr>
  </w:style>
  <w:style w:type="character" w:customStyle="1" w:styleId="352">
    <w:name w:val="HT正文 Char"/>
    <w:link w:val="353"/>
    <w:qFormat/>
    <w:uiPriority w:val="99"/>
    <w:rPr>
      <w:rFonts w:ascii="仿宋_GB2312" w:hAnsi="仿宋_GB2312" w:eastAsia="仿宋_GB2312"/>
      <w:kern w:val="28"/>
      <w:sz w:val="28"/>
      <w:szCs w:val="28"/>
    </w:rPr>
  </w:style>
  <w:style w:type="paragraph" w:customStyle="1" w:styleId="353">
    <w:name w:val="HT正文"/>
    <w:basedOn w:val="1"/>
    <w:link w:val="352"/>
    <w:qFormat/>
    <w:uiPriority w:val="99"/>
    <w:pPr>
      <w:adjustRightInd w:val="0"/>
      <w:snapToGrid w:val="0"/>
      <w:spacing w:line="460" w:lineRule="exact"/>
      <w:jc w:val="left"/>
    </w:pPr>
    <w:rPr>
      <w:rFonts w:ascii="仿宋_GB2312" w:hAnsi="仿宋_GB2312" w:eastAsia="仿宋_GB2312"/>
      <w:kern w:val="28"/>
      <w:sz w:val="28"/>
      <w:szCs w:val="28"/>
    </w:rPr>
  </w:style>
  <w:style w:type="paragraph" w:customStyle="1" w:styleId="354">
    <w:name w:val="！正文"/>
    <w:qFormat/>
    <w:uiPriority w:val="0"/>
    <w:pPr>
      <w:widowControl w:val="0"/>
      <w:spacing w:line="360" w:lineRule="auto"/>
      <w:ind w:firstLine="200" w:firstLineChars="200"/>
      <w:jc w:val="both"/>
      <w:textAlignment w:val="baseline"/>
    </w:pPr>
    <w:rPr>
      <w:rFonts w:ascii="Times New Roman" w:hAnsi="Times New Roman" w:eastAsia="仿宋_GB2312" w:cs="Times New Roman"/>
      <w:bCs/>
      <w:color w:val="000000"/>
      <w:sz w:val="24"/>
      <w:szCs w:val="28"/>
      <w:lang w:val="en-US" w:eastAsia="zh-CN" w:bidi="ar-SA"/>
    </w:rPr>
  </w:style>
  <w:style w:type="paragraph" w:customStyle="1" w:styleId="355">
    <w:name w:val="71表格五号"/>
    <w:basedOn w:val="1"/>
    <w:qFormat/>
    <w:uiPriority w:val="0"/>
    <w:pPr>
      <w:adjustRightInd w:val="0"/>
      <w:snapToGrid w:val="0"/>
      <w:ind w:firstLine="883"/>
      <w:jc w:val="center"/>
    </w:pPr>
    <w:rPr>
      <w:rFonts w:ascii="宋体" w:hAnsi="宋体" w:cs="宋体"/>
      <w:snapToGrid w:val="0"/>
      <w:kern w:val="0"/>
    </w:rPr>
  </w:style>
  <w:style w:type="paragraph" w:customStyle="1" w:styleId="356">
    <w:name w:val="正文缩进0.88"/>
    <w:basedOn w:val="1"/>
    <w:qFormat/>
    <w:uiPriority w:val="0"/>
    <w:pPr>
      <w:widowControl/>
      <w:adjustRightInd w:val="0"/>
      <w:snapToGrid w:val="0"/>
      <w:spacing w:line="440" w:lineRule="exact"/>
      <w:ind w:firstLine="499"/>
      <w:jc w:val="left"/>
    </w:pPr>
    <w:rPr>
      <w:rFonts w:ascii="宋体" w:hAnsi="宋体"/>
      <w:bCs/>
      <w:szCs w:val="22"/>
    </w:rPr>
  </w:style>
  <w:style w:type="paragraph" w:customStyle="1" w:styleId="357">
    <w:name w:val="样式 目录 1 + 行距: 固定值 20 磅"/>
    <w:basedOn w:val="32"/>
    <w:qFormat/>
    <w:uiPriority w:val="0"/>
    <w:pPr>
      <w:tabs>
        <w:tab w:val="right" w:leader="dot" w:pos="8778"/>
      </w:tabs>
      <w:adjustRightInd w:val="0"/>
      <w:snapToGrid w:val="0"/>
      <w:spacing w:before="100" w:after="100"/>
      <w:jc w:val="both"/>
    </w:pPr>
    <w:rPr>
      <w:rFonts w:cs="宋体"/>
      <w:b/>
      <w:caps w:val="0"/>
      <w:sz w:val="21"/>
    </w:rPr>
  </w:style>
  <w:style w:type="paragraph" w:customStyle="1" w:styleId="358">
    <w:name w:val="正文C"/>
    <w:basedOn w:val="1"/>
    <w:link w:val="384"/>
    <w:qFormat/>
    <w:uiPriority w:val="0"/>
    <w:pPr>
      <w:widowControl/>
      <w:adjustRightInd w:val="0"/>
      <w:snapToGrid w:val="0"/>
      <w:jc w:val="left"/>
    </w:pPr>
    <w:rPr>
      <w:rFonts w:ascii="宋体" w:hAnsi="宋体" w:cs="宋体"/>
      <w:color w:val="4F6228"/>
      <w:kern w:val="0"/>
      <w:szCs w:val="24"/>
    </w:rPr>
  </w:style>
  <w:style w:type="paragraph" w:customStyle="1" w:styleId="359">
    <w:name w:val="图表名1"/>
    <w:qFormat/>
    <w:uiPriority w:val="1"/>
    <w:pPr>
      <w:widowControl w:val="0"/>
      <w:jc w:val="center"/>
    </w:pPr>
    <w:rPr>
      <w:rFonts w:ascii="Times New Roman" w:hAnsi="Times New Roman" w:eastAsia="仿宋" w:cs="Times New Roman"/>
      <w:kern w:val="2"/>
      <w:sz w:val="21"/>
      <w:szCs w:val="24"/>
      <w:lang w:val="en-US" w:eastAsia="zh-CN" w:bidi="ar-SA"/>
    </w:rPr>
  </w:style>
  <w:style w:type="paragraph" w:customStyle="1" w:styleId="360">
    <w:name w:val="k 表格文字"/>
    <w:basedOn w:val="1"/>
    <w:next w:val="1"/>
    <w:qFormat/>
    <w:uiPriority w:val="0"/>
    <w:pPr>
      <w:adjustRightInd w:val="0"/>
      <w:snapToGrid w:val="0"/>
      <w:ind w:firstLine="883"/>
      <w:jc w:val="center"/>
    </w:pPr>
    <w:rPr>
      <w:rFonts w:ascii="仿宋_GB2312" w:eastAsia="仿宋_GB2312"/>
      <w:szCs w:val="22"/>
    </w:rPr>
  </w:style>
  <w:style w:type="paragraph" w:customStyle="1" w:styleId="361">
    <w:name w:val="表格小五"/>
    <w:basedOn w:val="1"/>
    <w:qFormat/>
    <w:uiPriority w:val="0"/>
    <w:pPr>
      <w:adjustRightInd w:val="0"/>
      <w:snapToGrid w:val="0"/>
      <w:ind w:firstLine="883"/>
      <w:jc w:val="center"/>
    </w:pPr>
    <w:rPr>
      <w:rFonts w:ascii="宋体" w:hAnsi="宋体" w:cs="宋体"/>
      <w:snapToGrid w:val="0"/>
      <w:kern w:val="0"/>
      <w:sz w:val="18"/>
      <w:szCs w:val="18"/>
    </w:rPr>
  </w:style>
  <w:style w:type="paragraph" w:customStyle="1" w:styleId="362">
    <w:name w:val="样式 标题 3 + 加粗"/>
    <w:basedOn w:val="5"/>
    <w:next w:val="1"/>
    <w:qFormat/>
    <w:uiPriority w:val="0"/>
    <w:pPr>
      <w:keepNext/>
      <w:numPr>
        <w:ilvl w:val="0"/>
        <w:numId w:val="0"/>
      </w:numPr>
      <w:adjustRightInd w:val="0"/>
      <w:spacing w:before="60" w:after="60" w:line="240" w:lineRule="auto"/>
    </w:pPr>
    <w:rPr>
      <w:color w:val="000000"/>
    </w:rPr>
  </w:style>
  <w:style w:type="paragraph" w:customStyle="1" w:styleId="363">
    <w:name w:val="!表内仿宋"/>
    <w:qFormat/>
    <w:uiPriority w:val="0"/>
    <w:pPr>
      <w:widowControl w:val="0"/>
      <w:adjustRightInd w:val="0"/>
      <w:jc w:val="center"/>
      <w:textAlignment w:val="baseline"/>
    </w:pPr>
    <w:rPr>
      <w:rFonts w:ascii="Times New Roman" w:hAnsi="Times New Roman" w:eastAsia="仿宋_GB2312" w:cs="Times New Roman"/>
      <w:bCs/>
      <w:color w:val="000000"/>
      <w:sz w:val="21"/>
      <w:szCs w:val="28"/>
      <w:lang w:val="en-US" w:eastAsia="zh-CN" w:bidi="ar-SA"/>
    </w:rPr>
  </w:style>
  <w:style w:type="paragraph" w:customStyle="1" w:styleId="364">
    <w:name w:val="aa"/>
    <w:basedOn w:val="1"/>
    <w:qFormat/>
    <w:uiPriority w:val="0"/>
    <w:pPr>
      <w:adjustRightInd w:val="0"/>
      <w:snapToGrid w:val="0"/>
      <w:ind w:firstLine="883"/>
    </w:pPr>
    <w:rPr>
      <w:szCs w:val="24"/>
    </w:rPr>
  </w:style>
  <w:style w:type="paragraph" w:customStyle="1" w:styleId="365">
    <w:name w:val="三级标题"/>
    <w:qFormat/>
    <w:uiPriority w:val="0"/>
    <w:pPr>
      <w:tabs>
        <w:tab w:val="left" w:pos="709"/>
      </w:tabs>
      <w:spacing w:before="160" w:after="160" w:line="460" w:lineRule="exact"/>
      <w:outlineLvl w:val="2"/>
    </w:pPr>
    <w:rPr>
      <w:rFonts w:ascii="黑体" w:hAnsi="宋体" w:eastAsia="黑体" w:cs="Times New Roman"/>
      <w:kern w:val="2"/>
      <w:sz w:val="28"/>
      <w:szCs w:val="22"/>
      <w:lang w:val="en-US" w:eastAsia="zh-CN" w:bidi="ar-SA"/>
    </w:rPr>
  </w:style>
  <w:style w:type="paragraph" w:customStyle="1" w:styleId="366">
    <w:name w:val="澳氹图及题注"/>
    <w:basedOn w:val="1"/>
    <w:next w:val="1"/>
    <w:qFormat/>
    <w:uiPriority w:val="0"/>
    <w:pPr>
      <w:adjustRightInd w:val="0"/>
      <w:snapToGrid w:val="0"/>
      <w:spacing w:line="300" w:lineRule="auto"/>
      <w:ind w:firstLine="883"/>
      <w:jc w:val="center"/>
    </w:pPr>
    <w:rPr>
      <w:b/>
      <w:szCs w:val="22"/>
    </w:rPr>
  </w:style>
  <w:style w:type="paragraph" w:customStyle="1" w:styleId="367">
    <w:name w:val="!正文仿小四"/>
    <w:basedOn w:val="1"/>
    <w:qFormat/>
    <w:uiPriority w:val="0"/>
    <w:pPr>
      <w:adjustRightInd w:val="0"/>
      <w:snapToGrid w:val="0"/>
      <w:jc w:val="left"/>
    </w:pPr>
    <w:rPr>
      <w:rFonts w:ascii="Courier New" w:hAnsi="Courier New" w:eastAsia="Tahoma" w:cs="Courier New"/>
      <w:szCs w:val="24"/>
    </w:rPr>
  </w:style>
  <w:style w:type="paragraph" w:customStyle="1" w:styleId="368">
    <w:name w:val="i正文"/>
    <w:qFormat/>
    <w:uiPriority w:val="0"/>
    <w:pPr>
      <w:topLinePunct/>
      <w:spacing w:line="500" w:lineRule="exact"/>
      <w:ind w:firstLine="200" w:firstLineChars="200"/>
      <w:textAlignment w:val="top"/>
    </w:pPr>
    <w:rPr>
      <w:rFonts w:ascii="仿宋_GB2312" w:hAnsi="宋体" w:eastAsia="仿宋_GB2312" w:cs="Times New Roman"/>
      <w:color w:val="000000"/>
      <w:sz w:val="24"/>
      <w:szCs w:val="24"/>
      <w:lang w:val="en-US" w:eastAsia="zh-CN" w:bidi="ar-SA"/>
    </w:rPr>
  </w:style>
  <w:style w:type="paragraph" w:customStyle="1" w:styleId="369">
    <w:name w:val="正文部分"/>
    <w:basedOn w:val="1"/>
    <w:qFormat/>
    <w:uiPriority w:val="0"/>
    <w:pPr>
      <w:adjustRightInd w:val="0"/>
      <w:snapToGrid w:val="0"/>
    </w:pPr>
    <w:rPr>
      <w:rFonts w:eastAsia="仿宋_GB2312"/>
      <w:szCs w:val="24"/>
    </w:rPr>
  </w:style>
  <w:style w:type="paragraph" w:customStyle="1" w:styleId="370">
    <w:name w:val="样式 目录 1 + 行距: 固定值 20 磅1"/>
    <w:basedOn w:val="32"/>
    <w:qFormat/>
    <w:uiPriority w:val="0"/>
    <w:pPr>
      <w:tabs>
        <w:tab w:val="right" w:leader="dot" w:pos="8778"/>
      </w:tabs>
      <w:adjustRightInd w:val="0"/>
      <w:snapToGrid w:val="0"/>
      <w:spacing w:before="100" w:after="100"/>
      <w:jc w:val="both"/>
    </w:pPr>
    <w:rPr>
      <w:rFonts w:cs="宋体"/>
      <w:b/>
      <w:caps w:val="0"/>
      <w:sz w:val="21"/>
    </w:rPr>
  </w:style>
  <w:style w:type="paragraph" w:customStyle="1" w:styleId="371">
    <w:name w:val="正文样式"/>
    <w:basedOn w:val="1"/>
    <w:qFormat/>
    <w:uiPriority w:val="0"/>
    <w:pPr>
      <w:widowControl/>
      <w:adjustRightInd w:val="0"/>
      <w:snapToGrid w:val="0"/>
      <w:ind w:firstLine="883"/>
    </w:pPr>
    <w:rPr>
      <w:rFonts w:cs="宋体"/>
      <w:szCs w:val="24"/>
    </w:rPr>
  </w:style>
  <w:style w:type="paragraph" w:customStyle="1" w:styleId="372">
    <w:name w:val="正文首行缩进1"/>
    <w:qFormat/>
    <w:uiPriority w:val="0"/>
    <w:pPr>
      <w:widowControl w:val="0"/>
      <w:autoSpaceDE w:val="0"/>
      <w:autoSpaceDN w:val="0"/>
      <w:adjustRightInd w:val="0"/>
      <w:spacing w:line="360" w:lineRule="auto"/>
      <w:ind w:firstLine="420" w:firstLineChars="100"/>
      <w:jc w:val="both"/>
    </w:pPr>
    <w:rPr>
      <w:rFonts w:ascii="Times New Roman" w:hAnsi="Times New Roman" w:eastAsia="宋体" w:cs="宋体"/>
      <w:sz w:val="18"/>
      <w:szCs w:val="28"/>
      <w:lang w:val="en-US" w:eastAsia="zh-CN" w:bidi="ar-SA"/>
    </w:rPr>
  </w:style>
  <w:style w:type="paragraph" w:customStyle="1" w:styleId="373">
    <w:name w:val="k正文"/>
    <w:basedOn w:val="1"/>
    <w:qFormat/>
    <w:uiPriority w:val="0"/>
    <w:pPr>
      <w:adjustRightInd w:val="0"/>
      <w:snapToGrid w:val="0"/>
    </w:pPr>
    <w:rPr>
      <w:szCs w:val="24"/>
    </w:rPr>
  </w:style>
  <w:style w:type="table" w:customStyle="1" w:styleId="374">
    <w:name w:val="标准样式27"/>
    <w:basedOn w:val="44"/>
    <w:qFormat/>
    <w:uiPriority w:val="99"/>
    <w:pPr>
      <w:jc w:val="center"/>
    </w:pPr>
    <w:tblPr>
      <w:jc w:val="center"/>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
    <w:trPr>
      <w:jc w:val="center"/>
    </w:trPr>
    <w:tcPr>
      <w:shd w:val="clear" w:color="auto" w:fill="FFFFFF"/>
      <w:vAlign w:val="center"/>
    </w:tcPr>
    <w:tblStylePr w:type="firstRow">
      <w:rPr>
        <w:rFonts w:ascii="Courier New" w:hAnsi="Courier New" w:eastAsia="Symbol"/>
        <w:b/>
        <w:i w:val="0"/>
        <w:sz w:val="21"/>
      </w:rPr>
      <w:tcPr>
        <w:shd w:val="clear" w:color="auto" w:fill="8DB3E2"/>
      </w:tcPr>
    </w:tblStylePr>
    <w:tblStylePr w:type="firstCol">
      <w:tcPr>
        <w:shd w:val="clear" w:color="auto" w:fill="FFFFFF"/>
      </w:tcPr>
    </w:tblStylePr>
  </w:style>
  <w:style w:type="paragraph" w:customStyle="1" w:styleId="375">
    <w:name w:val="6正文"/>
    <w:basedOn w:val="1"/>
    <w:qFormat/>
    <w:uiPriority w:val="0"/>
    <w:pPr>
      <w:widowControl/>
      <w:adjustRightInd w:val="0"/>
      <w:snapToGrid w:val="0"/>
      <w:ind w:firstLine="480"/>
    </w:pPr>
    <w:rPr>
      <w:rFonts w:ascii="宋体" w:hAnsi="宋体" w:cs="宋体"/>
      <w:kern w:val="0"/>
      <w:szCs w:val="24"/>
    </w:rPr>
  </w:style>
  <w:style w:type="character" w:customStyle="1" w:styleId="376">
    <w:name w:val="图表文字 Char"/>
    <w:qFormat/>
    <w:uiPriority w:val="0"/>
    <w:rPr>
      <w:rFonts w:ascii="Times New Roman" w:hAnsi="Times New Roman" w:cs="宋体"/>
      <w:color w:val="000000"/>
      <w:sz w:val="21"/>
      <w:szCs w:val="24"/>
    </w:rPr>
  </w:style>
  <w:style w:type="character" w:customStyle="1" w:styleId="377">
    <w:name w:val="图名 字符"/>
    <w:basedOn w:val="46"/>
    <w:qFormat/>
    <w:uiPriority w:val="0"/>
    <w:rPr>
      <w:rFonts w:ascii="Times New Roman" w:hAnsi="Times New Roman"/>
      <w:b/>
      <w:kern w:val="2"/>
      <w:sz w:val="21"/>
      <w:szCs w:val="22"/>
    </w:rPr>
  </w:style>
  <w:style w:type="paragraph" w:customStyle="1" w:styleId="378">
    <w:name w:val="列表段落1"/>
    <w:basedOn w:val="1"/>
    <w:qFormat/>
    <w:uiPriority w:val="34"/>
    <w:pPr>
      <w:spacing w:line="320" w:lineRule="atLeast"/>
      <w:ind w:firstLine="420"/>
    </w:pPr>
    <w:rPr>
      <w:sz w:val="28"/>
    </w:rPr>
  </w:style>
  <w:style w:type="paragraph" w:customStyle="1" w:styleId="379">
    <w:name w:val="正文①"/>
    <w:basedOn w:val="14"/>
    <w:next w:val="1"/>
    <w:link w:val="380"/>
    <w:qFormat/>
    <w:uiPriority w:val="0"/>
    <w:pPr>
      <w:keepNext w:val="0"/>
      <w:keepLines w:val="0"/>
      <w:adjustRightInd w:val="0"/>
      <w:snapToGrid w:val="0"/>
      <w:spacing w:before="0" w:after="0" w:line="360" w:lineRule="auto"/>
      <w:ind w:firstLine="200" w:firstLineChars="200"/>
      <w:jc w:val="left"/>
      <w:outlineLvl w:val="9"/>
    </w:pPr>
    <w:rPr>
      <w:rFonts w:ascii="Times New Roman" w:hAnsi="Times New Roman" w:eastAsia="宋体" w:cs="Times New Roman"/>
      <w:sz w:val="24"/>
    </w:rPr>
  </w:style>
  <w:style w:type="character" w:customStyle="1" w:styleId="380">
    <w:name w:val="正文① 字符"/>
    <w:link w:val="379"/>
    <w:qFormat/>
    <w:uiPriority w:val="0"/>
    <w:rPr>
      <w:kern w:val="2"/>
      <w:sz w:val="24"/>
      <w:szCs w:val="21"/>
    </w:rPr>
  </w:style>
  <w:style w:type="character" w:customStyle="1" w:styleId="381">
    <w:name w:val="表格内容 字符"/>
    <w:link w:val="213"/>
    <w:qFormat/>
    <w:uiPriority w:val="0"/>
    <w:rPr>
      <w:rFonts w:ascii="楷体_GB2312" w:eastAsia="楷体_GB2312"/>
      <w:sz w:val="24"/>
    </w:rPr>
  </w:style>
  <w:style w:type="character" w:customStyle="1" w:styleId="382">
    <w:name w:val="列表段落 字符1"/>
    <w:qFormat/>
    <w:uiPriority w:val="0"/>
    <w:rPr>
      <w:rFonts w:ascii="Times New Roman" w:hAnsi="Times New Roman"/>
      <w:kern w:val="2"/>
      <w:sz w:val="24"/>
      <w:szCs w:val="21"/>
    </w:rPr>
  </w:style>
  <w:style w:type="character" w:customStyle="1" w:styleId="383">
    <w:name w:val="明显引用 字符3"/>
    <w:semiHidden/>
    <w:qFormat/>
    <w:uiPriority w:val="0"/>
    <w:rPr>
      <w:rFonts w:ascii="Tahoma" w:eastAsia="Tahoma"/>
      <w:b/>
      <w:bCs/>
      <w:i/>
      <w:iCs/>
      <w:color w:val="4F81BD"/>
      <w:kern w:val="2"/>
      <w:sz w:val="21"/>
      <w:szCs w:val="24"/>
    </w:rPr>
  </w:style>
  <w:style w:type="character" w:customStyle="1" w:styleId="384">
    <w:name w:val="正文C Char"/>
    <w:link w:val="358"/>
    <w:qFormat/>
    <w:uiPriority w:val="0"/>
    <w:rPr>
      <w:rFonts w:ascii="宋体" w:hAnsi="宋体" w:cs="宋体"/>
      <w:color w:val="4F6228"/>
      <w:sz w:val="24"/>
      <w:szCs w:val="24"/>
    </w:rPr>
  </w:style>
  <w:style w:type="paragraph" w:customStyle="1" w:styleId="385">
    <w:name w:val="标题3"/>
    <w:basedOn w:val="1"/>
    <w:qFormat/>
    <w:uiPriority w:val="0"/>
    <w:pPr>
      <w:spacing w:before="20" w:after="20"/>
      <w:ind w:firstLine="100" w:firstLineChars="100"/>
      <w:jc w:val="left"/>
      <w:outlineLvl w:val="2"/>
    </w:pPr>
    <w:rPr>
      <w:rFonts w:ascii="宋体" w:hAnsi="宋体" w:eastAsia="仿宋"/>
      <w:b/>
      <w:bCs/>
      <w:color w:val="000000"/>
      <w:szCs w:val="24"/>
    </w:rPr>
  </w:style>
  <w:style w:type="paragraph" w:customStyle="1" w:styleId="386">
    <w:name w:val="方案样式：图片、表格居中"/>
    <w:next w:val="1"/>
    <w:qFormat/>
    <w:uiPriority w:val="0"/>
    <w:pPr>
      <w:widowControl w:val="0"/>
      <w:spacing w:line="288" w:lineRule="auto"/>
      <w:jc w:val="center"/>
    </w:pPr>
    <w:rPr>
      <w:rFonts w:asciiTheme="minorHAnsi" w:hAnsiTheme="minorHAnsi" w:eastAsiaTheme="minorEastAsia" w:cstheme="minorBidi"/>
      <w:szCs w:val="24"/>
      <w:lang w:val="en-US" w:eastAsia="zh-CN" w:bidi="ar-SA"/>
    </w:rPr>
  </w:style>
  <w:style w:type="paragraph" w:customStyle="1" w:styleId="387">
    <w:name w:val="双柳图名"/>
    <w:next w:val="1"/>
    <w:qFormat/>
    <w:uiPriority w:val="0"/>
    <w:pPr>
      <w:widowControl w:val="0"/>
      <w:jc w:val="center"/>
    </w:pPr>
    <w:rPr>
      <w:rFonts w:hint="eastAsia" w:ascii="Times New Roman" w:hAnsi="Times New Roman" w:eastAsia="宋体" w:cs="Times New Roman"/>
      <w:b/>
      <w:bCs/>
      <w:kern w:val="2"/>
      <w:sz w:val="21"/>
      <w:szCs w:val="21"/>
      <w:lang w:val="en-US" w:eastAsia="zh-CN" w:bidi="ar-SA"/>
    </w:rPr>
  </w:style>
  <w:style w:type="paragraph" w:customStyle="1" w:styleId="388">
    <w:name w:val="方案样式：图片名称"/>
    <w:next w:val="1"/>
    <w:qFormat/>
    <w:uiPriority w:val="0"/>
    <w:pPr>
      <w:tabs>
        <w:tab w:val="left" w:pos="420"/>
      </w:tabs>
      <w:jc w:val="center"/>
    </w:pPr>
    <w:rPr>
      <w:rFonts w:asciiTheme="minorHAnsi" w:hAnsiTheme="minorHAnsi" w:eastAsiaTheme="minorEastAsia" w:cstheme="minorBidi"/>
      <w:b/>
      <w:sz w:val="21"/>
      <w:lang w:val="en-US" w:eastAsia="zh-CN" w:bidi="ar-SA"/>
    </w:rPr>
  </w:style>
  <w:style w:type="paragraph" w:customStyle="1" w:styleId="389">
    <w:name w:val="双柳正文文本"/>
    <w:qFormat/>
    <w:uiPriority w:val="0"/>
    <w:pPr>
      <w:widowControl w:val="0"/>
      <w:wordWrap w:val="0"/>
      <w:spacing w:line="360" w:lineRule="auto"/>
      <w:ind w:firstLine="200" w:firstLineChars="200"/>
      <w:jc w:val="both"/>
    </w:pPr>
    <w:rPr>
      <w:rFonts w:ascii="Times New Roman" w:hAnsi="Times New Roman" w:eastAsia="宋体" w:cstheme="minorBidi"/>
      <w:kern w:val="2"/>
      <w:sz w:val="24"/>
      <w:szCs w:val="22"/>
      <w:lang w:val="en-US" w:eastAsia="zh-CN" w:bidi="ar-SA"/>
    </w:rPr>
  </w:style>
  <w:style w:type="paragraph" w:customStyle="1" w:styleId="390">
    <w:name w:val="双柳表格"/>
    <w:next w:val="1"/>
    <w:qFormat/>
    <w:uiPriority w:val="0"/>
    <w:pPr>
      <w:jc w:val="center"/>
    </w:pPr>
    <w:rPr>
      <w:rFonts w:ascii="Times New Roman" w:hAnsi="Times New Roman" w:eastAsia="宋体" w:cs="Times New Roman"/>
      <w:kern w:val="2"/>
      <w:sz w:val="21"/>
      <w:szCs w:val="22"/>
      <w:lang w:val="en-US" w:eastAsia="zh-CN" w:bidi="ar-SA"/>
    </w:rPr>
  </w:style>
  <w:style w:type="paragraph" w:customStyle="1" w:styleId="391">
    <w:name w:val="方案样式：表格名称（ALT+E）"/>
    <w:next w:val="1"/>
    <w:qFormat/>
    <w:uiPriority w:val="0"/>
    <w:pPr>
      <w:keepNext/>
      <w:tabs>
        <w:tab w:val="left" w:pos="420"/>
      </w:tabs>
      <w:jc w:val="center"/>
    </w:pPr>
    <w:rPr>
      <w:rFonts w:ascii="Times New Roman" w:hAnsi="Times New Roman" w:eastAsia="宋体" w:cs="Times New Roman"/>
      <w:b/>
      <w:kern w:val="2"/>
      <w:sz w:val="21"/>
      <w:szCs w:val="24"/>
      <w:lang w:val="en-US" w:eastAsia="zh-CN" w:bidi="ar-SA"/>
    </w:rPr>
  </w:style>
  <w:style w:type="table" w:customStyle="1" w:styleId="392">
    <w:name w:val="网格型5"/>
    <w:unhideWhenUsed/>
    <w:qFormat/>
    <w:uiPriority w:val="59"/>
    <w:rPr>
      <w:rFonts w:ascii="Calibri" w:hAnsi="Calibri"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
  </w:style>
  <w:style w:type="table" w:customStyle="1" w:styleId="393">
    <w:name w:val="方案表格"/>
    <w:autoRedefine/>
    <w:qFormat/>
    <w:uiPriority w:val="99"/>
    <w:rPr>
      <w:color w:val="000000"/>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
    <w:tcPr>
      <w:shd w:val="clear" w:color="auto" w:fill="auto"/>
      <w:vAlign w:val="center"/>
    </w:tcPr>
    <w:tblStylePr w:type="firstRow">
      <w:rPr>
        <w:rFonts w:ascii="Times New Roman" w:hAnsi="Times New Roman" w:eastAsia="黑体"/>
        <w:b/>
        <w:color w:val="FFFFFF"/>
      </w:rPr>
      <w:tblPr/>
      <w:trPr>
        <w:tblHeader/>
      </w:trPr>
      <w:tcPr>
        <w:shd w:val="clear" w:color="auto" w:fill="4472C4"/>
      </w:tcPr>
    </w:tblStylePr>
    <w:tblStylePr w:type="lastRow">
      <w:rPr>
        <w:b/>
        <w:color w:val="000000"/>
      </w:rPr>
    </w:tblStylePr>
    <w:tblStylePr w:type="firstCol">
      <w:rPr>
        <w:color w:val="000000"/>
      </w:rPr>
    </w:tblStylePr>
  </w:style>
  <w:style w:type="paragraph" w:customStyle="1" w:styleId="394">
    <w:name w:val="Table Text"/>
    <w:basedOn w:val="1"/>
    <w:semiHidden/>
    <w:qFormat/>
    <w:uiPriority w:val="0"/>
    <w:rPr>
      <w:rFonts w:eastAsia="Times New Roman"/>
      <w:szCs w:val="24"/>
      <w:lang w:eastAsia="en-US"/>
    </w:rPr>
  </w:style>
  <w:style w:type="table" w:customStyle="1" w:styleId="395">
    <w:name w:val="样式15"/>
    <w:basedOn w:val="44"/>
    <w:qFormat/>
    <w:locked/>
    <w:uiPriority w:val="99"/>
    <w:pPr>
      <w:jc w:val="center"/>
    </w:p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StylePr>
  </w:style>
  <w:style w:type="table" w:customStyle="1" w:styleId="396">
    <w:name w:val="表格标准13"/>
    <w:basedOn w:val="44"/>
    <w:qFormat/>
    <w:uiPriority w:val="99"/>
    <w:pPr>
      <w:jc w:val="center"/>
    </w:pPr>
    <w:rPr>
      <w:sz w:val="21"/>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rPr>
      <w:jc w:val="center"/>
    </w:trPr>
    <w:tcPr>
      <w:shd w:val="clear" w:color="auto" w:fill="auto"/>
      <w:vAlign w:val="center"/>
    </w:tcPr>
  </w:style>
  <w:style w:type="table" w:customStyle="1" w:styleId="397">
    <w:name w:val="表格标准1"/>
    <w:basedOn w:val="44"/>
    <w:qFormat/>
    <w:uiPriority w:val="99"/>
    <w:pPr>
      <w:jc w:val="center"/>
    </w:pPr>
    <w:rPr>
      <w:sz w:val="21"/>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rPr>
      <w:jc w:val="center"/>
    </w:trPr>
    <w:tcPr>
      <w:shd w:val="clear" w:color="auto" w:fill="auto"/>
      <w:vAlign w:val="center"/>
    </w:tcPr>
  </w:style>
  <w:style w:type="paragraph" w:customStyle="1" w:styleId="398">
    <w:name w:val="A图表标题"/>
    <w:basedOn w:val="1"/>
    <w:qFormat/>
    <w:uiPriority w:val="0"/>
    <w:pPr>
      <w:ind w:firstLine="0" w:firstLineChars="0"/>
      <w:jc w:val="center"/>
    </w:pPr>
    <w:rPr>
      <w:b/>
      <w:sz w:val="21"/>
      <w:szCs w:val="22"/>
    </w:rPr>
  </w:style>
  <w:style w:type="table" w:customStyle="1" w:styleId="399">
    <w:name w:val="网格型15"/>
    <w:basedOn w:val="44"/>
    <w:qFormat/>
    <w:uiPriority w:val="59"/>
    <w:pPr>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400">
    <w:name w:val="无间隔1"/>
    <w:qFormat/>
    <w:uiPriority w:val="99"/>
    <w:pPr>
      <w:widowControl w:val="0"/>
      <w:spacing w:line="360" w:lineRule="auto"/>
      <w:jc w:val="center"/>
    </w:pPr>
    <w:rPr>
      <w:rFonts w:ascii="Times New Roman" w:hAnsi="Times New Roman" w:eastAsia="黑体" w:cs="黑体"/>
      <w:kern w:val="2"/>
      <w:sz w:val="21"/>
      <w:szCs w:val="22"/>
      <w:lang w:val="en-US" w:eastAsia="zh-CN" w:bidi="ar-SA"/>
    </w:rPr>
  </w:style>
  <w:style w:type="table" w:customStyle="1" w:styleId="401">
    <w:name w:val="biaoge"/>
    <w:basedOn w:val="44"/>
    <w:qFormat/>
    <w:uiPriority w:val="99"/>
    <w:pPr>
      <w:spacing w:line="360" w:lineRule="auto"/>
      <w:jc w:val="center"/>
    </w:pPr>
    <w:rPr>
      <w:rFonts w:asciiTheme="majorHAnsi" w:hAnsiTheme="majorHAnsi"/>
      <w:sz w:val="21"/>
    </w:rPr>
    <w:tblPr>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
    <w:trPr>
      <w:jc w:val="center"/>
    </w:trPr>
    <w:tcPr>
      <w:vAlign w:val="center"/>
    </w:tcPr>
    <w:tblStylePr w:type="firstRow">
      <w:rPr>
        <w:rFonts w:eastAsia="宋体"/>
        <w:b/>
        <w:sz w:val="21"/>
      </w:rPr>
      <w:tblPr/>
      <w:trPr>
        <w:tblHeader/>
      </w:trPr>
      <w:tcPr>
        <w:tcBorders>
          <w:top w:val="double" w:color="auto" w:sz="4" w:space="0"/>
          <w:left w:val="double" w:color="auto" w:sz="4" w:space="0"/>
          <w:bottom w:val="single" w:color="auto" w:sz="4" w:space="0"/>
          <w:right w:val="double" w:color="auto" w:sz="4" w:space="0"/>
          <w:insideH w:val="nil"/>
          <w:insideV w:val="single" w:sz="4" w:space="0"/>
          <w:tl2br w:val="nil"/>
          <w:tr2bl w:val="nil"/>
        </w:tcBorders>
        <w:shd w:val="clear" w:color="auto" w:fill="C6D9F0" w:themeFill="text2" w:themeFillTint="33"/>
      </w:tcPr>
    </w:tblStylePr>
  </w:style>
  <w:style w:type="paragraph" w:customStyle="1" w:styleId="402">
    <w:name w:val="空港正文"/>
    <w:qFormat/>
    <w:uiPriority w:val="5"/>
    <w:pPr>
      <w:widowControl w:val="0"/>
      <w:adjustRightInd w:val="0"/>
      <w:snapToGrid w:val="0"/>
      <w:spacing w:line="360" w:lineRule="auto"/>
      <w:ind w:firstLine="200" w:firstLineChars="200"/>
      <w:jc w:val="both"/>
    </w:pPr>
    <w:rPr>
      <w:rFonts w:ascii="Times New Roman" w:hAnsi="Times New Roman" w:eastAsia="宋体" w:cs="Times New Roman"/>
      <w:sz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1.png"/><Relationship Id="rId98" Type="http://schemas.openxmlformats.org/officeDocument/2006/relationships/image" Target="media/image80.png"/><Relationship Id="rId97" Type="http://schemas.openxmlformats.org/officeDocument/2006/relationships/image" Target="media/image79.png"/><Relationship Id="rId96" Type="http://schemas.openxmlformats.org/officeDocument/2006/relationships/image" Target="media/image78.png"/><Relationship Id="rId95" Type="http://schemas.openxmlformats.org/officeDocument/2006/relationships/image" Target="media/image77.png"/><Relationship Id="rId94" Type="http://schemas.openxmlformats.org/officeDocument/2006/relationships/image" Target="media/image76.png"/><Relationship Id="rId93" Type="http://schemas.openxmlformats.org/officeDocument/2006/relationships/image" Target="media/image75.png"/><Relationship Id="rId92" Type="http://schemas.openxmlformats.org/officeDocument/2006/relationships/image" Target="media/image74.png"/><Relationship Id="rId91" Type="http://schemas.openxmlformats.org/officeDocument/2006/relationships/image" Target="media/image73.png"/><Relationship Id="rId90" Type="http://schemas.openxmlformats.org/officeDocument/2006/relationships/image" Target="media/image72.png"/><Relationship Id="rId9" Type="http://schemas.openxmlformats.org/officeDocument/2006/relationships/footer" Target="footer2.xml"/><Relationship Id="rId89" Type="http://schemas.openxmlformats.org/officeDocument/2006/relationships/image" Target="media/image71.png"/><Relationship Id="rId88" Type="http://schemas.openxmlformats.org/officeDocument/2006/relationships/image" Target="media/image70.png"/><Relationship Id="rId87" Type="http://schemas.openxmlformats.org/officeDocument/2006/relationships/image" Target="media/image69.png"/><Relationship Id="rId86" Type="http://schemas.openxmlformats.org/officeDocument/2006/relationships/image" Target="media/image68.png"/><Relationship Id="rId85" Type="http://schemas.openxmlformats.org/officeDocument/2006/relationships/image" Target="media/image67.png"/><Relationship Id="rId84" Type="http://schemas.openxmlformats.org/officeDocument/2006/relationships/image" Target="media/image66.png"/><Relationship Id="rId83" Type="http://schemas.openxmlformats.org/officeDocument/2006/relationships/image" Target="media/image65.png"/><Relationship Id="rId82" Type="http://schemas.openxmlformats.org/officeDocument/2006/relationships/image" Target="media/image64.png"/><Relationship Id="rId81" Type="http://schemas.openxmlformats.org/officeDocument/2006/relationships/image" Target="media/image63.png"/><Relationship Id="rId80" Type="http://schemas.openxmlformats.org/officeDocument/2006/relationships/image" Target="media/image62.png"/><Relationship Id="rId8" Type="http://schemas.openxmlformats.org/officeDocument/2006/relationships/footer" Target="footer1.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png"/><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header" Target="header3.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png"/><Relationship Id="rId61" Type="http://schemas.openxmlformats.org/officeDocument/2006/relationships/image" Target="media/image43.png"/><Relationship Id="rId60" Type="http://schemas.openxmlformats.org/officeDocument/2006/relationships/image" Target="media/image42.png"/><Relationship Id="rId6" Type="http://schemas.openxmlformats.org/officeDocument/2006/relationships/header" Target="header2.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wmf"/><Relationship Id="rId52" Type="http://schemas.openxmlformats.org/officeDocument/2006/relationships/oleObject" Target="embeddings/oleObject1.bin"/><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header" Target="head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jpe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emf"/><Relationship Id="rId33" Type="http://schemas.openxmlformats.org/officeDocument/2006/relationships/image" Target="media/image16.emf"/><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jpeg"/><Relationship Id="rId28" Type="http://schemas.openxmlformats.org/officeDocument/2006/relationships/image" Target="media/image11.jpe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7.xml"/><Relationship Id="rId150" Type="http://schemas.openxmlformats.org/officeDocument/2006/relationships/fontTable" Target="fontTable.xml"/><Relationship Id="rId15" Type="http://schemas.openxmlformats.org/officeDocument/2006/relationships/footer" Target="footer6.xml"/><Relationship Id="rId149" Type="http://schemas.openxmlformats.org/officeDocument/2006/relationships/numbering" Target="numbering.xml"/><Relationship Id="rId148" Type="http://schemas.openxmlformats.org/officeDocument/2006/relationships/customXml" Target="../customXml/item1.xml"/><Relationship Id="rId147" Type="http://schemas.openxmlformats.org/officeDocument/2006/relationships/image" Target="media/image126.png"/><Relationship Id="rId146" Type="http://schemas.openxmlformats.org/officeDocument/2006/relationships/image" Target="media/image125.png"/><Relationship Id="rId145" Type="http://schemas.openxmlformats.org/officeDocument/2006/relationships/image" Target="media/image124.png"/><Relationship Id="rId144" Type="http://schemas.openxmlformats.org/officeDocument/2006/relationships/image" Target="media/image123.png"/><Relationship Id="rId143" Type="http://schemas.openxmlformats.org/officeDocument/2006/relationships/image" Target="media/image122.png"/><Relationship Id="rId142" Type="http://schemas.openxmlformats.org/officeDocument/2006/relationships/image" Target="media/image121.png"/><Relationship Id="rId141" Type="http://schemas.openxmlformats.org/officeDocument/2006/relationships/image" Target="media/image120.emf"/><Relationship Id="rId140" Type="http://schemas.openxmlformats.org/officeDocument/2006/relationships/oleObject" Target="embeddings/Microsoft_Visio_2003-2010___1.vsd"/><Relationship Id="rId14" Type="http://schemas.openxmlformats.org/officeDocument/2006/relationships/footer" Target="footer5.xml"/><Relationship Id="rId139" Type="http://schemas.openxmlformats.org/officeDocument/2006/relationships/image" Target="media/image119.png"/><Relationship Id="rId138" Type="http://schemas.openxmlformats.org/officeDocument/2006/relationships/image" Target="media/image118.emf"/><Relationship Id="rId137" Type="http://schemas.openxmlformats.org/officeDocument/2006/relationships/image" Target="media/image117.emf"/><Relationship Id="rId136" Type="http://schemas.openxmlformats.org/officeDocument/2006/relationships/oleObject" Target="embeddings/oleObject3.bin"/><Relationship Id="rId135" Type="http://schemas.openxmlformats.org/officeDocument/2006/relationships/image" Target="media/image116.emf"/><Relationship Id="rId134" Type="http://schemas.openxmlformats.org/officeDocument/2006/relationships/oleObject" Target="embeddings/oleObject2.bin"/><Relationship Id="rId133" Type="http://schemas.openxmlformats.org/officeDocument/2006/relationships/image" Target="media/image115.png"/><Relationship Id="rId132" Type="http://schemas.openxmlformats.org/officeDocument/2006/relationships/image" Target="media/image114.png"/><Relationship Id="rId131" Type="http://schemas.openxmlformats.org/officeDocument/2006/relationships/image" Target="media/image113.png"/><Relationship Id="rId130" Type="http://schemas.openxmlformats.org/officeDocument/2006/relationships/image" Target="media/image112.png"/><Relationship Id="rId13" Type="http://schemas.openxmlformats.org/officeDocument/2006/relationships/header" Target="header5.xml"/><Relationship Id="rId129" Type="http://schemas.openxmlformats.org/officeDocument/2006/relationships/image" Target="media/image111.png"/><Relationship Id="rId128" Type="http://schemas.openxmlformats.org/officeDocument/2006/relationships/image" Target="media/image110.png"/><Relationship Id="rId127" Type="http://schemas.openxmlformats.org/officeDocument/2006/relationships/image" Target="media/image109.png"/><Relationship Id="rId126" Type="http://schemas.openxmlformats.org/officeDocument/2006/relationships/image" Target="media/image108.png"/><Relationship Id="rId125" Type="http://schemas.openxmlformats.org/officeDocument/2006/relationships/image" Target="media/image107.png"/><Relationship Id="rId124" Type="http://schemas.openxmlformats.org/officeDocument/2006/relationships/image" Target="media/image106.png"/><Relationship Id="rId123" Type="http://schemas.openxmlformats.org/officeDocument/2006/relationships/image" Target="media/image105.png"/><Relationship Id="rId122" Type="http://schemas.openxmlformats.org/officeDocument/2006/relationships/image" Target="media/image104.png"/><Relationship Id="rId121" Type="http://schemas.openxmlformats.org/officeDocument/2006/relationships/image" Target="media/image103.png"/><Relationship Id="rId120" Type="http://schemas.openxmlformats.org/officeDocument/2006/relationships/image" Target="media/image102.png"/><Relationship Id="rId12" Type="http://schemas.openxmlformats.org/officeDocument/2006/relationships/footer" Target="footer4.xml"/><Relationship Id="rId119" Type="http://schemas.openxmlformats.org/officeDocument/2006/relationships/image" Target="media/image101.png"/><Relationship Id="rId118" Type="http://schemas.openxmlformats.org/officeDocument/2006/relationships/image" Target="media/image100.png"/><Relationship Id="rId117" Type="http://schemas.openxmlformats.org/officeDocument/2006/relationships/image" Target="media/image99.png"/><Relationship Id="rId116" Type="http://schemas.openxmlformats.org/officeDocument/2006/relationships/image" Target="media/image98.png"/><Relationship Id="rId115" Type="http://schemas.openxmlformats.org/officeDocument/2006/relationships/image" Target="media/image97.png"/><Relationship Id="rId114" Type="http://schemas.openxmlformats.org/officeDocument/2006/relationships/image" Target="media/image96.png"/><Relationship Id="rId113" Type="http://schemas.openxmlformats.org/officeDocument/2006/relationships/image" Target="media/image95.png"/><Relationship Id="rId112" Type="http://schemas.openxmlformats.org/officeDocument/2006/relationships/image" Target="media/image94.png"/><Relationship Id="rId111" Type="http://schemas.openxmlformats.org/officeDocument/2006/relationships/image" Target="media/image93.png"/><Relationship Id="rId110" Type="http://schemas.openxmlformats.org/officeDocument/2006/relationships/image" Target="media/image92.png"/><Relationship Id="rId11" Type="http://schemas.openxmlformats.org/officeDocument/2006/relationships/header" Target="header4.xml"/><Relationship Id="rId109" Type="http://schemas.openxmlformats.org/officeDocument/2006/relationships/image" Target="media/image91.png"/><Relationship Id="rId108" Type="http://schemas.openxmlformats.org/officeDocument/2006/relationships/image" Target="media/image90.png"/><Relationship Id="rId107" Type="http://schemas.openxmlformats.org/officeDocument/2006/relationships/image" Target="media/image89.png"/><Relationship Id="rId106" Type="http://schemas.openxmlformats.org/officeDocument/2006/relationships/image" Target="media/image88.png"/><Relationship Id="rId105" Type="http://schemas.openxmlformats.org/officeDocument/2006/relationships/image" Target="media/image87.png"/><Relationship Id="rId104" Type="http://schemas.openxmlformats.org/officeDocument/2006/relationships/image" Target="media/image86.png"/><Relationship Id="rId103" Type="http://schemas.openxmlformats.org/officeDocument/2006/relationships/image" Target="media/image85.png"/><Relationship Id="rId102" Type="http://schemas.openxmlformats.org/officeDocument/2006/relationships/image" Target="media/image84.png"/><Relationship Id="rId101" Type="http://schemas.openxmlformats.org/officeDocument/2006/relationships/image" Target="media/image83.png"/><Relationship Id="rId100" Type="http://schemas.openxmlformats.org/officeDocument/2006/relationships/image" Target="media/image82.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190</Pages>
  <Words>2139</Words>
  <Characters>2377</Characters>
  <Lines>621</Lines>
  <Paragraphs>175</Paragraphs>
  <TotalTime>17</TotalTime>
  <ScaleCrop>false</ScaleCrop>
  <LinksUpToDate>false</LinksUpToDate>
  <CharactersWithSpaces>2386</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2022-12-28T10:24:00Z</dcterms:created>
  <dc:creator>刘丹</dc:creator>
  <cp:lastModifiedBy>杭州渝港机械施工有限公司</cp:lastModifiedBy>
  <cp:lastPrinted>2025-03-12T01:54:00Z</cp:lastPrinted>
  <dcterms:modified xsi:type="dcterms:W3CDTF">2025-05-06T00:43:50Z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B691690D346A4086AFBEFA12E8750DB5_13</vt:lpwstr>
  </property>
  <property fmtid="{D5CDD505-2E9C-101B-9397-08002B2CF9AE}" pid="4" name="KSOTemplateDocerSaveRecord">
    <vt:lpwstr>eyJoZGlkIjoiYjMyYjBlMGJhZjI3ZDdiYzUzOWVmOGZjYTMwOWZhYzEiLCJ1c2VySWQiOiIyMDEyMTQ5OSJ9</vt:lpwstr>
  </property>
</Properties>
</file>